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Tech Tracking Digest</w:t>
      </w:r>
    </w:p>
    <w:p>
      <w:pPr>
        <w:spacing w:after="280"/>
        <w:jc w:val="center"/>
      </w:pPr>
      <w:r>
        <w:rPr>
          <w:i/>
        </w:rPr>
        <w:t>2026-06-19</w:t>
      </w:r>
    </w:p>
    <w:p>
      <w:pPr>
        <w:spacing w:before="160" w:after="120"/>
      </w:pPr>
      <w:r>
        <w:rPr>
          <w:b/>
          <w:sz w:val="28"/>
        </w:rPr>
        <w:t>【光伏】</w:t>
      </w:r>
    </w:p>
    <w:p>
      <w:pPr>
        <w:spacing w:before="160" w:after="40" w:line="240" w:lineRule="auto"/>
      </w:pPr>
      <w:r>
        <w:rPr>
          <w:b/>
        </w:rPr>
        <w:t xml:space="preserve">[1] </w:t>
      </w:r>
      <w:hyperlink r:id="rId9">
        <w:r>
          <w:rPr>
            <w:color w:val="1155CC"/>
            <w:u w:val="single"/>
          </w:rPr>
          <w:t>太阳能电动汽车充电站的技术经济优化和运行性能分析：校园案例研究</w:t>
        </w:r>
      </w:hyperlink>
    </w:p>
    <w:p>
      <w:pPr>
        <w:spacing w:before="0" w:after="80"/>
      </w:pPr>
      <w:r>
        <w:rPr>
          <w:i/>
          <w:sz w:val="20"/>
        </w:rPr>
        <w:t>EN: Techno-economic optimization and operational performance analysis of a solar-powered EV charging station: A campus case study</w:t>
      </w:r>
    </w:p>
    <w:p>
      <w:pPr>
        <w:spacing w:before="0" w:after="120"/>
      </w:pPr>
      <w:r>
        <w:rPr>
          <w:b/>
        </w:rPr>
        <w:t xml:space="preserve">Source: </w:t>
      </w:r>
      <w:r>
        <w:t>ScienceDirect Publication: Applied Energy</w:t>
      </w:r>
      <w:r>
        <w:t xml:space="preserve">    </w:t>
      </w:r>
      <w:r>
        <w:rPr>
          <w:b/>
        </w:rPr>
        <w:t xml:space="preserve">Pub date: </w:t>
      </w:r>
      <w:r>
        <w:t>2026-06-13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0">
        <w:r>
          <w:rPr>
            <w:color w:val="1155CC"/>
            <w:u w:val="single"/>
          </w:rPr>
          <w:t>SOLACE：探索屋顶光伏部署的框架，适用于加拿大</w:t>
        </w:r>
      </w:hyperlink>
    </w:p>
    <w:p>
      <w:pPr>
        <w:spacing w:before="0" w:after="80"/>
      </w:pPr>
      <w:r>
        <w:rPr>
          <w:i/>
          <w:sz w:val="20"/>
        </w:rPr>
        <w:t>EN: SOLACE: a framework for exploring rooftop photovoltaic deployment, with application to Canada</w:t>
      </w:r>
    </w:p>
    <w:p>
      <w:pPr>
        <w:spacing w:before="0" w:after="120"/>
      </w:pPr>
      <w:r>
        <w:rPr>
          <w:b/>
        </w:rPr>
        <w:t xml:space="preserve">Source: </w:t>
      </w:r>
      <w:r>
        <w:t>ScienceDirect Publication: Applied Energy</w:t>
      </w:r>
      <w:r>
        <w:t xml:space="preserve">    </w:t>
      </w:r>
      <w:r>
        <w:rPr>
          <w:b/>
        </w:rPr>
        <w:t xml:space="preserve">Pub date: </w:t>
      </w:r>
      <w:r>
        <w:t>2026-06-13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1">
        <w:r>
          <w:rPr>
            <w:color w:val="1155CC"/>
            <w:u w:val="single"/>
          </w:rPr>
          <w:t>氯化铜介导的界面渗透用于高效稳定的宽带隙钙钛矿太阳能电池</w:t>
        </w:r>
      </w:hyperlink>
    </w:p>
    <w:p>
      <w:pPr>
        <w:spacing w:before="0" w:after="80"/>
      </w:pPr>
      <w:r>
        <w:rPr>
          <w:i/>
          <w:sz w:val="20"/>
        </w:rPr>
        <w:t>EN: Copper (II) Chloride Mediated Interfacial Permeation for High‐Efficient and Stable Wide‐Bandgap Perovskite Solar Cells</w:t>
      </w:r>
    </w:p>
    <w:p>
      <w:pPr>
        <w:spacing w:before="0" w:after="120"/>
      </w:pPr>
      <w:r>
        <w:rPr>
          <w:b/>
        </w:rPr>
        <w:t xml:space="preserve">Source: </w:t>
      </w:r>
      <w:r>
        <w:t>Wiley-Online-Library: Angewandte Chemie International Edition: Table of Contents</w:t>
      </w:r>
      <w:r>
        <w:t xml:space="preserve">    </w:t>
      </w:r>
      <w:r>
        <w:rPr>
          <w:b/>
        </w:rPr>
        <w:t xml:space="preserve">Pub date: </w:t>
      </w:r>
      <w:r>
        <w:t>2026-06-13 16:56:05+00:00</w:t>
      </w:r>
      <w:r>
        <w:t xml:space="preserve">    </w:t>
      </w:r>
      <w:r>
        <w:rPr>
          <w:b/>
        </w:rPr>
        <w:t xml:space="preserve">DOI: </w:t>
      </w:r>
      <w:hyperlink r:id="rId12">
        <w:r>
          <w:rPr>
            <w:color w:val="1155CC"/>
            <w:u w:val="single"/>
          </w:rPr>
          <w:t>10.1002/anie.5495010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宽带隙（WBG）钙钛矿太阳能电池（PSC）对于高效串联光伏发电至关重要。然而，它们的性能受到掩埋界面晶格无序的严重限制，导致深层缺陷的积累和界面形态的不均匀性，从而引起明显的非辐射复合和卤化物偏析。在这里，我们报告了氯化铜 (II) (CuCl</w:t>
      </w:r>
      <w:r>
        <w:rPr>
          <w:vertAlign w:val="subscript"/>
        </w:rPr>
        <w:t>2</w:t>
      </w:r>
      <w:r>
        <w:t>）介导的界面渗透策略，实现氧化还原介导和卤化物配位，从而稳定界面化学状态，抑制深层缺陷的形成。该策略有效地抑制了埋入界面的晶格无序，同时构建了有效的空穴传输结构，从而增强了界面相稳定性和电荷传输性能。因此，我们改进的 1.79 eV WBG PSC 表现出最小化的非辐射复合损失和卓越的电荷传输，通过开路电压实现了最先进的性能（</w:t>
      </w:r>
      <w:r>
        <w:t xml:space="preserve"> </w:t>
      </w:r>
      <w:r>
        <w:t>V</w:t>
      </w:r>
      <w:r>
        <w:t xml:space="preserve"> </w:t>
      </w:r>
      <w:r>
        <w:t>奥克</w:t>
      </w:r>
      <w:r>
        <w:t xml:space="preserve"> </w:t>
      </w:r>
      <w:r>
        <w:t>）为 1.35 V，填充因子为 84.29%，功率转换效率 (PCE) 为 21.24%，是迄今为止报道的最高值之一。在最大功率点跟踪 1400 小时后，该器件仍能保持其原始效率的 91%。</w:t>
      </w:r>
    </w:p>
    <w:p>
      <w:pPr>
        <w:spacing w:before="0" w:after="200" w:lineRule="auto" w:line="276"/>
      </w:pPr>
      <w:r>
        <w:rPr>
          <w:b/>
        </w:rPr>
        <w:t xml:space="preserve">Abstract (EN): </w:t>
      </w:r>
      <w:r>
        <w:t>Wide‐bandgap (WBG) perovskite solar cells (PSCs) are crucial for high‐efficiency tandem photovoltaics. However, their performance is severely limited by lattice disorder at the buried interface, which leads to the accumulation of deep‐level defects and interfacial morphological inhomogeneities, thereby inducing pronounced non‐radiative recombination and halide segregation. Here, we report a copper (II) chloride (CuCl</w:t>
      </w:r>
      <w:r>
        <w:rPr>
          <w:vertAlign w:val="subscript"/>
        </w:rPr>
        <w:t>2</w:t>
      </w:r>
      <w:r>
        <w:t>) mediated interfacial permeation strategy that achieves the redox mediation and halide coordination, thereby stabilizing the interfacial chemical state, suppressing the formation of deep‐level defects. The strategy effectively suppresses lattice disorder at the buried interface, while simultaneously constructing an efficient hole‐transfer structure, thus enhancing interfacial phase stability and charge‐transport properties. Consequently, our modified 1.79 eV WBG PSCs exhibit minimized non‐radiative recombination losses and superior charge transport, achieving state‐of‐the‐art performance with an open circuit voltage (</w:t>
      </w:r>
      <w:r>
        <w:t xml:space="preserve"> </w:t>
      </w:r>
      <w:r>
        <w:t>V</w:t>
      </w:r>
      <w:r>
        <w:t xml:space="preserve"> </w:t>
      </w:r>
      <w:r>
        <w:t>OC</w:t>
      </w:r>
      <w:r>
        <w:t xml:space="preserve"> </w:t>
      </w:r>
      <w:r>
        <w:t>) of 1.35 V, a fill factor of 84.29%, and power conversion efficiency (PCE) of 21.24%, one of the highest reported so far. The device can maintain 91% of its original efficiency after 1400 h of maximum power point tracking.</w:t>
      </w:r>
    </w:p>
    <w:p>
      <w:pPr>
        <w:spacing w:before="120" w:after="120"/>
      </w:pPr>
      <w:r>
        <w:rPr>
          <w:sz w:val="18"/>
        </w:rPr>
        <w:t>——————————————————————————————————————————————————————————————————————</w:t>
      </w:r>
    </w:p>
    <w:p>
      <w:pPr>
        <w:spacing w:before="160" w:after="40" w:line="240" w:lineRule="auto"/>
      </w:pPr>
      <w:r>
        <w:rPr>
          <w:b/>
        </w:rPr>
        <w:t xml:space="preserve">[4] </w:t>
      </w:r>
      <w:hyperlink r:id="rId13">
        <w:r>
          <w:rPr>
            <w:color w:val="1155CC"/>
            <w:u w:val="single"/>
          </w:rPr>
          <w:t>用于创纪录效率的碳/硅异质结太阳能电池的同质电子型内壁和外壁双壁碳纳米管</w:t>
        </w:r>
      </w:hyperlink>
    </w:p>
    <w:p>
      <w:pPr>
        <w:spacing w:before="0" w:after="80"/>
      </w:pPr>
      <w:r>
        <w:rPr>
          <w:i/>
          <w:sz w:val="20"/>
        </w:rPr>
        <w:t>EN: Homo‐Electronic‐Type Inner‐ and Outer‐Wall Double‐Wall Carbon Nanotubes for Record‐Efficiency Carbon/Silicon Heterojunction Solar Cells</w:t>
      </w:r>
    </w:p>
    <w:p>
      <w:pPr>
        <w:spacing w:before="0" w:after="120"/>
      </w:pPr>
      <w:r>
        <w:rPr>
          <w:b/>
        </w:rPr>
        <w:t xml:space="preserve">Source: </w:t>
      </w:r>
      <w:r>
        <w:t>Wiley: Advanced Energy Materials: Table of Contents</w:t>
      </w:r>
      <w:r>
        <w:t xml:space="preserve">    </w:t>
      </w:r>
      <w:r>
        <w:rPr>
          <w:b/>
        </w:rPr>
        <w:t xml:space="preserve">Pub date: </w:t>
      </w:r>
      <w:r>
        <w:t>2026-06-14 13:00:55+00:00</w:t>
      </w:r>
      <w:r>
        <w:t xml:space="preserve">    </w:t>
      </w:r>
      <w:r>
        <w:rPr>
          <w:b/>
        </w:rPr>
        <w:t xml:space="preserve">DOI: </w:t>
      </w:r>
      <w:hyperlink r:id="rId14">
        <w:r>
          <w:rPr>
            <w:color w:val="1155CC"/>
            <w:u w:val="single"/>
          </w:rPr>
          <w:t>10.1002/aenm.71194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碳纳米管硅（CNT/Si）光伏发电中一个长期存在的基本问题是半导体纳米管还是金属纳米管是否能形成更好的异质结。对于双壁碳纳米管（DWCNT）——内壁和外壁都可以是半导体（S）或金属（M）——这个问题变得更加复杂，因为两壁之间的电子协同作用控制着结行为。然而，由于缺乏电子纯 DWCNT 材料，无法给出明确的答案。在这里，我们通过并排比较异质结太阳能电池中的高纯度 DWCNT 与同电子型内壁和外壁（S@S 和 M@M）来解决这个问题。使用优化的基于 Nafion 的钝化和掺杂，S@S 和 M@M 器件在大有源区域（约 10 cm）上实现了 &gt;22% 的创纪录效率</w:t>
      </w:r>
      <w:r>
        <w:rPr>
          <w:vertAlign w:val="subscript"/>
        </w:rPr>
        <w:t>2</w:t>
      </w:r>
      <w:r>
        <w:t>），优于混合型电池。通过系统的光电和结物理分析，我们证明器件性能由 DWCNT 电子类型决定。 M@M 器件受益于较高的内置电势和较低的串联电阻，从而产生稍高的效率，而 S@S 器件表现出最低的薄膜内部复合。除了建立高性能 CNT/Si 1D/3D 异质结的设计途径之外，这项工作还提供了一种材料原理——低维钝化接触中的电子均匀性——适用于其他新兴异质结系统，例如钙钛矿和串联太阳能电池，其中定制的界面能量和支持</w:t>
      </w:r>
    </w:p>
    <w:p>
      <w:pPr>
        <w:spacing w:before="0" w:after="200" w:lineRule="auto" w:line="276"/>
      </w:pPr>
      <w:r>
        <w:rPr>
          <w:b/>
        </w:rPr>
        <w:t xml:space="preserve">Abstract (EN): </w:t>
      </w:r>
      <w:r>
        <w:t>A fundamental and long‐standing question in carbon nanotube‐silicon (CNT/Si) photovoltaics is whether semiconducting or metallic nanotubes form better heterojunctions. For double‐wall carbon nanotubes (DWCNTs)—where both inner and outer walls can be either semiconducting (S) or metallic (M)—this question becomes more complex, as the electronic synergy between the two walls governs junction behavior. The lack of electronically pure DWCNT materials has, however, precluded a definitive answer. Here, we resolve this via side‐by‐side comparison of high‐purity DWCNTs with homo‐electronic‐type inner and outer walls (S@S and M@M) in heterojunction solar cells. Using optimized Nafion‐based passivation and doping, both S@S and M@M devices achieve record efficiencies &amp;gt;22% on large active areas (≈10 cm</w:t>
      </w:r>
      <w:r>
        <w:rPr>
          <w:vertAlign w:val="subscript"/>
        </w:rPr>
        <w:t>2</w:t>
      </w:r>
      <w:r>
        <w:t>), outperforming mixed‐type cells. Through systematic optoelectronic and junction‐physics analyses, we demonstrate that the device performance is dictated by the DWCNT electronic type. M@M devices benefit from higher built‐in potential and lower series resistance, yielding marginally higher efficiencies, while S@S devices exhibit the lowest film‐internal recombination. Beyond establishing a design pathway for high‐performance CNT/Si 1D/3D heterojunction, this work provides a materials principle—electronic uniformity in low‐dimensional passivating contacts—applicable to other emerging heterojunction systems, such as perovskite and tandem solar cells, where tailored interfacial energetics and suppressed recombination are equally crucial.</w:t>
      </w:r>
    </w:p>
    <w:p>
      <w:pPr>
        <w:spacing w:before="120" w:after="120"/>
      </w:pPr>
      <w:r>
        <w:rPr>
          <w:sz w:val="18"/>
        </w:rPr>
        <w:t>——————————————————————————————————————————————————————————————————————</w:t>
      </w:r>
    </w:p>
    <w:p>
      <w:pPr>
        <w:spacing w:before="160" w:after="40" w:line="240" w:lineRule="auto"/>
      </w:pPr>
      <w:r>
        <w:rPr>
          <w:b/>
        </w:rPr>
        <w:t xml:space="preserve">[5] </w:t>
      </w:r>
      <w:hyperlink r:id="rId15">
        <w:r>
          <w:rPr>
            <w:color w:val="1155CC"/>
            <w:u w:val="single"/>
          </w:rPr>
          <w:t>作者更正：具有增强倒置钙钛矿太阳能电池组装密度的紫外和热稳定空穴选择性接触</w:t>
        </w:r>
      </w:hyperlink>
    </w:p>
    <w:p>
      <w:pPr>
        <w:spacing w:before="0" w:after="80"/>
      </w:pPr>
      <w:r>
        <w:rPr>
          <w:i/>
          <w:sz w:val="20"/>
        </w:rPr>
        <w:t>EN: Author Correction: UV and thermally stable hole-selective contacts with enhanced assembly density for inverted perovskite solar cells</w:t>
      </w:r>
    </w:p>
    <w:p>
      <w:pPr>
        <w:spacing w:before="0" w:after="120"/>
      </w:pPr>
      <w:r>
        <w:rPr>
          <w:b/>
        </w:rPr>
        <w:t xml:space="preserve">Source: </w:t>
      </w:r>
      <w:r>
        <w:t>Nature Materials</w:t>
      </w:r>
      <w:r>
        <w:t xml:space="preserve">    </w:t>
      </w:r>
      <w:r>
        <w:rPr>
          <w:b/>
        </w:rPr>
        <w:t xml:space="preserve">Pub date: </w:t>
      </w:r>
      <w:r>
        <w:t>2026-06-15 00:00:00+00:00</w:t>
      </w:r>
      <w:r>
        <w:t xml:space="preserve">    </w:t>
      </w:r>
      <w:r>
        <w:rPr>
          <w:b/>
        </w:rPr>
        <w:t xml:space="preserve">DOI: </w:t>
      </w:r>
      <w:hyperlink r:id="rId16">
        <w:r>
          <w:rPr>
            <w:color w:val="1155CC"/>
            <w:u w:val="single"/>
          </w:rPr>
          <w:t>10.1038/s41563-026-02668-6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17">
        <w:r>
          <w:rPr>
            <w:color w:val="1155CC"/>
            <w:u w:val="single"/>
          </w:rPr>
          <w:t>屋顶光伏电动汽车充电加速脱碳</w:t>
        </w:r>
      </w:hyperlink>
    </w:p>
    <w:p>
      <w:pPr>
        <w:spacing w:before="0" w:after="80"/>
      </w:pPr>
      <w:r>
        <w:rPr>
          <w:i/>
          <w:sz w:val="20"/>
        </w:rPr>
        <w:t>EN: Rooftop photovoltaic-powered electric vehicle charging for accelerated decarbonization</w:t>
      </w:r>
    </w:p>
    <w:p>
      <w:pPr>
        <w:spacing w:before="0" w:after="120"/>
      </w:pPr>
      <w:r>
        <w:rPr>
          <w:b/>
        </w:rPr>
        <w:t xml:space="preserve">Source: </w:t>
      </w:r>
      <w:r>
        <w:t>Nature Sustainability</w:t>
      </w:r>
      <w:r>
        <w:t xml:space="preserve">    </w:t>
      </w:r>
      <w:r>
        <w:rPr>
          <w:b/>
        </w:rPr>
        <w:t xml:space="preserve">Pub date: </w:t>
      </w:r>
      <w:r>
        <w:t>2026-06-15 00:00:00+00:00</w:t>
      </w:r>
      <w:r>
        <w:t xml:space="preserve">    </w:t>
      </w:r>
      <w:r>
        <w:rPr>
          <w:b/>
        </w:rPr>
        <w:t xml:space="preserve">DOI: </w:t>
      </w:r>
      <w:hyperlink r:id="rId18">
        <w:r>
          <w:rPr>
            <w:color w:val="1155CC"/>
            <w:u w:val="single"/>
          </w:rPr>
          <w:t>10.1038/s41893-026-01854-3</w:t>
        </w:r>
      </w:hyperlink>
    </w:p>
    <w:p>
      <w:pPr>
        <w:spacing w:before="0" w:after="120"/>
      </w:pPr>
      <w:r>
        <w:rPr>
          <w:b/>
        </w:rPr>
        <w:t xml:space="preserve">Notes: </w:t>
      </w:r>
      <w:r>
        <w:t>abstract_source=nature_html</w:t>
      </w:r>
    </w:p>
    <w:p>
      <w:pPr>
        <w:spacing w:before="0" w:after="80" w:lineRule="auto" w:line="276"/>
      </w:pPr>
      <w:r>
        <w:rPr>
          <w:b/>
        </w:rPr>
        <w:t xml:space="preserve">摘要（ZH）: </w:t>
      </w:r>
      <w:r>
        <w:t>利用屋顶光伏（RPV）发电为电动汽车（EV）提供动力可以大大加速可再生能源转型和碳减排。然而，电动汽车的快速普及加剧了发电与充电需求之间的不匹配，给充电能力、经济可行性和脱碳潜力带来了巨大的不确定性。在这里，我们评估了全球 40 个城市的光伏电动汽车充电的时空可扩展性，分析了 22,000 个充电桩的 33.8 亿条充电记录。在三种充电策略下，影响不同规模城市微电网每日充电容量（发电需求比）的影响因素始终遵循指数缩放规律。到 2050 年，在与共享社会经济路径相一致的屋顶面积扩张的支持下，每个城市的 RPV 发电量预计将翻一番（1.6–434.7 TWh yr−1），而充电需求将增长 4–1,759 倍（1.5–10,451.7 GWh yr−1），而国际能源署情景下电动汽车采用率的增加则推动了这一增长。在这些不断变化的条件下，每个城市的年充电能力有所下降，但仍足以满足2050年的充电需求。从 2025 年到 2050 年，所有城市的总收入预计为 3,173.2 (±99.5) 亿美元，累计碳减排量为 11.9(±0.4) Gt。这些结果表明，RPV 驱动的电动汽车充电在经济上仍然可行，足以满足到 2050 年不同城市环境不断增长的需求。</w:t>
      </w:r>
    </w:p>
    <w:p>
      <w:pPr>
        <w:spacing w:before="0" w:after="200" w:lineRule="auto" w:line="276"/>
      </w:pPr>
      <w:r>
        <w:rPr>
          <w:b/>
        </w:rPr>
        <w:t xml:space="preserve">Abstract (EN): </w:t>
      </w:r>
      <w:r>
        <w:t>Harnessing rooftop photovoltaic (RPV) generation to power electric vehicles (EVs) can substantially accelerate the renewable energy transition and carbon mitigation. Yet, the mismatch between electricity generation and charging demand, exacerbated by rapid EV adoption, introduces large uncertainties in charging capacity, economic feasibility and decarbonization potential. Here we assess the spatiotemporal scalability of PV-powered EV charging across 40 global cities, analysing 3.38 billion charging records from 22,000 charging piles. Under three charging strategies, influential factors affecting daily charging capacity (generation-to-demand ratio) across all urban microgrids of varying sizes consistently followed an exponential scaling law. By 2050, RPV generation is projected to double in each city (1.6–434.7 TWh yr−1), supported by rooftop area expansions aligned with the shared socioeconomic pathways and charging demand will rise 4–1,759-fold (1.5–10,451.7 GWh yr−1), driven by increased EV adoption under International Energy Agency scenarios. Under these evolving conditions, the annual charging capacity of each city declines but remains sufficient to meet 2050 charging demands. Across all cities, total revenue is projected at US$3,173.2 (±99.5) billion with accumulative carbon mitigation of 11.9(±0.4) Gt from 2025 to 2050. These results suggest that RPV-powered EV charging can remain economically viable and sufficient to meet growing demand across diverse urban settings through 2050.</w:t>
      </w:r>
    </w:p>
    <w:p>
      <w:pPr>
        <w:spacing w:before="120" w:after="120"/>
      </w:pPr>
      <w:r>
        <w:rPr>
          <w:sz w:val="18"/>
        </w:rPr>
        <w:t>——————————————————————————————————————————————————————————————————————</w:t>
      </w:r>
    </w:p>
    <w:p>
      <w:pPr>
        <w:spacing w:before="160" w:after="40" w:line="240" w:lineRule="auto"/>
      </w:pPr>
      <w:r>
        <w:rPr>
          <w:b/>
        </w:rPr>
        <w:t xml:space="preserve">[7] </w:t>
      </w:r>
      <w:hyperlink r:id="rId19">
        <w:r>
          <w:rPr>
            <w:color w:val="1155CC"/>
            <w:u w:val="single"/>
          </w:rPr>
          <w:t>二维钙钛矿作为三合一界面改性剂，用于高效 Pb-Sn 钙钛矿太阳能电池和全钙钛矿串联电池</w:t>
        </w:r>
      </w:hyperlink>
    </w:p>
    <w:p>
      <w:pPr>
        <w:spacing w:before="0" w:after="80"/>
      </w:pPr>
      <w:r>
        <w:rPr>
          <w:i/>
          <w:sz w:val="20"/>
        </w:rPr>
        <w:t>EN: 2D perovskite as three-in-one interface modifier for efficient Pb-Sn perovskite solar cells and all-perovskite tandems</w:t>
      </w:r>
    </w:p>
    <w:p>
      <w:pPr>
        <w:spacing w:before="0" w:after="120"/>
      </w:pPr>
      <w:r>
        <w:rPr>
          <w:b/>
        </w:rPr>
        <w:t xml:space="preserve">Source: </w:t>
      </w:r>
      <w:r>
        <w:t>Joule</w:t>
      </w:r>
      <w:r>
        <w:t xml:space="preserve">    </w:t>
      </w:r>
      <w:r>
        <w:rPr>
          <w:b/>
        </w:rPr>
        <w:t xml:space="preserve">Pub date: </w:t>
      </w:r>
      <w:r>
        <w:t>2026-06-15 00:00:00+00:00</w:t>
      </w:r>
      <w:r>
        <w:t xml:space="preserve">    </w:t>
      </w:r>
      <w:r>
        <w:rPr>
          <w:b/>
        </w:rPr>
        <w:t xml:space="preserve">DOI: </w:t>
      </w:r>
      <w:hyperlink r:id="rId20">
        <w:r>
          <w:rPr>
            <w:color w:val="1155CC"/>
            <w:u w:val="single"/>
          </w:rPr>
          <w:t>10.1016/j.joule.2026.102521</w:t>
        </w:r>
      </w:hyperlink>
    </w:p>
    <w:p>
      <w:pPr>
        <w:spacing w:before="0" w:after="120"/>
      </w:pPr>
      <w:r>
        <w:rPr>
          <w:b/>
        </w:rPr>
        <w:t xml:space="preserve">Notes: </w:t>
      </w:r>
      <w:r>
        <w:t>abstract_source=rss_cell</w:t>
      </w:r>
    </w:p>
    <w:p>
      <w:pPr>
        <w:spacing w:before="0" w:after="80" w:lineRule="auto" w:line="276"/>
      </w:pPr>
      <w:r>
        <w:rPr>
          <w:b/>
        </w:rPr>
        <w:t xml:space="preserve">摘要（ZH）: </w:t>
      </w:r>
      <w:r>
        <w:t>这项工作开发了二维钙钛矿作为三合一界面改性剂来生产高质量的Pb-Sn钙钛矿薄膜，并仔细研究了二维钙钛矿在三个位置的不同作用。结果，该策略在 Pb-Sn 钙钛矿太阳能电池中实现了 24.07% 的效率，并具有较长的保质期和运行稳定性。此外，相应的两端全钙钛矿串联器件的效率为30.07%（认证为29.22%），并且具有出色的运行稳定性。</w:t>
      </w:r>
    </w:p>
    <w:p>
      <w:pPr>
        <w:spacing w:before="0" w:after="200" w:lineRule="auto" w:line="276"/>
      </w:pPr>
      <w:r>
        <w:rPr>
          <w:b/>
        </w:rPr>
        <w:t xml:space="preserve">Abstract (EN): </w:t>
      </w:r>
      <w:r>
        <w:t>This work develops 2D perovskite as a three-in-one interface modifier to produce high-quality Pb-Sn perovskite films, and the distinct roles of 2D perovskite in three positions are carefully investigated. As a result, this strategy achieves an efficiency of 24.07% in Pb-Sn perovskite solar cells, with a robust shelf-life and operational stability. Furthermore, the corresponding two-terminal all-perovskite tandem device yields an efficiency of 30.07% (certified 29.22%) with excellent operational stability.</w:t>
      </w:r>
    </w:p>
    <w:p>
      <w:pPr>
        <w:spacing w:before="120" w:after="120"/>
      </w:pPr>
      <w:r>
        <w:rPr>
          <w:sz w:val="18"/>
        </w:rPr>
        <w:t>——————————————————————————————————————————————————————————————————————</w:t>
      </w:r>
    </w:p>
    <w:p>
      <w:pPr>
        <w:spacing w:before="160" w:after="40" w:line="240" w:lineRule="auto"/>
      </w:pPr>
      <w:r>
        <w:rPr>
          <w:b/>
        </w:rPr>
        <w:t xml:space="preserve">[8] </w:t>
      </w:r>
      <w:hyperlink r:id="rId21">
        <w:r>
          <w:rPr>
            <w:color w:val="1155CC"/>
            <w:u w:val="single"/>
          </w:rPr>
          <w:t>高性能无反溶剂常规 α-FAPbI3 太阳能电池中平衡分子相互作用与温和偶极矩的中间抑制</w:t>
        </w:r>
      </w:hyperlink>
    </w:p>
    <w:p>
      <w:pPr>
        <w:spacing w:before="0" w:after="80"/>
      </w:pPr>
      <w:r>
        <w:rPr>
          <w:i/>
          <w:sz w:val="20"/>
        </w:rPr>
        <w:t>EN: Balanced Molecular Interactions with Mild Dipole Moment for Intermediate Suppressing in High Performance Antisolvent‐Free Regular α‐FAPbI3 Solar Cells</w:t>
      </w:r>
    </w:p>
    <w:p>
      <w:pPr>
        <w:spacing w:before="0" w:after="120"/>
      </w:pPr>
      <w:r>
        <w:rPr>
          <w:b/>
        </w:rPr>
        <w:t xml:space="preserve">Source: </w:t>
      </w:r>
      <w:r>
        <w:t>Wiley: Advanced Materials: Table of Contents</w:t>
      </w:r>
      <w:r>
        <w:t xml:space="preserve">    </w:t>
      </w:r>
      <w:r>
        <w:rPr>
          <w:b/>
        </w:rPr>
        <w:t xml:space="preserve">Pub date: </w:t>
      </w:r>
      <w:r>
        <w:t>2026-06-16 10:25:31+00:00</w:t>
      </w:r>
      <w:r>
        <w:t xml:space="preserve">    </w:t>
      </w:r>
      <w:r>
        <w:rPr>
          <w:b/>
        </w:rPr>
        <w:t xml:space="preserve">DOI: </w:t>
      </w:r>
      <w:hyperlink r:id="rId22">
        <w:r>
          <w:rPr>
            <w:color w:val="1155CC"/>
            <w:u w:val="single"/>
          </w:rPr>
          <w:t>10.1002/adma.73696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在没有反溶剂的情况下制造钙钛矿太阳能电池（PSC）很有希望，但其固有的缓慢成核和不均匀生长往往伴随着巨大的溶剂化中间体，这会转移</w:t>
      </w:r>
      <w:r>
        <w:t xml:space="preserve"> </w:t>
      </w:r>
      <w:r>
        <w:t>α</w:t>
      </w:r>
      <w:r>
        <w:t xml:space="preserve"> </w:t>
      </w:r>
      <w:r>
        <w:t>‐FAPbI</w:t>
      </w:r>
      <w:r>
        <w:rPr>
          <w:vertAlign w:val="subscript"/>
        </w:rPr>
        <w:t>3</w:t>
      </w:r>
      <w:r>
        <w:t>结晶并可能限制高性能 PSC 的获取。在此，我们提出了一种平衡的分子相互作用策略，使用偶极矩约为 1.9 Debye 的添加剂来抑制溶剂化中间体。通过系统地研究具有不同基团（5-H、─F、─Cl、─Br、─NH）的对称间苯二甲酸二甲酯（DMIP）衍生物</w:t>
      </w:r>
      <w:r>
        <w:rPr>
          <w:vertAlign w:val="subscript"/>
        </w:rPr>
        <w:t>2</w:t>
      </w:r>
      <w:r>
        <w:t>, ─OCH</w:t>
      </w:r>
      <w:r>
        <w:rPr>
          <w:vertAlign w:val="subscript"/>
        </w:rPr>
        <w:t>3</w:t>
      </w:r>
      <w:r>
        <w:t>，和─OH)，用氟取代基获得最佳相演化过程。与 Pb 的平衡分子相互作用</w:t>
      </w:r>
      <w:r>
        <w:t xml:space="preserve"> </w:t>
      </w:r>
      <w:r>
        <w:t>2+</w:t>
      </w:r>
      <w:r>
        <w:t xml:space="preserve"> </w:t>
      </w:r>
      <w:r>
        <w:t>协调、FA</w:t>
      </w:r>
      <w:r>
        <w:t xml:space="preserve"> </w:t>
      </w:r>
      <w:r>
        <w:t>+</w:t>
      </w:r>
      <w:r>
        <w:t xml:space="preserve"> </w:t>
      </w:r>
      <w:r>
        <w:t>氢键，和我</w:t>
      </w:r>
      <w:r>
        <w:t xml:space="preserve"> </w:t>
      </w:r>
      <w:r>
        <w:t>-</w:t>
      </w:r>
      <w:r>
        <w:t>溶剂和添加剂之间，显着缩短</w:t>
      </w:r>
      <w:r>
        <w:t xml:space="preserve"> </w:t>
      </w:r>
      <w:r>
        <w:t>t</w:t>
      </w:r>
      <w:r>
        <w:t xml:space="preserve"> </w:t>
      </w:r>
      <w:r>
        <w:t>d-α</w:t>
      </w:r>
      <w:r>
        <w:t xml:space="preserve"> </w:t>
      </w:r>
      <w:r>
        <w:t>（时间为</w:t>
      </w:r>
      <w:r>
        <w:t xml:space="preserve"> </w:t>
      </w:r>
      <w:r>
        <w:t>α</w:t>
      </w:r>
      <w:r>
        <w:t xml:space="preserve"> </w:t>
      </w:r>
      <w:r>
        <w:t>‐相开始占主导地位）从 &gt; 150 到 23 s，从而能够更快、更完整地转变为高质量相</w:t>
      </w:r>
      <w:r>
        <w:t xml:space="preserve"> </w:t>
      </w:r>
      <w:r>
        <w:t>α</w:t>
      </w:r>
      <w:r>
        <w:t xml:space="preserve"> </w:t>
      </w:r>
      <w:r>
        <w:t>‐FAPbI</w:t>
      </w:r>
      <w:r>
        <w:rPr>
          <w:vertAlign w:val="subscript"/>
        </w:rPr>
        <w:t>3</w:t>
      </w:r>
      <w:r>
        <w:t>。康塞克</w:t>
      </w:r>
    </w:p>
    <w:p>
      <w:pPr>
        <w:spacing w:before="0" w:after="200" w:lineRule="auto" w:line="276"/>
      </w:pPr>
      <w:r>
        <w:rPr>
          <w:b/>
        </w:rPr>
        <w:t xml:space="preserve">Abstract (EN): </w:t>
      </w:r>
      <w:r>
        <w:t>It is promising to fabricate perovskite solar cells (PSCs) without antisolvent, but its intrinsic slow nucleation and unhomogenized growth are often accompanied by enormous solvated intermediates, which divert the</w:t>
      </w:r>
      <w:r>
        <w:t xml:space="preserve"> </w:t>
      </w:r>
      <w:r>
        <w:t>α</w:t>
      </w:r>
      <w:r>
        <w:t xml:space="preserve"> </w:t>
      </w:r>
      <w:r>
        <w:t>‐FAPbI</w:t>
      </w:r>
      <w:r>
        <w:rPr>
          <w:vertAlign w:val="subscript"/>
        </w:rPr>
        <w:t>3</w:t>
      </w:r>
      <w:r>
        <w:t>crystallization and potentially restrict the acquisition of high‐performance PSCs. Herein, we present a balanced molecular interaction strategy using additives with mild dipole moments of around 1.9 Debye to suppress solvated intermediates. By systematically scrutinizing symmetric dimethyl isophthalate (DMIP) derivatives with varied groups (5‐H, ─F, ─Cl, ─Br, ─NH</w:t>
      </w:r>
      <w:r>
        <w:rPr>
          <w:vertAlign w:val="subscript"/>
        </w:rPr>
        <w:t>2</w:t>
      </w:r>
      <w:r>
        <w:t>, ─OCH</w:t>
      </w:r>
      <w:r>
        <w:rPr>
          <w:vertAlign w:val="subscript"/>
        </w:rPr>
        <w:t>3</w:t>
      </w:r>
      <w:r>
        <w:t>, and ─OH), the optimum phase‐evolution process is obtained with fluorine substituents. The balanced molecular interactions with Pb</w:t>
      </w:r>
      <w:r>
        <w:t xml:space="preserve"> </w:t>
      </w:r>
      <w:r>
        <w:t>2+</w:t>
      </w:r>
      <w:r>
        <w:t xml:space="preserve"> </w:t>
      </w:r>
      <w:r>
        <w:t>coordination, FA</w:t>
      </w:r>
      <w:r>
        <w:t xml:space="preserve"> </w:t>
      </w:r>
      <w:r>
        <w:t>+</w:t>
      </w:r>
      <w:r>
        <w:t xml:space="preserve"> </w:t>
      </w:r>
      <w:r>
        <w:t>hydrogen bonding, and I</w:t>
      </w:r>
      <w:r>
        <w:t xml:space="preserve"> </w:t>
      </w:r>
      <w:r>
        <w:t>−</w:t>
      </w:r>
      <w:r>
        <w:t>between solvents and additives, significantly shorten</w:t>
      </w:r>
      <w:r>
        <w:t xml:space="preserve"> </w:t>
      </w:r>
      <w:r>
        <w:t>t</w:t>
      </w:r>
      <w:r>
        <w:t xml:space="preserve"> </w:t>
      </w:r>
      <w:r>
        <w:t>d‐α</w:t>
      </w:r>
      <w:r>
        <w:t xml:space="preserve"> </w:t>
      </w:r>
      <w:r>
        <w:t>(the time for</w:t>
      </w:r>
      <w:r>
        <w:t xml:space="preserve"> </w:t>
      </w:r>
      <w:r>
        <w:t>α</w:t>
      </w:r>
      <w:r>
        <w:t xml:space="preserve"> </w:t>
      </w:r>
      <w:r>
        <w:t>‐phase start to dominate) from &amp;gt; 150 to 23 s, enabling the faster and complete phase transformation to high‐quality</w:t>
      </w:r>
      <w:r>
        <w:t xml:space="preserve"> </w:t>
      </w:r>
      <w:r>
        <w:t>α</w:t>
      </w:r>
      <w:r>
        <w:t xml:space="preserve"> </w:t>
      </w:r>
      <w:r>
        <w:t>‐FAPbI</w:t>
      </w:r>
      <w:r>
        <w:rPr>
          <w:vertAlign w:val="subscript"/>
        </w:rPr>
        <w:t>3</w:t>
      </w:r>
      <w:r>
        <w:t>. Consequently, we obtained a high‐power conversion efficiency up to 26.28%, representing the highest reported efficiency for antisolvent‐free regular PSCs based on pure FAPbI</w:t>
      </w:r>
      <w:r>
        <w:rPr>
          <w:vertAlign w:val="subscript"/>
        </w:rPr>
        <w:t>3</w:t>
      </w:r>
      <w:r>
        <w:t>absorbers. Moreover, the device maintains 93.7% of its initial efficiency after 1500 h aging at 85°C and retains 90% after 1000 h maximum power point tracking, demonstrating proper stability through this strategy.</w:t>
      </w:r>
    </w:p>
    <w:p>
      <w:pPr>
        <w:spacing w:before="120" w:after="120"/>
      </w:pPr>
      <w:r>
        <w:rPr>
          <w:sz w:val="18"/>
        </w:rPr>
        <w:t>——————————————————————————————————————————————————————————————————————</w:t>
      </w:r>
    </w:p>
    <w:p>
      <w:pPr>
        <w:spacing w:before="160" w:after="40" w:line="240" w:lineRule="auto"/>
      </w:pPr>
      <w:r>
        <w:rPr>
          <w:b/>
        </w:rPr>
        <w:t xml:space="preserve">[9] </w:t>
      </w:r>
      <w:hyperlink r:id="rId23">
        <w:r>
          <w:rPr>
            <w:color w:val="1155CC"/>
            <w:u w:val="single"/>
          </w:rPr>
          <w:t>用于预测热点引起的光伏性能损失的多模态融合框架</w:t>
        </w:r>
      </w:hyperlink>
    </w:p>
    <w:p>
      <w:pPr>
        <w:spacing w:before="0" w:after="80"/>
      </w:pPr>
      <w:r>
        <w:rPr>
          <w:i/>
          <w:sz w:val="20"/>
        </w:rPr>
        <w:t>EN: A multimodal fusion framework for prediction of hotspot-induced photovoltaic performance loss</w:t>
      </w:r>
    </w:p>
    <w:p>
      <w:pPr>
        <w:spacing w:before="0" w:after="120"/>
      </w:pPr>
      <w:r>
        <w:rPr>
          <w:b/>
        </w:rPr>
        <w:t xml:space="preserve">Source: </w:t>
      </w:r>
      <w:r>
        <w:t>ScienceDirect Publication: Applied Energy</w:t>
      </w:r>
      <w:r>
        <w:t xml:space="preserve">    </w:t>
      </w:r>
      <w:r>
        <w:rPr>
          <w:b/>
        </w:rPr>
        <w:t xml:space="preserve">Pub date: </w:t>
      </w:r>
      <w:r>
        <w:t>2026-06-17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 </w:t>
      </w:r>
      <w:hyperlink r:id="rId24">
        <w:r>
          <w:rPr>
            <w:color w:val="1155CC"/>
            <w:u w:val="single"/>
          </w:rPr>
          <w:t>基于吸附蒸发的太阳能光伏板出汗被动冷却：批判性评论</w:t>
        </w:r>
      </w:hyperlink>
    </w:p>
    <w:p>
      <w:pPr>
        <w:spacing w:before="0" w:after="80"/>
      </w:pPr>
      <w:r>
        <w:rPr>
          <w:i/>
          <w:sz w:val="20"/>
        </w:rPr>
        <w:t>EN: Sorption-evaporation-based sweating passive cooling of solar PV panels: A critical review</w:t>
      </w:r>
    </w:p>
    <w:p>
      <w:pPr>
        <w:spacing w:before="0" w:after="120"/>
      </w:pPr>
      <w:r>
        <w:rPr>
          <w:b/>
        </w:rPr>
        <w:t xml:space="preserve">Source: </w:t>
      </w:r>
      <w:r>
        <w:t>ScienceDirect Publication: Applied Energy</w:t>
      </w:r>
      <w:r>
        <w:t xml:space="preserve">    </w:t>
      </w:r>
      <w:r>
        <w:rPr>
          <w:b/>
        </w:rPr>
        <w:t xml:space="preserve">Pub date: </w:t>
      </w:r>
      <w:r>
        <w:t>2026-06-17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25">
        <w:r>
          <w:rPr>
            <w:color w:val="1155CC"/>
            <w:u w:val="single"/>
          </w:rPr>
          <w:t>共轭 Dion-Jacobson 钙钛矿中 HOMO 偏移诱导的空穴捕获</w:t>
        </w:r>
      </w:hyperlink>
    </w:p>
    <w:p>
      <w:pPr>
        <w:spacing w:before="0" w:after="80"/>
      </w:pPr>
      <w:r>
        <w:rPr>
          <w:i/>
          <w:sz w:val="20"/>
        </w:rPr>
        <w:t>EN: HOMO Offset Induced Hole Trapping in Conjugated Dion‐Jacobson Perovskites</w:t>
      </w:r>
    </w:p>
    <w:p>
      <w:pPr>
        <w:spacing w:before="0" w:after="120"/>
      </w:pPr>
      <w:r>
        <w:rPr>
          <w:b/>
        </w:rPr>
        <w:t xml:space="preserve">Source: </w:t>
      </w:r>
      <w:r>
        <w:t>Wiley: Advanced Energy Materials: Table of Contents</w:t>
      </w:r>
      <w:r>
        <w:t xml:space="preserve">    </w:t>
      </w:r>
      <w:r>
        <w:rPr>
          <w:b/>
        </w:rPr>
        <w:t xml:space="preserve">Pub date: </w:t>
      </w:r>
      <w:r>
        <w:t>2026-06-17 10:37:18+00:00</w:t>
      </w:r>
      <w:r>
        <w:t xml:space="preserve">    </w:t>
      </w:r>
      <w:r>
        <w:rPr>
          <w:b/>
        </w:rPr>
        <w:t xml:space="preserve">DOI: </w:t>
      </w:r>
      <w:hyperlink r:id="rId26">
        <w:r>
          <w:rPr>
            <w:color w:val="1155CC"/>
            <w:u w:val="single"/>
          </w:rPr>
          <w:t>10.1002/aenm.71208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尽管大量的努力集中在二维杂化有机-无机钙钛矿（2D HOIP）中的热电子传输，但探索与晶格热平衡时载流子的迁移率可能会拓宽它们作为半导体在能量转换和电子领域的适用性。虽然具有共轭配体的 Dion-Jacobson (DJ) 钙钛矿有望通过介电屏蔽和层间离域来增强电荷传输，但我们报告了一个令人惊讶的发现，即共轭 DJ 钙钛矿薄膜在本征和掺杂状态下均表现出比具有绝缘配体的 Ruddlesden-Popper (RP) 钙钛矿薄膜显着更低的电导率。除了由于共轭 DJ 相中八面体倾斜增加而导致无机层内轨道重叠较弱之外，我们还通过实验证明了共轭有机层的最高占据分子轨道 (HOMO) 位于无机层的价带最大值 (VBM) 以上约 1.5 eV。 HOMO偏移导致空穴捕获，从而降低无机层中的自由载流子浓度并抑制共轭DJ钙钛矿的体电导率。这些发现表明，只有当 HOMO-VBM 偏移足够小并且与载流子热能相当时，通过共轭配体的载流子离域才有优势。</w:t>
      </w:r>
    </w:p>
    <w:p>
      <w:pPr>
        <w:spacing w:before="0" w:after="200" w:lineRule="auto" w:line="276"/>
      </w:pPr>
      <w:r>
        <w:rPr>
          <w:b/>
        </w:rPr>
        <w:t xml:space="preserve">Abstract (EN): </w:t>
      </w:r>
      <w:r>
        <w:t>Although significant efforts have focused on hot electron transport in two‐dimensional hybrid organic–inorganic perovskites (2D HOIPs), exploring the mobility of carriers when in thermal equilibrium with the lattice may widen their applicability as semiconductors in energy conversion and electronics. While Dion–Jacobson (DJ) perovskites with conjugated ligands are expected to enhance charge transport through dielectric screening and interlayer delocalization, we report a surprising finding that conjugated DJ perovskite films exhibit significantly lower conductivity than Ruddlesden–Popper (RP) perovskite films with insulating ligands, both in intrinsic and doped states. In addition to weaker orbital overlap within the inorganic layer due to increased octahedral tilting in the conjugated DJ phase, we experimentally demonstrate that the highest occupied molecular orbital (HOMO) of the conjugated organic layer lies ∼1.5 eV above the valence band maximum (VBM) of the inorganic layer. The HOMO offset leads to hole trapping, thereby reducing free carrier concentration in the inorganic layer and suppressing the bulk conductivity of the conjugated DJ perovskite. These findings reveal that carrier delocalization through the conjugated ligands can only be advantageous when the HOMO‐VBM offset is sufficiently small and comparable to carrier thermal energy.</w:t>
      </w:r>
    </w:p>
    <w:p>
      <w:pPr>
        <w:spacing w:before="120" w:after="120"/>
      </w:pPr>
      <w:r>
        <w:rPr>
          <w:sz w:val="18"/>
        </w:rPr>
        <w:t>——————————————————————————————————————————————————————————————————————</w:t>
      </w:r>
    </w:p>
    <w:p>
      <w:pPr>
        <w:spacing w:before="160" w:after="40" w:line="240" w:lineRule="auto"/>
      </w:pPr>
      <w:r>
        <w:rPr>
          <w:b/>
        </w:rPr>
        <w:t xml:space="preserve">[12] </w:t>
      </w:r>
      <w:hyperlink r:id="rId27">
        <w:r>
          <w:rPr>
            <w:color w:val="1155CC"/>
            <w:u w:val="single"/>
          </w:rPr>
          <w:t>为什么更多的结尚未交付：钙钛矿多结太阳能电池的互连挑战</w:t>
        </w:r>
      </w:hyperlink>
    </w:p>
    <w:p>
      <w:pPr>
        <w:spacing w:before="0" w:after="80"/>
      </w:pPr>
      <w:r>
        <w:rPr>
          <w:i/>
          <w:sz w:val="20"/>
        </w:rPr>
        <w:t>EN: Why More Junctions Do Not Yet Deliver: Interconnection Challenges in Perovskite Multijunction Solar Cells</w:t>
      </w:r>
    </w:p>
    <w:p>
      <w:pPr>
        <w:spacing w:before="0" w:after="120"/>
      </w:pPr>
      <w:r>
        <w:rPr>
          <w:b/>
        </w:rPr>
        <w:t xml:space="preserve">Source: </w:t>
      </w:r>
      <w:r>
        <w:t>RSC - Energy Environ. Sci. latest articles</w:t>
      </w:r>
      <w:r>
        <w:t xml:space="preserve">    </w:t>
      </w:r>
      <w:r>
        <w:rPr>
          <w:b/>
        </w:rPr>
        <w:t xml:space="preserve">Pub date: </w:t>
      </w:r>
      <w:r>
        <w:t>2026-06-17 23:00:00+00:00</w:t>
      </w:r>
    </w:p>
    <w:p>
      <w:pPr>
        <w:spacing w:before="0" w:after="120"/>
      </w:pPr>
      <w:r>
        <w:rPr>
          <w:b/>
        </w:rPr>
        <w:t xml:space="preserve">Notes: </w:t>
      </w:r>
      <w:r>
        <w:t>abstract_source=rsc_html</w:t>
      </w:r>
    </w:p>
    <w:p>
      <w:pPr>
        <w:spacing w:before="0" w:after="80" w:lineRule="auto" w:line="276"/>
      </w:pPr>
      <w:r>
        <w:rPr>
          <w:b/>
        </w:rPr>
        <w:t xml:space="preserve">摘要（ZH）: </w:t>
      </w:r>
      <w:r>
        <w:t>单结光伏技术正在接近其实际效率极限。基于钙钛矿的多结太阳能电池通过减少热化损失和提高光谱利用率提供了超越这些限制的途径。尽管串联结构对于光伏界来说并不新鲜，但基于钙钛矿的串联结构首次为该技术的千兆瓦规模部署开辟了一条现实道路。在过去的十年里，该技术取得了显着的进步，目前正在稳步迈向产业规模化。除了补充晶体硅之外，钙钛矿还构成了一种多功能串联器件组件，可以在完全基于钙钛矿的架构中实现，在不同的基板上制造，甚至可以扩展到三结或四结配置。然而，这一进步带来了新的技术挑战，特别是在钙钛矿子电池的互连方面。在保持界面和结构完整性的同时实现可靠的电耦合具有挑战性，因为高效器件通常涉及多个溶液处理层，其中相邻子电池中使用的类似溶剂可能会导致层间溶解或化学降解。此外，裂纹、针孔和分层等薄膜缺陷（通常由机械应力和累积应变引起）在制造和放大过程中经常出现，需要仔细管理。这个视角审视了这些与互连相关的挑战，并描绘了基于钙钛矿的多晶硅的未来方向</w:t>
      </w:r>
    </w:p>
    <w:p>
      <w:pPr>
        <w:spacing w:before="0" w:after="200" w:lineRule="auto" w:line="276"/>
      </w:pPr>
      <w:r>
        <w:rPr>
          <w:b/>
        </w:rPr>
        <w:t xml:space="preserve">Abstract (EN): </w:t>
      </w:r>
      <w:r>
        <w:t>Single-junction photovoltaic technologies are approaching their practical efficiency limits. Perovskite-based multijunction solar cells offer a path beyond these limits through reduced thermalization losses and improved spectral utilization. Although tandem architectures are not new to the photovoltaic community, perovskite-based tandems have, for the first time, opened a realistic path toward gigawatt-scale deployment of this technology. Over the past decade, remarkable progress has been achieved, and the technology is now moving steadily toward industrial scaling. Beyond complementing crystalline silicon, perovskites constitute a versatile tandem device component that can be implemented in fully perovskite-based architectures, fabricated on diverse substrates, and even extended to triple or quadruple-junction configurations. However, this advancement introduces new technological challenges, particularly in the interconnection of perovskite sub-cells. Achieving reliable electrical coupling while maintaining interfacial and structural integrity is challenging, as high-efficiency devices often involve multiple solution-processed layers, where similar solvents used in adjacent sub-cells can cause interlayer dissolution or chemical degradation. Furthermore, film imperfections such as cracks, pinholes, and delamination - often driven by mechanical stress and accumulated strain - emerge frequently during fabrication and scale-up and require careful management. This perspective examines these interconnection-related challenges and charts future directions in perovskite-based multijunction solar cells beyond the general electronic view of recombination junctions.</w:t>
      </w:r>
    </w:p>
    <w:p>
      <w:pPr>
        <w:spacing w:before="120" w:after="120"/>
      </w:pPr>
      <w:r>
        <w:rPr>
          <w:sz w:val="18"/>
        </w:rPr>
        <w:t>——————————————————————————————————————————————————————————————————————</w:t>
      </w:r>
    </w:p>
    <w:p>
      <w:pPr>
        <w:spacing w:before="160" w:after="40" w:line="240" w:lineRule="auto"/>
      </w:pPr>
      <w:r>
        <w:rPr>
          <w:b/>
        </w:rPr>
        <w:t xml:space="preserve">[13] </w:t>
      </w:r>
      <w:hyperlink r:id="rId28">
        <w:r>
          <w:rPr>
            <w:color w:val="1155CC"/>
            <w:u w:val="single"/>
          </w:rPr>
          <w:t>通过多维电荷传输，非稠环电子受体获得 19.12% 的太阳能电池效率</w:t>
        </w:r>
      </w:hyperlink>
    </w:p>
    <w:p>
      <w:pPr>
        <w:spacing w:before="0" w:after="80"/>
      </w:pPr>
      <w:r>
        <w:rPr>
          <w:i/>
          <w:sz w:val="20"/>
        </w:rPr>
        <w:t>EN: Attaining 19.12% solar cell efficiency for non-fused ring electron acceptors via multi-dimensional charge transport</w:t>
      </w:r>
    </w:p>
    <w:p>
      <w:pPr>
        <w:spacing w:before="0" w:after="120"/>
      </w:pPr>
      <w:r>
        <w:rPr>
          <w:b/>
        </w:rPr>
        <w:t xml:space="preserve">Source: </w:t>
      </w:r>
      <w:r>
        <w:t>Physical sciences : Nature Communications subject feeds</w:t>
      </w:r>
      <w:r>
        <w:t xml:space="preserve">    </w:t>
      </w:r>
      <w:r>
        <w:rPr>
          <w:b/>
        </w:rPr>
        <w:t xml:space="preserve">Pub date: </w:t>
      </w:r>
      <w:r>
        <w:t>2026-06-18 00:00:00+00:00</w:t>
      </w:r>
    </w:p>
    <w:p>
      <w:pPr>
        <w:spacing w:before="0" w:after="120"/>
      </w:pPr>
      <w:r>
        <w:rPr>
          <w:b/>
        </w:rPr>
        <w:t xml:space="preserve">Notes: </w:t>
      </w:r>
      <w:r>
        <w:t>abstract_source=nature_html</w:t>
      </w:r>
    </w:p>
    <w:p>
      <w:pPr>
        <w:spacing w:before="0" w:after="80" w:lineRule="auto" w:line="276"/>
      </w:pPr>
      <w:r>
        <w:rPr>
          <w:b/>
        </w:rPr>
        <w:t xml:space="preserve">摘要（ZH）: </w:t>
      </w:r>
      <w:r>
        <w:t>非稠环电子受体（NFREA）表现出巨大的商业应用潜力。然而，其电子传输性能不佳导致有机太阳能电池（OSC）的功率转换效率（PCE）略低。在此，我们提出了一种创新的超分子侧链诱导的多维电荷传输策略，以利用具有末端苯基/氟化苯基侧链的两种 NFREA 3TT-Ph2 和 3TT-Ph4。与未功能化的控制分子3TT-2相比，3TT-Ph2和3TT-Ph4在苯基侧基和氰基茚满酮端基之间形成额外的苯基受体（Ph-A）超分子相互作用。同时，这些氟化末端苯基可以诱导多种超分子相互作用的形成，包括F…F、F…H和F…C。这些超分子相互作用的协同效应促进了分子紧密有序的堆积，有利于多维电荷传输通道的构建。最终，基于D18:3TT-Ph4的器件实现了破纪录的19.12%的PCE和80.65%的填充因子。我们的研究为高性能 NFREA 的分子设计提供了有效的策略。</w:t>
      </w:r>
    </w:p>
    <w:p>
      <w:pPr>
        <w:spacing w:before="0" w:after="200" w:lineRule="auto" w:line="276"/>
      </w:pPr>
      <w:r>
        <w:rPr>
          <w:b/>
        </w:rPr>
        <w:t xml:space="preserve">Abstract (EN): </w:t>
      </w:r>
      <w:r>
        <w:t>Non-fused ring electron acceptors (NFREAs) exhibit substantial commercial application potential. Nevertheless, their subpar electron transport performance results in slightly low power conversion efficiencies (PCEs) of organic solar cells (OSCs). Herein, we put forward an innovative supramolecular side-chain-induced multi-dimensional charge transport strategy to exploit two NFREAs 3TT-Ph2 and 3TT-Ph4 with terminal phenyl/fluorinated phenyl side chains. In comparison to the unfunctionalized control molecule 3TT-2, both 3TT-Ph2 and 3TT-Ph4 form additional phenyl-acceptor (Ph-A) supramolecular interactions between the phenyl side groups and the cyanoindanone end groups. Meanwhile, these fluorinated terminal phenyl groups can induce the formation of multiple supramolecular interactions, including F···F, F···H and F···C. The synergistic effect of these supramolecular interactions promotes the tight and ordered stacking of molecules, facilitates the construction of multi-dimensional charge transport channel. Finally, D18:3TT-Ph4-based device achieved a record-breaking PCE of 19.12% and a fill factor of 80.65%. Our research pave an effective strategy for the molecular design of high-performance NFREAs.</w:t>
      </w:r>
    </w:p>
    <w:p>
      <w:pPr>
        <w:spacing w:before="120" w:after="120"/>
      </w:pPr>
      <w:r>
        <w:rPr>
          <w:sz w:val="18"/>
        </w:rPr>
        <w:t>——————————————————————————————————————————————————————————————————————</w:t>
      </w:r>
    </w:p>
    <w:p>
      <w:pPr>
        <w:spacing w:before="160" w:after="40" w:line="240" w:lineRule="auto"/>
      </w:pPr>
      <w:r>
        <w:rPr>
          <w:b/>
        </w:rPr>
        <w:t xml:space="preserve">[14] </w:t>
      </w:r>
      <w:hyperlink r:id="rId29">
        <w:r>
          <w:rPr>
            <w:color w:val="1155CC"/>
            <w:u w:val="single"/>
          </w:rPr>
          <w:t>共晶磷酸脲抑制宽带隙光伏钙钛矿中的相分离</w:t>
        </w:r>
      </w:hyperlink>
    </w:p>
    <w:p>
      <w:pPr>
        <w:spacing w:before="0" w:after="80"/>
      </w:pPr>
      <w:r>
        <w:rPr>
          <w:i/>
          <w:sz w:val="20"/>
        </w:rPr>
        <w:t>EN: Eutectic Urea Phosphate Suppresses Phase Segregation in Wide‐Bandgap Photovoltaic Perovskites</w:t>
      </w:r>
    </w:p>
    <w:p>
      <w:pPr>
        <w:spacing w:before="0" w:after="120"/>
      </w:pPr>
      <w:r>
        <w:rPr>
          <w:b/>
        </w:rPr>
        <w:t xml:space="preserve">Source: </w:t>
      </w:r>
      <w:r>
        <w:t>Wiley: Angewandte Chemie International Edition: Table of Contents</w:t>
      </w:r>
      <w:r>
        <w:t xml:space="preserve">    </w:t>
      </w:r>
      <w:r>
        <w:rPr>
          <w:b/>
        </w:rPr>
        <w:t xml:space="preserve">Pub date: </w:t>
      </w:r>
      <w:r>
        <w:t>2026-06-18 17:24:10+00:00</w:t>
      </w:r>
      <w:r>
        <w:t xml:space="preserve">    </w:t>
      </w:r>
      <w:r>
        <w:rPr>
          <w:b/>
        </w:rPr>
        <w:t xml:space="preserve">DOI: </w:t>
      </w:r>
      <w:hyperlink r:id="rId30">
        <w:r>
          <w:rPr>
            <w:color w:val="1155CC"/>
            <w:u w:val="single"/>
          </w:rPr>
          <w:t>10.1002/anie.2535666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不均匀结晶导致的成分偏析仍然是限制宽带隙（WBG）混合卤化物钙钛矿光伏性能的关键瓶颈。在此，我们报告了一种卤化物特异性配位策略，通过使用共晶分子来阻止宽带隙钙钛矿中的相分离。由于溴基八面体比碘基八面体具有更强的差异亲和力，磷酸脲分子充当分子起搏器，同步不同钙钛矿相的结晶。这种策略成功地消除了薄膜内的垂直和横向相分离，从而大幅减少非辐射复合和电荷传输损失。因此，冠军钙钛矿光伏器件在 AM 1.5G 照明下的功率转换效率 (PCE) 为 22.27%，在 1000 lux 下的室内 PCE 为 42.64%。这一发现为制造用于物联网室内能量收集的高质量宽带隙光伏钙钛矿提供了一个强大的范例。</w:t>
      </w:r>
    </w:p>
    <w:p>
      <w:pPr>
        <w:spacing w:before="0" w:after="200" w:lineRule="auto" w:line="276"/>
      </w:pPr>
      <w:r>
        <w:rPr>
          <w:b/>
        </w:rPr>
        <w:t xml:space="preserve">Abstract (EN): </w:t>
      </w:r>
      <w:r>
        <w:t>Compositional segregation resulting from non‐uniform crystallization remains a critical bottleneck limiting the performance of wide‐bandgap (WBG) mixed‐halide perovskite photovoltaics. Herein, we report a halide‐specific coordination strategy by employing a eutectic molecule to stop the phase segregation in WBG perovskites. Owing to the differential affinity of stronger for bromine‐based octahedra than iodine‐based ones, the urea phosphate molecule acts as a molecular pacemaker synchronizing the crystallization of disparate perovskite phases. This strategy successfully eliminates vertical and lateral phase segregation within the films, leading to a substantial reduction in non‐radiative recombination and charge transport losses. Consequently, the champion perovskite photovoltaic devices present a power conversion efficiency (PCE) of 22.27% under AM 1.5G illumination and a promising indoor PCE of 42.64% under 1000 lux. The finding offers a robust paradigm to fabricate high‐quality WBG photovoltaic perovskites for indoor energy harvesting in the Internet of Things.</w:t>
      </w:r>
    </w:p>
    <w:p>
      <w:pPr>
        <w:spacing w:before="120" w:after="120"/>
      </w:pPr>
      <w:r>
        <w:rPr>
          <w:sz w:val="18"/>
        </w:rPr>
        <w:t>——————————————————————————————————————————————————————————————————————</w:t>
      </w:r>
    </w:p>
    <w:p>
      <w:pPr>
        <w:spacing w:before="160" w:after="120"/>
      </w:pPr>
      <w:r>
        <w:rPr>
          <w:b/>
          <w:sz w:val="28"/>
        </w:rPr>
        <w:t>【正极】</w:t>
      </w:r>
    </w:p>
    <w:p>
      <w:pPr>
        <w:spacing w:before="160" w:after="40" w:line="240" w:lineRule="auto"/>
      </w:pPr>
      <w:r>
        <w:rPr>
          <w:b/>
        </w:rPr>
        <w:t xml:space="preserve">[1] </w:t>
      </w:r>
      <w:hyperlink r:id="rId31">
        <w:r>
          <w:rPr>
            <w:color w:val="1155CC"/>
            <w:u w:val="single"/>
          </w:rPr>
          <w:t>降解的 LiCoO2 的电子软化可通过配体介导的界面调节实现直接再生</w:t>
        </w:r>
      </w:hyperlink>
    </w:p>
    <w:p>
      <w:pPr>
        <w:spacing w:before="0" w:after="80"/>
      </w:pPr>
      <w:r>
        <w:rPr>
          <w:i/>
          <w:sz w:val="20"/>
        </w:rPr>
        <w:t>EN: Electronic softening of degraded LiCoO2 enables direct regeneration via ligand-mediated interface modulation</w:t>
      </w:r>
    </w:p>
    <w:p>
      <w:pPr>
        <w:spacing w:before="0" w:after="120"/>
      </w:pPr>
      <w:r>
        <w:rPr>
          <w:b/>
        </w:rPr>
        <w:t xml:space="preserve">Source: </w:t>
      </w:r>
      <w:r>
        <w:t>National Science Review Advance Access</w:t>
      </w:r>
      <w:r>
        <w:t xml:space="preserve">    </w:t>
      </w:r>
      <w:r>
        <w:rPr>
          <w:b/>
        </w:rPr>
        <w:t xml:space="preserve">Pub date: </w:t>
      </w:r>
      <w:r>
        <w:t>2026-06-13 00:00:00+00:00</w:t>
      </w:r>
      <w:r>
        <w:t xml:space="preserve">    </w:t>
      </w:r>
      <w:r>
        <w:rPr>
          <w:b/>
        </w:rPr>
        <w:t xml:space="preserve">DOI: </w:t>
      </w:r>
      <w:hyperlink r:id="rId32">
        <w:r>
          <w:rPr>
            <w:color w:val="1155CC"/>
            <w:u w:val="single"/>
          </w:rPr>
          <w:t>10.1093/nsr/nwag369</w:t>
        </w:r>
      </w:hyperlink>
    </w:p>
    <w:p>
      <w:pPr>
        <w:spacing w:before="0" w:after="120"/>
      </w:pPr>
      <w:r>
        <w:rPr>
          <w:b/>
        </w:rPr>
        <w:t xml:space="preserve">Notes: </w:t>
      </w:r>
      <w:r>
        <w:t>abstract_source=rss_oup</w:t>
      </w:r>
    </w:p>
    <w:p>
      <w:pPr>
        <w:spacing w:before="0" w:after="80" w:lineRule="auto" w:line="276"/>
      </w:pPr>
      <w:r>
        <w:rPr>
          <w:b/>
        </w:rPr>
        <w:t xml:space="preserve">摘要（ZH）: </w:t>
      </w:r>
      <w:r>
        <w:t>降解的钴酸锂（LiCoO2，LCO）阴极的直接再生对于可持续电池回收至关重要，但仍然受到表面电子结构不稳定引起的复杂晶格缺陷的阻碍。现有的再生策略大多依赖成分补偿而忽略电子水平调节，并且缺乏对自发形成的阻碍离子传输的电化学不利界面（刚性界面）的研究。在这里，我们展示了一种使用乙酰丙酮锂铝复合物（LAAE）的配体介导的电子调节策略，其中乙酰丙酮（acac）充当电子介体而不是传统的螯合剂。通过与高价钴位点的 π→d 轨道耦合，acac 重新分布 Co-O 键合特性，形成电子顺应表面。这种吸附引起的键弱化优先破坏与缺陷相关的 Co-O 连接的稳定性，促进电子惰性钴物质的去除和氧空位钝化，同时降低界面离子传输势垒。同时，Liacac 衍生物质的锂补充以及 Al3+ 的掺入有助于稳定层状框架。再生的LCO（R-LCO-Al）实现了近乎理想的化学计量，抑制了氧空位并恢复了结构有序性，在0.5 C（3.0-4.5 V）下具有179.9 mAh g−1的高比容量，200次循环后容量保持率为87.0%，可与商用LCO相媲美。这些发现建立了电子结构模块</w:t>
      </w:r>
    </w:p>
    <w:p>
      <w:pPr>
        <w:spacing w:before="0" w:after="200" w:lineRule="auto" w:line="276"/>
      </w:pPr>
      <w:r>
        <w:rPr>
          <w:b/>
        </w:rPr>
        <w:t xml:space="preserve">Abstract (EN): </w:t>
      </w:r>
      <w:r>
        <w:t>The direct regeneration of degraded lithium cobalt oxide (LiCoO2, LCO) cathodes is pivotal for sustainable battery recycling, yet remains hindered by the intricate lattice defects arising from surface electronic-structure instability. Most existing regeneration strategies rely on compositional compensation while neglecting electronic-level regulation, and lack research on spontaneously formed, electrochemically unfavorable interface (rigid interface) that impede ion transport. Herein, we demonstrate a ligand-mediated electronic modulation strategy using a lithium-aluminum acetylacetonate complex (LAAE), where acetylacetonate (acac) functions as an electronic mediator rather than a conventional chelator. Through π→d orbital coupling with high-valence cobalt sites, acac redistributes Co-O bonding characteristics, creating an electronically compliant surface. This adsorption-induced bond weakening preferentially destabilizes defect-associated Co-O linkages, facilitating the removal of electronically inactive cobalt species and oxygen vacancy passivation, while lowering interfacial ion transport barriers. Simultaneously, lithium replenishment from Liacac-derived species together with Al3+ incorporation contributes to stabilizing the layered framework. The regenerated LCO (R-LCO-Al) achieves a near-ideal stoichiometry with suppressed oxygen vacancies and restored structural ordering, delivering a high specific capacity of 179.9 mAh g−1 at 0.5 C (3.0–4.5 V) and 87.0% capacity retention after 200 cycles, rivaling commercial LCO. These findings establish electronic-structure modulation as an effective strategy for closed-loop regeneration of degraded oxide cathodes.</w:t>
      </w:r>
    </w:p>
    <w:p>
      <w:pPr>
        <w:spacing w:before="120" w:after="120"/>
      </w:pPr>
      <w:r>
        <w:rPr>
          <w:sz w:val="18"/>
        </w:rPr>
        <w:t>——————————————————————————————————————————————————————————————————————</w:t>
      </w:r>
    </w:p>
    <w:p>
      <w:pPr>
        <w:spacing w:before="160" w:after="40" w:line="240" w:lineRule="auto"/>
      </w:pPr>
      <w:r>
        <w:rPr>
          <w:b/>
        </w:rPr>
        <w:t xml:space="preserve">[2] </w:t>
      </w:r>
      <w:hyperlink r:id="rId33">
        <w:r>
          <w:rPr>
            <w:color w:val="1155CC"/>
            <w:u w:val="single"/>
          </w:rPr>
          <w:t>无阳极锂硫电池中高效有机二硫化物介体实现 Li2S 氧化还原动力学和阳极稳定性的协同双重调节</w:t>
        </w:r>
      </w:hyperlink>
    </w:p>
    <w:p>
      <w:pPr>
        <w:spacing w:before="0" w:after="80"/>
      </w:pPr>
      <w:r>
        <w:rPr>
          <w:i/>
          <w:sz w:val="20"/>
        </w:rPr>
        <w:t>EN: Synergistic Dual Modulation of Li2S Redox Kinetics and Anode Stability Enabled by a High‐Efficiency Organodisulfide Mediator in Anode‐Free Lithium–Sulfur Batteries</w:t>
      </w:r>
    </w:p>
    <w:p>
      <w:pPr>
        <w:spacing w:before="0" w:after="120"/>
      </w:pPr>
      <w:r>
        <w:rPr>
          <w:b/>
        </w:rPr>
        <w:t xml:space="preserve">Source: </w:t>
      </w:r>
      <w:r>
        <w:t>Wiley-Online-Library: Advanced Materials: Table of Contents</w:t>
      </w:r>
      <w:r>
        <w:t xml:space="preserve">    </w:t>
      </w:r>
      <w:r>
        <w:rPr>
          <w:b/>
        </w:rPr>
        <w:t xml:space="preserve">Pub date: </w:t>
      </w:r>
      <w:r>
        <w:t>2026-06-13 02:50:19+00:00</w:t>
      </w:r>
      <w:r>
        <w:t xml:space="preserve">    </w:t>
      </w:r>
      <w:r>
        <w:rPr>
          <w:b/>
        </w:rPr>
        <w:t xml:space="preserve">DOI: </w:t>
      </w:r>
      <w:hyperlink r:id="rId34">
        <w:r>
          <w:rPr>
            <w:color w:val="1155CC"/>
            <w:u w:val="single"/>
          </w:rPr>
          <w:t>10.1002/adma.73710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硫化锂（Li</w:t>
      </w:r>
      <w:r>
        <w:rPr>
          <w:vertAlign w:val="subscript"/>
        </w:rPr>
        <w:t>2</w:t>
      </w:r>
      <w:r>
        <w:t>S）由于其高理论容量、丰富的硫资源以及与无阳极结构的兼容性，对于高能量密度锂硫（Li─S）电池至关重要。然而，其本质绝缘性和缓慢的氧化还原动力学阻碍了其应用。此外，传统的1,3-二氧戊环/1,2-二甲氧基乙烷电解质不能承受高电压，并且由于闪点低而存在安全隐患。在此，我们提出了一种协同策略，将二硫化二异丙酯（DIP）作为多功能氧化还原介体引入高闪点、耐高电压的四甘醇二甲醚电解质体系中。 DIP直接转换Li</w:t>
      </w:r>
      <w:r>
        <w:rPr>
          <w:vertAlign w:val="subscript"/>
        </w:rPr>
        <w:t>2</w:t>
      </w:r>
      <w:r>
        <w:t>将S转化为多硫化锂，将首次充电的活化电压从3.18 V降低至2.48。同时，DIP有利于在锂表面形成富含有机硫的固体电解质界面，有效抑制锂枝晶的形成和生长。至关重要的是，该系统能够实现无阳极 Cu||Li 的稳定循环</w:t>
      </w:r>
      <w:r>
        <w:rPr>
          <w:vertAlign w:val="subscript"/>
        </w:rPr>
        <w:t>2</w:t>
      </w:r>
      <w:r>
        <w:t>S 电池，0.3 mAh cm 时可循环 160 次</w:t>
      </w:r>
      <w:r>
        <w:t xml:space="preserve"> </w:t>
      </w:r>
      <w:r>
        <w:t>−2</w:t>
      </w:r>
      <w:r>
        <w:t xml:space="preserve"> </w:t>
      </w:r>
      <w:r>
        <w:t>。标准锂||锂</w:t>
      </w:r>
      <w:r>
        <w:rPr>
          <w:vertAlign w:val="subscript"/>
        </w:rPr>
        <w:t>2</w:t>
      </w:r>
      <w:r>
        <w:t>S 电池还表现出卓越的耐用性，在 1C 时实现了 0.037% 的极低每循环衰减率。此外，该策略还为其他金属硫体系带来了希望，例如Na─S、K─S、Ca</w:t>
      </w:r>
    </w:p>
    <w:p>
      <w:pPr>
        <w:spacing w:before="0" w:after="200" w:lineRule="auto" w:line="276"/>
      </w:pPr>
      <w:r>
        <w:rPr>
          <w:b/>
        </w:rPr>
        <w:t xml:space="preserve">Abstract (EN): </w:t>
      </w:r>
      <w:r>
        <w:t>Lithium sulfide (Li</w:t>
      </w:r>
      <w:r>
        <w:rPr>
          <w:vertAlign w:val="subscript"/>
        </w:rPr>
        <w:t>2</w:t>
      </w:r>
      <w:r>
        <w:t>S) is pivotal for high‐energy‐density lithium–sulfur (Li─S) batteries due to its high theoretical capacity, abundant sulfur resources, and compatibility with anode‐free architectures. However, its application is hindered by its intrinsically insulating nature and sluggish redox kinetics. Furthermore, traditional 1,3‐dioxolane/1,2‐dimethoxyethane electrolytes cannot withstand high voltages and pose safety hazards due to low flash points. Herein, we propose a synergistic strategy by introducing diisopropyl dithiocarbonate disulfide (DIP) as a multifunctional redox mediator into a high‐flash‐point, high‐voltage‐tolerant tetraethylene glycol dimethyl ether electrolyte system. DIP directly converts Li</w:t>
      </w:r>
      <w:r>
        <w:rPr>
          <w:vertAlign w:val="subscript"/>
        </w:rPr>
        <w:t>2</w:t>
      </w:r>
      <w:r>
        <w:t>S to lithium polysulfides, decreasing the activation voltage of the first charge to 2.48 from 3.18 V. Simultaneously, DIP facilitates the formation of an organosulfur‐rich solid electrolyte interface on the lithium surface, effectively suppressing lithium dendrite formation and growth. Crucially, this system enables stable cycling in anode‐free Cu||Li</w:t>
      </w:r>
      <w:r>
        <w:rPr>
          <w:vertAlign w:val="subscript"/>
        </w:rPr>
        <w:t>2</w:t>
      </w:r>
      <w:r>
        <w:t>S batteries for 160 cycles at 0.3 mAh cm</w:t>
      </w:r>
      <w:r>
        <w:t xml:space="preserve"> </w:t>
      </w:r>
      <w:r>
        <w:t>−2</w:t>
      </w:r>
      <w:r>
        <w:t xml:space="preserve"> </w:t>
      </w:r>
      <w:r>
        <w:t>. Standard Li||Li</w:t>
      </w:r>
      <w:r>
        <w:rPr>
          <w:vertAlign w:val="subscript"/>
        </w:rPr>
        <w:t>2</w:t>
      </w:r>
      <w:r>
        <w:t>S cells also demonstrate superior durability, achieving an extremely low per‐cycle decay rate of 0.037% at 1C. Moreover, this strategy holds promise for other metal‐sulfur systems, such as Na─S, K─S, Ca─S, Mg─S, and Zn─S batteries, providing a feasible path for safe, next‐generation energy storage.</w:t>
      </w:r>
    </w:p>
    <w:p>
      <w:pPr>
        <w:spacing w:before="120" w:after="120"/>
      </w:pPr>
      <w:r>
        <w:rPr>
          <w:sz w:val="18"/>
        </w:rPr>
        <w:t>——————————————————————————————————————————————————————————————————————</w:t>
      </w:r>
    </w:p>
    <w:p>
      <w:pPr>
        <w:spacing w:before="160" w:after="40" w:line="240" w:lineRule="auto"/>
      </w:pPr>
      <w:r>
        <w:rPr>
          <w:b/>
        </w:rPr>
        <w:t xml:space="preserve">[3] </w:t>
      </w:r>
      <w:hyperlink r:id="rId35">
        <w:r>
          <w:rPr>
            <w:color w:val="1155CC"/>
            <w:u w:val="single"/>
          </w:rPr>
          <w:t>扩展的环内共轭和 N,N-二齿螯合减轻了有机镁电池阴极的容量与稳定性之间的权衡</w:t>
        </w:r>
      </w:hyperlink>
    </w:p>
    <w:p>
      <w:pPr>
        <w:spacing w:before="0" w:after="80"/>
      </w:pPr>
      <w:r>
        <w:rPr>
          <w:i/>
          <w:sz w:val="20"/>
        </w:rPr>
        <w:t>EN: Extended Endocyclic Conjugation and N,N‐Bidentate Chelation Alleviate the Capacity–Stability Trade‐Off in Organic Magnesium Battery Cathodes</w:t>
      </w:r>
    </w:p>
    <w:p>
      <w:pPr>
        <w:spacing w:before="0" w:after="120"/>
      </w:pPr>
      <w:r>
        <w:rPr>
          <w:b/>
        </w:rPr>
        <w:t xml:space="preserve">Source: </w:t>
      </w:r>
      <w:r>
        <w:t>Wiley-Online-Library: Angewandte Chemie International Edition: Table of Contents</w:t>
      </w:r>
      <w:r>
        <w:t xml:space="preserve">    </w:t>
      </w:r>
      <w:r>
        <w:rPr>
          <w:b/>
        </w:rPr>
        <w:t xml:space="preserve">Pub date: </w:t>
      </w:r>
      <w:r>
        <w:t>2026-06-13 16:44:41+00:00</w:t>
      </w:r>
      <w:r>
        <w:t xml:space="preserve">    </w:t>
      </w:r>
      <w:r>
        <w:rPr>
          <w:b/>
        </w:rPr>
        <w:t xml:space="preserve">DOI: </w:t>
      </w:r>
      <w:hyperlink r:id="rId36">
        <w:r>
          <w:rPr>
            <w:color w:val="1155CC"/>
            <w:u w:val="single"/>
          </w:rPr>
          <w:t>10.1002/anie.5222656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可充电镁电池代表了一种颇具吸引力的后锂能源存储技术，但其进步受到缺乏兼具高容量、快速动力学和长期循环稳定性的正极材料的阻碍。在这项研究中，我们提出了一种将扩展的环内共轭与多齿镁结合的分子设计策略</w:t>
      </w:r>
      <w:r>
        <w:t xml:space="preserve"> </w:t>
      </w:r>
      <w:r>
        <w:t>2+</w:t>
      </w:r>
      <w:r>
        <w:t xml:space="preserve"> </w:t>
      </w:r>
      <w:r>
        <w:t>协调。使用六氮杂苯并菲 (HATN)，一种刚性平面大环，具有广泛的 π 共轭和</w:t>
      </w:r>
      <w:r>
        <w:t xml:space="preserve"> </w:t>
      </w:r>
      <w:r>
        <w:t>氮</w:t>
      </w:r>
      <w:r>
        <w:t xml:space="preserve"> </w:t>
      </w:r>
      <w:r>
        <w:t>,</w:t>
      </w:r>
      <w:r>
        <w:t xml:space="preserve"> </w:t>
      </w:r>
      <w:r>
        <w:t>氮</w:t>
      </w:r>
      <w:r>
        <w:t xml:space="preserve"> </w:t>
      </w:r>
      <w:r>
        <w:t>‐双齿螯合位点，作为镁存储活性中心，我们通过单硫醚和二硫醚键构建了聚合物阴极。理论和实验分析表明，HATN 单元能够实现高容量、多电子可逆 Mg</w:t>
      </w:r>
      <w:r>
        <w:t xml:space="preserve"> </w:t>
      </w:r>
      <w:r>
        <w:t>2+</w:t>
      </w:r>
      <w:r>
        <w:t xml:space="preserve"> </w:t>
      </w:r>
      <w:r>
        <w:t>存储，同时通过强电子离域进行有效的电荷缓冲来保持结构稳定性，在“容量离域”评估框架中提供显着的优势。硫醚键可抑制溶解并产生具有分级孔隙率的高表面积，从而促进界面动力学和镁</w:t>
      </w:r>
      <w:r>
        <w:t xml:space="preserve"> </w:t>
      </w:r>
      <w:r>
        <w:t>2+</w:t>
      </w:r>
      <w:r>
        <w:t xml:space="preserve"> </w:t>
      </w:r>
      <w:r>
        <w:t>运输。由此产生的聚合物阴极具有 370 mAh g 的高容量</w:t>
      </w:r>
      <w:r>
        <w:t xml:space="preserve"> </w:t>
      </w:r>
      <w:r>
        <w:t>−1</w:t>
      </w:r>
      <w:r>
        <w:t xml:space="preserve"> </w:t>
      </w:r>
      <w:r>
        <w:t>0.1 A g 时</w:t>
      </w:r>
      <w:r>
        <w:t xml:space="preserve"> </w:t>
      </w:r>
      <w:r>
        <w:t>−1</w:t>
      </w:r>
      <w:r>
        <w:t xml:space="preserve"> </w:t>
      </w:r>
      <w:r>
        <w:t>，卓越的倍率能力（94 mAh g</w:t>
      </w:r>
      <w:r>
        <w:t xml:space="preserve"> </w:t>
      </w:r>
      <w:r>
        <w:t>−1</w:t>
      </w:r>
      <w:r>
        <w:t xml:space="preserve"> </w:t>
      </w:r>
      <w:r>
        <w:t>5.0 A g 时</w:t>
      </w:r>
    </w:p>
    <w:p>
      <w:pPr>
        <w:spacing w:before="0" w:after="200" w:lineRule="auto" w:line="276"/>
      </w:pPr>
      <w:r>
        <w:rPr>
          <w:b/>
        </w:rPr>
        <w:t xml:space="preserve">Abstract (EN): </w:t>
      </w:r>
      <w:r>
        <w:t>Rechargeable Mg batteries represent an appealing post‐lithium energy‐storage technology, yet their advancement is hampered by the scarcity of cathode materials combining high capacity, rapid kinetics, and long‐term cycling stability. In this study, we propose a molecular design strategy integrating extended endocyclic conjugation with polydentate Mg</w:t>
      </w:r>
      <w:r>
        <w:t xml:space="preserve"> </w:t>
      </w:r>
      <w:r>
        <w:t>2+</w:t>
      </w:r>
      <w:r>
        <w:t xml:space="preserve"> </w:t>
      </w:r>
      <w:r>
        <w:t>coordination. Using hexaazatriphenylene (HATN), a rigid planar macrocycle featuring extensive π‐conjugation and</w:t>
      </w:r>
      <w:r>
        <w:t xml:space="preserve"> </w:t>
      </w:r>
      <w:r>
        <w:t>N</w:t>
      </w:r>
      <w:r>
        <w:t xml:space="preserve"> </w:t>
      </w:r>
      <w:r>
        <w:t>,</w:t>
      </w:r>
      <w:r>
        <w:t xml:space="preserve"> </w:t>
      </w:r>
      <w:r>
        <w:t>N</w:t>
      </w:r>
      <w:r>
        <w:t xml:space="preserve"> </w:t>
      </w:r>
      <w:r>
        <w:t>‐bidentate chelating sites, as the Mg‐storage active center, we constructed polymer cathodes through monothioether and dithioether linkages. Theoretical and experimental analyses reveal that the HATN unit enables high‐capacity, multi‐electron reversible Mg</w:t>
      </w:r>
      <w:r>
        <w:t xml:space="preserve"> </w:t>
      </w:r>
      <w:r>
        <w:t>2+</w:t>
      </w:r>
      <w:r>
        <w:t xml:space="preserve"> </w:t>
      </w:r>
      <w:r>
        <w:t>storage while maintaining structural stability via efficient charge buffering through strong electron delocalization, offering a notable advantage in a “capacity‒delocalization” evaluation framework. The thioether linkage suppresses dissolution and yields high surface area with hierarchical porosity, boosting interfacial kinetics and Mg</w:t>
      </w:r>
      <w:r>
        <w:t xml:space="preserve"> </w:t>
      </w:r>
      <w:r>
        <w:t>2+</w:t>
      </w:r>
      <w:r>
        <w:t xml:space="preserve"> </w:t>
      </w:r>
      <w:r>
        <w:t>transport. The resulting polymer cathode delivers a high capacity of 370 mAh g</w:t>
      </w:r>
      <w:r>
        <w:t xml:space="preserve"> </w:t>
      </w:r>
      <w:r>
        <w:t>‒1</w:t>
      </w:r>
      <w:r>
        <w:t xml:space="preserve"> </w:t>
      </w:r>
      <w:r>
        <w:t>at 0.1 A g</w:t>
      </w:r>
      <w:r>
        <w:t xml:space="preserve"> </w:t>
      </w:r>
      <w:r>
        <w:t>‒1</w:t>
      </w:r>
      <w:r>
        <w:t xml:space="preserve"> </w:t>
      </w:r>
      <w:r>
        <w:t>, superior rate capability (94 mAh g</w:t>
      </w:r>
      <w:r>
        <w:t xml:space="preserve"> </w:t>
      </w:r>
      <w:r>
        <w:t>‒1</w:t>
      </w:r>
      <w:r>
        <w:t xml:space="preserve"> </w:t>
      </w:r>
      <w:r>
        <w:t>at 5.0 A g</w:t>
      </w:r>
      <w:r>
        <w:t xml:space="preserve"> </w:t>
      </w:r>
      <w:r>
        <w:t>‒1</w:t>
      </w:r>
      <w:r>
        <w:t xml:space="preserve"> </w:t>
      </w:r>
      <w:r>
        <w:t>), and exceptional cycling stability (95% capacity retention over 500 cycles at 1.0 A g</w:t>
      </w:r>
      <w:r>
        <w:t xml:space="preserve"> </w:t>
      </w:r>
      <w:r>
        <w:t>‒1</w:t>
      </w:r>
      <w:r>
        <w:t xml:space="preserve"> </w:t>
      </w:r>
      <w:r>
        <w:t>). This work presents an innovative molecular‐level design strategy for high‐performance organic Mg‐battery cathodes, advances the mechanistic understanding of multivalent‐ion storage, and provides a new paradigm for rational electrode engineering for multivalent battery systems.</w:t>
      </w:r>
    </w:p>
    <w:p>
      <w:pPr>
        <w:spacing w:before="120" w:after="120"/>
      </w:pPr>
      <w:r>
        <w:rPr>
          <w:sz w:val="18"/>
        </w:rPr>
        <w:t>——————————————————————————————————————————————————————————————————————</w:t>
      </w:r>
    </w:p>
    <w:p>
      <w:pPr>
        <w:spacing w:before="160" w:after="40" w:line="240" w:lineRule="auto"/>
      </w:pPr>
      <w:r>
        <w:rPr>
          <w:b/>
        </w:rPr>
        <w:t xml:space="preserve">[4] </w:t>
      </w:r>
      <w:hyperlink r:id="rId37">
        <w:r>
          <w:rPr>
            <w:color w:val="1155CC"/>
            <w:u w:val="single"/>
          </w:rPr>
          <w:t>解锁实用固态锌金属软包​​电池的全各向异性组件集成范例</w:t>
        </w:r>
      </w:hyperlink>
    </w:p>
    <w:p>
      <w:pPr>
        <w:spacing w:before="0" w:after="80"/>
      </w:pPr>
      <w:r>
        <w:rPr>
          <w:i/>
          <w:sz w:val="20"/>
        </w:rPr>
        <w:t>EN: Unlocking an All‐Anisotropic‐Component Integrated Paradigm Toward Practical Solid‐State Zinc Metal Pouch Cells</w:t>
      </w:r>
    </w:p>
    <w:p>
      <w:pPr>
        <w:spacing w:before="0" w:after="120"/>
      </w:pPr>
      <w:r>
        <w:rPr>
          <w:b/>
        </w:rPr>
        <w:t xml:space="preserve">Source: </w:t>
      </w:r>
      <w:r>
        <w:t>Wiley-Online-Library: Angewandte Chemie International Edition: Table of Contents</w:t>
      </w:r>
      <w:r>
        <w:t xml:space="preserve">    </w:t>
      </w:r>
      <w:r>
        <w:rPr>
          <w:b/>
        </w:rPr>
        <w:t xml:space="preserve">Pub date: </w:t>
      </w:r>
      <w:r>
        <w:t>2026-06-13 17:13:46+00:00</w:t>
      </w:r>
      <w:r>
        <w:t xml:space="preserve">    </w:t>
      </w:r>
      <w:r>
        <w:rPr>
          <w:b/>
        </w:rPr>
        <w:t xml:space="preserve">DOI: </w:t>
      </w:r>
      <w:hyperlink r:id="rId38">
        <w:r>
          <w:rPr>
            <w:color w:val="1155CC"/>
            <w:u w:val="single"/>
          </w:rPr>
          <w:t>10.1002/anie.1641255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安全性和低成本的锌金属电池在储能方面具有广阔的前景，但其有限的能量密度仍然是限制其实际发展的主要瓶颈。在这里，提出了一种具有完全高通量特性的全各向异性组件集成模型，用于实现高比能器件。通过利用天然和可回收的木质材料，我们验证了其在经典 Zn-MnO 中的可行性</w:t>
      </w:r>
      <w:r>
        <w:rPr>
          <w:vertAlign w:val="subscript"/>
        </w:rPr>
        <w:t>2</w:t>
      </w:r>
      <w:r>
        <w:t>单电子反应体系。其中，轻质碳化木质材料被用作 MnO 的通用集电器</w:t>
      </w:r>
      <w:r>
        <w:rPr>
          <w:vertAlign w:val="subscript"/>
        </w:rPr>
        <w:t>2</w:t>
      </w:r>
      <w:r>
        <w:t>阴极和锌阳极。同时，制备了具有垂直排列通道的磷酸盐改性纤维素基水凝胶，以实现电极和电解质界面之间的高电化学相容性。因此，这种结构能够实现 Zn||Ca-MnO 的稳定循环</w:t>
      </w:r>
      <w:r>
        <w:rPr>
          <w:vertAlign w:val="subscript"/>
        </w:rPr>
        <w:t>2</w:t>
      </w:r>
      <w:r>
        <w:t>高质量负载下的软包电池（甚至高达 50.13 mg cm</w:t>
      </w:r>
      <w:r>
        <w:t xml:space="preserve"> </w:t>
      </w:r>
      <w:r>
        <w:t>−2</w:t>
      </w:r>
      <w:r>
        <w:t xml:space="preserve"> </w:t>
      </w:r>
      <w:r>
        <w:t>），具有宽温度操作性（−30°C 至 60°C）。令人印象深刻的是，最大能量密度为 173.2 Wh kg</w:t>
      </w:r>
      <w:r>
        <w:t xml:space="preserve"> </w:t>
      </w:r>
      <w:r>
        <w:t>−1</w:t>
      </w:r>
      <w:r>
        <w:t xml:space="preserve"> </w:t>
      </w:r>
      <w:r>
        <w:t>在0.1 A g的电流密度下实现</w:t>
      </w:r>
      <w:r>
        <w:t xml:space="preserve"> </w:t>
      </w:r>
      <w:r>
        <w:t>−1</w:t>
      </w:r>
      <w:r>
        <w:t xml:space="preserve"> </w:t>
      </w:r>
      <w:r>
        <w:t>，超过了之前的绝大多数发现。这种电池结构模型可以应用于钒基和锰基阴极，但也有望应用于其他多电子反应系统，例如</w:t>
      </w:r>
    </w:p>
    <w:p>
      <w:pPr>
        <w:spacing w:before="0" w:after="200" w:lineRule="auto" w:line="276"/>
      </w:pPr>
      <w:r>
        <w:rPr>
          <w:b/>
        </w:rPr>
        <w:t xml:space="preserve">Abstract (EN): </w:t>
      </w:r>
      <w:r>
        <w:t>High‐safety and low‐cost Zn metal batteries hold great promise for energy storage, but their limited energy density remains a major bottleneck restricting their practical development. Here, an all‐anisotropic‐component integrated model with full high‐flux characteristic is presented for enabling high‐specific‐energy devices. By utilizing natural and recyclable wood‐based materials, we validate its feasibility in classic Zn–MnO</w:t>
      </w:r>
      <w:r>
        <w:rPr>
          <w:vertAlign w:val="subscript"/>
        </w:rPr>
        <w:t>2</w:t>
      </w:r>
      <w:r>
        <w:t>single‐electron reaction system. Among them, lightweight and carbonized wood material was used to serves as a universal current collector for both MnO</w:t>
      </w:r>
      <w:r>
        <w:rPr>
          <w:vertAlign w:val="subscript"/>
        </w:rPr>
        <w:t>2</w:t>
      </w:r>
      <w:r>
        <w:t>cathode and Zn anode. Simultaneously, a phosphate‐modified cellulose‐based hydrogel with vertically aligned channels was fabricated to achieve high electrochemical compatibility between electrode and electrolyte interfaces. As a result, this configuration enables the stable cycling of Zn||Ca‐MnO</w:t>
      </w:r>
      <w:r>
        <w:rPr>
          <w:vertAlign w:val="subscript"/>
        </w:rPr>
        <w:t>2</w:t>
      </w:r>
      <w:r>
        <w:t>pouch cells at high mass loading (even up to 50.13 mg cm</w:t>
      </w:r>
      <w:r>
        <w:t xml:space="preserve"> </w:t>
      </w:r>
      <w:r>
        <w:t>−2</w:t>
      </w:r>
      <w:r>
        <w:t xml:space="preserve"> </w:t>
      </w:r>
      <w:r>
        <w:t>), with a wide‐temperature operability (−30°C to 60°C). Impressively, a maximum energy density of 173.2 Wh kg</w:t>
      </w:r>
      <w:r>
        <w:t xml:space="preserve"> </w:t>
      </w:r>
      <w:r>
        <w:t>−1</w:t>
      </w:r>
      <w:r>
        <w:t xml:space="preserve"> </w:t>
      </w:r>
      <w:r>
        <w:t>is achieved at the current density of 0.1 A g</w:t>
      </w:r>
      <w:r>
        <w:t xml:space="preserve"> </w:t>
      </w:r>
      <w:r>
        <w:t>−1</w:t>
      </w:r>
      <w:r>
        <w:t xml:space="preserve"> </w:t>
      </w:r>
      <w:r>
        <w:t>, exceeding the vast majority of previous findings. Such battery structure model can be applied to both vanadium‐ and manganese‐based cathodes, but also expected to other multielectron reaction systems, promoting the fast development of economical nonlithium energy storage batteries.</w:t>
      </w:r>
    </w:p>
    <w:p>
      <w:pPr>
        <w:spacing w:before="120" w:after="120"/>
      </w:pPr>
      <w:r>
        <w:rPr>
          <w:sz w:val="18"/>
        </w:rPr>
        <w:t>——————————————————————————————————————————————————————————————————————</w:t>
      </w:r>
    </w:p>
    <w:p>
      <w:pPr>
        <w:spacing w:before="160" w:after="40" w:line="240" w:lineRule="auto"/>
      </w:pPr>
      <w:r>
        <w:rPr>
          <w:b/>
        </w:rPr>
        <w:t xml:space="preserve">[5] </w:t>
      </w:r>
      <w:hyperlink r:id="rId39">
        <w:r>
          <w:rPr>
            <w:color w:val="1155CC"/>
            <w:u w:val="single"/>
          </w:rPr>
          <w:t>导电聚合物涂层纳米纤维素可实现氧化还原均质超高面积容量锂离子电池的双梯度厚电极</w:t>
        </w:r>
      </w:hyperlink>
    </w:p>
    <w:p>
      <w:pPr>
        <w:spacing w:before="0" w:after="80"/>
      </w:pPr>
      <w:r>
        <w:rPr>
          <w:i/>
          <w:sz w:val="20"/>
        </w:rPr>
        <w:t>EN: Conducting-Polymer-Coated Nanocellulose Enabling Dual-Gradient Thick Electrodes for Redox-Homogeneous Ultrahigh-Areal-Capacity Li-Ion Batteries</w:t>
      </w:r>
    </w:p>
    <w:p>
      <w:pPr>
        <w:spacing w:before="0" w:after="120"/>
      </w:pPr>
      <w:r>
        <w:rPr>
          <w:b/>
        </w:rPr>
        <w:t xml:space="preserve">Source: </w:t>
      </w:r>
      <w:r>
        <w:t>RSC - Energy Environ. Sci. latest articles</w:t>
      </w:r>
      <w:r>
        <w:t xml:space="preserve">    </w:t>
      </w:r>
      <w:r>
        <w:rPr>
          <w:b/>
        </w:rPr>
        <w:t xml:space="preserve">Pub date: </w:t>
      </w:r>
      <w:r>
        <w:t>2026-06-15 23:00:00+00:00</w:t>
      </w:r>
    </w:p>
    <w:p>
      <w:pPr>
        <w:spacing w:before="0" w:after="120"/>
      </w:pPr>
      <w:r>
        <w:rPr>
          <w:b/>
        </w:rPr>
        <w:t xml:space="preserve">Notes: </w:t>
      </w:r>
      <w:r>
        <w:t>abstract_source=rsc_html</w:t>
      </w:r>
    </w:p>
    <w:p>
      <w:pPr>
        <w:spacing w:before="0" w:after="80" w:lineRule="auto" w:line="276"/>
      </w:pPr>
      <w:r>
        <w:rPr>
          <w:b/>
        </w:rPr>
        <w:t xml:space="preserve">摘要（ZH）: </w:t>
      </w:r>
      <w:r>
        <w:t>高面积容量厚电极对于提高锂离子电池的能量密度至关重要，但其部署受到电极增厚过程中沉降引起的材料偏析导致的氧化还原不均匀性的限制。在这里，我们通过构建由导电聚合物涂覆的纳米纤维素实现的沉降引导、氧化还原均质厚电极来克服这一挑战。与本质上绝缘的纳米纤维素不同，这种改性纳米纤维素将高电子电导率与增强的离子传输结合在一起，从而将粘合剂、导电添加剂和机械支架的作用统一到单相网络中。这消除了传统纳米纤维素基系统的粘合剂/碳域不均匀性特征，并将沉降从制造挑战转变为结构设计优势。由此产生的厚纸电极表现出活性材料-孔隙率双梯度结构，其中活性材料密集且均匀地嵌入互连的导电纳米纤维素基质内，支持快速、双连续的离子/电子传输以及空间均匀的Li+通量和电流密度。使用 LiFePO4 作为模型，电极在负载 110 mg cm−2 和密度 2.9 g cm−3 时分别提供创纪录的高面积容量和体积容量，分别为 16.7 mAh cm−2 和 431.9 mAh cm−3。这一策略不仅重新定义了沉积作为电极工程的工具，而且还扩展了下一代高能电池可持续纤维素材料的功能。</w:t>
      </w:r>
    </w:p>
    <w:p>
      <w:pPr>
        <w:spacing w:before="0" w:after="200" w:lineRule="auto" w:line="276"/>
      </w:pPr>
      <w:r>
        <w:rPr>
          <w:b/>
        </w:rPr>
        <w:t xml:space="preserve">Abstract (EN): </w:t>
      </w:r>
      <w:r>
        <w:t>High-areal-capacity thick electrodes are essential for enhancing the energy density of lithium-ion batteries, yet their deployment is limited by redox heterogeneity caused by sedimentation-induced material segregation during electrode thickening. Here, we overcome this challenge by constructing a sedimentation-guided, redox-homogeneous thick electrode enabled by conducting polymer-coated nanocellulose. Unlike intrinsically insulating nanocellulose, this modified nanocellulose combines high electronic conductivity with enhanced ion transport, thereby unifying the roles of binder, conductive additive, and mechanical scaffold into a single-phase network. This eliminates binder/carbon domain inhomogeneity characteristic of conventional nanocellulose-based systems and transforms sedimentation from a fabrication challenge into a structural design advantage. The resulting thick paper electrodes exhibit an active material-porosity dual-gradient structure, in which active materials are densely and uniformly embedded within an interconnected conductive nanocellulose matrix, supporting fast, bicontinuous ion/electron transport and spatially uniform Li+ flux and current density. Using LiFePO4 as a model, the electrodes deliver record-high areal and volumetric capacities of 16.7 mAh cm−2 and 431.9 mAh cm−3, respectively, at a loading of 110 mg cm−2 and density of 2.9 g cm−3. This strategy not only redefines sedimentation as a tool for electrode engineering but also expands the functionality of sustainable cellulose materials for next-generation high-energy batteries.</w:t>
      </w:r>
    </w:p>
    <w:p>
      <w:pPr>
        <w:spacing w:before="120" w:after="120"/>
      </w:pPr>
      <w:r>
        <w:rPr>
          <w:sz w:val="18"/>
        </w:rPr>
        <w:t>——————————————————————————————————————————————————————————————————————</w:t>
      </w:r>
    </w:p>
    <w:p>
      <w:pPr>
        <w:spacing w:before="160" w:after="40" w:line="240" w:lineRule="auto"/>
      </w:pPr>
      <w:r>
        <w:rPr>
          <w:b/>
        </w:rPr>
        <w:t xml:space="preserve">[6] </w:t>
      </w:r>
      <w:hyperlink r:id="rId40">
        <w:r>
          <w:rPr>
            <w:color w:val="1155CC"/>
            <w:u w:val="single"/>
          </w:rPr>
          <w:t>分子编排可以使超过 500 Wh kg−1 的锂金属电池的电解质化学相互增强</w:t>
        </w:r>
      </w:hyperlink>
    </w:p>
    <w:p>
      <w:pPr>
        <w:spacing w:before="0" w:after="80"/>
      </w:pPr>
      <w:r>
        <w:rPr>
          <w:i/>
          <w:sz w:val="20"/>
        </w:rPr>
        <w:t>EN: Molecular orchestration enables mutually reinforcing electrolyte chemistry for lithium metal batteries exceeding 500 Wh kg−1</w:t>
      </w:r>
    </w:p>
    <w:p>
      <w:pPr>
        <w:spacing w:before="0" w:after="120"/>
      </w:pPr>
      <w:r>
        <w:rPr>
          <w:b/>
        </w:rPr>
        <w:t xml:space="preserve">Source: </w:t>
      </w:r>
      <w:r>
        <w:t>RSC - Energy Environ. Sci. latest articles</w:t>
      </w:r>
      <w:r>
        <w:t xml:space="preserve">    </w:t>
      </w:r>
      <w:r>
        <w:rPr>
          <w:b/>
        </w:rPr>
        <w:t xml:space="preserve">Pub date: </w:t>
      </w:r>
      <w:r>
        <w:t>2026-06-15 23:00:00+00:00</w:t>
      </w:r>
    </w:p>
    <w:p>
      <w:pPr>
        <w:spacing w:before="0" w:after="120"/>
      </w:pPr>
      <w:r>
        <w:rPr>
          <w:b/>
        </w:rPr>
        <w:t xml:space="preserve">Notes: </w:t>
      </w:r>
      <w:r>
        <w:t>abstract_source=rsc_html</w:t>
      </w:r>
    </w:p>
    <w:p>
      <w:pPr>
        <w:spacing w:before="0" w:after="80" w:lineRule="auto" w:line="276"/>
      </w:pPr>
      <w:r>
        <w:rPr>
          <w:b/>
        </w:rPr>
        <w:t xml:space="preserve">摘要（ZH）: </w:t>
      </w:r>
      <w:r>
        <w:t>集成高压富镍阴极的锂金属电池（LMB）是能量密度超过 500 Wh kg−1 的有希望的候选者。然而，它们的实际发展受到两个电极严重的界面反应性的阻碍，这对电解质设计提出了严格的要求。一个根本的挑战在于对电解质组分之间的相互作用及其潜在的协同效应认识不足，这限制了溶剂化结构的精确调控和双界面的同时稳定。在此，我们提出了一种基于互补分子电荷工程的分子编排策略，以诱导电解质成分之间的相互增强。具有互补电荷需求的功能分子对通过分子间合作缔合合理整合，充当协同前驱体。由此产生的分子间电荷转移可调节 Li+ 配位亲和力，并增强每种添加剂的还原和氧化反应活性，从而实现同步双界面优化。因此，该电解质支持超高电压运行（4.6 V）、快速充电（10C）、宽温度（-25至50°C）和超过3200小时的长期稳定性。值得注意的是，5.4 Ah Li‖NCM811软包电池在恶劣的实际条件下获得了超过513 Wh kg−1（基于电池总重量）的高能量密度。与传统对高浓度电解质或增加添加剂剂量的依赖不同，这项工作建立了实用的电解质工程</w:t>
      </w:r>
    </w:p>
    <w:p>
      <w:pPr>
        <w:spacing w:before="0" w:after="200" w:lineRule="auto" w:line="276"/>
      </w:pPr>
      <w:r>
        <w:rPr>
          <w:b/>
        </w:rPr>
        <w:t xml:space="preserve">Abstract (EN): </w:t>
      </w:r>
      <w:r>
        <w:t>Lithium metal batteries (LMBs) integrating high-voltage nickel-rich cathodes are promising candidates for energy densities exceeding 500 Wh kg−1. However, their practical development is hindered by severe interfacial reactivity at both electrodes, which imposes stringent requirements on electrolyte design. A fundamental challenge lies in the insufficient understanding of interactions among electrolyte components and their potential synergistic effects, which restricts precise regulation of solvation structures and simultaneous stabilization of dual interfaces. Herein, we propose a molecular orchestration strategy based on complementary molecular charge engineering to induce mutual reinforcement among electrolyte constituents. Functional molecular pairs with complementary charge demands are rationally integrated through cooperative intermolecular association, serving as synergistic precursors. The resulting intermolecular charge transfer modulates Li+ coordination affinity and enhances the reductive and oxidative reactivity of each additive, enabling synchronous dual-interface optimization. Consequently, the electrolyte supports ultrahigh voltage operation (4.6 V), fast charging (10C), a wide temperature (−25 to 50 °C) and long-term stability over 3200 h. Notably, a high energy density exceeding 513 Wh kg−1 (based on the total cell weight) is attained in 5.4 Ah Li‖NCM811 pouch cells under harsh practical conditions. Departing from conventional reliance on high-concentration electrolytes or increased additive dosages, this work establishes a practical electrolyte-engineering paradigm centered on the systematic organization and activation of latent functionalities, providing an energetic perspective for high-performance LMBs.</w:t>
      </w:r>
    </w:p>
    <w:p>
      <w:pPr>
        <w:spacing w:before="120" w:after="120"/>
      </w:pPr>
      <w:r>
        <w:rPr>
          <w:sz w:val="18"/>
        </w:rPr>
        <w:t>——————————————————————————————————————————————————————————————————————</w:t>
      </w:r>
    </w:p>
    <w:p>
      <w:pPr>
        <w:spacing w:before="160" w:after="40" w:line="240" w:lineRule="auto"/>
      </w:pPr>
      <w:r>
        <w:rPr>
          <w:b/>
        </w:rPr>
        <w:t xml:space="preserve">[7] </w:t>
      </w:r>
      <w:hyperlink r:id="rId41">
        <w:r>
          <w:rPr>
            <w:color w:val="1155CC"/>
            <w:u w:val="single"/>
          </w:rPr>
          <w:t>微步进（100）晶面耦合分子层工程有望在宽pH值和海水电解质中实现高性能锌碘电池</w:t>
        </w:r>
      </w:hyperlink>
    </w:p>
    <w:p>
      <w:pPr>
        <w:spacing w:before="0" w:after="80"/>
      </w:pPr>
      <w:r>
        <w:rPr>
          <w:i/>
          <w:sz w:val="20"/>
        </w:rPr>
        <w:t>EN: Micro‐Stepwise (100) Crystal Face Coupling Molecular‐Layer Engineering Promises High‐Performance Zn‐Iodine Batteries in Wide pH and Seawater Electrolytes</w:t>
      </w:r>
    </w:p>
    <w:p>
      <w:pPr>
        <w:spacing w:before="0" w:after="120"/>
      </w:pPr>
      <w:r>
        <w:rPr>
          <w:b/>
        </w:rPr>
        <w:t xml:space="preserve">Source: </w:t>
      </w:r>
      <w:r>
        <w:t>Wiley: Angewandte Chemie International Edition: Table of Contents</w:t>
      </w:r>
      <w:r>
        <w:t xml:space="preserve">    </w:t>
      </w:r>
      <w:r>
        <w:rPr>
          <w:b/>
        </w:rPr>
        <w:t xml:space="preserve">Pub date: </w:t>
      </w:r>
      <w:r>
        <w:t>2026-06-16 07:10:14+00:00</w:t>
      </w:r>
      <w:r>
        <w:t xml:space="preserve">    </w:t>
      </w:r>
      <w:r>
        <w:rPr>
          <w:b/>
        </w:rPr>
        <w:t xml:space="preserve">DOI: </w:t>
      </w:r>
      <w:hyperlink r:id="rId42">
        <w:r>
          <w:rPr>
            <w:color w:val="1155CC"/>
            <w:u w:val="single"/>
          </w:rPr>
          <w:t>10.1002/anie.6355664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性锌碘电池（ZIB）有望用于大规模储能，但在宽pH值和海水电解质中面临界面挑战，例如聚碘穿梭、氯化物引起的点蚀和枝晶生长。这项研究提出通过分子调制设计具有暴露（100）面的微阶梯结构，引导锌物质的均匀分布，防止在宽pH电解质中形成钝化层。此外，分子层减少了界面 H</w:t>
      </w:r>
      <w:r>
        <w:rPr>
          <w:vertAlign w:val="subscript"/>
        </w:rPr>
        <w:t>2</w:t>
      </w:r>
      <w:r>
        <w:t>O 通过氢键活动并物理阻止 Cl 的迁移</w:t>
      </w:r>
      <w:r>
        <w:t xml:space="preserve"> </w:t>
      </w:r>
      <w:r>
        <w:t>-</w:t>
      </w:r>
      <w:r>
        <w:t>和聚碘化物朝向阳极，减轻海水电解质内的腐蚀和点蚀。受益于微阶梯和分子层的耦合效应，Ah级Zn||I</w:t>
      </w:r>
      <w:r>
        <w:rPr>
          <w:vertAlign w:val="subscript"/>
        </w:rPr>
        <w:t>2</w:t>
      </w:r>
      <w:r>
        <w:t>软包电池可提供 1.13 (2 mA cm</w:t>
      </w:r>
      <w:r>
        <w:t xml:space="preserve"> </w:t>
      </w:r>
      <w:r>
        <w:t>−2</w:t>
      </w:r>
      <w:r>
        <w:t xml:space="preserve"> </w:t>
      </w:r>
      <w:r>
        <w:t>）和 0.61（4 mA cm</w:t>
      </w:r>
      <w:r>
        <w:t xml:space="preserve"> </w:t>
      </w:r>
      <w:r>
        <w:t>−2</w:t>
      </w:r>
      <w:r>
        <w:t xml:space="preserve"> </w:t>
      </w:r>
      <w:r>
        <w:t>) Ah 在酸性电解质中循环 110 次和 1000 次后。全电池在酸性和碱性电解质中也能稳定运行。值得注意的是 Zn||I</w:t>
      </w:r>
      <w:r>
        <w:rPr>
          <w:vertAlign w:val="subscript"/>
        </w:rPr>
        <w:t>2</w:t>
      </w:r>
      <w:r>
        <w:t>全电池提供 180 mAh g 的高容量</w:t>
      </w:r>
      <w:r>
        <w:t xml:space="preserve"> </w:t>
      </w:r>
      <w:r>
        <w:t>−1</w:t>
      </w:r>
      <w:r>
        <w:t xml:space="preserve"> </w:t>
      </w:r>
      <w:r>
        <w:t>20 A g 时</w:t>
      </w:r>
      <w:r>
        <w:t xml:space="preserve"> </w:t>
      </w:r>
      <w:r>
        <w:t>−1</w:t>
      </w:r>
      <w:r>
        <w:t xml:space="preserve"> </w:t>
      </w:r>
      <w:r>
        <w:t>在海水电解液中循环 20 000 次后。这项研究提出了一种有效的界面工程策略来平衡 l</w:t>
      </w:r>
    </w:p>
    <w:p>
      <w:pPr>
        <w:spacing w:before="0" w:after="200" w:lineRule="auto" w:line="276"/>
      </w:pPr>
      <w:r>
        <w:rPr>
          <w:b/>
        </w:rPr>
        <w:t xml:space="preserve">Abstract (EN): </w:t>
      </w:r>
      <w:r>
        <w:t>Aqueous zinc–iodine batteries (ZIBs) are promising for large‐scale energy storage but suffer from interfacial challenges in wide pH and seawater electrolytes, such as polyiodide shuttling, chloride‐induced pitting, and dendrite growth. This study proposes the engineering of micro‐stepwise structures with exposed (100) facets via molecular modulation, which guides uniform distribution of zinc species preventing the formation of passivation layers in wide pH electrolytes. Additionally, the molecular layer reduces interfacial H</w:t>
      </w:r>
      <w:r>
        <w:rPr>
          <w:vertAlign w:val="subscript"/>
        </w:rPr>
        <w:t>2</w:t>
      </w:r>
      <w:r>
        <w:t>O activity via hydrogen bonds and physically blocks the migration of Cl</w:t>
      </w:r>
      <w:r>
        <w:t xml:space="preserve"> </w:t>
      </w:r>
      <w:r>
        <w:t>−</w:t>
      </w:r>
      <w:r>
        <w:t>and polyiodides towards the anode, alleviating corrosion and pitting within seawater electrolytes. Benefiting from the coupling effect of micro‐stepwise and molecular layers, the Ah‐level Zn||I</w:t>
      </w:r>
      <w:r>
        <w:rPr>
          <w:vertAlign w:val="subscript"/>
        </w:rPr>
        <w:t>2</w:t>
      </w:r>
      <w:r>
        <w:t>pouch cells deliver high capacities of 1.13 (2 mA cm</w:t>
      </w:r>
      <w:r>
        <w:t xml:space="preserve"> </w:t>
      </w:r>
      <w:r>
        <w:t>−2</w:t>
      </w:r>
      <w:r>
        <w:t xml:space="preserve"> </w:t>
      </w:r>
      <w:r>
        <w:t>) and 0.61 (4 mA cm</w:t>
      </w:r>
      <w:r>
        <w:t xml:space="preserve"> </w:t>
      </w:r>
      <w:r>
        <w:t>−2</w:t>
      </w:r>
      <w:r>
        <w:t xml:space="preserve"> </w:t>
      </w:r>
      <w:r>
        <w:t>) Ah after 110 and 1000 cycles in acidic electrolytes. The full cells also operate stably in acidic and alkaline electrolytes. It's worth noting that the Zn||I</w:t>
      </w:r>
      <w:r>
        <w:rPr>
          <w:vertAlign w:val="subscript"/>
        </w:rPr>
        <w:t>2</w:t>
      </w:r>
      <w:r>
        <w:t>full cell delivers a high capacity of 180 mAh g</w:t>
      </w:r>
      <w:r>
        <w:t xml:space="preserve"> </w:t>
      </w:r>
      <w:r>
        <w:t>−1</w:t>
      </w:r>
      <w:r>
        <w:t xml:space="preserve"> </w:t>
      </w:r>
      <w:r>
        <w:t>at 20 A g</w:t>
      </w:r>
      <w:r>
        <w:t xml:space="preserve"> </w:t>
      </w:r>
      <w:r>
        <w:t>−1</w:t>
      </w:r>
      <w:r>
        <w:t xml:space="preserve"> </w:t>
      </w:r>
      <w:r>
        <w:t>after 20 000 cycles in seawater electrolyte. This study presents an effective interface engineering strategy for balancing long‐term stability with rapid electrochemical reaction kinetics of ZIBs under diverse electrolyte scenarios.</w:t>
      </w:r>
    </w:p>
    <w:p>
      <w:pPr>
        <w:spacing w:before="120" w:after="120"/>
      </w:pPr>
      <w:r>
        <w:rPr>
          <w:sz w:val="18"/>
        </w:rPr>
        <w:t>——————————————————————————————————————————————————————————————————————</w:t>
      </w:r>
    </w:p>
    <w:p>
      <w:pPr>
        <w:spacing w:before="160" w:after="40" w:line="240" w:lineRule="auto"/>
      </w:pPr>
      <w:r>
        <w:rPr>
          <w:b/>
        </w:rPr>
        <w:t xml:space="preserve">[8] </w:t>
      </w:r>
      <w:hyperlink r:id="rId43">
        <w:r>
          <w:rPr>
            <w:color w:val="1155CC"/>
            <w:u w:val="single"/>
          </w:rPr>
          <w:t>利用 N─H···O═V 键合在 Ah 级锌离子电池中实现稳定的钒阴极</w:t>
        </w:r>
      </w:hyperlink>
    </w:p>
    <w:p>
      <w:pPr>
        <w:spacing w:before="0" w:after="80"/>
      </w:pPr>
      <w:r>
        <w:rPr>
          <w:i/>
          <w:sz w:val="20"/>
        </w:rPr>
        <w:t>EN: Harnessing N─H···O═V Bonding Toward Stable Vanadium Cathodes in Ah‐Level Zn‐Ion Batteries</w:t>
      </w:r>
    </w:p>
    <w:p>
      <w:pPr>
        <w:spacing w:before="0" w:after="120"/>
      </w:pPr>
      <w:r>
        <w:rPr>
          <w:b/>
        </w:rPr>
        <w:t xml:space="preserve">Source: </w:t>
      </w:r>
      <w:r>
        <w:t>Wiley: Advanced Materials: Table of Contents</w:t>
      </w:r>
      <w:r>
        <w:t xml:space="preserve">    </w:t>
      </w:r>
      <w:r>
        <w:rPr>
          <w:b/>
        </w:rPr>
        <w:t xml:space="preserve">Pub date: </w:t>
      </w:r>
      <w:r>
        <w:t>2026-06-16 07:16:17+00:00</w:t>
      </w:r>
      <w:r>
        <w:t xml:space="preserve">    </w:t>
      </w:r>
      <w:r>
        <w:rPr>
          <w:b/>
        </w:rPr>
        <w:t xml:space="preserve">DOI: </w:t>
      </w:r>
      <w:hyperlink r:id="rId44">
        <w:r>
          <w:rPr>
            <w:color w:val="1155CC"/>
            <w:u w:val="single"/>
          </w:rPr>
          <w:t>10.1002/adma.73731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钒基电池由于其高比容量，在 Ah 级储能系统中具有巨大的潜力。然而，金属-氧键在水性电解质中不稳定，导致结构降解和容量衰减。在这里，受到稳定蛋白质结构的强大的 N─H···O=C 键的启发，我们提出了一种基于聚（N-丙烯酰基甘氨酰胺）（PNAGA）的仿生聚合物集成电解质。 PNAGA 中富含酰胺的 N-H 基团可以通过强的类蛋白质分子间 N─H···O=V 相互作用锚定在氧化钒单元 (O=V) 上，从而通过抑制钒溶解并在 Zn 过程中保持结构完整性来有效稳定阴极框架</w:t>
      </w:r>
      <w:r>
        <w:t xml:space="preserve"> </w:t>
      </w:r>
      <w:r>
        <w:t>2+</w:t>
      </w:r>
      <w:r>
        <w:t xml:space="preserve"> </w:t>
      </w:r>
      <w:r>
        <w:t>嵌入和脱嵌。此外，PNAGA可以通过N─H···O=V氢键在钒阴极表面建立富电子环境，加速氧化还原动力学，从而实现高倍率性能和循环稳定性。因此，Zn/Zn</w:t>
      </w:r>
      <w:r>
        <w:t xml:space="preserve"> </w:t>
      </w:r>
      <w:r>
        <w:t>0.25</w:t>
      </w:r>
      <w:r>
        <w:t xml:space="preserve"> </w:t>
      </w:r>
      <w:r>
        <w:t>V</w:t>
      </w:r>
      <w:r>
        <w:rPr>
          <w:vertAlign w:val="subscript"/>
        </w:rPr>
        <w:t>2</w:t>
      </w:r>
      <w:r>
        <w:t>氧</w:t>
      </w:r>
      <w:r>
        <w:rPr>
          <w:vertAlign w:val="subscript"/>
        </w:rPr>
        <w:t>5</w:t>
      </w:r>
      <w:r>
        <w:t>全电池提供 286.2 mA h g 的高比容量</w:t>
      </w:r>
      <w:r>
        <w:t xml:space="preserve"> </w:t>
      </w:r>
      <w:r>
        <w:t>−1</w:t>
      </w:r>
      <w:r>
        <w:t xml:space="preserve"> </w:t>
      </w:r>
      <w:r>
        <w:t>2 A g 下 1000 次循环后容量保持率为 97%</w:t>
      </w:r>
      <w:r>
        <w:t xml:space="preserve"> </w:t>
      </w:r>
      <w:r>
        <w:t>−1</w:t>
      </w:r>
      <w:r>
        <w:t xml:space="preserve"> </w:t>
      </w:r>
      <w:r>
        <w:t>。同时，支持 PNAGA 的软包电池可以在 0.15 A g 下达到 1.35 Ah</w:t>
      </w:r>
      <w:r>
        <w:t xml:space="preserve"> </w:t>
      </w:r>
      <w:r>
        <w:t>−1</w:t>
      </w:r>
      <w:r>
        <w:t xml:space="preserve"> </w:t>
      </w:r>
      <w:r>
        <w:t>，展示了 h 的通用分子设计策略</w:t>
      </w:r>
    </w:p>
    <w:p>
      <w:pPr>
        <w:spacing w:before="0" w:after="200" w:lineRule="auto" w:line="276"/>
      </w:pPr>
      <w:r>
        <w:rPr>
          <w:b/>
        </w:rPr>
        <w:t xml:space="preserve">Abstract (EN): </w:t>
      </w:r>
      <w:r>
        <w:t>The vanadium‐based batteries deliver great potential in Ah‐level energy storage systems, ascribing to their high specific capacity. Nevertheless, the metal‐oxygen bonds are unstable in aqueous electrolytes, resulting in structural degradation and capacity attenuation. Here, inspired by the robust N─H···O═C bonding that stabilizes protein structures, we propose a bioinspired polymer‐integrated electrolyte based on poly(N‐acryloyl glycinamide) (PNAGA). The amide‐rich N‐H groups in PNAGA can anchor onto vanadium oxide units (O═V) via strong protein‐like intermolecular N─H···O═V interactions, which effectively stabilize the cathode framework by suppressing vanadium dissolution and preserving structural integrity during Zn</w:t>
      </w:r>
      <w:r>
        <w:t xml:space="preserve"> </w:t>
      </w:r>
      <w:r>
        <w:t>2+</w:t>
      </w:r>
      <w:r>
        <w:t xml:space="preserve"> </w:t>
      </w:r>
      <w:r>
        <w:t>intercalation and deintercalation. In addition, the PNAGA can establish an electron‐enriched environment on the vanadium cathode surface via N─H···O═V hydrogen bonding to accelerate redox kinetics for high rate capability and cycling stability. Consequently, the Zn/Zn</w:t>
      </w:r>
      <w:r>
        <w:t xml:space="preserve"> </w:t>
      </w:r>
      <w:r>
        <w:t>0.25</w:t>
      </w:r>
      <w:r>
        <w:t xml:space="preserve"> </w:t>
      </w:r>
      <w:r>
        <w:t>V</w:t>
      </w:r>
      <w:r>
        <w:rPr>
          <w:vertAlign w:val="subscript"/>
        </w:rPr>
        <w:t>2</w:t>
      </w:r>
      <w:r>
        <w:t>O</w:t>
      </w:r>
      <w:r>
        <w:rPr>
          <w:vertAlign w:val="subscript"/>
        </w:rPr>
        <w:t>5</w:t>
      </w:r>
      <w:r>
        <w:t>full battery delivers a high specific capacity of 286.2 mA h g</w:t>
      </w:r>
      <w:r>
        <w:t xml:space="preserve"> </w:t>
      </w:r>
      <w:r>
        <w:t>−1</w:t>
      </w:r>
      <w:r>
        <w:t xml:space="preserve"> </w:t>
      </w:r>
      <w:r>
        <w:t>with 97% capacity retention over 1000 cycles at 2 A g</w:t>
      </w:r>
      <w:r>
        <w:t xml:space="preserve"> </w:t>
      </w:r>
      <w:r>
        <w:t>−1</w:t>
      </w:r>
      <w:r>
        <w:t xml:space="preserve"> </w:t>
      </w:r>
      <w:r>
        <w:t>. Meanwhile, the PNAGA‐enabled pouch cell can achieve 1.35 Ah at 0.15 A g</w:t>
      </w:r>
      <w:r>
        <w:t xml:space="preserve"> </w:t>
      </w:r>
      <w:r>
        <w:t>−1</w:t>
      </w:r>
      <w:r>
        <w:t xml:space="preserve"> </w:t>
      </w:r>
      <w:r>
        <w:t>, demonstrating a universal molecular design strategy for high‐performance aqueous vanadium‐based batteries.</w:t>
      </w:r>
    </w:p>
    <w:p>
      <w:pPr>
        <w:spacing w:before="120" w:after="120"/>
      </w:pPr>
      <w:r>
        <w:rPr>
          <w:sz w:val="18"/>
        </w:rPr>
        <w:t>——————————————————————————————————————————————————————————————————————</w:t>
      </w:r>
    </w:p>
    <w:p>
      <w:pPr>
        <w:spacing w:before="160" w:after="40" w:line="240" w:lineRule="auto"/>
      </w:pPr>
      <w:r>
        <w:rPr>
          <w:b/>
        </w:rPr>
        <w:t xml:space="preserve">[9] </w:t>
      </w:r>
      <w:hyperlink r:id="rId45">
        <w:r>
          <w:rPr>
            <w:color w:val="1155CC"/>
            <w:u w:val="single"/>
          </w:rPr>
          <w:t>双亲和界面工程实现稳定的水性锌硫电池</w:t>
        </w:r>
      </w:hyperlink>
    </w:p>
    <w:p>
      <w:pPr>
        <w:spacing w:before="0" w:after="80"/>
      </w:pPr>
      <w:r>
        <w:rPr>
          <w:i/>
          <w:sz w:val="20"/>
        </w:rPr>
        <w:t>EN: Dual‐Affinity Interphase Engineering Enables Stable Aqueous Zn–S Batteries</w:t>
      </w:r>
    </w:p>
    <w:p>
      <w:pPr>
        <w:spacing w:before="0" w:after="120"/>
      </w:pPr>
      <w:r>
        <w:rPr>
          <w:b/>
        </w:rPr>
        <w:t xml:space="preserve">Source: </w:t>
      </w:r>
      <w:r>
        <w:t>Wiley: Angewandte Chemie International Edition: Table of Contents</w:t>
      </w:r>
      <w:r>
        <w:t xml:space="preserve">    </w:t>
      </w:r>
      <w:r>
        <w:rPr>
          <w:b/>
        </w:rPr>
        <w:t xml:space="preserve">Pub date: </w:t>
      </w:r>
      <w:r>
        <w:t>2026-06-16 18:01:49+00:00</w:t>
      </w:r>
      <w:r>
        <w:t xml:space="preserve">    </w:t>
      </w:r>
      <w:r>
        <w:rPr>
          <w:b/>
        </w:rPr>
        <w:t xml:space="preserve">DOI: </w:t>
      </w:r>
      <w:hyperlink r:id="rId46">
        <w:r>
          <w:rPr>
            <w:color w:val="1155CC"/>
            <w:u w:val="single"/>
          </w:rPr>
          <w:t>10.1002/anie.6558145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水系锌硫电池在电网规模存储方面引起了广泛关注，但其容量快速衰减且反应动力学缓慢。尽管现有策略可以提高氧化还原可逆性，但它们未能从根本上解决氧化驱动的 ZnS 分解损失引起的容量衰减问题。在这项研究中，合理设计了一种具有独特硫/ZnS双亲和力的纳米铜基阴极/电解质界面（Cu CEI），可以加速S─S和Zn─S键动力学，通过优先的Cu-ZnS结合有效防止ZnS积累并抑制其分解。具体来说，Cu CEI 的强结合亲和力通过减少其与界面水的直接接触来稳定 ZnS。同时，Cu纳米粒子与S之间的强相互作用</w:t>
      </w:r>
      <w:r>
        <w:rPr>
          <w:vertAlign w:val="subscript"/>
        </w:rPr>
        <w:t>8</w:t>
      </w:r>
      <w:r>
        <w:t>激活开环并促进 S─S 键断裂，将放电电压提高到 0.75 V。Cu 介导的 ZnS 中 Zn─S 键的弱化协同地将表观活化能从 69.4 kJ mol 降低到 29.5 kJ mol</w:t>
      </w:r>
      <w:r>
        <w:t xml:space="preserve"> </w:t>
      </w:r>
      <w:r>
        <w:t>−1</w:t>
      </w:r>
      <w:r>
        <w:t xml:space="preserve"> </w:t>
      </w:r>
      <w:r>
        <w:t>，建立了具有 0.23 V 低电压滞后的稳健界面氧化还原途径。因此，Cu CEI 使 Zn-S 系统在 5 A g-1 下具有超过 1000 次循环的优异循环稳定性</w:t>
      </w:r>
      <w:r>
        <w:t xml:space="preserve"> </w:t>
      </w:r>
      <w:r>
        <w:t>−1</w:t>
      </w:r>
      <w:r>
        <w:t xml:space="preserve"> </w:t>
      </w:r>
      <w:r>
        <w:t>和〜6.5 mAh cm的高面积容量</w:t>
      </w:r>
      <w:r>
        <w:t xml:space="preserve"> </w:t>
      </w:r>
      <w:r>
        <w:t>−2</w:t>
      </w:r>
      <w:r>
        <w:t xml:space="preserve"> </w:t>
      </w:r>
      <w:r>
        <w:t>在软包电池中超过 200 小时，强调了这种双亲和力界面设计的实际可行性</w:t>
      </w:r>
    </w:p>
    <w:p>
      <w:pPr>
        <w:spacing w:before="0" w:after="200" w:lineRule="auto" w:line="276"/>
      </w:pPr>
      <w:r>
        <w:rPr>
          <w:b/>
        </w:rPr>
        <w:t xml:space="preserve">Abstract (EN): </w:t>
      </w:r>
      <w:r>
        <w:t>Aqueous Zn–S batteries have garnered significant attention for grid‐scale storage but suffer from rapid capacity fade and sluggish reaction kinetics. Although existing strategies can improve redox reversibility, they fail to fundamentally address capacity attenuation arising from oxidation‐driven ZnS decomposition loss. In this study, a nano‐copper‐based cathode/electrolyte interphase (Cu CEI) featuring a unique sulfur/ZnS dual‐affinity is rationally designed to accelerate both S─S and Zn─S bond dynamics, effectively preventing ZnS accumulation and suppressing its decomposition via preferential Cu‐ZnS binding. Specifically, the strong binding affinity of the Cu CEI stabilizes ZnS by reducing its direct contact with interfacial water. Meanwhile, the strong interaction between Cu nanoparticles and S</w:t>
      </w:r>
      <w:r>
        <w:rPr>
          <w:vertAlign w:val="subscript"/>
        </w:rPr>
        <w:t>8</w:t>
      </w:r>
      <w:r>
        <w:t>activates ring‐opening and facilitates S─S bond cleavage, elevating the discharge voltage to 0.75 V. Cu‐mediated weakening of Zn─S bonds in ZnS synergistically lowers the apparent activation energy from 69.4 to 29.5 kJ mol</w:t>
      </w:r>
      <w:r>
        <w:t xml:space="preserve"> </w:t>
      </w:r>
      <w:r>
        <w:t>−1</w:t>
      </w:r>
      <w:r>
        <w:t xml:space="preserve"> </w:t>
      </w:r>
      <w:r>
        <w:t>, establishing a robust interfacial redox pathway with a low voltage hysteresis of 0.23 V. Consequently, the Cu CEI enables Zn–S system with excellent cycling stability over 1000 cycles at 5 A g</w:t>
      </w:r>
      <w:r>
        <w:t xml:space="preserve"> </w:t>
      </w:r>
      <w:r>
        <w:t>−1</w:t>
      </w:r>
      <w:r>
        <w:t xml:space="preserve"> </w:t>
      </w:r>
      <w:r>
        <w:t>and a high areal capacity of ∼6.5 mAh cm</w:t>
      </w:r>
      <w:r>
        <w:t xml:space="preserve"> </w:t>
      </w:r>
      <w:r>
        <w:t>−2</w:t>
      </w:r>
      <w:r>
        <w:t xml:space="preserve"> </w:t>
      </w:r>
      <w:r>
        <w:t>over 200 h in a pouch cell, underscoring the practical feasibility of this dual‐affinity interphase design for high‐performance Zn–S batteries.</w:t>
      </w:r>
    </w:p>
    <w:p>
      <w:pPr>
        <w:spacing w:before="120" w:after="120"/>
      </w:pPr>
      <w:r>
        <w:rPr>
          <w:sz w:val="18"/>
        </w:rPr>
        <w:t>——————————————————————————————————————————————————————————————————————</w:t>
      </w:r>
    </w:p>
    <w:p>
      <w:pPr>
        <w:spacing w:before="160" w:after="40" w:line="240" w:lineRule="auto"/>
      </w:pPr>
      <w:r>
        <w:rPr>
          <w:b/>
        </w:rPr>
        <w:t xml:space="preserve">[10] </w:t>
      </w:r>
      <w:hyperlink r:id="rId47">
        <w:r>
          <w:rPr>
            <w:color w:val="1155CC"/>
            <w:u w:val="single"/>
          </w:rPr>
          <w:t>揭示高能锂硫电池中的竞争性界面反应</w:t>
        </w:r>
      </w:hyperlink>
    </w:p>
    <w:p>
      <w:pPr>
        <w:spacing w:before="0" w:after="80"/>
      </w:pPr>
      <w:r>
        <w:rPr>
          <w:i/>
          <w:sz w:val="20"/>
        </w:rPr>
        <w:t>EN: Revealing competitive interfacial reactions in high-energy Li–S batteries</w:t>
      </w:r>
    </w:p>
    <w:p>
      <w:pPr>
        <w:spacing w:before="0" w:after="120"/>
      </w:pPr>
      <w:r>
        <w:rPr>
          <w:b/>
        </w:rPr>
        <w:t xml:space="preserve">Source: </w:t>
      </w:r>
      <w:r>
        <w:t>Nature</w:t>
      </w:r>
      <w:r>
        <w:t xml:space="preserve">    </w:t>
      </w:r>
      <w:r>
        <w:rPr>
          <w:b/>
        </w:rPr>
        <w:t xml:space="preserve">Pub date: </w:t>
      </w:r>
      <w:r>
        <w:t>2026-06-17 00:00:00+00:00</w:t>
      </w:r>
      <w:r>
        <w:t xml:space="preserve">    </w:t>
      </w:r>
      <w:r>
        <w:rPr>
          <w:b/>
        </w:rPr>
        <w:t xml:space="preserve">DOI: </w:t>
      </w:r>
      <w:hyperlink r:id="rId48">
        <w:r>
          <w:rPr>
            <w:color w:val="1155CC"/>
            <w:u w:val="single"/>
          </w:rPr>
          <w:t>10.1038/s41586-025-09473-2</w:t>
        </w:r>
      </w:hyperlink>
    </w:p>
    <w:p>
      <w:pPr>
        <w:spacing w:before="0" w:after="120"/>
      </w:pPr>
      <w:r>
        <w:rPr>
          <w:b/>
        </w:rPr>
        <w:t xml:space="preserve">Notes: </w:t>
      </w:r>
      <w:r>
        <w:t>abstract_source=nature_html</w:t>
      </w:r>
    </w:p>
    <w:p>
      <w:pPr>
        <w:spacing w:before="0" w:after="80" w:lineRule="auto" w:line="276"/>
      </w:pPr>
      <w:r>
        <w:rPr>
          <w:b/>
        </w:rPr>
        <w:t xml:space="preserve">摘要（ZH）: </w:t>
      </w:r>
      <w:r>
        <w:t>固液界面的电荷转移在各种能量存储系统中起着至关重要的作用，特别是在动态变化的反应物浓度下。破译这些复杂的反应途径仍然是一个巨大的挑战，特别是在锂硫（Li-S）电池中，要实现高能量密度需要高效转化高浓度的多硫化锂（LiPS）2,3。然而，贫电解质条件下控制硫化锂（Li2S）沉积和溶解的机制仍知之甚少。在这里，使用原位液体细胞电子显微镜，我们直接可视化电极-电解质界面处浓度驱动的相分离。在这些高浓度界面层 (HCIL) 中，竞争性表面和溶液决定了电荷转移动力学，并最终控制不同相边界的 Li2S 沉积。密度泛函理论 (DFT) 计算表明，LiPS 的聚集改变了分子几何结构、电子特性和轨道杂化，共同促进了通过高度浓缩的 LiPS 簇的电荷转移。在这些见解的指导下，我们设计了优化的电极来平衡界面反应路径，从而实现快速充电（4 C，26.8 mA cm−2）并实现超过 400 Wh kg−1 的高能量密度。这些发现提供了对实际工作条件下界面反应的机理理解，并提供了推进锂硫电池的设计策略。</w:t>
      </w:r>
    </w:p>
    <w:p>
      <w:pPr>
        <w:spacing w:before="0" w:after="200" w:lineRule="auto" w:line="276"/>
      </w:pPr>
      <w:r>
        <w:rPr>
          <w:b/>
        </w:rPr>
        <w:t xml:space="preserve">Abstract (EN): </w:t>
      </w:r>
      <w:r>
        <w:t>Charge transfer at solid–liquid interfaces plays a critical role in various energy-storage systems1, particularly under dynamically varying reactant concentrations. Deciphering these intricate reaction pathways remains a substantial challenge, notably in lithium–sulfur (Li–S) batteries, in which achieving high energy density requires efficient conversion of highly concentrated lithium polysulfides (LiPSs)2,3. However, the mechanisms governing lithium sulfide (Li2S) deposition and dissolution under lean electrolyte conditions remain poorly understood. Here, using in situ liquid-cell electron microscopy, we directly visualize concentration-driven phase segregation at the electrode–electrolyte interface. Within these high-concentration interfacial layers (HCILs), competitive surface and solution dictate the charge-transfer dynamics and ultimately govern Li2S deposition at different phase boundaries. Density functional theory (DFT) calculations reveal that the aggregation of LiPSs alters molecular geometry, electronic properties and orbital hybridization, collectively facilitating charge transfer through highly concentrated LiPSs clusters. Guided by these insights, we design optimized electrodes that balance interfacial reaction pathways, enabling fast charging (4 C, 26.8 mA cm−2) and achieving high energy densities exceeding 400 Wh kg−1. These findings provide mechanistic understanding of interfacial reactions under practical working conditions and offer a design strategy to advance Li–S batteries.</w:t>
      </w:r>
    </w:p>
    <w:p>
      <w:pPr>
        <w:spacing w:before="120" w:after="120"/>
      </w:pPr>
      <w:r>
        <w:rPr>
          <w:sz w:val="18"/>
        </w:rPr>
        <w:t>——————————————————————————————————————————————————————————————————————</w:t>
      </w:r>
    </w:p>
    <w:p>
      <w:pPr>
        <w:spacing w:before="160" w:after="40" w:line="240" w:lineRule="auto"/>
      </w:pPr>
      <w:r>
        <w:rPr>
          <w:b/>
        </w:rPr>
        <w:t xml:space="preserve">[11] </w:t>
      </w:r>
      <w:hyperlink r:id="rId49">
        <w:r>
          <w:rPr>
            <w:color w:val="1155CC"/>
            <w:u w:val="single"/>
          </w:rPr>
          <w:t>快速形成以增强富锂正极</w:t>
        </w:r>
      </w:hyperlink>
    </w:p>
    <w:p>
      <w:pPr>
        <w:spacing w:before="0" w:after="80"/>
      </w:pPr>
      <w:r>
        <w:rPr>
          <w:i/>
          <w:sz w:val="20"/>
        </w:rPr>
        <w:t>EN: Fast formation to reinforce lithium-rich cathodes</w:t>
      </w:r>
    </w:p>
    <w:p>
      <w:pPr>
        <w:spacing w:before="0" w:after="120"/>
      </w:pPr>
      <w:r>
        <w:rPr>
          <w:b/>
        </w:rPr>
        <w:t xml:space="preserve">Source: </w:t>
      </w:r>
      <w:r>
        <w:t>Nature</w:t>
      </w:r>
      <w:r>
        <w:t xml:space="preserve">    </w:t>
      </w:r>
      <w:r>
        <w:rPr>
          <w:b/>
        </w:rPr>
        <w:t xml:space="preserve">Pub date: </w:t>
      </w:r>
      <w:r>
        <w:t>2026-06-17 00:00:00+00:00</w:t>
      </w:r>
      <w:r>
        <w:t xml:space="preserve">    </w:t>
      </w:r>
      <w:r>
        <w:rPr>
          <w:b/>
        </w:rPr>
        <w:t xml:space="preserve">DOI: </w:t>
      </w:r>
      <w:hyperlink r:id="rId50">
        <w:r>
          <w:rPr>
            <w:color w:val="1155CC"/>
            <w:u w:val="single"/>
          </w:rPr>
          <w:t>10.1038/s41586-025-09553-3</w:t>
        </w:r>
      </w:hyperlink>
    </w:p>
    <w:p>
      <w:pPr>
        <w:spacing w:before="0" w:after="120"/>
      </w:pPr>
      <w:r>
        <w:rPr>
          <w:b/>
        </w:rPr>
        <w:t xml:space="preserve">Notes: </w:t>
      </w:r>
      <w:r>
        <w:t>abstract_source=nature_html</w:t>
      </w:r>
    </w:p>
    <w:p>
      <w:pPr>
        <w:spacing w:before="0" w:after="80" w:lineRule="auto" w:line="276"/>
      </w:pPr>
      <w:r>
        <w:rPr>
          <w:b/>
        </w:rPr>
        <w:t xml:space="preserve">摘要（ZH）: </w:t>
      </w:r>
      <w:r>
        <w:t>锂离子电池制造中的化成通常涉及低速率充电-放电循环，以建立稳定的电极-电解质界面，这是一个耗时的过程1,2,3,4。在这里，我们对富锂层状氧化物阴极的发现挑战了传统形成的必要性，这甚至会缩短电池寿命。另一方面，快速形成可以降低生产成本并提高产能和稳定性。基于多尺度同步加速器的技术表明，初始充电后残留的锂离子对于后续的结构演化和循环性能至关重要。由于本质上脆弱的缺锂基质，深度锂脱嵌会导致严重的结构退化和容量损失。相比之下，快速形成的残留锂离子通过自钉扎效应增强可逆性，防止有害的晶格变形并增强离子存储框架。将初始充电电流密度从0.2 C调整至2 C可将可逆容量提高20%，并将循环寿命延长36%以上。这种方法还可以扩展到其他电极系统，为更高效的电池生产提供见解。</w:t>
      </w:r>
    </w:p>
    <w:p>
      <w:pPr>
        <w:spacing w:before="0" w:after="200" w:lineRule="auto" w:line="276"/>
      </w:pPr>
      <w:r>
        <w:rPr>
          <w:b/>
        </w:rPr>
        <w:t xml:space="preserve">Abstract (EN): </w:t>
      </w:r>
      <w:r>
        <w:t>Formation in lithium-ion battery manufacturing typically involves low-rate charge–discharge cycles to establish stable electrode–electrolyte interfaces—a time-consuming process1,2,3,4. Here, our findings on lithium-rich layered oxide cathodes challenge the necessity of conventional formation, which can even shorten battery lifespan. Fast formation, on the other hand, reduces production cost and enhances capacity and stability. Multiscale synchrotron-based techniques show that residual lithium ions after the initial charge are critical for subsequent structural evolution and cycling performance. Deep lithium de-intercalation causes severe structural degradation and capacity loss due to the inherently fragile lithium-deficient matrix. By contrast, the residual lithium ions from fast formation enhance reversibility through a self-pinning effect, preventing pernicious lattice deformation and reinforcing the ion-storage framework. Adjusting the initial charge current density from 0.2 C to 2 C improves reversible capacity by 20% and extends cycle life by more than 36%. This approach can also be extended to other electrode systems, providing insights for more-efficient battery production.</w:t>
      </w:r>
    </w:p>
    <w:p>
      <w:pPr>
        <w:spacing w:before="120" w:after="120"/>
      </w:pPr>
      <w:r>
        <w:rPr>
          <w:sz w:val="18"/>
        </w:rPr>
        <w:t>——————————————————————————————————————————————————————————————————————</w:t>
      </w:r>
    </w:p>
    <w:p>
      <w:pPr>
        <w:spacing w:before="160" w:after="40" w:line="240" w:lineRule="auto"/>
      </w:pPr>
      <w:r>
        <w:rPr>
          <w:b/>
        </w:rPr>
        <w:t xml:space="preserve">[12] </w:t>
      </w:r>
      <w:hyperlink r:id="rId51">
        <w:r>
          <w:rPr>
            <w:color w:val="1155CC"/>
            <w:u w:val="single"/>
          </w:rPr>
          <w:t>揭开混合硫碳中硫限制和高硫利用率的秘密（Adv. Mater. 34/2026）</w:t>
        </w:r>
      </w:hyperlink>
    </w:p>
    <w:p>
      <w:pPr>
        <w:spacing w:before="0" w:after="80"/>
      </w:pPr>
      <w:r>
        <w:rPr>
          <w:i/>
          <w:sz w:val="20"/>
        </w:rPr>
        <w:t>EN: Unravelling the Secret of Sulfur Confinement and High Sulfur Utilization in Hybrid Sulfur‐Carbons (Adv. Mater. 34/2026)</w:t>
      </w:r>
    </w:p>
    <w:p>
      <w:pPr>
        <w:spacing w:before="0" w:after="120"/>
      </w:pPr>
      <w:r>
        <w:rPr>
          <w:b/>
        </w:rPr>
        <w:t xml:space="preserve">Source: </w:t>
      </w:r>
      <w:r>
        <w:t>Wiley: Advanced Materials: Table of Contents</w:t>
      </w:r>
      <w:r>
        <w:t xml:space="preserve">    </w:t>
      </w:r>
      <w:r>
        <w:rPr>
          <w:b/>
        </w:rPr>
        <w:t xml:space="preserve">Pub date: </w:t>
      </w:r>
      <w:r>
        <w:t>2026-06-17 15:07:02+00:00</w:t>
      </w:r>
      <w:r>
        <w:t xml:space="preserve">    </w:t>
      </w:r>
      <w:r>
        <w:rPr>
          <w:b/>
        </w:rPr>
        <w:t xml:space="preserve">DOI: </w:t>
      </w:r>
      <w:hyperlink r:id="rId52">
        <w:r>
          <w:rPr>
            <w:color w:val="1155CC"/>
            <w:u w:val="single"/>
          </w:rPr>
          <w:t>10.1002/adma.73617</w:t>
        </w:r>
      </w:hyperlink>
    </w:p>
    <w:p>
      <w:pPr>
        <w:spacing w:before="0" w:after="120"/>
      </w:pPr>
      <w:r>
        <w:rPr>
          <w:b/>
        </w:rPr>
        <w:t xml:space="preserve">Notes: </w:t>
      </w:r>
      <w:r>
        <w:t>abstract_source=openalex</w:t>
      </w:r>
    </w:p>
    <w:p>
      <w:pPr>
        <w:spacing w:before="0" w:after="80" w:lineRule="auto" w:line="276"/>
      </w:pPr>
      <w:r>
        <w:rPr>
          <w:b/>
        </w:rPr>
        <w:t xml:space="preserve">摘要（ZH）: </w:t>
      </w:r>
      <w:r>
        <w:t>杂化硫-碳 封面图片展示了一种塌陷的分层多孔碳结构，该结构对钠-硫复合阴极中的硫物质施加化学和动力学限制。短硫链在互连的孔隙隔室内稳定，其中碳缺陷位点的界面锚定和收缩的孔隙颈部抑制硫迁移并减轻穿梭效应。空间异质孔隙网络引起扩散限制的Na+传输，离子可及性向内部降低，突出了孔隙层次和结构不对称在调节电化学转换中的作用。这种组合限制策略可以在室温钠硫电池中实现近乎定量的硫利用率和最先进的电化学性能。更多详细信息，请参阅 Evgeny Senokos 及其同事的研究文章 (DOI: 10.1002/adma.202513346)。</w:t>
      </w:r>
    </w:p>
    <w:p>
      <w:pPr>
        <w:spacing w:before="0" w:after="200" w:lineRule="auto" w:line="276"/>
      </w:pPr>
      <w:r>
        <w:rPr>
          <w:b/>
        </w:rPr>
        <w:t xml:space="preserve">Abstract (EN): </w:t>
      </w:r>
      <w:r>
        <w:t>Hybrid Sulfur-Carbons The cover image illustrates a collapsed, hierarchically porous carbon architecture that imposes both chemical and kinetic confinement on sulfur species in a sodium-sulfur composite cathode. Short sulfur chains are stabilized within interconnected pore compartments, where interfacial anchoring at carbon defect sites and constricted pore necks suppress sulfur migration and mitigate shuttle effects. The spatially heterogeneous pore network gives rise to diffusion-limited Na+ transport, with ion accessibility decreasing toward the interior, highlighting the role of pore hierarchy and structural asymmetry in regulating electrochemical conversion. This combined confinement strategy enables near-quantitative sulfur utilization and state-of-the-art electrochemical performance in room-temperature sodium-sulfur batteries. More details can be found in the Research Article by Evgeny Senokos and co-workers (DOI: 10.1002/adma.202513346).</w:t>
      </w:r>
    </w:p>
    <w:p>
      <w:pPr>
        <w:spacing w:before="120" w:after="120"/>
      </w:pPr>
      <w:r>
        <w:rPr>
          <w:sz w:val="18"/>
        </w:rPr>
        <w:t>——————————————————————————————————————————————————————————————————————</w:t>
      </w:r>
    </w:p>
    <w:p>
      <w:pPr>
        <w:spacing w:before="160" w:after="40" w:line="240" w:lineRule="auto"/>
      </w:pPr>
      <w:r>
        <w:rPr>
          <w:b/>
        </w:rPr>
        <w:t xml:space="preserve">[13] </w:t>
      </w:r>
      <w:hyperlink r:id="rId53">
        <w:r>
          <w:rPr>
            <w:color w:val="1155CC"/>
            <w:u w:val="single"/>
          </w:rPr>
          <w:t>有机阴极穿梭效应的抑制及原位机理探索</w:t>
        </w:r>
      </w:hyperlink>
    </w:p>
    <w:p>
      <w:pPr>
        <w:spacing w:before="0" w:after="80"/>
      </w:pPr>
      <w:r>
        <w:rPr>
          <w:i/>
          <w:sz w:val="20"/>
        </w:rPr>
        <w:t>EN: Inhibition of shuttle effect in organic cathode and in situ mechanistic exploration</w:t>
      </w:r>
    </w:p>
    <w:p>
      <w:pPr>
        <w:spacing w:before="0" w:after="120"/>
      </w:pPr>
      <w:r>
        <w:rPr>
          <w:b/>
        </w:rPr>
        <w:t xml:space="preserve">Source: </w:t>
      </w:r>
      <w:r>
        <w:t>RSC - Energy Environ. Sci. latest articles</w:t>
      </w:r>
      <w:r>
        <w:t xml:space="preserve">    </w:t>
      </w:r>
      <w:r>
        <w:rPr>
          <w:b/>
        </w:rPr>
        <w:t xml:space="preserve">Pub date: </w:t>
      </w:r>
      <w:r>
        <w:t>2026-06-17 23:00:00+00:00</w:t>
      </w:r>
    </w:p>
    <w:p>
      <w:pPr>
        <w:spacing w:before="0" w:after="120"/>
      </w:pPr>
      <w:r>
        <w:rPr>
          <w:b/>
        </w:rPr>
        <w:t xml:space="preserve">Notes: </w:t>
      </w:r>
      <w:r>
        <w:t>abstract_source=rsc_html</w:t>
      </w:r>
    </w:p>
    <w:p>
      <w:pPr>
        <w:spacing w:before="0" w:after="80" w:lineRule="auto" w:line="276"/>
      </w:pPr>
      <w:r>
        <w:rPr>
          <w:b/>
        </w:rPr>
        <w:t xml:space="preserve">摘要（ZH）: </w:t>
      </w:r>
      <w:r>
        <w:t>有机p型正极材料由于其丰富性、环境兼容性和超过3.5 V的高工作电压而有望用于可持续储能。然而，其应用受到电解质中高溶解度的限制，导致穿梭效应和较差的循环稳定性。在此，我们引入了 9,9-二甲基吖啶（DMAC）作为正极材料设计中的新型氧化还原活性部分。 DMAC 中的小极性 -C(CH3)2 基团可稳定其氧化形式 (DMAC +• )，限制极性电解质中的穿梭效应并实现出色的循环稳定性（3000 次循环后容量保持率为 76%）。此外，微量溶解的DMAC +• 充当氧化还原介体，增强电导率并实现高活性材料比率（73 mAh g -1 @90 wt%）。重要的是，聚集诱导发射（AIE）特性的集成可以实现原位荧光成像，实现溶解/再沉淀过程的可视化并提供对穿梭效应的见解。结合电化学石英晶体微天平与耗散（EQCM-D）分析，这项研究改进了基于DMAC的阴极，并建立了一个广泛适用于DMAC氧化还原活性中心与极性电解质接触的其他阴离子存储系统的框架。</w:t>
      </w:r>
    </w:p>
    <w:p>
      <w:pPr>
        <w:spacing w:before="0" w:after="200" w:lineRule="auto" w:line="276"/>
      </w:pPr>
      <w:r>
        <w:rPr>
          <w:b/>
        </w:rPr>
        <w:t xml:space="preserve">Abstract (EN): </w:t>
      </w:r>
      <w:r>
        <w:t>Organic p-type cathode materials are promising for sustainable energy storage due to their abundance, environmental compatibility, and high operating voltages exceeding 3.5 V. However, their application is constrained by high solubility in electrolytes, leading to shuttle effect and inferior cycle stability. Herein, we introduced 9,9-dimethylacridine (DMAC) as a novel redox-active moiety in cathode material design. The small polar -C(CH3)2 group in DMAC stabilizes its oxidized form (DMAC +• ), restricting shuttle effect in polar electrolytes and achieving excellent cycling stability (76% capacity retention after 3000 cycles). Moreover, trace amounts of dissolved DMAC +• serve as redox mediators, enhancing conductivity and enabling a high active material ratio (73 mAh g -1 @90 wt%). Importantly, the integration of aggregation-induced emission (AIE) properties enables in situ fluorescence imaging, realizing visualization of the dissolution/ reprecipitation processes and providing insights into the shuttle effect. Coupled with electrochemical quartz crystal microbalance with dissipation (EQCM-D) analysis, this study advances DMAC-based cathodes and establishes a framework broadly applicable to other anion storage systems where DMAC redox-active centers contact with polar electrolytes.</w:t>
      </w:r>
    </w:p>
    <w:p>
      <w:pPr>
        <w:spacing w:before="120" w:after="120"/>
      </w:pPr>
      <w:r>
        <w:rPr>
          <w:sz w:val="18"/>
        </w:rPr>
        <w:t>——————————————————————————————————————————————————————————————————————</w:t>
      </w:r>
    </w:p>
    <w:p>
      <w:pPr>
        <w:spacing w:before="160" w:after="40" w:line="240" w:lineRule="auto"/>
      </w:pPr>
      <w:r>
        <w:rPr>
          <w:b/>
        </w:rPr>
        <w:t xml:space="preserve">[14] </w:t>
      </w:r>
      <w:hyperlink r:id="rId54">
        <w:r>
          <w:rPr>
            <w:color w:val="1155CC"/>
            <w:u w:val="single"/>
          </w:rPr>
          <w:t>供体-受体共价有机框架在铝离子储能中实现双极电荷存储</w:t>
        </w:r>
      </w:hyperlink>
    </w:p>
    <w:p>
      <w:pPr>
        <w:spacing w:before="0" w:after="80"/>
      </w:pPr>
      <w:r>
        <w:rPr>
          <w:i/>
          <w:sz w:val="20"/>
        </w:rPr>
        <w:t>EN: Donor–Acceptor Covalent Organic Framework Enables Ambipolar Charge Storage in Aluminum‐Ion Energy Storage</w:t>
      </w:r>
    </w:p>
    <w:p>
      <w:pPr>
        <w:spacing w:before="0" w:after="120"/>
      </w:pPr>
      <w:r>
        <w:rPr>
          <w:b/>
        </w:rPr>
        <w:t xml:space="preserve">Source: </w:t>
      </w:r>
      <w:r>
        <w:t>Wiley: Advanced Energy Materials: Table of Contents</w:t>
      </w:r>
      <w:r>
        <w:t xml:space="preserve">    </w:t>
      </w:r>
      <w:r>
        <w:rPr>
          <w:b/>
        </w:rPr>
        <w:t xml:space="preserve">Pub date: </w:t>
      </w:r>
      <w:r>
        <w:t>2026-06-18 05:52:46+00:00</w:t>
      </w:r>
      <w:r>
        <w:t xml:space="preserve">    </w:t>
      </w:r>
      <w:r>
        <w:rPr>
          <w:b/>
        </w:rPr>
        <w:t xml:space="preserve">DOI: </w:t>
      </w:r>
      <w:hyperlink r:id="rId55">
        <w:r>
          <w:rPr>
            <w:color w:val="1155CC"/>
            <w:u w:val="single"/>
          </w:rPr>
          <w:t>10.1002/aenm.71198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由于锂的地缘政治和供应链限制，开发锂离子技术之外的可持续高性能储能系统（ESS）已成为全球优先事项。在新兴的替代品中，铝离子 ESS (Al-ESS) 具有显着的优势，包括铝的天然丰度、高理论体积容量和本质安全性。然而，由于缺乏能够可逆存储铝离子的有效正极材料，铝电池储能系统的进展受到阻碍。在这种情况下，共价有机框架（COF）提供可调节的结构和丰富的氧化还原活性位点，从而实现多电子反应和快速离子传输。然而，它们的实际实施常常因电子传导性差和氧化还原中心的可及性有限而受到损害。在此，集成富电子四（4-氨基苯基）-1,4-苯二胺（TPA）和缺电子萘二亚胺（NDI）单元的二维供体-受体COF被报道为Al-ESS的双极性阴极。高度结晶的微孔框架表现出内在的电荷传输路径，无需导电碳纳米管添加剂即可运行。 COF TPA-NDI 具有 270 mAh/g 的高比容量、447 Wh/kg 的比能量以及出色的循环稳定性。异位分析揭示了一个可逆的多电子氧化还原过程，涉及胺、亚胺和羰基位点协调阳离子和阴离子物种。这些发现表明，COF 中的供体-受体工程可以产生本质导电的有机</w:t>
      </w:r>
    </w:p>
    <w:p>
      <w:pPr>
        <w:spacing w:before="0" w:after="200" w:lineRule="auto" w:line="276"/>
      </w:pPr>
      <w:r>
        <w:rPr>
          <w:b/>
        </w:rPr>
        <w:t xml:space="preserve">Abstract (EN): </w:t>
      </w:r>
      <w:r>
        <w:t>The development of sustainable high‐performance energy storage systems (ESS) beyond lithium‐ion technology has become a global priority due to lithium's geopolitical and supply‐chain constraints. Among emerging alternatives, aluminum‐ion ESS (Al‐ESS) offer remarkable advantages, including aluminum's natural abundance, high theoretical volumetric capacity, and intrinsic safety. However, progress in Al‐ESS is hindered by the scarcity of effective cathode materials capable of reversible Al‐ion storage. In this context, covalent organic frameworks (COFs) offer tunable structures and abundant redox‐active sites, which enable multi‐electron reactions and fast ion transport. However, their practical implementation is often undermined by poor electronic conductivity and limited accessibility of redox centers. Herein, 2D donor–acceptor COF integrating electron‐rich tetrakis(4‐aminophenyl)‐1,4‐phenylenediamine (TPA) and electron‐deficient naphthalenediimide (NDI) units is reported as an ambipolar cathode for Al‐ESS. The highly crystalline, microporous framework exhibits intrinsic charge‐transport pathways, enabling operation without conductive carbon‐nanotube additives. COF TPA‐NDI delivers a high specific capacity of 270 mAh/g, a specific energy of 447 Wh/kg, and exceptional cycling stability. Ex situ analyses reveal a reversible multi‐electron redox process involving amine, imine, and carbonyl sites coordinating both cationic and anionic species. These findings demonstrate that donor–acceptor engineering in COFs can yield intrinsically conductive organic cathodes, providing a new design paradigm for next‐generation Al‐ESS.</w:t>
      </w:r>
    </w:p>
    <w:p>
      <w:pPr>
        <w:spacing w:before="120" w:after="120"/>
      </w:pPr>
      <w:r>
        <w:rPr>
          <w:sz w:val="18"/>
        </w:rPr>
        <w:t>——————————————————————————————————————————————————————————————————————</w:t>
      </w:r>
    </w:p>
    <w:p>
      <w:pPr>
        <w:spacing w:before="160" w:after="40" w:line="240" w:lineRule="auto"/>
      </w:pPr>
      <w:r>
        <w:rPr>
          <w:b/>
        </w:rPr>
        <w:t xml:space="preserve">[15] </w:t>
      </w:r>
      <w:hyperlink r:id="rId56">
        <w:r>
          <w:rPr>
            <w:color w:val="1155CC"/>
            <w:u w:val="single"/>
          </w:rPr>
          <w:t>通过高压钠层状氧化物阴极中的双向调节项稳定双频氧化还原过程</w:t>
        </w:r>
      </w:hyperlink>
    </w:p>
    <w:p>
      <w:pPr>
        <w:spacing w:before="0" w:after="80"/>
      </w:pPr>
      <w:r>
        <w:rPr>
          <w:i/>
          <w:sz w:val="20"/>
        </w:rPr>
        <w:t>EN: Stabilizing Dual‐Band Redox Process via Bidirectional Regulation Term in High‐Voltage Sodium Layered Oxide Cathodes</w:t>
      </w:r>
    </w:p>
    <w:p>
      <w:pPr>
        <w:spacing w:before="0" w:after="120"/>
      </w:pPr>
      <w:r>
        <w:rPr>
          <w:b/>
        </w:rPr>
        <w:t xml:space="preserve">Source: </w:t>
      </w:r>
      <w:r>
        <w:t>Wiley: Angewandte Chemie International Edition: Table of Contents</w:t>
      </w:r>
      <w:r>
        <w:t xml:space="preserve">    </w:t>
      </w:r>
      <w:r>
        <w:rPr>
          <w:b/>
        </w:rPr>
        <w:t xml:space="preserve">Pub date: </w:t>
      </w:r>
      <w:r>
        <w:t>2026-06-18 17:01:07+00:00</w:t>
      </w:r>
      <w:r>
        <w:t xml:space="preserve">    </w:t>
      </w:r>
      <w:r>
        <w:rPr>
          <w:b/>
        </w:rPr>
        <w:t xml:space="preserve">DOI: </w:t>
      </w:r>
      <w:hyperlink r:id="rId57">
        <w:r>
          <w:rPr>
            <w:color w:val="1155CC"/>
            <w:u w:val="single"/>
          </w:rPr>
          <w:t>10.1002/anie.4480770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锰基层状氧化物由于其天然丰富度和高理论容量而成为钠离子电池的有前途的阴极候选者。然而，它们的实际应用仍然受到结构相变和不稳定氧化还原行为的挑战。在此，我们提出了一种高熵诱导电负性策略，通过调节d-d库仑相互作用能和电荷转移项之间的平衡来稳定双能带氧化还原，这可以增强金属-氧键的共价性，削弱氧位点的电子局域化，并稳定氧化的晶格氧。这种策略进一步增加了构型熵和结构耐受性，促进了跨宽电压窗口的稳健固溶反应机制。所得正极的可逆容量为192.87 mAh g</w:t>
      </w:r>
      <w:r>
        <w:t xml:space="preserve"> </w:t>
      </w:r>
      <w:r>
        <w:t>−1</w:t>
      </w:r>
      <w:r>
        <w:t xml:space="preserve"> </w:t>
      </w:r>
      <w:r>
        <w:t>和高达95.98%的出色容量保持率，这提供了一种减少高电压下不可逆氧氧化的通用策略，并为下一代高能量密度钠离子电池开辟了新途径。</w:t>
      </w:r>
    </w:p>
    <w:p>
      <w:pPr>
        <w:spacing w:before="0" w:after="200" w:lineRule="auto" w:line="276"/>
      </w:pPr>
      <w:r>
        <w:rPr>
          <w:b/>
        </w:rPr>
        <w:t xml:space="preserve">Abstract (EN): </w:t>
      </w:r>
      <w:r>
        <w:t>Manganese‐based layered oxides represent a promising cathode candidate for sodium‐ion batteries due to their natural abundance and high theoretical capacity. However, their practical application remains challenged by structure phase transitions and unstable redox behavior. Herein, we proposed a high entropy‐induced electronegativity strategy to stabilize dual‐band redox by tuning the balance between d‐d Coulomb interaction energy and the charge transfeduer term, which can enhance the covalency of metal‐oxygen bonds, weaken electronic localization at oxygen sites, and stabilize the oxidized lattice oxygen. Such a strategy further increases configurational entropy and structural tolerance, promoting a robust solid‐solution reaction mechanism across a wide voltage window. The obtained cathode exhibits a reversible capacity of 192.87 mAh g</w:t>
      </w:r>
      <w:r>
        <w:t xml:space="preserve"> </w:t>
      </w:r>
      <w:r>
        <w:t>−1</w:t>
      </w:r>
      <w:r>
        <w:t xml:space="preserve"> </w:t>
      </w:r>
      <w:r>
        <w:t>and outstanding capacity retention of 95.98%, which offers a generalizable strategy to decrease the irreversible oxygen oxidation at high voltage and opens new avenues for next‐generation high‐energy‐density sodium‐ion batteries.</w:t>
      </w:r>
    </w:p>
    <w:p>
      <w:pPr>
        <w:spacing w:before="120" w:after="120"/>
      </w:pPr>
      <w:r>
        <w:rPr>
          <w:sz w:val="18"/>
        </w:rPr>
        <w:t>——————————————————————————————————————————————————————————————————————</w:t>
      </w:r>
    </w:p>
    <w:p>
      <w:pPr>
        <w:spacing w:before="160" w:after="40" w:line="240" w:lineRule="auto"/>
      </w:pPr>
      <w:r>
        <w:rPr>
          <w:b/>
        </w:rPr>
        <w:t xml:space="preserve">[16] </w:t>
      </w:r>
      <w:hyperlink r:id="rId58">
        <w:r>
          <w:rPr>
            <w:color w:val="1155CC"/>
            <w:u w:val="single"/>
          </w:rPr>
          <w:t>阳离子-阴离子氧化还原共调制：释放全电化学活性硫基固态电池的潜力</w:t>
        </w:r>
      </w:hyperlink>
    </w:p>
    <w:p>
      <w:pPr>
        <w:spacing w:before="0" w:after="80"/>
      </w:pPr>
      <w:r>
        <w:rPr>
          <w:i/>
          <w:sz w:val="20"/>
        </w:rPr>
        <w:t>EN: Cation–Anion Redox Co‐Modulation: Unlocking the Potential of All‐Electrochem‐Active Sulfur‐Based Solid‐State Batteries</w:t>
      </w:r>
    </w:p>
    <w:p>
      <w:pPr>
        <w:spacing w:before="0" w:after="120"/>
      </w:pPr>
      <w:r>
        <w:rPr>
          <w:b/>
        </w:rPr>
        <w:t xml:space="preserve">Source: </w:t>
      </w:r>
      <w:r>
        <w:t>Wiley: Angewandte Chemie International Edition: Table of Contents</w:t>
      </w:r>
      <w:r>
        <w:t xml:space="preserve">    </w:t>
      </w:r>
      <w:r>
        <w:rPr>
          <w:b/>
        </w:rPr>
        <w:t xml:space="preserve">Pub date: </w:t>
      </w:r>
      <w:r>
        <w:t>2026-06-18 17:50:41+00:00</w:t>
      </w:r>
      <w:r>
        <w:t xml:space="preserve">    </w:t>
      </w:r>
      <w:r>
        <w:rPr>
          <w:b/>
        </w:rPr>
        <w:t xml:space="preserve">DOI: </w:t>
      </w:r>
      <w:hyperlink r:id="rId59">
        <w:r>
          <w:rPr>
            <w:color w:val="1155CC"/>
            <w:u w:val="single"/>
          </w:rPr>
          <w:t>10.1002/anie.7135283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电离子传输所需的非活性成分比例很高，全固态硫阴极的容量利用率揭示了材料和电极水平之间的显着差异。虽然全电化学活性（AEA）电极概念试图弥合这一差距，但充分实现硫基阴极的能量密度潜力仍然具有挑战性。在这里，我们报告了一种共同调节过渡金属阳离子/硫阴离子氧化还原的新策略，以释放硫基电极的潜力。通过仔细调整S阴离子和Ti阳离子之间的配位，我们构建了带有S阴离子的AEA电极（TiS</w:t>
      </w:r>
      <w:r>
        <w:t xml:space="preserve"> </w:t>
      </w:r>
      <w:r>
        <w:t>x</w:t>
      </w:r>
      <w:r>
        <w:t xml:space="preserve"> </w:t>
      </w:r>
      <w:r>
        <w:t>,</w:t>
      </w:r>
      <w:r>
        <w:t xml:space="preserve"> </w:t>
      </w:r>
      <w:r>
        <w:t>x</w:t>
      </w:r>
      <w:r>
        <w:t xml:space="preserve"> </w:t>
      </w:r>
      <w:r>
        <w:t>&gt; 2)/Ti-阳离子（非晶态 TiS</w:t>
      </w:r>
      <w:r>
        <w:rPr>
          <w:vertAlign w:val="subscript"/>
        </w:rPr>
        <w:t>2</w:t>
      </w:r>
      <w:r>
        <w:t>) 共氧化还原，其中 TiS</w:t>
      </w:r>
      <w:r>
        <w:t xml:space="preserve"> </w:t>
      </w:r>
      <w:r>
        <w:t>x</w:t>
      </w:r>
      <w:r>
        <w:t xml:space="preserve"> </w:t>
      </w:r>
      <w:r>
        <w:t>通过S-S键的可逆裂解和重组，激活带隙较窄的富硫相的氧化还原活性，从而提高电极水平阴离子氧化还原和非晶TiS的容量利用率</w:t>
      </w:r>
      <w:r>
        <w:rPr>
          <w:vertAlign w:val="subscript"/>
        </w:rPr>
        <w:t>2</w:t>
      </w:r>
      <w:r>
        <w:t>作为促进混合离子电子传导的电化学活性基质。这种设计消除了非活性成分，并实现了阴离子-阳离子氧化还原化学的协同作用。因此，这种设计的阴极实现了前所未有的电极级能量密度 1829 Wh/kg，维持了 11.6 mAh/cm2 的面积容量</w:t>
      </w:r>
      <w:r>
        <w:rPr>
          <w:vertAlign w:val="subscript"/>
        </w:rPr>
        <w:t>2</w:t>
      </w:r>
    </w:p>
    <w:p>
      <w:pPr>
        <w:spacing w:before="0" w:after="200" w:lineRule="auto" w:line="276"/>
      </w:pPr>
      <w:r>
        <w:rPr>
          <w:b/>
        </w:rPr>
        <w:t xml:space="preserve">Abstract (EN): </w:t>
      </w:r>
      <w:r>
        <w:t>The capacity utilization of all‐solid‐state sulfur cathodes reveals a significant disparity between material and electrode levels due to the high proportion of inactive components required for electro‐ionic transport. While the all‐electrochem‐active (AEA) electrode concept seeks to bridge this gap, fully realizing the energy‐density potential of sulfur‐based cathodes remains challenging. Here, we report a new strategy for co‐modulating the redox of the transition‐metal cation/sulfur anion to unlock the potential of the sulfur‐based electrode. By carefully adjusting the coordination between S anions and Ti cations, we constructed the AEA electrode with S‐anion (TiS</w:t>
      </w:r>
      <w:r>
        <w:t xml:space="preserve"> </w:t>
      </w:r>
      <w:r>
        <w:t>x</w:t>
      </w:r>
      <w:r>
        <w:t xml:space="preserve"> </w:t>
      </w:r>
      <w:r>
        <w:t>,</w:t>
      </w:r>
      <w:r>
        <w:t xml:space="preserve"> </w:t>
      </w:r>
      <w:r>
        <w:t>x</w:t>
      </w:r>
      <w:r>
        <w:t xml:space="preserve"> </w:t>
      </w:r>
      <w:r>
        <w:t>&amp;gt; 2)/Ti‐cation (amorphous TiS</w:t>
      </w:r>
      <w:r>
        <w:rPr>
          <w:vertAlign w:val="subscript"/>
        </w:rPr>
        <w:t>2</w:t>
      </w:r>
      <w:r>
        <w:t>) co‐redox, where TiS</w:t>
      </w:r>
      <w:r>
        <w:t xml:space="preserve"> </w:t>
      </w:r>
      <w:r>
        <w:t>x</w:t>
      </w:r>
      <w:r>
        <w:t xml:space="preserve"> </w:t>
      </w:r>
      <w:r>
        <w:t>activates the redox activity of sulfur‐rich phases with narrower bandgaps through the reversible cleavage and recombination of S–S bonds, thereby enhancing the capacity utilization of anion‐redox in the electrode level, and amorphous TiS</w:t>
      </w:r>
      <w:r>
        <w:rPr>
          <w:vertAlign w:val="subscript"/>
        </w:rPr>
        <w:t>2</w:t>
      </w:r>
      <w:r>
        <w:t>serves as an electrochemically active matrix facilitating mixed ionic‐electronic conduction. This design eliminates inactive components and enables synergistic anion‐cation redox chemistry. Consequently, this designed cathode achieves an unprecedented electrode‐level energy density of 1829 Wh/kg, sustains an areal capacity of 11.6 mAh/cm</w:t>
      </w:r>
      <w:r>
        <w:rPr>
          <w:vertAlign w:val="subscript"/>
        </w:rPr>
        <w:t>2</w:t>
      </w:r>
      <w:r>
        <w:t>, and exhibits long‐term stability over 10 000 h. Device‐level demonstrations validate this synergistic approach as an effective design principle for realizing high‐energy‐density, long‐life all‐solid‐state battery cathodes under practical conditions.</w:t>
      </w:r>
    </w:p>
    <w:p>
      <w:pPr>
        <w:spacing w:before="120" w:after="120"/>
      </w:pPr>
      <w:r>
        <w:rPr>
          <w:sz w:val="18"/>
        </w:rPr>
        <w:t>——————————————————————————————————————————————————————————————————————</w:t>
      </w:r>
    </w:p>
    <w:p>
      <w:pPr>
        <w:spacing w:before="160" w:after="120"/>
      </w:pPr>
      <w:r>
        <w:rPr>
          <w:b/>
          <w:sz w:val="28"/>
        </w:rPr>
        <w:t>【负极】</w:t>
      </w:r>
    </w:p>
    <w:p>
      <w:pPr>
        <w:spacing w:before="160" w:after="40" w:line="240" w:lineRule="auto"/>
      </w:pPr>
      <w:r>
        <w:rPr>
          <w:b/>
        </w:rPr>
        <w:t xml:space="preserve">[1] </w:t>
      </w:r>
      <w:hyperlink r:id="rId60">
        <w:r>
          <w:rPr>
            <w:color w:val="1155CC"/>
            <w:u w:val="single"/>
          </w:rPr>
          <w:t>通过原位透射电子显微镜操作鉴定阴离子对锂成核和生长的影响</w:t>
        </w:r>
      </w:hyperlink>
    </w:p>
    <w:p>
      <w:pPr>
        <w:spacing w:before="0" w:after="80"/>
      </w:pPr>
      <w:r>
        <w:rPr>
          <w:i/>
          <w:sz w:val="20"/>
        </w:rPr>
        <w:t>EN: Operando identification of anion effect on lithium nucleation and growth via in situ transmission electron microscopy</w:t>
      </w:r>
    </w:p>
    <w:p>
      <w:pPr>
        <w:spacing w:before="0" w:after="120"/>
      </w:pPr>
      <w:r>
        <w:rPr>
          <w:b/>
        </w:rPr>
        <w:t xml:space="preserve">Source: </w:t>
      </w:r>
      <w:r>
        <w:t>Physical sciences : Nature Communications subject feeds</w:t>
      </w:r>
      <w:r>
        <w:t xml:space="preserve">    </w:t>
      </w:r>
      <w:r>
        <w:rPr>
          <w:b/>
        </w:rPr>
        <w:t xml:space="preserve">Pub date: </w:t>
      </w:r>
      <w:r>
        <w:t>2026-06-13 00:00:00+00:00</w:t>
      </w:r>
    </w:p>
    <w:p>
      <w:pPr>
        <w:spacing w:before="0" w:after="120"/>
      </w:pPr>
      <w:r>
        <w:rPr>
          <w:b/>
        </w:rPr>
        <w:t xml:space="preserve">Notes: </w:t>
      </w:r>
      <w:r>
        <w:t>abstract_source=nature_html</w:t>
      </w:r>
    </w:p>
    <w:p>
      <w:pPr>
        <w:spacing w:before="0" w:after="80" w:lineRule="auto" w:line="276"/>
      </w:pPr>
      <w:r>
        <w:rPr>
          <w:b/>
        </w:rPr>
        <w:t xml:space="preserve">摘要（ZH）: </w:t>
      </w:r>
      <w:r>
        <w:t>由于锂负极具有高容量和低氧化还原电位，锂金属电池被认为是下一代储能的有希望的候选者。然而，枝晶锂的生长和不稳定的固体电解质界面形成仍然是实际实施的关键瓶颈。虽然电解质阴离子化学关键控制着固体电解质界面的形成，但阴离子调节的锂成核和生长机制的纳米级观察在跟踪动态界面过程方面仍然受到限制。在这里，我们采用原位液相透射电子显微镜结合低温光谱学和计算模型来揭示三种不同电解质中阴离子特异性锂的成核和生长：LiClO4、LiPF6 和 LiTFSI 基电解质。实时跟踪表明，ClO4− 通过有机主导的固体电解质界面驱动枝晶锂生长，而 PF6− 通过 LiF-有机杂化界面稳定苔藓状锂成核。值得注意的是，TFSI⁻形成双层SEI，内层富含LiF/Li2CO3，从而实现Li的横向生长和融合。分子动力学模拟将阴离子诱导的界面结构与 Li+ 传输和表面电位分布相关联，证明 TFSI− 通过平衡机械限制和离子通量调节来抑制枝晶。这些阴离子介导的界面工程观察结果为稳定的锂金属电池的电解质设计提供了原理。</w:t>
      </w:r>
    </w:p>
    <w:p>
      <w:pPr>
        <w:spacing w:before="0" w:after="200" w:lineRule="auto" w:line="276"/>
      </w:pPr>
      <w:r>
        <w:rPr>
          <w:b/>
        </w:rPr>
        <w:t xml:space="preserve">Abstract (EN): </w:t>
      </w:r>
      <w:r>
        <w:t>Lithium metal batteries are considered promising candidates for next-generation energy storage due to the high capacity and low redox potential of lithium negative electrodes. However, dendritic Li growth and unstable solid-electrolyte interphase formation remain critical bottlenecks for practical implementation. While electrolyte anion chemistry critically governs solid-electrolyte interphase formation, nanoscale observations of anion-regulated Li nucleation and growth mechanisms remain limited in tracking dynamic interfacial processes. Here, we employ in situ liquid-phase transmission electron microscopy combined with cryogenic spectroscopy and computational modelling to unravel anion-specific Li nucleation and growth in three distinct electrolytes: LiClO4, LiPF6, and LiTFSI-based electrolytes. Real-time tracking reveals that ClO4− drives dendritic Li growth with organic dominated solid-electrolyte interphase, whereas PF6− stabilizes moss-like Li nucleation through LiF-organic hybrid interphases. Notably, TFSI⁻ forms a bilayer SEI with LiF/Li2CO3-rich inner layers, enabling Li lateral growth and fusion. Molecular dynamics simulations correlate anion-induced interface architectures with Li+ transport and surface potential distributions, demonstrating that TFSI− suppresses dendrites via balanced mechanical confinement and ion-flux regulation. These anion-mediated interface engineering observations offers principles for electrolyte design toward stable lithium metal batteries.</w:t>
      </w:r>
    </w:p>
    <w:p>
      <w:pPr>
        <w:spacing w:before="120" w:after="120"/>
      </w:pPr>
      <w:r>
        <w:rPr>
          <w:sz w:val="18"/>
        </w:rPr>
        <w:t>——————————————————————————————————————————————————————————————————————</w:t>
      </w:r>
    </w:p>
    <w:p>
      <w:pPr>
        <w:spacing w:before="160" w:after="40" w:line="240" w:lineRule="auto"/>
      </w:pPr>
      <w:r>
        <w:rPr>
          <w:b/>
        </w:rPr>
        <w:t xml:space="preserve">[2] </w:t>
      </w:r>
      <w:hyperlink r:id="rId33">
        <w:r>
          <w:rPr>
            <w:color w:val="1155CC"/>
            <w:u w:val="single"/>
          </w:rPr>
          <w:t>无阳极锂硫电池中高效有机二硫化物介体实现 Li2S 氧化还原动力学和阳极稳定性的协同双重调节</w:t>
        </w:r>
      </w:hyperlink>
    </w:p>
    <w:p>
      <w:pPr>
        <w:spacing w:before="0" w:after="80"/>
      </w:pPr>
      <w:r>
        <w:rPr>
          <w:i/>
          <w:sz w:val="20"/>
        </w:rPr>
        <w:t>EN: Synergistic Dual Modulation of Li2S Redox Kinetics and Anode Stability Enabled by a High‐Efficiency Organodisulfide Mediator in Anode‐Free Lithium–Sulfur Batteries</w:t>
      </w:r>
    </w:p>
    <w:p>
      <w:pPr>
        <w:spacing w:before="0" w:after="120"/>
      </w:pPr>
      <w:r>
        <w:rPr>
          <w:b/>
        </w:rPr>
        <w:t xml:space="preserve">Source: </w:t>
      </w:r>
      <w:r>
        <w:t>Wiley-Online-Library: Advanced Materials: Table of Contents</w:t>
      </w:r>
      <w:r>
        <w:t xml:space="preserve">    </w:t>
      </w:r>
      <w:r>
        <w:rPr>
          <w:b/>
        </w:rPr>
        <w:t xml:space="preserve">Pub date: </w:t>
      </w:r>
      <w:r>
        <w:t>2026-06-13 02:50:19+00:00</w:t>
      </w:r>
      <w:r>
        <w:t xml:space="preserve">    </w:t>
      </w:r>
      <w:r>
        <w:rPr>
          <w:b/>
        </w:rPr>
        <w:t xml:space="preserve">DOI: </w:t>
      </w:r>
      <w:hyperlink r:id="rId34">
        <w:r>
          <w:rPr>
            <w:color w:val="1155CC"/>
            <w:u w:val="single"/>
          </w:rPr>
          <w:t>10.1002/adma.73710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硫化锂（Li</w:t>
      </w:r>
      <w:r>
        <w:rPr>
          <w:vertAlign w:val="subscript"/>
        </w:rPr>
        <w:t>2</w:t>
      </w:r>
      <w:r>
        <w:t>S）由于其高理论容量、丰富的硫资源以及与无阳极结构的兼容性，对于高能量密度锂硫（Li─S）电池至关重要。然而，其本质绝缘性和缓慢的氧化还原动力学阻碍了其应用。此外，传统的1,3-二氧戊环/1,2-二甲氧基乙烷电解质不能承受高电压，并且由于闪点低而存在安全隐患。在此，我们提出了一种协同策略，将二硫化二异丙酯（DIP）作为多功能氧化还原介体引入高闪点、耐高电压的四甘醇二甲醚电解质体系中。 DIP直接转换Li</w:t>
      </w:r>
      <w:r>
        <w:rPr>
          <w:vertAlign w:val="subscript"/>
        </w:rPr>
        <w:t>2</w:t>
      </w:r>
      <w:r>
        <w:t>将S转化为多硫化锂，将首次充电的活化电压从3.18 V降低至2.48。同时，DIP有利于在锂表面形成富含有机硫的固体电解质界面，有效抑制锂枝晶的形成和生长。至关重要的是，该系统能够实现无阳极 Cu||Li 的稳定循环</w:t>
      </w:r>
      <w:r>
        <w:rPr>
          <w:vertAlign w:val="subscript"/>
        </w:rPr>
        <w:t>2</w:t>
      </w:r>
      <w:r>
        <w:t>S 电池，0.3 mAh cm 时可循环 160 次</w:t>
      </w:r>
      <w:r>
        <w:t xml:space="preserve"> </w:t>
      </w:r>
      <w:r>
        <w:t>−2</w:t>
      </w:r>
      <w:r>
        <w:t xml:space="preserve"> </w:t>
      </w:r>
      <w:r>
        <w:t>。标准锂||锂</w:t>
      </w:r>
      <w:r>
        <w:rPr>
          <w:vertAlign w:val="subscript"/>
        </w:rPr>
        <w:t>2</w:t>
      </w:r>
      <w:r>
        <w:t>S 电池还表现出卓越的耐用性，在 1C 时实现了 0.037% 的极低每循环衰减率。此外，该策略还为其他金属硫体系带来了希望，例如Na─S、K─S、Ca</w:t>
      </w:r>
    </w:p>
    <w:p>
      <w:pPr>
        <w:spacing w:before="0" w:after="200" w:lineRule="auto" w:line="276"/>
      </w:pPr>
      <w:r>
        <w:rPr>
          <w:b/>
        </w:rPr>
        <w:t xml:space="preserve">Abstract (EN): </w:t>
      </w:r>
      <w:r>
        <w:t>Lithium sulfide (Li</w:t>
      </w:r>
      <w:r>
        <w:rPr>
          <w:vertAlign w:val="subscript"/>
        </w:rPr>
        <w:t>2</w:t>
      </w:r>
      <w:r>
        <w:t>S) is pivotal for high‐energy‐density lithium–sulfur (Li─S) batteries due to its high theoretical capacity, abundant sulfur resources, and compatibility with anode‐free architectures. However, its application is hindered by its intrinsically insulating nature and sluggish redox kinetics. Furthermore, traditional 1,3‐dioxolane/1,2‐dimethoxyethane electrolytes cannot withstand high voltages and pose safety hazards due to low flash points. Herein, we propose a synergistic strategy by introducing diisopropyl dithiocarbonate disulfide (DIP) as a multifunctional redox mediator into a high‐flash‐point, high‐voltage‐tolerant tetraethylene glycol dimethyl ether electrolyte system. DIP directly converts Li</w:t>
      </w:r>
      <w:r>
        <w:rPr>
          <w:vertAlign w:val="subscript"/>
        </w:rPr>
        <w:t>2</w:t>
      </w:r>
      <w:r>
        <w:t>S to lithium polysulfides, decreasing the activation voltage of the first charge to 2.48 from 3.18 V. Simultaneously, DIP facilitates the formation of an organosulfur‐rich solid electrolyte interface on the lithium surface, effectively suppressing lithium dendrite formation and growth. Crucially, this system enables stable cycling in anode‐free Cu||Li</w:t>
      </w:r>
      <w:r>
        <w:rPr>
          <w:vertAlign w:val="subscript"/>
        </w:rPr>
        <w:t>2</w:t>
      </w:r>
      <w:r>
        <w:t>S batteries for 160 cycles at 0.3 mAh cm</w:t>
      </w:r>
      <w:r>
        <w:t xml:space="preserve"> </w:t>
      </w:r>
      <w:r>
        <w:t>−2</w:t>
      </w:r>
      <w:r>
        <w:t xml:space="preserve"> </w:t>
      </w:r>
      <w:r>
        <w:t>. Standard Li||Li</w:t>
      </w:r>
      <w:r>
        <w:rPr>
          <w:vertAlign w:val="subscript"/>
        </w:rPr>
        <w:t>2</w:t>
      </w:r>
      <w:r>
        <w:t>S cells also demonstrate superior durability, achieving an extremely low per‐cycle decay rate of 0.037% at 1C. Moreover, this strategy holds promise for other metal‐sulfur systems, such as Na─S, K─S, Ca─S, Mg─S, and Zn─S batteries, providing a feasible path for safe, next‐generation energy storage.</w:t>
      </w:r>
    </w:p>
    <w:p>
      <w:pPr>
        <w:spacing w:before="120" w:after="120"/>
      </w:pPr>
      <w:r>
        <w:rPr>
          <w:sz w:val="18"/>
        </w:rPr>
        <w:t>——————————————————————————————————————————————————————————————————————</w:t>
      </w:r>
    </w:p>
    <w:p>
      <w:pPr>
        <w:spacing w:before="160" w:after="40" w:line="240" w:lineRule="auto"/>
      </w:pPr>
      <w:r>
        <w:rPr>
          <w:b/>
        </w:rPr>
        <w:t xml:space="preserve">[3] </w:t>
      </w:r>
      <w:hyperlink r:id="rId61">
        <w:r>
          <w:rPr>
            <w:color w:val="1155CC"/>
            <w:u w:val="single"/>
          </w:rPr>
          <w:t>一种以木质素为目标的预氧化策略，用于缓解钠离子电池高稳定性木质硬碳阳极的闭孔塌陷</w:t>
        </w:r>
      </w:hyperlink>
    </w:p>
    <w:p>
      <w:pPr>
        <w:spacing w:before="0" w:after="80"/>
      </w:pPr>
      <w:r>
        <w:rPr>
          <w:i/>
          <w:sz w:val="20"/>
        </w:rPr>
        <w:t>EN: A Lignin‐Targeted Pre‐Oxidation Strategy for Mitigating Closed Pore Collapse Toward High‐Stability Wood‐Based Hard Carbon Anodes for Na‐Ion Batteries</w:t>
      </w:r>
    </w:p>
    <w:p>
      <w:pPr>
        <w:spacing w:before="0" w:after="120"/>
      </w:pPr>
      <w:r>
        <w:rPr>
          <w:b/>
        </w:rPr>
        <w:t xml:space="preserve">Source: </w:t>
      </w:r>
      <w:r>
        <w:t>Wiley-Online-Library: Advanced Energy Materials: Table of Contents</w:t>
      </w:r>
      <w:r>
        <w:t xml:space="preserve">    </w:t>
      </w:r>
      <w:r>
        <w:rPr>
          <w:b/>
        </w:rPr>
        <w:t xml:space="preserve">Pub date: </w:t>
      </w:r>
      <w:r>
        <w:t>2026-06-13 11:03:24+00:00</w:t>
      </w:r>
      <w:r>
        <w:t xml:space="preserve">    </w:t>
      </w:r>
      <w:r>
        <w:rPr>
          <w:b/>
        </w:rPr>
        <w:t xml:space="preserve">DOI: </w:t>
      </w:r>
      <w:hyperlink r:id="rId62">
        <w:r>
          <w:rPr>
            <w:color w:val="1155CC"/>
            <w:u w:val="single"/>
          </w:rPr>
          <w:t>10.1002/aenm.71179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其结构多样性，木质生物质是钠离子电池硬碳阳极最有前途的前体。为了实现对硬碳微观结构的精确控制，我们利用生物质中木质素和纤维素之间的差异热响应性，设计了一种普遍适用的木质素靶向预氧化策略。我们采用了 NEXAFS、PDF 和 SAXS 分析，结果表明，有针对性的预氧化可以减轻碳化过程中的闭孔塌陷，从而实现精确的结构工程，从而显着增强平台容量。该方法可提供 392.0 mAh g的可逆容量</w:t>
      </w:r>
      <w:r>
        <w:t xml:space="preserve"> </w:t>
      </w:r>
      <w:r>
        <w:t>−1</w:t>
      </w:r>
      <w:r>
        <w:t xml:space="preserve"> </w:t>
      </w:r>
      <w:r>
        <w:t>0.1 C 下的初始库仑效率为 92.2%，5.0 C 下循环 2700 次后容量保持率超过 81.2%。此外，全细胞含Na</w:t>
      </w:r>
      <w:r>
        <w:rPr>
          <w:vertAlign w:val="subscript"/>
        </w:rPr>
        <w:t>4</w:t>
      </w:r>
      <w:r>
        <w:t>铁</w:t>
      </w:r>
      <w:r>
        <w:rPr>
          <w:vertAlign w:val="subscript"/>
        </w:rPr>
        <w:t>3</w:t>
      </w:r>
      <w:r>
        <w:t>（采购订单</w:t>
      </w:r>
      <w:r>
        <w:rPr>
          <w:vertAlign w:val="subscript"/>
        </w:rPr>
        <w:t>4</w:t>
      </w:r>
      <w:r>
        <w:t>）</w:t>
      </w:r>
      <w:r>
        <w:rPr>
          <w:vertAlign w:val="subscript"/>
        </w:rPr>
        <w:t>2</w:t>
      </w:r>
      <w:r>
        <w:t>磷</w:t>
      </w:r>
      <w:r>
        <w:rPr>
          <w:vertAlign w:val="subscript"/>
        </w:rPr>
        <w:t>2</w:t>
      </w:r>
      <w:r>
        <w:t>氧</w:t>
      </w:r>
      <w:r>
        <w:rPr>
          <w:vertAlign w:val="subscript"/>
        </w:rPr>
        <w:t>7</w:t>
      </w:r>
      <w:r>
        <w:t>组装后，纽扣电池在 11,000 次循环后仍保留约 85% 的容量，而 14Ah 软包电池在 1500 次循环后可表现出约 100% 的容量。该策略在不同的生物质中得到了验证，为设计商业钠离子电池阳极提供了机制见解。</w:t>
      </w:r>
    </w:p>
    <w:p>
      <w:pPr>
        <w:spacing w:before="0" w:after="200" w:lineRule="auto" w:line="276"/>
      </w:pPr>
      <w:r>
        <w:rPr>
          <w:b/>
        </w:rPr>
        <w:t xml:space="preserve">Abstract (EN): </w:t>
      </w:r>
      <w:r>
        <w:t>Wood‐based biomass is the most promising precursor of hard carbon anode for sodium‐ion batteries, due to its structural diversity. To realize precise control of the microstructure for hard carbons, we engineer a generally applicable lignin‐targeted pre‐oxidation strategy utilizing differential thermal responsiveness between lignin and cellulose in biomass. We employed NEXAFS, PDF, and SAXS analysis, which reveals that targeted pre‐oxidation mitigates closed‐pore collapse during carbonization, enabling precise structural engineering that significantly enhances platform capacity. This method delivers a reversible capacity of 392.0 mAh g</w:t>
      </w:r>
      <w:r>
        <w:t xml:space="preserve"> </w:t>
      </w:r>
      <w:r>
        <w:t>−1</w:t>
      </w:r>
      <w:r>
        <w:t xml:space="preserve"> </w:t>
      </w:r>
      <w:r>
        <w:t>with an initial columbic efficiency of 92.2% at 0.1 C, and a capacity retention exceeded 81.2% can be achieved after 2700 cycles at 5.0C. Moreover, full cells with Na</w:t>
      </w:r>
      <w:r>
        <w:rPr>
          <w:vertAlign w:val="subscript"/>
        </w:rPr>
        <w:t>4</w:t>
      </w:r>
      <w:r>
        <w:t>Fe</w:t>
      </w:r>
      <w:r>
        <w:rPr>
          <w:vertAlign w:val="subscript"/>
        </w:rPr>
        <w:t>3</w:t>
      </w:r>
      <w:r>
        <w:t>(PO</w:t>
      </w:r>
      <w:r>
        <w:rPr>
          <w:vertAlign w:val="subscript"/>
        </w:rPr>
        <w:t>4</w:t>
      </w:r>
      <w:r>
        <w:t>)</w:t>
      </w:r>
      <w:r>
        <w:rPr>
          <w:vertAlign w:val="subscript"/>
        </w:rPr>
        <w:t>2</w:t>
      </w:r>
      <w:r>
        <w:t>P</w:t>
      </w:r>
      <w:r>
        <w:rPr>
          <w:vertAlign w:val="subscript"/>
        </w:rPr>
        <w:t>2</w:t>
      </w:r>
      <w:r>
        <w:t>O</w:t>
      </w:r>
      <w:r>
        <w:rPr>
          <w:vertAlign w:val="subscript"/>
        </w:rPr>
        <w:t>7</w:t>
      </w:r>
      <w:r>
        <w:t>were assembled, coin cell retains ∼85% capacity after 11 000 cycles, and 14Ah pouch cells can exhibit ∼100% retention after 1500 cycles. This strategy validated across diverse biomass, providing mechanistic insights for designing commercial sodium‐ion battery anodes.</w:t>
      </w:r>
    </w:p>
    <w:p>
      <w:pPr>
        <w:spacing w:before="120" w:after="120"/>
      </w:pPr>
      <w:r>
        <w:rPr>
          <w:sz w:val="18"/>
        </w:rPr>
        <w:t>——————————————————————————————————————————————————————————————————————</w:t>
      </w:r>
    </w:p>
    <w:p>
      <w:pPr>
        <w:spacing w:before="160" w:after="40" w:line="240" w:lineRule="auto"/>
      </w:pPr>
      <w:r>
        <w:rPr>
          <w:b/>
        </w:rPr>
        <w:t xml:space="preserve">[4] </w:t>
      </w:r>
      <w:hyperlink r:id="rId63">
        <w:r>
          <w:rPr>
            <w:color w:val="1155CC"/>
            <w:u w:val="single"/>
          </w:rPr>
          <w:t>隧道框架界面驱动 Zn2+ 快速扩散，实现长寿命锌金属阳极</w:t>
        </w:r>
      </w:hyperlink>
    </w:p>
    <w:p>
      <w:pPr>
        <w:spacing w:before="0" w:after="80"/>
      </w:pPr>
      <w:r>
        <w:rPr>
          <w:i/>
          <w:sz w:val="20"/>
        </w:rPr>
        <w:t>EN: Tunnel‐Framework Interphase Driving Rapid Zn2+ Diffusion for Long‐Life Zn Metal Anodes</w:t>
      </w:r>
    </w:p>
    <w:p>
      <w:pPr>
        <w:spacing w:before="0" w:after="120"/>
      </w:pPr>
      <w:r>
        <w:rPr>
          <w:b/>
        </w:rPr>
        <w:t xml:space="preserve">Source: </w:t>
      </w:r>
      <w:r>
        <w:t>Wiley-Online-Library: Advanced Energy Materials: Table of Contents</w:t>
      </w:r>
      <w:r>
        <w:t xml:space="preserve">    </w:t>
      </w:r>
      <w:r>
        <w:rPr>
          <w:b/>
        </w:rPr>
        <w:t xml:space="preserve">Pub date: </w:t>
      </w:r>
      <w:r>
        <w:t>2026-06-13 11:06:02+00:00</w:t>
      </w:r>
      <w:r>
        <w:t xml:space="preserve">    </w:t>
      </w:r>
      <w:r>
        <w:rPr>
          <w:b/>
        </w:rPr>
        <w:t xml:space="preserve">DOI: </w:t>
      </w:r>
      <w:hyperlink r:id="rId64">
        <w:r>
          <w:rPr>
            <w:color w:val="1155CC"/>
            <w:u w:val="single"/>
          </w:rPr>
          <w:t>10.1002/aenm.71196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系锌离子电池（AZIB）由于其低成本和高安全性，目前在大规模储能领域引起了人们的广泛关注。然而，与水性电解质相关的技术问题，包括析氢反应（HER）、腐蚀和扩散相关的枝晶生长，严重阻碍了其商业化。在此，稳定的 3D 隧道框架（表示为 ASN）由 Si 组成</w:t>
      </w:r>
      <w:r>
        <w:rPr>
          <w:vertAlign w:val="subscript"/>
        </w:rPr>
        <w:t>3</w:t>
      </w:r>
      <w:r>
        <w:t>氮</w:t>
      </w:r>
      <w:r>
        <w:rPr>
          <w:vertAlign w:val="subscript"/>
        </w:rPr>
        <w:t>4</w:t>
      </w:r>
      <w:r>
        <w:t>层构建在裸露的锌箔电极上。该框架诱导均匀的锌离子通量，使锌离子能够快速扩散，同时隔离锌金属表面与水的直接接触，从而抑制寄生反应。 密度泛函理论计算和 X 射线吸收精细结构结果表明，涂层内的 Si─N 位点有利于 Zn 的隧道内跳跃</w:t>
      </w:r>
      <w:r>
        <w:t xml:space="preserve"> </w:t>
      </w:r>
      <w:r>
        <w:t>2+</w:t>
      </w:r>
      <w:r>
        <w:t xml:space="preserve"> </w:t>
      </w:r>
      <w:r>
        <w:t>。 扫描电子显微镜 (SEM) 图像显示，由于隧道框架加速了快速扩散，锌均匀成核和生长，而原位拉曼光谱则显示浓度极化有所减轻。因此，ASN@Zn 对称电池在 3 mA cm 下的使用寿命超过 1800 小时</w:t>
      </w:r>
      <w:r>
        <w:t xml:space="preserve"> </w:t>
      </w:r>
      <w:r>
        <w:t>−2</w:t>
      </w:r>
      <w:r>
        <w:t xml:space="preserve"> </w:t>
      </w:r>
      <w:r>
        <w:t>。 ASN@Zn 阳极在 1500 次循环后平均库仑效率高达 99.89%。 此外，带有钒酸钙阴极的改良全电池在 1 倍电压下表现出稳定的循环~10000 次循环</w:t>
      </w:r>
    </w:p>
    <w:p>
      <w:pPr>
        <w:spacing w:before="0" w:after="200" w:lineRule="auto" w:line="276"/>
      </w:pPr>
      <w:r>
        <w:rPr>
          <w:b/>
        </w:rPr>
        <w:t xml:space="preserve">Abstract (EN): </w:t>
      </w:r>
      <w:r>
        <w:t>Aqueous zinc‐ion batteries (AZIBs) are presently attracting considerable interest for large‐scale energy storage owing to their low cost and high safety. Nevertheless, technical issues associated with aqueous electrolytes, including the hydrogen evolution reaction (HER), corrosion, and diffusion‐related dendrite growth, severely hinder their commercialization. Herein, a stable 3D tunnel framework (denoted as ASN) consisting of a Si</w:t>
      </w:r>
      <w:r>
        <w:rPr>
          <w:vertAlign w:val="subscript"/>
        </w:rPr>
        <w:t>3</w:t>
      </w:r>
      <w:r>
        <w:t>N</w:t>
      </w:r>
      <w:r>
        <w:rPr>
          <w:vertAlign w:val="subscript"/>
        </w:rPr>
        <w:t>4</w:t>
      </w:r>
      <w:r>
        <w:t>layer is constructed on bare Zn foil electrodes. The framework induces a homogeneous zinc ion flux and enables fast diffusion of zinc ions, while isolating the Zn metal surface from direct contact with water, thereby suppressing parasitic reactions. Density functional theory calculations and x‐ray absorption fine structure results reveal that Si─N sites within the coating facilitate the in‐tunnel hopping of Zn</w:t>
      </w:r>
      <w:r>
        <w:t xml:space="preserve"> </w:t>
      </w:r>
      <w:r>
        <w:t>2+</w:t>
      </w:r>
      <w:r>
        <w:t xml:space="preserve"> </w:t>
      </w:r>
      <w:r>
        <w:t>. Scanning electron microscope (SEM) images reveal uniform Zn nucleation and growth owing to the rapid diffusion accelerated by the tunnel framework, while in situ Raman spectroscopy reveals mitigated concentration polarization. As a result, the ASN@Zn symmetric cell exhibits an extended lifespan of more than 1800 h at 3 mA cm</w:t>
      </w:r>
      <w:r>
        <w:t xml:space="preserve"> </w:t>
      </w:r>
      <w:r>
        <w:t>−2</w:t>
      </w:r>
      <w:r>
        <w:t xml:space="preserve"> </w:t>
      </w:r>
      <w:r>
        <w:t>. The ASN@Zn anode reaches a high average coulombic efficiency of 99.89% over 1500 cycles. Moreover, the modified full cell with calcium vanadate cathode exhibits stable cycling for ∼10 000 cycles at 14 A g</w:t>
      </w:r>
      <w:r>
        <w:t xml:space="preserve"> </w:t>
      </w:r>
      <w:r>
        <w:t>−1</w:t>
      </w:r>
      <w:r>
        <w:t xml:space="preserve"> </w:t>
      </w:r>
      <w:r>
        <w:t>.</w:t>
      </w:r>
    </w:p>
    <w:p>
      <w:pPr>
        <w:spacing w:before="120" w:after="120"/>
      </w:pPr>
      <w:r>
        <w:rPr>
          <w:sz w:val="18"/>
        </w:rPr>
        <w:t>——————————————————————————————————————————————————————————————————————</w:t>
      </w:r>
    </w:p>
    <w:p>
      <w:pPr>
        <w:spacing w:before="160" w:after="40" w:line="240" w:lineRule="auto"/>
      </w:pPr>
      <w:r>
        <w:rPr>
          <w:b/>
        </w:rPr>
        <w:t xml:space="preserve">[5] </w:t>
      </w:r>
      <w:hyperlink r:id="rId65">
        <w:r>
          <w:rPr>
            <w:color w:val="1155CC"/>
            <w:u w:val="single"/>
          </w:rPr>
          <w:t>揭示超长 8500 次循环铁离子电池的晶体取向设计原理</w:t>
        </w:r>
      </w:hyperlink>
    </w:p>
    <w:p>
      <w:pPr>
        <w:spacing w:before="0" w:after="80"/>
      </w:pPr>
      <w:r>
        <w:rPr>
          <w:i/>
          <w:sz w:val="20"/>
        </w:rPr>
        <w:t>EN: Unraveling the Design Principles of Crystallographic Orientation for Ultralong, 8500 Cycled Fe‐Ion Battery</w:t>
      </w:r>
    </w:p>
    <w:p>
      <w:pPr>
        <w:spacing w:before="0" w:after="120"/>
      </w:pPr>
      <w:r>
        <w:rPr>
          <w:b/>
        </w:rPr>
        <w:t xml:space="preserve">Source: </w:t>
      </w:r>
      <w:r>
        <w:t>Wiley-Online-Library: Advanced Materials: Table of Contents</w:t>
      </w:r>
      <w:r>
        <w:t xml:space="preserve">    </w:t>
      </w:r>
      <w:r>
        <w:rPr>
          <w:b/>
        </w:rPr>
        <w:t xml:space="preserve">Pub date: </w:t>
      </w:r>
      <w:r>
        <w:t>2026-06-13 13:46:50+00:00</w:t>
      </w:r>
      <w:r>
        <w:t xml:space="preserve">    </w:t>
      </w:r>
      <w:r>
        <w:rPr>
          <w:b/>
        </w:rPr>
        <w:t xml:space="preserve">DOI: </w:t>
      </w:r>
      <w:hyperlink r:id="rId66">
        <w:r>
          <w:rPr>
            <w:color w:val="1155CC"/>
            <w:u w:val="single"/>
          </w:rPr>
          <w:t>10.1002/adma.73744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使用铁阳极的可充电水性铁离子电池在固定电网规模的储能中非常有前景，但会遭受析氢（HER）和铁腐蚀的困扰。在此，我们提出了关于金属铁阳极晶体取向设计原理的新见解，以实现长寿命、可持续的铁离子电池。在最佳表面能和吸附能的密度泛函理论模拟的指导下，我们通过在 Ar/H 中对商用铁箔在 1000°C 下进行退火，获得了高度 [110] 取向的 Fe</w:t>
      </w:r>
      <w:r>
        <w:rPr>
          <w:vertAlign w:val="subscript"/>
        </w:rPr>
        <w:t>2</w:t>
      </w:r>
      <w:r>
        <w:t>气氛。 (110)面最大暴露的[110]取向铁箔显示出晶格缺陷、残余应力和晶界密度显着降低。因此，随着铁离子扩散和电荷转移动力学的增强，包括 HER 在内的副反应和副产物的形成得到了很好的抑制。值得注意的是，5.0 A g 下的循环寿命为 8540 次</w:t>
      </w:r>
      <w:r>
        <w:t xml:space="preserve"> </w:t>
      </w:r>
      <w:r>
        <w:t>−1</w:t>
      </w:r>
      <w:r>
        <w:t xml:space="preserve"> </w:t>
      </w:r>
      <w:r>
        <w:t>全电池实现了99.3%的容量保持率，这不仅在水性铁液中非常突出</w:t>
      </w:r>
      <w:r>
        <w:t xml:space="preserve"> </w:t>
      </w:r>
      <w:r>
        <w:t>2+</w:t>
      </w:r>
      <w:r>
        <w:t xml:space="preserve"> </w:t>
      </w:r>
      <w:r>
        <w:t>离子电池系统，但也超过了大多数水性锌</w:t>
      </w:r>
      <w:r>
        <w:t xml:space="preserve"> </w:t>
      </w:r>
      <w:r>
        <w:t>2+</w:t>
      </w:r>
      <w:r>
        <w:t xml:space="preserve"> </w:t>
      </w:r>
      <w:r>
        <w:t>, 镁</w:t>
      </w:r>
      <w:r>
        <w:t xml:space="preserve"> </w:t>
      </w:r>
      <w:r>
        <w:t>2+</w:t>
      </w:r>
      <w:r>
        <w:t xml:space="preserve"> </w:t>
      </w:r>
      <w:r>
        <w:t>离子电池最近报道。我们的研究结果表明，均匀外延 Fe</w:t>
      </w:r>
      <w:r>
        <w:t xml:space="preserve"> </w:t>
      </w:r>
      <w:r>
        <w:t>2+</w:t>
      </w:r>
      <w:r>
        <w:t xml:space="preserve"> </w:t>
      </w:r>
      <w:r>
        <w:t>沿择优取向铁阳极表面电沉积是解决棘手的 HER 和腐蚀问题的有效策略</w:t>
      </w:r>
    </w:p>
    <w:p>
      <w:pPr>
        <w:spacing w:before="0" w:after="200" w:lineRule="auto" w:line="276"/>
      </w:pPr>
      <w:r>
        <w:rPr>
          <w:b/>
        </w:rPr>
        <w:t xml:space="preserve">Abstract (EN): </w:t>
      </w:r>
      <w:r>
        <w:t>Rechargeable aqueous Fe‐ion batteries using Fe anodes is very promising in stationary grid‐scale energy storage but suffer from hydrogen evolution (HER) and Fe corrosion. Herein, we present new insights on the design principle of crystallographic orientation of the metallic Fe anode for long lifespan, sustainable Fe‐ion batteries. Guided by a density functional theory simulation on optimal surface energy and adsorption energy, we obtained highly [110] oriented Fe by annealing the commercial Fe foil at 1000°C in Ar/H</w:t>
      </w:r>
      <w:r>
        <w:rPr>
          <w:vertAlign w:val="subscript"/>
        </w:rPr>
        <w:t>2</w:t>
      </w:r>
      <w:r>
        <w:t>atmosphere. The [110] oriented Fe foil with the maximum exposure of (110) plane shows the significantly decreased lattice defect, residual stress, and grain boundary density. Consequently, side reactions including HER and by‐product formation were well suppressed with enhanced Fe‐ion diffusion and charge transfer kinetics. Significantly, 8540 cycle‐lifespan at 5.0 A g</w:t>
      </w:r>
      <w:r>
        <w:t xml:space="preserve"> </w:t>
      </w:r>
      <w:r>
        <w:t>−1</w:t>
      </w:r>
      <w:r>
        <w:t xml:space="preserve"> </w:t>
      </w:r>
      <w:r>
        <w:t>with 99.3% capacity retention was achieved in the full battery, which is not only very prominent in aqueous Fe</w:t>
      </w:r>
      <w:r>
        <w:t xml:space="preserve"> </w:t>
      </w:r>
      <w:r>
        <w:t>2+</w:t>
      </w:r>
      <w:r>
        <w:t xml:space="preserve"> </w:t>
      </w:r>
      <w:r>
        <w:t>ion battery systems, but also surpasses most of aqueous Zn</w:t>
      </w:r>
      <w:r>
        <w:t xml:space="preserve"> </w:t>
      </w:r>
      <w:r>
        <w:t>2+</w:t>
      </w:r>
      <w:r>
        <w:t xml:space="preserve"> </w:t>
      </w:r>
      <w:r>
        <w:t>, Mg</w:t>
      </w:r>
      <w:r>
        <w:t xml:space="preserve"> </w:t>
      </w:r>
      <w:r>
        <w:t>2+</w:t>
      </w:r>
      <w:r>
        <w:t xml:space="preserve"> </w:t>
      </w:r>
      <w:r>
        <w:t>ion batteries recently reported. Our findings demonstrate that uniform epitaxial Fe</w:t>
      </w:r>
      <w:r>
        <w:t xml:space="preserve"> </w:t>
      </w:r>
      <w:r>
        <w:t>2+</w:t>
      </w:r>
      <w:r>
        <w:t xml:space="preserve"> </w:t>
      </w:r>
      <w:r>
        <w:t>electrodeposition along the surface of preferred oriented Fe anode is an effective strategy to address the troublesome HER and corrosion issues in the aqueous battery using low‐cost, industrial Fe element.</w:t>
      </w:r>
    </w:p>
    <w:p>
      <w:pPr>
        <w:spacing w:before="120" w:after="120"/>
      </w:pPr>
      <w:r>
        <w:rPr>
          <w:sz w:val="18"/>
        </w:rPr>
        <w:t>——————————————————————————————————————————————————————————————————————</w:t>
      </w:r>
    </w:p>
    <w:p>
      <w:pPr>
        <w:spacing w:before="160" w:after="40" w:line="240" w:lineRule="auto"/>
      </w:pPr>
      <w:r>
        <w:rPr>
          <w:b/>
        </w:rPr>
        <w:t xml:space="preserve">[6] </w:t>
      </w:r>
      <w:hyperlink r:id="rId37">
        <w:r>
          <w:rPr>
            <w:color w:val="1155CC"/>
            <w:u w:val="single"/>
          </w:rPr>
          <w:t>解锁实用固态锌金属软包​​电池的全各向异性组件集成范例</w:t>
        </w:r>
      </w:hyperlink>
    </w:p>
    <w:p>
      <w:pPr>
        <w:spacing w:before="0" w:after="80"/>
      </w:pPr>
      <w:r>
        <w:rPr>
          <w:i/>
          <w:sz w:val="20"/>
        </w:rPr>
        <w:t>EN: Unlocking an All‐Anisotropic‐Component Integrated Paradigm Toward Practical Solid‐State Zinc Metal Pouch Cells</w:t>
      </w:r>
    </w:p>
    <w:p>
      <w:pPr>
        <w:spacing w:before="0" w:after="120"/>
      </w:pPr>
      <w:r>
        <w:rPr>
          <w:b/>
        </w:rPr>
        <w:t xml:space="preserve">Source: </w:t>
      </w:r>
      <w:r>
        <w:t>Wiley-Online-Library: Angewandte Chemie International Edition: Table of Contents</w:t>
      </w:r>
      <w:r>
        <w:t xml:space="preserve">    </w:t>
      </w:r>
      <w:r>
        <w:rPr>
          <w:b/>
        </w:rPr>
        <w:t xml:space="preserve">Pub date: </w:t>
      </w:r>
      <w:r>
        <w:t>2026-06-13 17:13:46+00:00</w:t>
      </w:r>
      <w:r>
        <w:t xml:space="preserve">    </w:t>
      </w:r>
      <w:r>
        <w:rPr>
          <w:b/>
        </w:rPr>
        <w:t xml:space="preserve">DOI: </w:t>
      </w:r>
      <w:hyperlink r:id="rId38">
        <w:r>
          <w:rPr>
            <w:color w:val="1155CC"/>
            <w:u w:val="single"/>
          </w:rPr>
          <w:t>10.1002/anie.1641255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安全性和低成本的锌金属电池在储能方面具有广阔的前景，但其有限的能量密度仍然是限制其实际发展的主要瓶颈。在这里，提出了一种具有完全高通量特性的全各向异性组件集成模型，用于实现高比能器件。通过利用天然和可回收的木质材料，我们验证了其在经典 Zn-MnO 中的可行性</w:t>
      </w:r>
      <w:r>
        <w:rPr>
          <w:vertAlign w:val="subscript"/>
        </w:rPr>
        <w:t>2</w:t>
      </w:r>
      <w:r>
        <w:t>单电子反应体系。其中，轻质碳化木质材料被用作 MnO 的通用集电器</w:t>
      </w:r>
      <w:r>
        <w:rPr>
          <w:vertAlign w:val="subscript"/>
        </w:rPr>
        <w:t>2</w:t>
      </w:r>
      <w:r>
        <w:t>阴极和锌阳极。同时，制备了具有垂直排列通道的磷酸盐改性纤维素基水凝胶，以实现电极和电解质界面之间的高电化学相容性。因此，这种结构能够实现 Zn||Ca-MnO 的稳定循环</w:t>
      </w:r>
      <w:r>
        <w:rPr>
          <w:vertAlign w:val="subscript"/>
        </w:rPr>
        <w:t>2</w:t>
      </w:r>
      <w:r>
        <w:t>高质量负载下的软包电池（甚至高达 50.13 mg cm</w:t>
      </w:r>
      <w:r>
        <w:t xml:space="preserve"> </w:t>
      </w:r>
      <w:r>
        <w:t>−2</w:t>
      </w:r>
      <w:r>
        <w:t xml:space="preserve"> </w:t>
      </w:r>
      <w:r>
        <w:t>），具有宽温度操作性（−30°C 至 60°C）。令人印象深刻的是，最大能量密度为 173.2 Wh kg</w:t>
      </w:r>
      <w:r>
        <w:t xml:space="preserve"> </w:t>
      </w:r>
      <w:r>
        <w:t>−1</w:t>
      </w:r>
      <w:r>
        <w:t xml:space="preserve"> </w:t>
      </w:r>
      <w:r>
        <w:t>在0.1 A g的电流密度下实现</w:t>
      </w:r>
      <w:r>
        <w:t xml:space="preserve"> </w:t>
      </w:r>
      <w:r>
        <w:t>−1</w:t>
      </w:r>
      <w:r>
        <w:t xml:space="preserve"> </w:t>
      </w:r>
      <w:r>
        <w:t>，超过了之前的绝大多数发现。这种电池结构模型可以应用于钒基和锰基阴极，但也有望应用于其他多电子反应系统，例如</w:t>
      </w:r>
    </w:p>
    <w:p>
      <w:pPr>
        <w:spacing w:before="0" w:after="200" w:lineRule="auto" w:line="276"/>
      </w:pPr>
      <w:r>
        <w:rPr>
          <w:b/>
        </w:rPr>
        <w:t xml:space="preserve">Abstract (EN): </w:t>
      </w:r>
      <w:r>
        <w:t>High‐safety and low‐cost Zn metal batteries hold great promise for energy storage, but their limited energy density remains a major bottleneck restricting their practical development. Here, an all‐anisotropic‐component integrated model with full high‐flux characteristic is presented for enabling high‐specific‐energy devices. By utilizing natural and recyclable wood‐based materials, we validate its feasibility in classic Zn–MnO</w:t>
      </w:r>
      <w:r>
        <w:rPr>
          <w:vertAlign w:val="subscript"/>
        </w:rPr>
        <w:t>2</w:t>
      </w:r>
      <w:r>
        <w:t>single‐electron reaction system. Among them, lightweight and carbonized wood material was used to serves as a universal current collector for both MnO</w:t>
      </w:r>
      <w:r>
        <w:rPr>
          <w:vertAlign w:val="subscript"/>
        </w:rPr>
        <w:t>2</w:t>
      </w:r>
      <w:r>
        <w:t>cathode and Zn anode. Simultaneously, a phosphate‐modified cellulose‐based hydrogel with vertically aligned channels was fabricated to achieve high electrochemical compatibility between electrode and electrolyte interfaces. As a result, this configuration enables the stable cycling of Zn||Ca‐MnO</w:t>
      </w:r>
      <w:r>
        <w:rPr>
          <w:vertAlign w:val="subscript"/>
        </w:rPr>
        <w:t>2</w:t>
      </w:r>
      <w:r>
        <w:t>pouch cells at high mass loading (even up to 50.13 mg cm</w:t>
      </w:r>
      <w:r>
        <w:t xml:space="preserve"> </w:t>
      </w:r>
      <w:r>
        <w:t>−2</w:t>
      </w:r>
      <w:r>
        <w:t xml:space="preserve"> </w:t>
      </w:r>
      <w:r>
        <w:t>), with a wide‐temperature operability (−30°C to 60°C). Impressively, a maximum energy density of 173.2 Wh kg</w:t>
      </w:r>
      <w:r>
        <w:t xml:space="preserve"> </w:t>
      </w:r>
      <w:r>
        <w:t>−1</w:t>
      </w:r>
      <w:r>
        <w:t xml:space="preserve"> </w:t>
      </w:r>
      <w:r>
        <w:t>is achieved at the current density of 0.1 A g</w:t>
      </w:r>
      <w:r>
        <w:t xml:space="preserve"> </w:t>
      </w:r>
      <w:r>
        <w:t>−1</w:t>
      </w:r>
      <w:r>
        <w:t xml:space="preserve"> </w:t>
      </w:r>
      <w:r>
        <w:t>, exceeding the vast majority of previous findings. Such battery structure model can be applied to both vanadium‐ and manganese‐based cathodes, but also expected to other multielectron reaction systems, promoting the fast development of economical nonlithium energy storage batteries.</w:t>
      </w:r>
    </w:p>
    <w:p>
      <w:pPr>
        <w:spacing w:before="120" w:after="120"/>
      </w:pPr>
      <w:r>
        <w:rPr>
          <w:sz w:val="18"/>
        </w:rPr>
        <w:t>——————————————————————————————————————————————————————————————————————</w:t>
      </w:r>
    </w:p>
    <w:p>
      <w:pPr>
        <w:spacing w:before="160" w:after="40" w:line="240" w:lineRule="auto"/>
      </w:pPr>
      <w:r>
        <w:rPr>
          <w:b/>
        </w:rPr>
        <w:t xml:space="preserve">[7] </w:t>
      </w:r>
      <w:hyperlink r:id="rId40">
        <w:r>
          <w:rPr>
            <w:color w:val="1155CC"/>
            <w:u w:val="single"/>
          </w:rPr>
          <w:t>分子编排可以使超过 500 Wh kg−1 的锂金属电池的电解质化学相互增强</w:t>
        </w:r>
      </w:hyperlink>
    </w:p>
    <w:p>
      <w:pPr>
        <w:spacing w:before="0" w:after="80"/>
      </w:pPr>
      <w:r>
        <w:rPr>
          <w:i/>
          <w:sz w:val="20"/>
        </w:rPr>
        <w:t>EN: Molecular orchestration enables mutually reinforcing electrolyte chemistry for lithium metal batteries exceeding 500 Wh kg−1</w:t>
      </w:r>
    </w:p>
    <w:p>
      <w:pPr>
        <w:spacing w:before="0" w:after="120"/>
      </w:pPr>
      <w:r>
        <w:rPr>
          <w:b/>
        </w:rPr>
        <w:t xml:space="preserve">Source: </w:t>
      </w:r>
      <w:r>
        <w:t>RSC - Energy Environ. Sci. latest articles</w:t>
      </w:r>
      <w:r>
        <w:t xml:space="preserve">    </w:t>
      </w:r>
      <w:r>
        <w:rPr>
          <w:b/>
        </w:rPr>
        <w:t xml:space="preserve">Pub date: </w:t>
      </w:r>
      <w:r>
        <w:t>2026-06-15 23:00:00+00:00</w:t>
      </w:r>
    </w:p>
    <w:p>
      <w:pPr>
        <w:spacing w:before="0" w:after="120"/>
      </w:pPr>
      <w:r>
        <w:rPr>
          <w:b/>
        </w:rPr>
        <w:t xml:space="preserve">Notes: </w:t>
      </w:r>
      <w:r>
        <w:t>abstract_source=rsc_html</w:t>
      </w:r>
    </w:p>
    <w:p>
      <w:pPr>
        <w:spacing w:before="0" w:after="80" w:lineRule="auto" w:line="276"/>
      </w:pPr>
      <w:r>
        <w:rPr>
          <w:b/>
        </w:rPr>
        <w:t xml:space="preserve">摘要（ZH）: </w:t>
      </w:r>
      <w:r>
        <w:t>集成高压富镍阴极的锂金属电池（LMB）是能量密度超过 500 Wh kg−1 的有希望的候选者。然而，它们的实际发展受到两个电极严重的界面反应性的阻碍，这对电解质设计提出了严格的要求。一个根本的挑战在于对电解质组分之间的相互作用及其潜在的协同效应认识不足，这限制了溶剂化结构的精确调控和双界面的同时稳定。在此，我们提出了一种基于互补分子电荷工程的分子编排策略，以诱导电解质成分之间的相互增强。具有互补电荷需求的功能分子对通过分子间合作缔合合理整合，充当协同前驱体。由此产生的分子间电荷转移可调节 Li+ 配位亲和力，并增强每种添加剂的还原和氧化反应活性，从而实现同步双界面优化。因此，该电解质支持超高电压运行（4.6 V）、快速充电（10C）、宽温度（-25至50°C）和超过3200小时的长期稳定性。值得注意的是，5.4 Ah Li‖NCM811软包电池在恶劣的实际条件下获得了超过513 Wh kg−1（基于电池总重量）的高能量密度。与传统对高浓度电解质或增加添加剂剂量的依赖不同，这项工作建立了实用的电解质工程</w:t>
      </w:r>
    </w:p>
    <w:p>
      <w:pPr>
        <w:spacing w:before="0" w:after="200" w:lineRule="auto" w:line="276"/>
      </w:pPr>
      <w:r>
        <w:rPr>
          <w:b/>
        </w:rPr>
        <w:t xml:space="preserve">Abstract (EN): </w:t>
      </w:r>
      <w:r>
        <w:t>Lithium metal batteries (LMBs) integrating high-voltage nickel-rich cathodes are promising candidates for energy densities exceeding 500 Wh kg−1. However, their practical development is hindered by severe interfacial reactivity at both electrodes, which imposes stringent requirements on electrolyte design. A fundamental challenge lies in the insufficient understanding of interactions among electrolyte components and their potential synergistic effects, which restricts precise regulation of solvation structures and simultaneous stabilization of dual interfaces. Herein, we propose a molecular orchestration strategy based on complementary molecular charge engineering to induce mutual reinforcement among electrolyte constituents. Functional molecular pairs with complementary charge demands are rationally integrated through cooperative intermolecular association, serving as synergistic precursors. The resulting intermolecular charge transfer modulates Li+ coordination affinity and enhances the reductive and oxidative reactivity of each additive, enabling synchronous dual-interface optimization. Consequently, the electrolyte supports ultrahigh voltage operation (4.6 V), fast charging (10C), a wide temperature (−25 to 50 °C) and long-term stability over 3200 h. Notably, a high energy density exceeding 513 Wh kg−1 (based on the total cell weight) is attained in 5.4 Ah Li‖NCM811 pouch cells under harsh practical conditions. Departing from conventional reliance on high-concentration electrolytes or increased additive dosages, this work establishes a practical electrolyte-engineering paradigm centered on the systematic organization and activation of latent functionalities, providing an energetic perspective for high-performance LMBs.</w:t>
      </w:r>
    </w:p>
    <w:p>
      <w:pPr>
        <w:spacing w:before="120" w:after="120"/>
      </w:pPr>
      <w:r>
        <w:rPr>
          <w:sz w:val="18"/>
        </w:rPr>
        <w:t>——————————————————————————————————————————————————————————————————————</w:t>
      </w:r>
    </w:p>
    <w:p>
      <w:pPr>
        <w:spacing w:before="160" w:after="40" w:line="240" w:lineRule="auto"/>
      </w:pPr>
      <w:r>
        <w:rPr>
          <w:b/>
        </w:rPr>
        <w:t xml:space="preserve">[8] </w:t>
      </w:r>
      <w:hyperlink r:id="rId41">
        <w:r>
          <w:rPr>
            <w:color w:val="1155CC"/>
            <w:u w:val="single"/>
          </w:rPr>
          <w:t>微步进（100）晶面耦合分子层工程有望在宽pH值和海水电解质中实现高性能锌碘电池</w:t>
        </w:r>
      </w:hyperlink>
    </w:p>
    <w:p>
      <w:pPr>
        <w:spacing w:before="0" w:after="80"/>
      </w:pPr>
      <w:r>
        <w:rPr>
          <w:i/>
          <w:sz w:val="20"/>
        </w:rPr>
        <w:t>EN: Micro‐Stepwise (100) Crystal Face Coupling Molecular‐Layer Engineering Promises High‐Performance Zn‐Iodine Batteries in Wide pH and Seawater Electrolytes</w:t>
      </w:r>
    </w:p>
    <w:p>
      <w:pPr>
        <w:spacing w:before="0" w:after="120"/>
      </w:pPr>
      <w:r>
        <w:rPr>
          <w:b/>
        </w:rPr>
        <w:t xml:space="preserve">Source: </w:t>
      </w:r>
      <w:r>
        <w:t>Wiley: Angewandte Chemie International Edition: Table of Contents</w:t>
      </w:r>
      <w:r>
        <w:t xml:space="preserve">    </w:t>
      </w:r>
      <w:r>
        <w:rPr>
          <w:b/>
        </w:rPr>
        <w:t xml:space="preserve">Pub date: </w:t>
      </w:r>
      <w:r>
        <w:t>2026-06-16 07:10:14+00:00</w:t>
      </w:r>
      <w:r>
        <w:t xml:space="preserve">    </w:t>
      </w:r>
      <w:r>
        <w:rPr>
          <w:b/>
        </w:rPr>
        <w:t xml:space="preserve">DOI: </w:t>
      </w:r>
      <w:hyperlink r:id="rId42">
        <w:r>
          <w:rPr>
            <w:color w:val="1155CC"/>
            <w:u w:val="single"/>
          </w:rPr>
          <w:t>10.1002/anie.6355664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性锌碘电池（ZIB）有望用于大规模储能，但在宽pH值和海水电解质中面临界面挑战，例如聚碘穿梭、氯化物引起的点蚀和枝晶生长。这项研究提出通过分子调制设计具有暴露（100）面的微阶梯结构，引导锌物质的均匀分布，防止在宽pH电解质中形成钝化层。此外，分子层减少了界面 H</w:t>
      </w:r>
      <w:r>
        <w:rPr>
          <w:vertAlign w:val="subscript"/>
        </w:rPr>
        <w:t>2</w:t>
      </w:r>
      <w:r>
        <w:t>O 通过氢键活动并物理阻止 Cl 的迁移</w:t>
      </w:r>
      <w:r>
        <w:t xml:space="preserve"> </w:t>
      </w:r>
      <w:r>
        <w:t>-</w:t>
      </w:r>
      <w:r>
        <w:t>和聚碘化物朝向阳极，减轻海水电解质内的腐蚀和点蚀。受益于微阶梯和分子层的耦合效应，Ah级Zn||I</w:t>
      </w:r>
      <w:r>
        <w:rPr>
          <w:vertAlign w:val="subscript"/>
        </w:rPr>
        <w:t>2</w:t>
      </w:r>
      <w:r>
        <w:t>软包电池可提供 1.13 (2 mA cm</w:t>
      </w:r>
      <w:r>
        <w:t xml:space="preserve"> </w:t>
      </w:r>
      <w:r>
        <w:t>−2</w:t>
      </w:r>
      <w:r>
        <w:t xml:space="preserve"> </w:t>
      </w:r>
      <w:r>
        <w:t>）和 0.61（4 mA cm</w:t>
      </w:r>
      <w:r>
        <w:t xml:space="preserve"> </w:t>
      </w:r>
      <w:r>
        <w:t>−2</w:t>
      </w:r>
      <w:r>
        <w:t xml:space="preserve"> </w:t>
      </w:r>
      <w:r>
        <w:t>) Ah 在酸性电解质中循环 110 次和 1000 次后。全电池在酸性和碱性电解质中也能稳定运行。值得注意的是 Zn||I</w:t>
      </w:r>
      <w:r>
        <w:rPr>
          <w:vertAlign w:val="subscript"/>
        </w:rPr>
        <w:t>2</w:t>
      </w:r>
      <w:r>
        <w:t>全电池提供 180 mAh g 的高容量</w:t>
      </w:r>
      <w:r>
        <w:t xml:space="preserve"> </w:t>
      </w:r>
      <w:r>
        <w:t>−1</w:t>
      </w:r>
      <w:r>
        <w:t xml:space="preserve"> </w:t>
      </w:r>
      <w:r>
        <w:t>20 A g 时</w:t>
      </w:r>
      <w:r>
        <w:t xml:space="preserve"> </w:t>
      </w:r>
      <w:r>
        <w:t>−1</w:t>
      </w:r>
      <w:r>
        <w:t xml:space="preserve"> </w:t>
      </w:r>
      <w:r>
        <w:t>在海水电解液中循环 20 000 次后。这项研究提出了一种有效的界面工程策略来平衡 l</w:t>
      </w:r>
    </w:p>
    <w:p>
      <w:pPr>
        <w:spacing w:before="0" w:after="200" w:lineRule="auto" w:line="276"/>
      </w:pPr>
      <w:r>
        <w:rPr>
          <w:b/>
        </w:rPr>
        <w:t xml:space="preserve">Abstract (EN): </w:t>
      </w:r>
      <w:r>
        <w:t>Aqueous zinc–iodine batteries (ZIBs) are promising for large‐scale energy storage but suffer from interfacial challenges in wide pH and seawater electrolytes, such as polyiodide shuttling, chloride‐induced pitting, and dendrite growth. This study proposes the engineering of micro‐stepwise structures with exposed (100) facets via molecular modulation, which guides uniform distribution of zinc species preventing the formation of passivation layers in wide pH electrolytes. Additionally, the molecular layer reduces interfacial H</w:t>
      </w:r>
      <w:r>
        <w:rPr>
          <w:vertAlign w:val="subscript"/>
        </w:rPr>
        <w:t>2</w:t>
      </w:r>
      <w:r>
        <w:t>O activity via hydrogen bonds and physically blocks the migration of Cl</w:t>
      </w:r>
      <w:r>
        <w:t xml:space="preserve"> </w:t>
      </w:r>
      <w:r>
        <w:t>−</w:t>
      </w:r>
      <w:r>
        <w:t>and polyiodides towards the anode, alleviating corrosion and pitting within seawater electrolytes. Benefiting from the coupling effect of micro‐stepwise and molecular layers, the Ah‐level Zn||I</w:t>
      </w:r>
      <w:r>
        <w:rPr>
          <w:vertAlign w:val="subscript"/>
        </w:rPr>
        <w:t>2</w:t>
      </w:r>
      <w:r>
        <w:t>pouch cells deliver high capacities of 1.13 (2 mA cm</w:t>
      </w:r>
      <w:r>
        <w:t xml:space="preserve"> </w:t>
      </w:r>
      <w:r>
        <w:t>−2</w:t>
      </w:r>
      <w:r>
        <w:t xml:space="preserve"> </w:t>
      </w:r>
      <w:r>
        <w:t>) and 0.61 (4 mA cm</w:t>
      </w:r>
      <w:r>
        <w:t xml:space="preserve"> </w:t>
      </w:r>
      <w:r>
        <w:t>−2</w:t>
      </w:r>
      <w:r>
        <w:t xml:space="preserve"> </w:t>
      </w:r>
      <w:r>
        <w:t>) Ah after 110 and 1000 cycles in acidic electrolytes. The full cells also operate stably in acidic and alkaline electrolytes. It's worth noting that the Zn||I</w:t>
      </w:r>
      <w:r>
        <w:rPr>
          <w:vertAlign w:val="subscript"/>
        </w:rPr>
        <w:t>2</w:t>
      </w:r>
      <w:r>
        <w:t>full cell delivers a high capacity of 180 mAh g</w:t>
      </w:r>
      <w:r>
        <w:t xml:space="preserve"> </w:t>
      </w:r>
      <w:r>
        <w:t>−1</w:t>
      </w:r>
      <w:r>
        <w:t xml:space="preserve"> </w:t>
      </w:r>
      <w:r>
        <w:t>at 20 A g</w:t>
      </w:r>
      <w:r>
        <w:t xml:space="preserve"> </w:t>
      </w:r>
      <w:r>
        <w:t>−1</w:t>
      </w:r>
      <w:r>
        <w:t xml:space="preserve"> </w:t>
      </w:r>
      <w:r>
        <w:t>after 20 000 cycles in seawater electrolyte. This study presents an effective interface engineering strategy for balancing long‐term stability with rapid electrochemical reaction kinetics of ZIBs under diverse electrolyte scenarios.</w:t>
      </w:r>
    </w:p>
    <w:p>
      <w:pPr>
        <w:spacing w:before="120" w:after="120"/>
      </w:pPr>
      <w:r>
        <w:rPr>
          <w:sz w:val="18"/>
        </w:rPr>
        <w:t>——————————————————————————————————————————————————————————————————————</w:t>
      </w:r>
    </w:p>
    <w:p>
      <w:pPr>
        <w:spacing w:before="160" w:after="40" w:line="240" w:lineRule="auto"/>
      </w:pPr>
      <w:r>
        <w:rPr>
          <w:b/>
        </w:rPr>
        <w:t xml:space="preserve">[9] </w:t>
      </w:r>
      <w:hyperlink r:id="rId67">
        <w:r>
          <w:rPr>
            <w:color w:val="1155CC"/>
            <w:u w:val="single"/>
          </w:rPr>
          <w:t>吸电子化学驱动钠离子电池的超快充电中间相</w:t>
        </w:r>
      </w:hyperlink>
    </w:p>
    <w:p>
      <w:pPr>
        <w:spacing w:before="0" w:after="80"/>
      </w:pPr>
      <w:r>
        <w:rPr>
          <w:i/>
          <w:sz w:val="20"/>
        </w:rPr>
        <w:t>EN: Electron-Withdrawing Chemistry Drives Ultrafast-Charging Interphases for Sodium-ion Batteries</w:t>
      </w:r>
    </w:p>
    <w:p>
      <w:pPr>
        <w:spacing w:before="0" w:after="120"/>
      </w:pPr>
      <w:r>
        <w:rPr>
          <w:b/>
        </w:rPr>
        <w:t xml:space="preserve">Source: </w:t>
      </w:r>
      <w:r>
        <w:t>RSC - Energy Environ. Sci. latest articles</w:t>
      </w:r>
      <w:r>
        <w:t xml:space="preserve">    </w:t>
      </w:r>
      <w:r>
        <w:rPr>
          <w:b/>
        </w:rPr>
        <w:t xml:space="preserve">Pub date: </w:t>
      </w:r>
      <w:r>
        <w:t>2026-06-16 23:00:00+00:00</w:t>
      </w:r>
    </w:p>
    <w:p>
      <w:pPr>
        <w:spacing w:before="0" w:after="120"/>
      </w:pPr>
      <w:r>
        <w:rPr>
          <w:b/>
        </w:rPr>
        <w:t xml:space="preserve">Notes: </w:t>
      </w:r>
      <w:r>
        <w:t>abstract_source=rsc_html</w:t>
      </w:r>
    </w:p>
    <w:p>
      <w:pPr>
        <w:spacing w:before="0" w:after="80" w:lineRule="auto" w:line="276"/>
      </w:pPr>
      <w:r>
        <w:rPr>
          <w:b/>
        </w:rPr>
        <w:t xml:space="preserve">摘要（ZH）: </w:t>
      </w:r>
      <w:r>
        <w:t>钠离子电池的快速充电和长期循环性能从根本上受到不稳定、离子传输受限的固体电解质界面（SEI）的限制，SEI是由传统碳酸盐电解质中以溶剂为主的Na⁺溶剂化结构产生的。这些固有的限制长期以来将实用的快速充电钠离子电池（SIB）限制在〜3C的上限。在此，我们通过设计基于溶剂吸电子化学的分子策略突破了这一瓶颈：通过碳酸酯溶剂的逐步氟化，使得基于硬碳阳极的安时级全钠离子电池能够在7分钟内实现超快充电，并具有1800次循环的稳定性。这种方法促进了 FSI⁻ 阴离子的优先还原和低去溶剂化能量，这与在硬碳阳极上形成薄、致密且高导电性的富含 NaF 的无机 SEI 相关。所得电解质具有优异的界面动力学和稳定性，打破了钠离子电解质中高离子电导率和低溶剂化能之间长期存在的不相容性。值得注意的是，这种性能首次在工业相关条件下的 52 Ah 棱柱形全电池中得到证明。这项工作为设计坚固、快速充电的电池提供了一个通用的化学框架，将分子级创新与实际的储能应用联系起来。</w:t>
      </w:r>
    </w:p>
    <w:p>
      <w:pPr>
        <w:spacing w:before="0" w:after="200" w:lineRule="auto" w:line="276"/>
      </w:pPr>
      <w:r>
        <w:rPr>
          <w:b/>
        </w:rPr>
        <w:t xml:space="preserve">Abstract (EN): </w:t>
      </w:r>
      <w:r>
        <w:t>Fast charging and long-term cyclability in sodium-ion batteries are fundamentally limited by unstable, ion-transport-limited solid electrolyte interphases (SEI) arising from solvent-dominated Na⁺ solvation structures in conventional carbonate electrolytes. These intrinsic limitations have long confined practical fast-charging sodium-ion batteries (SIBs) to a ceiling of ~3C. Herein, we break through this bottleneck by designing a molecular strategy based on solvent electron-withdrawing chemistry: through stepwise fluorination of carbonate solvents, enabling ampere-hour-level full sodium-ion batteries based on hard carbon anodes to achieve ultrafast charging within 7 minutes with 1,800-cycle stability. This approach promotes preferential reduction of FSI⁻ anions and low desolvation energy, which is correlated with the formation of a thin, dense, and highly conductive NaF-rich inorganic SEI on hard carbon anodes. The resulting electrolyte delivers exceptional interfacial kinetics and stability, breaks the long-standing incompatibility between high ionic conductivity and low solvation energy in sodium-ion electrolytes. Notably, this performance is demonstrated for the first time in a 52 Ah prismatic full cell under industrially relevant conditions. This work provides a generalizable chemical framework for designing robust, fast-charging batteries, bridging molecular-level innovation with practical energy storage applications.</w:t>
      </w:r>
    </w:p>
    <w:p>
      <w:pPr>
        <w:spacing w:before="120" w:after="120"/>
      </w:pPr>
      <w:r>
        <w:rPr>
          <w:sz w:val="18"/>
        </w:rPr>
        <w:t>——————————————————————————————————————————————————————————————————————</w:t>
      </w:r>
    </w:p>
    <w:p>
      <w:pPr>
        <w:spacing w:before="160" w:after="40" w:line="240" w:lineRule="auto"/>
      </w:pPr>
      <w:r>
        <w:rPr>
          <w:b/>
        </w:rPr>
        <w:t xml:space="preserve">[10] </w:t>
      </w:r>
      <w:hyperlink r:id="rId68">
        <w:r>
          <w:rPr>
            <w:color w:val="1155CC"/>
            <w:u w:val="single"/>
          </w:rPr>
          <w:t>非水铝电池中稳定的铝金属阳极：挑战和设计策略</w:t>
        </w:r>
      </w:hyperlink>
    </w:p>
    <w:p>
      <w:pPr>
        <w:spacing w:before="0" w:after="80"/>
      </w:pPr>
      <w:r>
        <w:rPr>
          <w:i/>
          <w:sz w:val="20"/>
        </w:rPr>
        <w:t>EN: Toward Stable Aluminum Metal Anodes in Nonaqueous Aluminum Batteries: Challenges and Design Strategies</w:t>
      </w:r>
    </w:p>
    <w:p>
      <w:pPr>
        <w:spacing w:before="0" w:after="120"/>
      </w:pPr>
      <w:r>
        <w:rPr>
          <w:b/>
        </w:rPr>
        <w:t xml:space="preserve">Source: </w:t>
      </w:r>
      <w:r>
        <w:t>Wiley: Advanced Energy Materials: Table of Contents</w:t>
      </w:r>
      <w:r>
        <w:t xml:space="preserve">    </w:t>
      </w:r>
      <w:r>
        <w:rPr>
          <w:b/>
        </w:rPr>
        <w:t xml:space="preserve">Pub date: </w:t>
      </w:r>
      <w:r>
        <w:t>2026-06-17 10:40:27+00:00</w:t>
      </w:r>
      <w:r>
        <w:t xml:space="preserve">    </w:t>
      </w:r>
      <w:r>
        <w:rPr>
          <w:b/>
        </w:rPr>
        <w:t xml:space="preserve">DOI: </w:t>
      </w:r>
      <w:hyperlink r:id="rId69">
        <w:r>
          <w:rPr>
            <w:color w:val="1155CC"/>
            <w:u w:val="single"/>
          </w:rPr>
          <w:t>10.1002/aenm.71185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非水可充电铝电池引起了人们对可扩展储能的兴趣，但其实际发展仍然受到铝金属阳极的可逆性和稳定性的限制。铝阳极失效通常是由耦合退化过程控制的，而不是由孤立的界面缺陷引起的。与天然或动态重建表面层相关的持续钝化和阻抗积累、化学侵蚀性电解质中的腐蚀以及形态和传输依赖性沉积不稳定性可以共同驱动粗糙、多孔和丝状生长。在固体和准固体系统中，润湿不足、接触损耗和化学机械不匹配进一步加剧极化和电流聚焦。本综述对这些降解途径进行了有针对性的、基于机制的综合，并将稳定策略组织成四个互补领域：阳极本征优化、界面工程、电解质改性和固体/凝胶/准固体电解质设计。在这些领域中，我们讨论了基材结构、成分和晶体学、表面活化和保护性界面、电解质形态/配方/添加剂以及基质/接触设计如何抑制寄生反应性、均匀化离子通量和电流分布以及稳定镀铝/剥离。我们进一步总结了关键的评估和基准测试考虑因素，以区分真正的稳定性和有条件的性能增益，并提炼出协调子系统的设计原则。</w:t>
      </w:r>
    </w:p>
    <w:p>
      <w:pPr>
        <w:spacing w:before="0" w:after="200" w:lineRule="auto" w:line="276"/>
      </w:pPr>
      <w:r>
        <w:rPr>
          <w:b/>
        </w:rPr>
        <w:t xml:space="preserve">Abstract (EN): </w:t>
      </w:r>
      <w:r>
        <w:t>Nonaqueous rechargeable aluminum batteries have attracted interest for scalable energy storage, but their practical development remains constrained by the reversibility and stability of Al metal anodes. Rather than arising from isolated interfacial defects, Al‐anode failure is typically governed by coupled degradation processes. Persistent passivation and impedance buildup associated with native or dynamically reconstructed surface layers, corrosion in chemically aggressive electrolytes, and speciation‐ and transport‐dependent deposition instability can collectively drive rough, porous and filamentary growth. In solid and quasi‐solid systems, insufficient wetting, contact loss and chemo‐mechanical mismatch further aggravate polarization and current focusing. This review provides a focused, mechanism‐based synthesis of these degradation pathways and organizes stabilization strategies into four complementary domains: anode‐intrinsic optimization, interfacial engineering, electrolyte modification and solid/gel/quasi‐solid electrolyte design. Across these domains, we discuss how substrate structure, composition, and crystallography, surface activation and protective interphases, electrolyte speciation/formulation/additives and matrix/contact design can suppress parasitic reactivity, homogenize ion flux and current distribution and stabilize Al plating/stripping. We further summarize key evaluation and benchmarking considerations to distinguish genuine stabilization from conditional performance gains, and distill design principles for coordinated substrate−interface−electrolyte−contact optimization. Overall, this review establishes a rational design framework for durable and practically relevant Al metal anodes in nonaqueous aluminum batteries.</w:t>
      </w:r>
    </w:p>
    <w:p>
      <w:pPr>
        <w:spacing w:before="120" w:after="120"/>
      </w:pPr>
      <w:r>
        <w:rPr>
          <w:sz w:val="18"/>
        </w:rPr>
        <w:t>——————————————————————————————————————————————————————————————————————</w:t>
      </w:r>
    </w:p>
    <w:p>
      <w:pPr>
        <w:spacing w:before="160" w:after="40" w:line="240" w:lineRule="auto"/>
      </w:pPr>
      <w:r>
        <w:rPr>
          <w:b/>
        </w:rPr>
        <w:t xml:space="preserve">[11] </w:t>
      </w:r>
      <w:hyperlink r:id="rId70">
        <w:r>
          <w:rPr>
            <w:color w:val="1155CC"/>
            <w:u w:val="single"/>
          </w:rPr>
          <w:t>通过工程化的亲电解质和亲钠界面引导无枝晶钠金属电池的均匀成核和生长</w:t>
        </w:r>
      </w:hyperlink>
    </w:p>
    <w:p>
      <w:pPr>
        <w:spacing w:before="0" w:after="80"/>
      </w:pPr>
      <w:r>
        <w:rPr>
          <w:i/>
          <w:sz w:val="20"/>
        </w:rPr>
        <w:t>EN: Guiding Uniform Nucleation and Growth by Engineered Electrolyte‐Philic and Sodiophilic Interface for Dendrite‐Free Sodium Metal Batteries</w:t>
      </w:r>
    </w:p>
    <w:p>
      <w:pPr>
        <w:spacing w:before="0" w:after="120"/>
      </w:pPr>
      <w:r>
        <w:rPr>
          <w:b/>
        </w:rPr>
        <w:t xml:space="preserve">Source: </w:t>
      </w:r>
      <w:r>
        <w:t>Wiley: Advanced Energy Materials: Table of Contents</w:t>
      </w:r>
      <w:r>
        <w:t xml:space="preserve">    </w:t>
      </w:r>
      <w:r>
        <w:rPr>
          <w:b/>
        </w:rPr>
        <w:t xml:space="preserve">Pub date: </w:t>
      </w:r>
      <w:r>
        <w:t>2026-06-17 11:58:10+00:00</w:t>
      </w:r>
      <w:r>
        <w:t xml:space="preserve">    </w:t>
      </w:r>
      <w:r>
        <w:rPr>
          <w:b/>
        </w:rPr>
        <w:t xml:space="preserve">DOI: </w:t>
      </w:r>
      <w:hyperlink r:id="rId71">
        <w:r>
          <w:rPr>
            <w:color w:val="1155CC"/>
            <w:u w:val="single"/>
          </w:rPr>
          <w:t>10.1002/aenm.71200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亲电解质性较差的亲钠界面通常会限制快速 Na</w:t>
      </w:r>
      <w:r>
        <w:t xml:space="preserve"> </w:t>
      </w:r>
      <w:r>
        <w:t>+</w:t>
      </w:r>
      <w:r>
        <w:t xml:space="preserve"> </w:t>
      </w:r>
      <w:r>
        <w:t>运输，从而破坏亲钠性的好处并引发不均匀的电镀。在此，我们提出了由 CH 组成的亲电解质和亲钠界面</w:t>
      </w:r>
      <w:r>
        <w:rPr>
          <w:vertAlign w:val="subscript"/>
        </w:rPr>
        <w:t>3</w:t>
      </w:r>
      <w:r>
        <w:t>COONa (NaAc) 和 Na</w:t>
      </w:r>
      <w:r>
        <w:rPr>
          <w:vertAlign w:val="subscript"/>
        </w:rPr>
        <w:t>3</w:t>
      </w:r>
      <w:r>
        <w:t>Sb（表示为 SA 层）协同指导均匀的 Na 成核和生长。令人印象深刻的是，SA层的亲电解质性能够实现有利的界面润湿，而亲钠性进一步引导Na</w:t>
      </w:r>
      <w:r>
        <w:t xml:space="preserve"> </w:t>
      </w:r>
      <w:r>
        <w:t>+</w:t>
      </w:r>
      <w:r>
        <w:t xml:space="preserve"> </w:t>
      </w:r>
      <w:r>
        <w:t>离子快速、绝对地接触界面。这种协同作用使 Na 成核和生长更加均匀，从而有效地均匀化 Na</w:t>
      </w:r>
      <w:r>
        <w:t xml:space="preserve"> </w:t>
      </w:r>
      <w:r>
        <w:t>+</w:t>
      </w:r>
      <w:r>
        <w:t xml:space="preserve"> </w:t>
      </w:r>
      <w:r>
        <w:t>通量。此外，SA层对FEC润湿性的增加有利于NaF的形成，这与其高杨氏模量协同抑制枝晶生长。 SA@Na 可以稳定循环超过 2166 小时（0.5 mA cm</w:t>
      </w:r>
      <w:r>
        <w:t xml:space="preserve"> </w:t>
      </w:r>
      <w:r>
        <w:t>−2</w:t>
      </w:r>
      <w:r>
        <w:t xml:space="preserve"> </w:t>
      </w:r>
      <w:r>
        <w:t>, 0.5 毫安厘米</w:t>
      </w:r>
      <w:r>
        <w:t xml:space="preserve"> </w:t>
      </w:r>
      <w:r>
        <w:t>−2</w:t>
      </w:r>
      <w:r>
        <w:t xml:space="preserve"> </w:t>
      </w:r>
      <w:r>
        <w:t>) at 25°C and 570 h (1.0 mA cm</w:t>
      </w:r>
      <w:r>
        <w:t xml:space="preserve"> </w:t>
      </w:r>
      <w:r>
        <w:t>−2</w:t>
      </w:r>
      <w:r>
        <w:t xml:space="preserve"> </w:t>
      </w:r>
      <w:r>
        <w:t>, 0.5 毫安厘米</w:t>
      </w:r>
      <w:r>
        <w:t xml:space="preserve"> </w:t>
      </w:r>
      <w:r>
        <w:t>−2</w:t>
      </w:r>
      <w:r>
        <w:t xml:space="preserve"> </w:t>
      </w:r>
      <w:r>
        <w:t>）在 45°C。此外，纳</w:t>
      </w:r>
      <w:r>
        <w:rPr>
          <w:vertAlign w:val="subscript"/>
        </w:rPr>
        <w:t>3</w:t>
      </w:r>
      <w:r>
        <w:t>V</w:t>
      </w:r>
      <w:r>
        <w:rPr>
          <w:vertAlign w:val="subscript"/>
        </w:rPr>
        <w:t>2</w:t>
      </w:r>
      <w:r>
        <w:t>（采购订单</w:t>
      </w:r>
      <w:r>
        <w:rPr>
          <w:vertAlign w:val="subscript"/>
        </w:rPr>
        <w:t>4</w:t>
      </w:r>
      <w:r>
        <w:t>）</w:t>
      </w:r>
      <w:r>
        <w:rPr>
          <w:vertAlign w:val="subscript"/>
        </w:rPr>
        <w:t>3</w:t>
      </w:r>
      <w:r>
        <w:t>(NVP)||SA@Na cells demonstrate</w:t>
      </w:r>
    </w:p>
    <w:p>
      <w:pPr>
        <w:spacing w:before="0" w:after="200" w:lineRule="auto" w:line="276"/>
      </w:pPr>
      <w:r>
        <w:rPr>
          <w:b/>
        </w:rPr>
        <w:t xml:space="preserve">Abstract (EN): </w:t>
      </w:r>
      <w:r>
        <w:t>A sodiophilic interface with poor electrolyte‐philicity often limits fast Na</w:t>
      </w:r>
      <w:r>
        <w:t xml:space="preserve"> </w:t>
      </w:r>
      <w:r>
        <w:t>+</w:t>
      </w:r>
      <w:r>
        <w:t xml:space="preserve"> </w:t>
      </w:r>
      <w:r>
        <w:t>transport, thereby undermining the benefits of sodiophilicity and triggering uneven plating. Herein, we propose an electrolyte‐philic and sodiophilic interface composed of CH</w:t>
      </w:r>
      <w:r>
        <w:rPr>
          <w:vertAlign w:val="subscript"/>
        </w:rPr>
        <w:t>3</w:t>
      </w:r>
      <w:r>
        <w:t>COONa (NaAc) and Na</w:t>
      </w:r>
      <w:r>
        <w:rPr>
          <w:vertAlign w:val="subscript"/>
        </w:rPr>
        <w:t>3</w:t>
      </w:r>
      <w:r>
        <w:t>Sb (denoted as SA layer) to synergistically direct uniform Na nucleation and growth. Impressively, the electrolyte‐philicity of the SA layer enables favorable interfacial wetting, while the sodiophilicity further guides Na</w:t>
      </w:r>
      <w:r>
        <w:t xml:space="preserve"> </w:t>
      </w:r>
      <w:r>
        <w:t>+</w:t>
      </w:r>
      <w:r>
        <w:t xml:space="preserve"> </w:t>
      </w:r>
      <w:r>
        <w:t>ions to contact the interface rapidly and absolutely. This synergy enables more homogeneous Na nucleation and growth, effectively homogenizing Na</w:t>
      </w:r>
      <w:r>
        <w:t xml:space="preserve"> </w:t>
      </w:r>
      <w:r>
        <w:t>+</w:t>
      </w:r>
      <w:r>
        <w:t xml:space="preserve"> </w:t>
      </w:r>
      <w:r>
        <w:t>flux. Moreover, the increased wettability of the SA layer toward FEC favors NaF formation, which contributes synergistically with its high Young's modulus to suppress dendrite growth. The SA@Na can cycle stably for over 2166 h (0.5 mA cm</w:t>
      </w:r>
      <w:r>
        <w:t xml:space="preserve"> </w:t>
      </w:r>
      <w:r>
        <w:t>−2</w:t>
      </w:r>
      <w:r>
        <w:t xml:space="preserve"> </w:t>
      </w:r>
      <w:r>
        <w:t>, 0.5 mAh cm</w:t>
      </w:r>
      <w:r>
        <w:t xml:space="preserve"> </w:t>
      </w:r>
      <w:r>
        <w:t>−2</w:t>
      </w:r>
      <w:r>
        <w:t xml:space="preserve"> </w:t>
      </w:r>
      <w:r>
        <w:t>) at 25°C and 570 h (1.0 mA cm</w:t>
      </w:r>
      <w:r>
        <w:t xml:space="preserve"> </w:t>
      </w:r>
      <w:r>
        <w:t>−2</w:t>
      </w:r>
      <w:r>
        <w:t xml:space="preserve"> </w:t>
      </w:r>
      <w:r>
        <w:t>, 0.5 mAh cm</w:t>
      </w:r>
      <w:r>
        <w:t xml:space="preserve"> </w:t>
      </w:r>
      <w:r>
        <w:t>−2</w:t>
      </w:r>
      <w:r>
        <w:t xml:space="preserve"> </w:t>
      </w:r>
      <w:r>
        <w:t>) at 45°C. Moreover, the Na</w:t>
      </w:r>
      <w:r>
        <w:rPr>
          <w:vertAlign w:val="subscript"/>
        </w:rPr>
        <w:t>3</w:t>
      </w:r>
      <w:r>
        <w:t>V</w:t>
      </w:r>
      <w:r>
        <w:rPr>
          <w:vertAlign w:val="subscript"/>
        </w:rPr>
        <w:t>2</w:t>
      </w:r>
      <w:r>
        <w:t>(PO</w:t>
      </w:r>
      <w:r>
        <w:rPr>
          <w:vertAlign w:val="subscript"/>
        </w:rPr>
        <w:t>4</w:t>
      </w:r>
      <w:r>
        <w:t>)</w:t>
      </w:r>
      <w:r>
        <w:rPr>
          <w:vertAlign w:val="subscript"/>
        </w:rPr>
        <w:t>3</w:t>
      </w:r>
      <w:r>
        <w:t>(NVP)||SA@Na cells demonstrate superior rate capacity (66 mAh g</w:t>
      </w:r>
      <w:r>
        <w:t xml:space="preserve"> </w:t>
      </w:r>
      <w:r>
        <w:t>−1</w:t>
      </w:r>
      <w:r>
        <w:t xml:space="preserve"> </w:t>
      </w:r>
      <w:r>
        <w:t>at 100 C) and maintain 74 mAh g</w:t>
      </w:r>
      <w:r>
        <w:t xml:space="preserve"> </w:t>
      </w:r>
      <w:r>
        <w:t>−1</w:t>
      </w:r>
      <w:r>
        <w:t xml:space="preserve"> </w:t>
      </w:r>
      <w:r>
        <w:t>at 50 C after 2000 cycles (25°C). Even at 45°C, the NVP||SA@Na can maintain stably for 1000 cycles (94.8% capacity retention). Therefore, the rationally designed electrolyte‐philic and sodiophilic interface can effectively regulate Na deposition and suppress dendrite growth.</w:t>
      </w:r>
    </w:p>
    <w:p>
      <w:pPr>
        <w:spacing w:before="120" w:after="120"/>
      </w:pPr>
      <w:r>
        <w:rPr>
          <w:sz w:val="18"/>
        </w:rPr>
        <w:t>——————————————————————————————————————————————————————————————————————</w:t>
      </w:r>
    </w:p>
    <w:p>
      <w:pPr>
        <w:spacing w:before="160" w:after="40" w:line="240" w:lineRule="auto"/>
      </w:pPr>
      <w:r>
        <w:rPr>
          <w:b/>
        </w:rPr>
        <w:t xml:space="preserve">[12] </w:t>
      </w:r>
      <w:hyperlink r:id="rId72">
        <w:r>
          <w:rPr>
            <w:color w:val="1155CC"/>
            <w:u w:val="single"/>
          </w:rPr>
          <w:t>通过 AlPO4 改性进行界面化学调节，实现锂离子电池石墨阳极的快速充电和宽温运行</w:t>
        </w:r>
      </w:hyperlink>
    </w:p>
    <w:p>
      <w:pPr>
        <w:spacing w:before="0" w:after="80"/>
      </w:pPr>
      <w:r>
        <w:rPr>
          <w:i/>
          <w:sz w:val="20"/>
        </w:rPr>
        <w:t>EN: Interfacial Chemistry Regulation via AlPO4 Modification Enables Fast Charging and Wide‐Temperature Operation of Graphite Anodes for Lithium‐Ion Batteries</w:t>
      </w:r>
    </w:p>
    <w:p>
      <w:pPr>
        <w:spacing w:before="0" w:after="120"/>
      </w:pPr>
      <w:r>
        <w:rPr>
          <w:b/>
        </w:rPr>
        <w:t xml:space="preserve">Source: </w:t>
      </w:r>
      <w:r>
        <w:t>Wiley: Advanced Energy Materials: Table of Contents</w:t>
      </w:r>
      <w:r>
        <w:t xml:space="preserve">    </w:t>
      </w:r>
      <w:r>
        <w:rPr>
          <w:b/>
        </w:rPr>
        <w:t xml:space="preserve">Pub date: </w:t>
      </w:r>
      <w:r>
        <w:t>2026-06-17 12:00:05+00:00</w:t>
      </w:r>
      <w:r>
        <w:t xml:space="preserve">    </w:t>
      </w:r>
      <w:r>
        <w:rPr>
          <w:b/>
        </w:rPr>
        <w:t xml:space="preserve">DOI: </w:t>
      </w:r>
      <w:hyperlink r:id="rId73">
        <w:r>
          <w:rPr>
            <w:color w:val="1155CC"/>
            <w:u w:val="single"/>
          </w:rPr>
          <w:t>10.1002/aenm.71158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石墨仍然是商用锂离子电池（LIB）的主要负极，但在长期循环和极端温度条件下，其反应动力学缓慢且相间不稳定，这阻碍了LIB的高倍率性能、寿命和环境适应性。在此，通过 AlPO 进行界面化学调节策略</w:t>
      </w:r>
      <w:r>
        <w:rPr>
          <w:vertAlign w:val="subscript"/>
        </w:rPr>
        <w:t>4</w:t>
      </w:r>
      <w:r>
        <w:t>（APO）表面改性是为了应对这一挑战。 APO 修饰诱导更多 PF</w:t>
      </w:r>
      <w:r>
        <w:rPr>
          <w:vertAlign w:val="subscript"/>
        </w:rPr>
        <w:t>6</w:t>
      </w:r>
      <w:r>
        <w:t>-</w:t>
      </w:r>
      <w:r>
        <w:t>阴离子在界面处进入溶剂化结构，不仅降低了去溶剂化能，而且有利于富无机SEI的生成，促进SEI的反应动力学和热/结构稳定性。同时，APO优化了电解质分解反应路径并抑制了气体释放，缓解了气体引起的界面结构退化，进一步增强了SEI和石墨的均匀性和稳定性。因此，APO 改性石墨在较宽的温度范围内与普通电解质一起表现出卓越的性能。提供 210.5 mAh/g</w:t>
      </w:r>
      <w:r>
        <w:t xml:space="preserve"> </w:t>
      </w:r>
      <w:r>
        <w:t>−1</w:t>
      </w:r>
      <w:r>
        <w:t xml:space="preserve"> </w:t>
      </w:r>
      <w:r>
        <w:t>2000 mA g</w:t>
      </w:r>
      <w:r>
        <w:t xml:space="preserve"> </w:t>
      </w:r>
      <w:r>
        <w:t>−1</w:t>
      </w:r>
      <w:r>
        <w:t xml:space="preserve"> </w:t>
      </w:r>
      <w:r>
        <w:t>室温下循环 1000 次后保持率为 76.2%，在 -20°C 下保持稳定的循环，并提供前所未有的 345.5 mAh g</w:t>
      </w:r>
      <w:r>
        <w:t xml:space="preserve"> </w:t>
      </w:r>
      <w:r>
        <w:t>−1</w:t>
      </w:r>
      <w:r>
        <w:t xml:space="preserve"> </w:t>
      </w:r>
      <w:r>
        <w:t>60°C 下 2000 mA g</w:t>
      </w:r>
      <w:r>
        <w:t xml:space="preserve"> </w:t>
      </w:r>
      <w:r>
        <w:t>−1</w:t>
      </w:r>
      <w:r>
        <w:t xml:space="preserve"> </w:t>
      </w:r>
      <w:r>
        <w:t>和优良的循环</w:t>
      </w:r>
    </w:p>
    <w:p>
      <w:pPr>
        <w:spacing w:before="0" w:after="200" w:lineRule="auto" w:line="276"/>
      </w:pPr>
      <w:r>
        <w:rPr>
          <w:b/>
        </w:rPr>
        <w:t xml:space="preserve">Abstract (EN): </w:t>
      </w:r>
      <w:r>
        <w:t>Graphite remains the dominant anode for commercial lithium‐ion batteries (LIBs), yet it suffers from sluggish reaction kinetics and interphase instability under long‐term cycling and extreme‐temperature conditions, which hinder the high rate performance, longevity and environmental adaptability of LIBs. Herein, an interfacial chemistry regulation strategy via AlPO</w:t>
      </w:r>
      <w:r>
        <w:rPr>
          <w:vertAlign w:val="subscript"/>
        </w:rPr>
        <w:t>4</w:t>
      </w:r>
      <w:r>
        <w:t>(APO) surface modification is proposed to address the challenge. APO modification induces more PF</w:t>
      </w:r>
      <w:r>
        <w:rPr>
          <w:vertAlign w:val="subscript"/>
        </w:rPr>
        <w:t>6</w:t>
      </w:r>
      <w:r>
        <w:t>−</w:t>
      </w:r>
      <w:r>
        <w:t>anions entering the solvation structure at interface, which not only reduces the desolvation energy, but also facilitates the generation of inorganic‐rich SEI, promoting the reaction kinetics and thermal/structural stability of SEI. Meanwhile, APO optimizes the electrolyte decomposition reaction route and suppresses gas release, alleviating gas‐induced interfacial structure degradation, further enhances the uniformity and stability of the SEI and graphite. Consequently, the APO‐modified graphite exhibits remarkable performance across a wide temperature range with ordinary electrolyte. It delivers 210.5 mAh g</w:t>
      </w:r>
      <w:r>
        <w:t xml:space="preserve"> </w:t>
      </w:r>
      <w:r>
        <w:t>−1</w:t>
      </w:r>
      <w:r>
        <w:t xml:space="preserve"> </w:t>
      </w:r>
      <w:r>
        <w:t>at 2000 mA g</w:t>
      </w:r>
      <w:r>
        <w:t xml:space="preserve"> </w:t>
      </w:r>
      <w:r>
        <w:t>−1</w:t>
      </w:r>
      <w:r>
        <w:t xml:space="preserve"> </w:t>
      </w:r>
      <w:r>
        <w:t>with 76.2% retention after 1000 cycles at room temperature, maintains stable cycling at −20°C and providing an unprecedented 345.5 mAh g</w:t>
      </w:r>
      <w:r>
        <w:t xml:space="preserve"> </w:t>
      </w:r>
      <w:r>
        <w:t>−1</w:t>
      </w:r>
      <w:r>
        <w:t xml:space="preserve"> </w:t>
      </w:r>
      <w:r>
        <w:t>at 60°C under 2000 mA g</w:t>
      </w:r>
      <w:r>
        <w:t xml:space="preserve"> </w:t>
      </w:r>
      <w:r>
        <w:t>−1</w:t>
      </w:r>
      <w:r>
        <w:t xml:space="preserve"> </w:t>
      </w:r>
      <w:r>
        <w:t>and excellent cycle stability. This work demonstrates an effective interfacial chemistry regulation strategy via surface modification to achieve fast‐charging, thermally resilient graphite electrode for high‐performance LIBs.</w:t>
      </w:r>
    </w:p>
    <w:p>
      <w:pPr>
        <w:spacing w:before="120" w:after="120"/>
      </w:pPr>
      <w:r>
        <w:rPr>
          <w:sz w:val="18"/>
        </w:rPr>
        <w:t>——————————————————————————————————————————————————————————————————————</w:t>
      </w:r>
    </w:p>
    <w:p>
      <w:pPr>
        <w:spacing w:before="160" w:after="40" w:line="240" w:lineRule="auto"/>
      </w:pPr>
      <w:r>
        <w:rPr>
          <w:b/>
        </w:rPr>
        <w:t xml:space="preserve">[13] </w:t>
      </w:r>
      <w:hyperlink r:id="rId74">
        <w:r>
          <w:rPr>
            <w:color w:val="1155CC"/>
            <w:u w:val="single"/>
          </w:rPr>
          <w:t>硅阳极的多维应力调节：从纳米结构到电极工程</w:t>
        </w:r>
      </w:hyperlink>
    </w:p>
    <w:p>
      <w:pPr>
        <w:spacing w:before="0" w:after="80"/>
      </w:pPr>
      <w:r>
        <w:rPr>
          <w:i/>
          <w:sz w:val="20"/>
        </w:rPr>
        <w:t>EN: Multidimensional Stress Regulation in Silicon Anodes: From Nanostructures to Electrode Engineering</w:t>
      </w:r>
    </w:p>
    <w:p>
      <w:pPr>
        <w:spacing w:before="0" w:after="120"/>
      </w:pPr>
      <w:r>
        <w:rPr>
          <w:b/>
        </w:rPr>
        <w:t xml:space="preserve">Source: </w:t>
      </w:r>
      <w:r>
        <w:t>Wiley: Advanced Energy Materials: Table of Contents</w:t>
      </w:r>
      <w:r>
        <w:t xml:space="preserve">    </w:t>
      </w:r>
      <w:r>
        <w:rPr>
          <w:b/>
        </w:rPr>
        <w:t xml:space="preserve">Pub date: </w:t>
      </w:r>
      <w:r>
        <w:t>2026-06-17 12:03:33+00:00</w:t>
      </w:r>
      <w:r>
        <w:t xml:space="preserve">    </w:t>
      </w:r>
      <w:r>
        <w:rPr>
          <w:b/>
        </w:rPr>
        <w:t xml:space="preserve">DOI: </w:t>
      </w:r>
      <w:hyperlink r:id="rId75">
        <w:r>
          <w:rPr>
            <w:color w:val="1155CC"/>
            <w:u w:val="single"/>
          </w:rPr>
          <w:t>10.1002/aenm.71168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硅（Si）由于其超高的理论容量而成为下一代锂离子电池的有前途的负极材料。然而，锂化和脱锂过程中巨大的体积变化引起的严重应力积累会导致机械断裂、界面不稳定和电极结构退化，这严重限制了其实际应用。尽管已经提出了广泛的策略来提高硅基阳极的电化学性能，但与应力相关的退化经常以零散的方式进行讨论，并且系统的理解仍然不足。在这篇综述中，应力调节被视为一个统一的框架，用于分析多个长度尺度的硅基阳极的失效机制和缓解策略。系统地总结了机械应力、界面应力和电极级结构应力的起源和演变。尺寸工程硅结构（从零维纳米颗粒到三维多孔框架）的最新进展受到严格审查，以阐明尺寸依赖行为、几何限制和分层结构设计在应力调节中的作用。此外，还讨论了电极级策略，包括工程结构、功能粘合剂和电解质调节，重点讨论它们对结构稳定性和电化学耐久性的协同效应。这项工作提供了一个多维框架来指导耐用、高能巢穴的合理设计</w:t>
      </w:r>
    </w:p>
    <w:p>
      <w:pPr>
        <w:spacing w:before="0" w:after="200" w:lineRule="auto" w:line="276"/>
      </w:pPr>
      <w:r>
        <w:rPr>
          <w:b/>
        </w:rPr>
        <w:t xml:space="preserve">Abstract (EN): </w:t>
      </w:r>
      <w:r>
        <w:t>Silicon (Si) is a promising anode material for next‐generation lithium‐ion batteries owing to its ultrahigh theoretical capacity. However, severe stress accumulation induced by large volume changes during lithiation and delithiation leads to mechanical fracture, interfacial instability, and electrode structural degradation, which critically limits its practical application. Although extensive strategies have been proposed to improve the electrochemical performance of Si‐based anodes, stress‐related degradation is often discussed in a fragmented manner, and a systematic understanding remains insufficient. In this review, stress regulation is treated as a unifying framework to analyze the failure mechanisms and mitigation strategies of Si‐based anodes across multiple length scales. The origins and evolution of mechanical stress, interfacial stress, and electrode‐level structural stress are systematically summarized. Recent progress in dimensionally engineered Si architectures, ranging from zero‐dimensional nanoparticles to three‐dimensional porous frameworks, is critically reviewed to elucidate the roles of size‐dependent behavior, geometric confinement, and hierarchical structural design in stress accommodation. In addition, electrode‐level strategies, including engineered architectures, functional binders, and electrolyte regulation, are discussed with emphasis on their synergistic effects on structural stability and electrochemical durability. This work provides a multidimensional framework to guide the rational design of durable, high‐energy‐density Si‐based anodes.</w:t>
      </w:r>
    </w:p>
    <w:p>
      <w:pPr>
        <w:spacing w:before="120" w:after="120"/>
      </w:pPr>
      <w:r>
        <w:rPr>
          <w:sz w:val="18"/>
        </w:rPr>
        <w:t>——————————————————————————————————————————————————————————————————————</w:t>
      </w:r>
    </w:p>
    <w:p>
      <w:pPr>
        <w:spacing w:before="160" w:after="40" w:line="240" w:lineRule="auto"/>
      </w:pPr>
      <w:r>
        <w:rPr>
          <w:b/>
        </w:rPr>
        <w:t xml:space="preserve">[14] </w:t>
      </w:r>
      <w:hyperlink r:id="rId76">
        <w:r>
          <w:rPr>
            <w:color w:val="1155CC"/>
            <w:u w:val="single"/>
          </w:rPr>
          <w:t>本质稳定的非晶相解锁可持续的钾阳极</w:t>
        </w:r>
      </w:hyperlink>
    </w:p>
    <w:p>
      <w:pPr>
        <w:spacing w:before="0" w:after="80"/>
      </w:pPr>
      <w:r>
        <w:rPr>
          <w:i/>
          <w:sz w:val="20"/>
        </w:rPr>
        <w:t>EN: Intrinsically Stable Amorphous Phases Unlock Sustainable Potassium Anodes</w:t>
      </w:r>
    </w:p>
    <w:p>
      <w:pPr>
        <w:spacing w:before="0" w:after="120"/>
      </w:pPr>
      <w:r>
        <w:rPr>
          <w:b/>
        </w:rPr>
        <w:t xml:space="preserve">Source: </w:t>
      </w:r>
      <w:r>
        <w:t>Wiley: Advanced Materials: Table of Contents</w:t>
      </w:r>
      <w:r>
        <w:t xml:space="preserve">    </w:t>
      </w:r>
      <w:r>
        <w:rPr>
          <w:b/>
        </w:rPr>
        <w:t xml:space="preserve">Pub date: </w:t>
      </w:r>
      <w:r>
        <w:t>2026-06-17 15:25:49+00:00</w:t>
      </w:r>
      <w:r>
        <w:t xml:space="preserve">    </w:t>
      </w:r>
      <w:r>
        <w:rPr>
          <w:b/>
        </w:rPr>
        <w:t xml:space="preserve">DOI: </w:t>
      </w:r>
      <w:hyperlink r:id="rId77">
        <w:r>
          <w:rPr>
            <w:color w:val="1155CC"/>
            <w:u w:val="single"/>
          </w:rPr>
          <w:t>10.1002/adma.73736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用于钾离子电池的非石墨基阳极具有高容量，但由于循环过程中反复发生相变而遭受严重的结构退化。在这里，我们引入了一种非晶相工程策略，从根本上解决了这种不稳定性。非晶材料固有的结构各向同性和开放框架本质上减轻了体积应变，从而实现了出色的长期循环稳定性。作为概念证明，非晶 (Bi,Sb)@C 电极在 100 mA g-1 电流下，在 3200 个循环（相当于 1100 天）中表现出超低的容量衰减率，每个循环仅为 0.005%</w:t>
      </w:r>
      <w:r>
        <w:t xml:space="preserve"> </w:t>
      </w:r>
      <w:r>
        <w:t>−1</w:t>
      </w:r>
      <w:r>
        <w:t xml:space="preserve"> </w:t>
      </w:r>
      <w:r>
        <w:t>。这项工作将非晶相工程确立为一种通用设计范式，为实现耐用、长寿命的钾离子电池以及面临类似稳定性挑战的其他潜在储能系统开辟了一条决定性途径。</w:t>
      </w:r>
    </w:p>
    <w:p>
      <w:pPr>
        <w:spacing w:before="0" w:after="200" w:lineRule="auto" w:line="276"/>
      </w:pPr>
      <w:r>
        <w:rPr>
          <w:b/>
        </w:rPr>
        <w:t xml:space="preserve">Abstract (EN): </w:t>
      </w:r>
      <w:r>
        <w:t>Non‐graphite‐based anodes for potassium‐ion batteries offer high capacity but suffer from severe structural degradation due to repeated phase transitions during cycling. Here, we introduce an amorphous phase engineering strategy that fundamentally addresses this instability. The intrinsic structural isotropy and open framework of amorphous materials inherently mitigate volume strain, enabling exceptional long‐term cycling stability. As a proof of concept, an amorphous (Bi,Sb)@C electrode exhibits an ultralow capacity decay rate of merely 0.005% per cycle over 3200 cycles (equivalent to 1100 days) at 100 mA g</w:t>
      </w:r>
      <w:r>
        <w:t xml:space="preserve"> </w:t>
      </w:r>
      <w:r>
        <w:t>−1</w:t>
      </w:r>
      <w:r>
        <w:t xml:space="preserve"> </w:t>
      </w:r>
      <w:r>
        <w:t>. This work establishes amorphous phase engineering as a general design paradigm, opening a decisive pathway toward durable, long‐life potassium‐ion batteries and potentially other energy storage systems facing similar stability challenges.</w:t>
      </w:r>
    </w:p>
    <w:p>
      <w:pPr>
        <w:spacing w:before="120" w:after="120"/>
      </w:pPr>
      <w:r>
        <w:rPr>
          <w:sz w:val="18"/>
        </w:rPr>
        <w:t>——————————————————————————————————————————————————————————————————————</w:t>
      </w:r>
    </w:p>
    <w:p>
      <w:pPr>
        <w:spacing w:before="160" w:after="40" w:line="240" w:lineRule="auto"/>
      </w:pPr>
      <w:r>
        <w:rPr>
          <w:b/>
        </w:rPr>
        <w:t xml:space="preserve">[15] </w:t>
      </w:r>
      <w:hyperlink r:id="rId78">
        <w:r>
          <w:rPr>
            <w:color w:val="1155CC"/>
            <w:u w:val="single"/>
          </w:rPr>
          <w:t>路易斯酸性分子调节同步阴离子固定和分解，形成具有增强 Zn2+ 动力学的稳健固体电解质界面</w:t>
        </w:r>
      </w:hyperlink>
    </w:p>
    <w:p>
      <w:pPr>
        <w:spacing w:before="0" w:after="80"/>
      </w:pPr>
      <w:r>
        <w:rPr>
          <w:i/>
          <w:sz w:val="20"/>
        </w:rPr>
        <w:t>EN: Lewis acidic molecule-modulated synchronous anion immobilization and decomposition towards a robust solid electrolyte interphase with enhanced Zn2+ kinetics</w:t>
      </w:r>
    </w:p>
    <w:p>
      <w:pPr>
        <w:spacing w:before="0" w:after="120"/>
      </w:pPr>
      <w:r>
        <w:rPr>
          <w:b/>
        </w:rPr>
        <w:t xml:space="preserve">Source: </w:t>
      </w:r>
      <w:r>
        <w:t>RSC - Energy Environ. Sci. latest articles</w:t>
      </w:r>
      <w:r>
        <w:t xml:space="preserve">    </w:t>
      </w:r>
      <w:r>
        <w:rPr>
          <w:b/>
        </w:rPr>
        <w:t xml:space="preserve">Pub date: </w:t>
      </w:r>
      <w:r>
        <w:t>2026-06-17 23:00:00+00:00</w:t>
      </w:r>
    </w:p>
    <w:p>
      <w:pPr>
        <w:spacing w:before="0" w:after="120"/>
      </w:pPr>
      <w:r>
        <w:rPr>
          <w:b/>
        </w:rPr>
        <w:t xml:space="preserve">Notes: </w:t>
      </w:r>
      <w:r>
        <w:t>abstract_source=rsc_html</w:t>
      </w:r>
    </w:p>
    <w:p>
      <w:pPr>
        <w:spacing w:before="0" w:after="80" w:lineRule="auto" w:line="276"/>
      </w:pPr>
      <w:r>
        <w:rPr>
          <w:b/>
        </w:rPr>
        <w:t xml:space="preserve">摘要（ZH）: </w:t>
      </w:r>
      <w:r>
        <w:t>由于有害的枝晶生长和不稳定的固体电解质界面（SEI）层引起的严重副反应、缓慢的 Zn 2+ 传输动力学和不可逆的 Zn 沉积，水性锌离子电池（AZIB）中的锌金属负极在实际应用中面临着重大挑战。虽然阴离子调节是构建稳定SEI层的一种有前景的策略，但典型的方法主要依赖于加强Zn 2+ -阴离子相互作用，这会减慢Zn 2+ 去溶剂化并降低传输效率。为了解决这些问题，我们引入了三(五氟苯基)硼烷(TPFPB)作为路易斯酸的多功能添加剂，能够同步固定和分解阴离子。理论和实验结果表明，TPFPB中的缺电子硼中心和五氟苯基可以通过B-O/F键有效锚定阴离子。这种独特的结构 (i) 促进阴离子直接分解，形成坚固的富含 ZnS/ZnF 2 的 SEI； (ii) 限制阴离子迁移率； (iii)削弱Zn 2+ -阴离子缔合，从而增强界面稳定性和Zn 2+ 传输动力学。因此，锌阳极在 2800 次循环中库仑效率达到 99.7%，钒基全电池的使用寿命超过 40,000 次循环。这项工作提出了一种新颖的阴离子调节策略，可同时稳定 Zn 界面并加速离子传输，为高性能 AZIB 提供了一条有前途的道路。</w:t>
      </w:r>
    </w:p>
    <w:p>
      <w:pPr>
        <w:spacing w:before="0" w:after="200" w:lineRule="auto" w:line="276"/>
      </w:pPr>
      <w:r>
        <w:rPr>
          <w:b/>
        </w:rPr>
        <w:t xml:space="preserve">Abstract (EN): </w:t>
      </w:r>
      <w:r>
        <w:t>Zn metal anodes in aqueous zinc-ion batteries (AZIBs) face significant challenges for practical applications, due to detrimental dendrite growth and severe side reactions arising from unstable solid electrolyte interface (SEI) layers, sluggish Zn 2+ transport kinetics, and irreversible Zn deposition. While anion regulation is a promising strategy for constructing a stable SEI layer, typical approaches mainly rely on strengthening Zn 2+ -anion interactions, which slows Zn 2+ desolvation and reduces transport efficiency. To resolve these trade-offs, we have introduced tris(pentafluorophenyl)borane (TPFPB) as a multifunctional additive of Lewis acidic that enables synchronous anion immobilization and decomposition.Theoretical and experimental results reveal that the electron-deficient boron centers and pentafluorophenyl groups in TPFPB can effectively anchor anions via B-O/F bonds. This unique structure (i) promotes direct anion decomposition to form a robust ZnS/ZnF 2 -rich SEI; (ii) restricts anion mobility; and (iii) weakens the Zn 2+ -anion association, thereby enhancing the interfacial stability and Zn 2+ transport kinetics. As a result, Zn anodes achieve a Coulombic efficiency of 99.7% over 2800 cycles, and the vanadium-based full cells deliver a lifespan exceeding 40,000 cycles. This work presents a novel anion-regulation strategy that simultaneously stabilizes the Zn interface and accelerates ion transport, offering a promising path toward high-performance AZIBs.</w:t>
      </w:r>
    </w:p>
    <w:p>
      <w:pPr>
        <w:spacing w:before="120" w:after="120"/>
      </w:pPr>
      <w:r>
        <w:rPr>
          <w:sz w:val="18"/>
        </w:rPr>
        <w:t>——————————————————————————————————————————————————————————————————————</w:t>
      </w:r>
    </w:p>
    <w:p>
      <w:pPr>
        <w:spacing w:before="160" w:after="120"/>
      </w:pPr>
      <w:r>
        <w:rPr>
          <w:b/>
          <w:sz w:val="28"/>
        </w:rPr>
        <w:t>【电解质】</w:t>
      </w:r>
    </w:p>
    <w:p>
      <w:pPr>
        <w:spacing w:before="160" w:after="40" w:line="240" w:lineRule="auto"/>
      </w:pPr>
      <w:r>
        <w:rPr>
          <w:b/>
        </w:rPr>
        <w:t xml:space="preserve">[1] </w:t>
      </w:r>
      <w:hyperlink r:id="rId60">
        <w:r>
          <w:rPr>
            <w:color w:val="1155CC"/>
            <w:u w:val="single"/>
          </w:rPr>
          <w:t>通过原位透射电子显微镜操作鉴定阴离子对锂成核和生长的影响</w:t>
        </w:r>
      </w:hyperlink>
    </w:p>
    <w:p>
      <w:pPr>
        <w:spacing w:before="0" w:after="80"/>
      </w:pPr>
      <w:r>
        <w:rPr>
          <w:i/>
          <w:sz w:val="20"/>
        </w:rPr>
        <w:t>EN: Operando identification of anion effect on lithium nucleation and growth via in situ transmission electron microscopy</w:t>
      </w:r>
    </w:p>
    <w:p>
      <w:pPr>
        <w:spacing w:before="0" w:after="120"/>
      </w:pPr>
      <w:r>
        <w:rPr>
          <w:b/>
        </w:rPr>
        <w:t xml:space="preserve">Source: </w:t>
      </w:r>
      <w:r>
        <w:t>Physical sciences : Nature Communications subject feeds</w:t>
      </w:r>
      <w:r>
        <w:t xml:space="preserve">    </w:t>
      </w:r>
      <w:r>
        <w:rPr>
          <w:b/>
        </w:rPr>
        <w:t xml:space="preserve">Pub date: </w:t>
      </w:r>
      <w:r>
        <w:t>2026-06-13 00:00:00+00:00</w:t>
      </w:r>
    </w:p>
    <w:p>
      <w:pPr>
        <w:spacing w:before="0" w:after="120"/>
      </w:pPr>
      <w:r>
        <w:rPr>
          <w:b/>
        </w:rPr>
        <w:t xml:space="preserve">Notes: </w:t>
      </w:r>
      <w:r>
        <w:t>abstract_source=nature_html</w:t>
      </w:r>
    </w:p>
    <w:p>
      <w:pPr>
        <w:spacing w:before="0" w:after="80" w:lineRule="auto" w:line="276"/>
      </w:pPr>
      <w:r>
        <w:rPr>
          <w:b/>
        </w:rPr>
        <w:t xml:space="preserve">摘要（ZH）: </w:t>
      </w:r>
      <w:r>
        <w:t>由于锂负极具有高容量和低氧化还原电位，锂金属电池被认为是下一代储能的有希望的候选者。然而，枝晶锂的生长和不稳定的固体电解质界面形成仍然是实际实施的关键瓶颈。虽然电解质阴离子化学关键控制着固体电解质界面的形成，但阴离子调节的锂成核和生长机制的纳米级观察在跟踪动态界面过程方面仍然受到限制。在这里，我们采用原位液相透射电子显微镜结合低温光谱学和计算模型来揭示三种不同电解质中阴离子特异性锂的成核和生长：LiClO4、LiPF6 和 LiTFSI 基电解质。实时跟踪表明，ClO4− 通过有机主导的固体电解质界面驱动枝晶锂生长，而 PF6− 通过 LiF-有机杂化界面稳定苔藓状锂成核。值得注意的是，TFSI⁻形成双层SEI，内层富含LiF/Li2CO3，从而实现Li的横向生长和融合。分子动力学模拟将阴离子诱导的界面结构与 Li+ 传输和表面电位分布相关联，证明 TFSI− 通过平衡机械限制和离子通量调节来抑制枝晶。这些阴离子介导的界面工程观察结果为稳定的锂金属电池的电解质设计提供了原理。</w:t>
      </w:r>
    </w:p>
    <w:p>
      <w:pPr>
        <w:spacing w:before="0" w:after="200" w:lineRule="auto" w:line="276"/>
      </w:pPr>
      <w:r>
        <w:rPr>
          <w:b/>
        </w:rPr>
        <w:t xml:space="preserve">Abstract (EN): </w:t>
      </w:r>
      <w:r>
        <w:t>Lithium metal batteries are considered promising candidates for next-generation energy storage due to the high capacity and low redox potential of lithium negative electrodes. However, dendritic Li growth and unstable solid-electrolyte interphase formation remain critical bottlenecks for practical implementation. While electrolyte anion chemistry critically governs solid-electrolyte interphase formation, nanoscale observations of anion-regulated Li nucleation and growth mechanisms remain limited in tracking dynamic interfacial processes. Here, we employ in situ liquid-phase transmission electron microscopy combined with cryogenic spectroscopy and computational modelling to unravel anion-specific Li nucleation and growth in three distinct electrolytes: LiClO4, LiPF6, and LiTFSI-based electrolytes. Real-time tracking reveals that ClO4− drives dendritic Li growth with organic dominated solid-electrolyte interphase, whereas PF6− stabilizes moss-like Li nucleation through LiF-organic hybrid interphases. Notably, TFSI⁻ forms a bilayer SEI with LiF/Li2CO3-rich inner layers, enabling Li lateral growth and fusion. Molecular dynamics simulations correlate anion-induced interface architectures with Li+ transport and surface potential distributions, demonstrating that TFSI− suppresses dendrites via balanced mechanical confinement and ion-flux regulation. These anion-mediated interface engineering observations offers principles for electrolyte design toward stable lithium metal batteries.</w:t>
      </w:r>
    </w:p>
    <w:p>
      <w:pPr>
        <w:spacing w:before="120" w:after="120"/>
      </w:pPr>
      <w:r>
        <w:rPr>
          <w:sz w:val="18"/>
        </w:rPr>
        <w:t>——————————————————————————————————————————————————————————————————————</w:t>
      </w:r>
    </w:p>
    <w:p>
      <w:pPr>
        <w:spacing w:before="160" w:after="40" w:line="240" w:lineRule="auto"/>
      </w:pPr>
      <w:r>
        <w:rPr>
          <w:b/>
        </w:rPr>
        <w:t xml:space="preserve">[2] </w:t>
      </w:r>
      <w:hyperlink r:id="rId33">
        <w:r>
          <w:rPr>
            <w:color w:val="1155CC"/>
            <w:u w:val="single"/>
          </w:rPr>
          <w:t>无阳极锂硫电池中高效有机二硫化物介体实现 Li2S 氧化还原动力学和阳极稳定性的协同双重调节</w:t>
        </w:r>
      </w:hyperlink>
    </w:p>
    <w:p>
      <w:pPr>
        <w:spacing w:before="0" w:after="80"/>
      </w:pPr>
      <w:r>
        <w:rPr>
          <w:i/>
          <w:sz w:val="20"/>
        </w:rPr>
        <w:t>EN: Synergistic Dual Modulation of Li2S Redox Kinetics and Anode Stability Enabled by a High‐Efficiency Organodisulfide Mediator in Anode‐Free Lithium–Sulfur Batteries</w:t>
      </w:r>
    </w:p>
    <w:p>
      <w:pPr>
        <w:spacing w:before="0" w:after="120"/>
      </w:pPr>
      <w:r>
        <w:rPr>
          <w:b/>
        </w:rPr>
        <w:t xml:space="preserve">Source: </w:t>
      </w:r>
      <w:r>
        <w:t>Wiley-Online-Library: Advanced Materials: Table of Contents</w:t>
      </w:r>
      <w:r>
        <w:t xml:space="preserve">    </w:t>
      </w:r>
      <w:r>
        <w:rPr>
          <w:b/>
        </w:rPr>
        <w:t xml:space="preserve">Pub date: </w:t>
      </w:r>
      <w:r>
        <w:t>2026-06-13 02:50:19+00:00</w:t>
      </w:r>
      <w:r>
        <w:t xml:space="preserve">    </w:t>
      </w:r>
      <w:r>
        <w:rPr>
          <w:b/>
        </w:rPr>
        <w:t xml:space="preserve">DOI: </w:t>
      </w:r>
      <w:hyperlink r:id="rId34">
        <w:r>
          <w:rPr>
            <w:color w:val="1155CC"/>
            <w:u w:val="single"/>
          </w:rPr>
          <w:t>10.1002/adma.73710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硫化锂（Li</w:t>
      </w:r>
      <w:r>
        <w:rPr>
          <w:vertAlign w:val="subscript"/>
        </w:rPr>
        <w:t>2</w:t>
      </w:r>
      <w:r>
        <w:t>S）由于其高理论容量、丰富的硫资源以及与无阳极结构的兼容性，对于高能量密度锂硫（Li─S）电池至关重要。然而，其本质绝缘性和缓慢的氧化还原动力学阻碍了其应用。此外，传统的1,3-二氧戊环/1,2-二甲氧基乙烷电解质不能承受高电压，并且由于闪点低而存在安全隐患。在此，我们提出了一种协同策略，将二硫化二异丙酯（DIP）作为多功能氧化还原介体引入高闪点、耐高电压的四甘醇二甲醚电解质体系中。 DIP直接转换Li</w:t>
      </w:r>
      <w:r>
        <w:rPr>
          <w:vertAlign w:val="subscript"/>
        </w:rPr>
        <w:t>2</w:t>
      </w:r>
      <w:r>
        <w:t>将S转化为多硫化锂，将首次充电的活化电压从3.18 V降低至2.48。同时，DIP有利于在锂表面形成富含有机硫的固体电解质界面，有效抑制锂枝晶的形成和生长。至关重要的是，该系统能够实现无阳极 Cu||Li 的稳定循环</w:t>
      </w:r>
      <w:r>
        <w:rPr>
          <w:vertAlign w:val="subscript"/>
        </w:rPr>
        <w:t>2</w:t>
      </w:r>
      <w:r>
        <w:t>S 电池，0.3 mAh cm 时可循环 160 次</w:t>
      </w:r>
      <w:r>
        <w:t xml:space="preserve"> </w:t>
      </w:r>
      <w:r>
        <w:t>−2</w:t>
      </w:r>
      <w:r>
        <w:t xml:space="preserve"> </w:t>
      </w:r>
      <w:r>
        <w:t>。标准锂||锂</w:t>
      </w:r>
      <w:r>
        <w:rPr>
          <w:vertAlign w:val="subscript"/>
        </w:rPr>
        <w:t>2</w:t>
      </w:r>
      <w:r>
        <w:t>S 电池还表现出卓越的耐用性，在 1C 时实现了 0.037% 的极低每循环衰减率。此外，该策略还为其他金属硫体系带来了希望，例如Na─S、K─S、Ca</w:t>
      </w:r>
    </w:p>
    <w:p>
      <w:pPr>
        <w:spacing w:before="0" w:after="200" w:lineRule="auto" w:line="276"/>
      </w:pPr>
      <w:r>
        <w:rPr>
          <w:b/>
        </w:rPr>
        <w:t xml:space="preserve">Abstract (EN): </w:t>
      </w:r>
      <w:r>
        <w:t>Lithium sulfide (Li</w:t>
      </w:r>
      <w:r>
        <w:rPr>
          <w:vertAlign w:val="subscript"/>
        </w:rPr>
        <w:t>2</w:t>
      </w:r>
      <w:r>
        <w:t>S) is pivotal for high‐energy‐density lithium–sulfur (Li─S) batteries due to its high theoretical capacity, abundant sulfur resources, and compatibility with anode‐free architectures. However, its application is hindered by its intrinsically insulating nature and sluggish redox kinetics. Furthermore, traditional 1,3‐dioxolane/1,2‐dimethoxyethane electrolytes cannot withstand high voltages and pose safety hazards due to low flash points. Herein, we propose a synergistic strategy by introducing diisopropyl dithiocarbonate disulfide (DIP) as a multifunctional redox mediator into a high‐flash‐point, high‐voltage‐tolerant tetraethylene glycol dimethyl ether electrolyte system. DIP directly converts Li</w:t>
      </w:r>
      <w:r>
        <w:rPr>
          <w:vertAlign w:val="subscript"/>
        </w:rPr>
        <w:t>2</w:t>
      </w:r>
      <w:r>
        <w:t>S to lithium polysulfides, decreasing the activation voltage of the first charge to 2.48 from 3.18 V. Simultaneously, DIP facilitates the formation of an organosulfur‐rich solid electrolyte interface on the lithium surface, effectively suppressing lithium dendrite formation and growth. Crucially, this system enables stable cycling in anode‐free Cu||Li</w:t>
      </w:r>
      <w:r>
        <w:rPr>
          <w:vertAlign w:val="subscript"/>
        </w:rPr>
        <w:t>2</w:t>
      </w:r>
      <w:r>
        <w:t>S batteries for 160 cycles at 0.3 mAh cm</w:t>
      </w:r>
      <w:r>
        <w:t xml:space="preserve"> </w:t>
      </w:r>
      <w:r>
        <w:t>−2</w:t>
      </w:r>
      <w:r>
        <w:t xml:space="preserve"> </w:t>
      </w:r>
      <w:r>
        <w:t>. Standard Li||Li</w:t>
      </w:r>
      <w:r>
        <w:rPr>
          <w:vertAlign w:val="subscript"/>
        </w:rPr>
        <w:t>2</w:t>
      </w:r>
      <w:r>
        <w:t>S cells also demonstrate superior durability, achieving an extremely low per‐cycle decay rate of 0.037% at 1C. Moreover, this strategy holds promise for other metal‐sulfur systems, such as Na─S, K─S, Ca─S, Mg─S, and Zn─S batteries, providing a feasible path for safe, next‐generation energy storage.</w:t>
      </w:r>
    </w:p>
    <w:p>
      <w:pPr>
        <w:spacing w:before="120" w:after="120"/>
      </w:pPr>
      <w:r>
        <w:rPr>
          <w:sz w:val="18"/>
        </w:rPr>
        <w:t>——————————————————————————————————————————————————————————————————————</w:t>
      </w:r>
    </w:p>
    <w:p>
      <w:pPr>
        <w:spacing w:before="160" w:after="40" w:line="240" w:lineRule="auto"/>
      </w:pPr>
      <w:r>
        <w:rPr>
          <w:b/>
        </w:rPr>
        <w:t xml:space="preserve">[3] </w:t>
      </w:r>
      <w:hyperlink r:id="rId63">
        <w:r>
          <w:rPr>
            <w:color w:val="1155CC"/>
            <w:u w:val="single"/>
          </w:rPr>
          <w:t>隧道框架界面驱动 Zn2+ 快速扩散，实现长寿命锌金属阳极</w:t>
        </w:r>
      </w:hyperlink>
    </w:p>
    <w:p>
      <w:pPr>
        <w:spacing w:before="0" w:after="80"/>
      </w:pPr>
      <w:r>
        <w:rPr>
          <w:i/>
          <w:sz w:val="20"/>
        </w:rPr>
        <w:t>EN: Tunnel‐Framework Interphase Driving Rapid Zn2+ Diffusion for Long‐Life Zn Metal Anodes</w:t>
      </w:r>
    </w:p>
    <w:p>
      <w:pPr>
        <w:spacing w:before="0" w:after="120"/>
      </w:pPr>
      <w:r>
        <w:rPr>
          <w:b/>
        </w:rPr>
        <w:t xml:space="preserve">Source: </w:t>
      </w:r>
      <w:r>
        <w:t>Wiley-Online-Library: Advanced Energy Materials: Table of Contents</w:t>
      </w:r>
      <w:r>
        <w:t xml:space="preserve">    </w:t>
      </w:r>
      <w:r>
        <w:rPr>
          <w:b/>
        </w:rPr>
        <w:t xml:space="preserve">Pub date: </w:t>
      </w:r>
      <w:r>
        <w:t>2026-06-13 11:06:02+00:00</w:t>
      </w:r>
      <w:r>
        <w:t xml:space="preserve">    </w:t>
      </w:r>
      <w:r>
        <w:rPr>
          <w:b/>
        </w:rPr>
        <w:t xml:space="preserve">DOI: </w:t>
      </w:r>
      <w:hyperlink r:id="rId64">
        <w:r>
          <w:rPr>
            <w:color w:val="1155CC"/>
            <w:u w:val="single"/>
          </w:rPr>
          <w:t>10.1002/aenm.71196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系锌离子电池（AZIB）由于其低成本和高安全性，目前在大规模储能领域引起了人们的广泛关注。然而，与水性电解质相关的技术问题，包括析氢反应（HER）、腐蚀和扩散相关的枝晶生长，严重阻碍了其商业化。在此，稳定的 3D 隧道框架（表示为 ASN）由 Si 组成</w:t>
      </w:r>
      <w:r>
        <w:rPr>
          <w:vertAlign w:val="subscript"/>
        </w:rPr>
        <w:t>3</w:t>
      </w:r>
      <w:r>
        <w:t>氮</w:t>
      </w:r>
      <w:r>
        <w:rPr>
          <w:vertAlign w:val="subscript"/>
        </w:rPr>
        <w:t>4</w:t>
      </w:r>
      <w:r>
        <w:t>层构建在裸露的锌箔电极上。该框架诱导均匀的锌离子通量，使锌离子能够快速扩散，同时隔离锌金属表面与水的直接接触，从而抑制寄生反应。 密度泛函理论计算和 X 射线吸收精细结构结果表明，涂层内的 Si─N 位点有利于 Zn 的隧道内跳跃</w:t>
      </w:r>
      <w:r>
        <w:t xml:space="preserve"> </w:t>
      </w:r>
      <w:r>
        <w:t>2+</w:t>
      </w:r>
      <w:r>
        <w:t xml:space="preserve"> </w:t>
      </w:r>
      <w:r>
        <w:t>。 扫描电子显微镜 (SEM) 图像显示，由于隧道框架加速了快速扩散，锌均匀成核和生长，而原位拉曼光谱则显示浓度极化有所减轻。因此，ASN@Zn 对称电池在 3 mA cm 下的使用寿命超过 1800 小时</w:t>
      </w:r>
      <w:r>
        <w:t xml:space="preserve"> </w:t>
      </w:r>
      <w:r>
        <w:t>−2</w:t>
      </w:r>
      <w:r>
        <w:t xml:space="preserve"> </w:t>
      </w:r>
      <w:r>
        <w:t>。 ASN@Zn 阳极在 1500 次循环后平均库仑效率高达 99.89%。 此外，带有钒酸钙阴极的改良全电池在 1 倍电压下表现出稳定的循环~10000 次循环</w:t>
      </w:r>
    </w:p>
    <w:p>
      <w:pPr>
        <w:spacing w:before="0" w:after="200" w:lineRule="auto" w:line="276"/>
      </w:pPr>
      <w:r>
        <w:rPr>
          <w:b/>
        </w:rPr>
        <w:t xml:space="preserve">Abstract (EN): </w:t>
      </w:r>
      <w:r>
        <w:t>Aqueous zinc‐ion batteries (AZIBs) are presently attracting considerable interest for large‐scale energy storage owing to their low cost and high safety. Nevertheless, technical issues associated with aqueous electrolytes, including the hydrogen evolution reaction (HER), corrosion, and diffusion‐related dendrite growth, severely hinder their commercialization. Herein, a stable 3D tunnel framework (denoted as ASN) consisting of a Si</w:t>
      </w:r>
      <w:r>
        <w:rPr>
          <w:vertAlign w:val="subscript"/>
        </w:rPr>
        <w:t>3</w:t>
      </w:r>
      <w:r>
        <w:t>N</w:t>
      </w:r>
      <w:r>
        <w:rPr>
          <w:vertAlign w:val="subscript"/>
        </w:rPr>
        <w:t>4</w:t>
      </w:r>
      <w:r>
        <w:t>layer is constructed on bare Zn foil electrodes. The framework induces a homogeneous zinc ion flux and enables fast diffusion of zinc ions, while isolating the Zn metal surface from direct contact with water, thereby suppressing parasitic reactions. Density functional theory calculations and x‐ray absorption fine structure results reveal that Si─N sites within the coating facilitate the in‐tunnel hopping of Zn</w:t>
      </w:r>
      <w:r>
        <w:t xml:space="preserve"> </w:t>
      </w:r>
      <w:r>
        <w:t>2+</w:t>
      </w:r>
      <w:r>
        <w:t xml:space="preserve"> </w:t>
      </w:r>
      <w:r>
        <w:t>. Scanning electron microscope (SEM) images reveal uniform Zn nucleation and growth owing to the rapid diffusion accelerated by the tunnel framework, while in situ Raman spectroscopy reveals mitigated concentration polarization. As a result, the ASN@Zn symmetric cell exhibits an extended lifespan of more than 1800 h at 3 mA cm</w:t>
      </w:r>
      <w:r>
        <w:t xml:space="preserve"> </w:t>
      </w:r>
      <w:r>
        <w:t>−2</w:t>
      </w:r>
      <w:r>
        <w:t xml:space="preserve"> </w:t>
      </w:r>
      <w:r>
        <w:t>. The ASN@Zn anode reaches a high average coulombic efficiency of 99.89% over 1500 cycles. Moreover, the modified full cell with calcium vanadate cathode exhibits stable cycling for ∼10 000 cycles at 14 A g</w:t>
      </w:r>
      <w:r>
        <w:t xml:space="preserve"> </w:t>
      </w:r>
      <w:r>
        <w:t>−1</w:t>
      </w:r>
      <w:r>
        <w:t xml:space="preserve"> </w:t>
      </w:r>
      <w:r>
        <w:t>.</w:t>
      </w:r>
    </w:p>
    <w:p>
      <w:pPr>
        <w:spacing w:before="120" w:after="120"/>
      </w:pPr>
      <w:r>
        <w:rPr>
          <w:sz w:val="18"/>
        </w:rPr>
        <w:t>——————————————————————————————————————————————————————————————————————</w:t>
      </w:r>
    </w:p>
    <w:p>
      <w:pPr>
        <w:spacing w:before="160" w:after="40" w:line="240" w:lineRule="auto"/>
      </w:pPr>
      <w:r>
        <w:rPr>
          <w:b/>
        </w:rPr>
        <w:t xml:space="preserve">[4] </w:t>
      </w:r>
      <w:hyperlink r:id="rId79">
        <w:r>
          <w:rPr>
            <w:color w:val="1155CC"/>
            <w:u w:val="single"/>
          </w:rPr>
          <w:t>用于低温钠离子电池的集钠离子储库、共溶剂和稀释功能于一体的单分子添加剂</w:t>
        </w:r>
      </w:hyperlink>
    </w:p>
    <w:p>
      <w:pPr>
        <w:spacing w:before="0" w:after="80"/>
      </w:pPr>
      <w:r>
        <w:rPr>
          <w:i/>
          <w:sz w:val="20"/>
        </w:rPr>
        <w:t>EN: Single‐Molecule Additive Integrating Na‐Ion Reservoir, Cosolvent, and Diluent Functions for Low‐Temperature Na‐Ion Batteries</w:t>
      </w:r>
    </w:p>
    <w:p>
      <w:pPr>
        <w:spacing w:before="0" w:after="120"/>
      </w:pPr>
      <w:r>
        <w:rPr>
          <w:b/>
        </w:rPr>
        <w:t xml:space="preserve">Source: </w:t>
      </w:r>
      <w:r>
        <w:t>Wiley-Online-Library: Angewandte Chemie International Edition: Table of Contents</w:t>
      </w:r>
      <w:r>
        <w:t xml:space="preserve">    </w:t>
      </w:r>
      <w:r>
        <w:rPr>
          <w:b/>
        </w:rPr>
        <w:t xml:space="preserve">Pub date: </w:t>
      </w:r>
      <w:r>
        <w:t>2026-06-13 16:38:58+00:00</w:t>
      </w:r>
      <w:r>
        <w:t xml:space="preserve">    </w:t>
      </w:r>
      <w:r>
        <w:rPr>
          <w:b/>
        </w:rPr>
        <w:t xml:space="preserve">DOI: </w:t>
      </w:r>
      <w:hyperlink r:id="rId80">
        <w:r>
          <w:rPr>
            <w:color w:val="1155CC"/>
            <w:u w:val="single"/>
          </w:rPr>
          <w:t>10.1002/anie.7967447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钠离子电池在低温储能方面具有广阔的前景，但其性能受到钠离子损失、电解质冻结和粘度升高的严重限制。虽然每个问题都需要精心定制的添加剂分子，但它们的组合使用通常会导致性能干扰并使制造过程复杂化。为了克服这些并发的挑战，我们报告了一种有机分子 NaB(C</w:t>
      </w:r>
      <w:r>
        <w:rPr>
          <w:vertAlign w:val="subscript"/>
        </w:rPr>
        <w:t>2</w:t>
      </w:r>
      <w:r>
        <w:t>H</w:t>
      </w:r>
      <w:r>
        <w:rPr>
          <w:vertAlign w:val="subscript"/>
        </w:rPr>
        <w:t>5</w:t>
      </w:r>
      <w:r>
        <w:t>）</w:t>
      </w:r>
      <w:r>
        <w:rPr>
          <w:vertAlign w:val="subscript"/>
        </w:rPr>
        <w:t>4</w:t>
      </w:r>
      <w:r>
        <w:t>，通过机器学习设计，将三个功能组件合并在一个实体中：Na</w:t>
      </w:r>
      <w:r>
        <w:t xml:space="preserve"> </w:t>
      </w:r>
      <w:r>
        <w:t>+</w:t>
      </w:r>
      <w:r>
        <w:t xml:space="preserve"> </w:t>
      </w:r>
      <w:r>
        <w:t>补充钠库存，B(C</w:t>
      </w:r>
      <w:r>
        <w:rPr>
          <w:vertAlign w:val="subscript"/>
        </w:rPr>
        <w:t>2</w:t>
      </w:r>
      <w:r>
        <w:t>H</w:t>
      </w:r>
      <w:r>
        <w:rPr>
          <w:vertAlign w:val="subscript"/>
        </w:rPr>
        <w:t>5</w:t>
      </w:r>
      <w:r>
        <w:t>）</w:t>
      </w:r>
      <w:r>
        <w:rPr>
          <w:vertAlign w:val="subscript"/>
        </w:rPr>
        <w:t>3</w:t>
      </w:r>
      <w:r>
        <w:t>作为低凝固点助溶剂，C</w:t>
      </w:r>
      <w:r>
        <w:rPr>
          <w:vertAlign w:val="subscript"/>
        </w:rPr>
        <w:t>4</w:t>
      </w:r>
      <w:r>
        <w:t>H</w:t>
      </w:r>
      <w:r>
        <w:rPr>
          <w:vertAlign w:val="subscript"/>
        </w:rPr>
        <w:t>10</w:t>
      </w:r>
      <w:r>
        <w:t>作为降粘稀释剂。硼酸钠(C</w:t>
      </w:r>
      <w:r>
        <w:rPr>
          <w:vertAlign w:val="subscript"/>
        </w:rPr>
        <w:t>2</w:t>
      </w:r>
      <w:r>
        <w:t>H</w:t>
      </w:r>
      <w:r>
        <w:rPr>
          <w:vertAlign w:val="subscript"/>
        </w:rPr>
        <w:t>5</w:t>
      </w:r>
      <w:r>
        <w:t>）</w:t>
      </w:r>
      <w:r>
        <w:rPr>
          <w:vertAlign w:val="subscript"/>
        </w:rPr>
        <w:t>4</w:t>
      </w:r>
      <w:r>
        <w:t>核磁共振和质谱证实，在低于 4.0 V 时，通过自由基裂解途径完全分解。该分子的加入将醚电解质的凝固点降低至-85.0°C，当在-60°C下配制在醚基电解质中时，其离子电导率达到0.61 mS cm</w:t>
      </w:r>
      <w:r>
        <w:t xml:space="preserve"> </w:t>
      </w:r>
      <w:r>
        <w:t>−1</w:t>
      </w:r>
      <w:r>
        <w:t xml:space="preserve"> </w:t>
      </w:r>
      <w:r>
        <w:t>和粘度</w:t>
      </w:r>
    </w:p>
    <w:p>
      <w:pPr>
        <w:spacing w:before="0" w:after="200" w:lineRule="auto" w:line="276"/>
      </w:pPr>
      <w:r>
        <w:rPr>
          <w:b/>
        </w:rPr>
        <w:t xml:space="preserve">Abstract (EN): </w:t>
      </w:r>
      <w:r>
        <w:t>Na‐ion batteries hold great promise for low‐temperature energy storage, but their performance is severely constrained by Na‐ion loss, electrolyte freezing, and elevated viscosity. While each issue demands carefully tailored additive molecules, their combined use often leads to performance interference and complicates the manufacturing process. To overcome these concurrent challenges, we report an organic molecule, NaB(C</w:t>
      </w:r>
      <w:r>
        <w:rPr>
          <w:vertAlign w:val="subscript"/>
        </w:rPr>
        <w:t>2</w:t>
      </w:r>
      <w:r>
        <w:t>H</w:t>
      </w:r>
      <w:r>
        <w:rPr>
          <w:vertAlign w:val="subscript"/>
        </w:rPr>
        <w:t>5</w:t>
      </w:r>
      <w:r>
        <w:t>)</w:t>
      </w:r>
      <w:r>
        <w:rPr>
          <w:vertAlign w:val="subscript"/>
        </w:rPr>
        <w:t>4</w:t>
      </w:r>
      <w:r>
        <w:t>, designed via machine learning, which incorporates three functional components in a single entity: Na</w:t>
      </w:r>
      <w:r>
        <w:t xml:space="preserve"> </w:t>
      </w:r>
      <w:r>
        <w:t>+</w:t>
      </w:r>
      <w:r>
        <w:t xml:space="preserve"> </w:t>
      </w:r>
      <w:r>
        <w:t>to replenish sodium inventory, B(C</w:t>
      </w:r>
      <w:r>
        <w:rPr>
          <w:vertAlign w:val="subscript"/>
        </w:rPr>
        <w:t>2</w:t>
      </w:r>
      <w:r>
        <w:t>H</w:t>
      </w:r>
      <w:r>
        <w:rPr>
          <w:vertAlign w:val="subscript"/>
        </w:rPr>
        <w:t>5</w:t>
      </w:r>
      <w:r>
        <w:t>)</w:t>
      </w:r>
      <w:r>
        <w:rPr>
          <w:vertAlign w:val="subscript"/>
        </w:rPr>
        <w:t>3</w:t>
      </w:r>
      <w:r>
        <w:t>as a low‐freezing‐point cosolvent, and C</w:t>
      </w:r>
      <w:r>
        <w:rPr>
          <w:vertAlign w:val="subscript"/>
        </w:rPr>
        <w:t>4</w:t>
      </w:r>
      <w:r>
        <w:t>H</w:t>
      </w:r>
      <w:r>
        <w:rPr>
          <w:vertAlign w:val="subscript"/>
        </w:rPr>
        <w:t>10</w:t>
      </w:r>
      <w:r>
        <w:t>as a viscosity‐reducing diluent. NaB(C</w:t>
      </w:r>
      <w:r>
        <w:rPr>
          <w:vertAlign w:val="subscript"/>
        </w:rPr>
        <w:t>2</w:t>
      </w:r>
      <w:r>
        <w:t>H</w:t>
      </w:r>
      <w:r>
        <w:rPr>
          <w:vertAlign w:val="subscript"/>
        </w:rPr>
        <w:t>5</w:t>
      </w:r>
      <w:r>
        <w:t>)</w:t>
      </w:r>
      <w:r>
        <w:rPr>
          <w:vertAlign w:val="subscript"/>
        </w:rPr>
        <w:t>4</w:t>
      </w:r>
      <w:r>
        <w:t>undergoes complete decomposition below 4.0 V via a free‐radical cleavage pathway, as confirmed by NMR and mass spectrometry. The incorporation of this molecule reduces the freezing point of the ether electrolyte to −85.0°C, and when formulated in an ether‐based electrolyte at −60°C, it achieves an ionic conductivity of 0.61 mS cm</w:t>
      </w:r>
      <w:r>
        <w:t xml:space="preserve"> </w:t>
      </w:r>
      <w:r>
        <w:t>−1</w:t>
      </w:r>
      <w:r>
        <w:t xml:space="preserve"> </w:t>
      </w:r>
      <w:r>
        <w:t>and a viscosity of 49.7 mPa s. As a result, the hard carbon||P2‐Na</w:t>
      </w:r>
      <w:r>
        <w:t xml:space="preserve"> </w:t>
      </w:r>
      <w:r>
        <w:t>2/3</w:t>
      </w:r>
      <w:r>
        <w:t xml:space="preserve"> </w:t>
      </w:r>
      <w:r>
        <w:t>Ni</w:t>
      </w:r>
      <w:r>
        <w:t xml:space="preserve"> </w:t>
      </w:r>
      <w:r>
        <w:t>1/3</w:t>
      </w:r>
      <w:r>
        <w:t xml:space="preserve"> </w:t>
      </w:r>
      <w:r>
        <w:t>Fe</w:t>
      </w:r>
      <w:r>
        <w:t xml:space="preserve"> </w:t>
      </w:r>
      <w:r>
        <w:t>1/3</w:t>
      </w:r>
      <w:r>
        <w:t xml:space="preserve"> </w:t>
      </w:r>
      <w:r>
        <w:t>Mn</w:t>
      </w:r>
      <w:r>
        <w:t xml:space="preserve"> </w:t>
      </w:r>
      <w:r>
        <w:t>1/3</w:t>
      </w:r>
      <w:r>
        <w:t xml:space="preserve"> </w:t>
      </w:r>
      <w:r>
        <w:t>O</w:t>
      </w:r>
      <w:r>
        <w:rPr>
          <w:vertAlign w:val="subscript"/>
        </w:rPr>
        <w:t>2</w:t>
      </w:r>
      <w:r>
        <w:t>pouch cell exhibits an improved initial Coulombic efficiency from 64.8% to 83.7%, along with 90.2% capacity retention over 200 cycles at −60°C.</w:t>
      </w:r>
    </w:p>
    <w:p>
      <w:pPr>
        <w:spacing w:before="120" w:after="120"/>
      </w:pPr>
      <w:r>
        <w:rPr>
          <w:sz w:val="18"/>
        </w:rPr>
        <w:t>——————————————————————————————————————————————————————————————————————</w:t>
      </w:r>
    </w:p>
    <w:p>
      <w:pPr>
        <w:spacing w:before="160" w:after="40" w:line="240" w:lineRule="auto"/>
      </w:pPr>
      <w:r>
        <w:rPr>
          <w:b/>
        </w:rPr>
        <w:t xml:space="preserve">[5] </w:t>
      </w:r>
      <w:hyperlink r:id="rId81">
        <w:r>
          <w:rPr>
            <w:color w:val="1155CC"/>
            <w:u w:val="single"/>
          </w:rPr>
          <w:t>超越氟化：由化学配位信息机器学习指导的高压电解质设计的黄金标准</w:t>
        </w:r>
      </w:hyperlink>
    </w:p>
    <w:p>
      <w:pPr>
        <w:spacing w:before="0" w:after="80"/>
      </w:pPr>
      <w:r>
        <w:rPr>
          <w:i/>
          <w:sz w:val="20"/>
        </w:rPr>
        <w:t>EN: Beyond Fluorination: A Golden Criterion Guided by Chemical Coordination‐Informed Machine Learning for High‐Voltage Electrolyte Design</w:t>
      </w:r>
    </w:p>
    <w:p>
      <w:pPr>
        <w:spacing w:before="0" w:after="120"/>
      </w:pPr>
      <w:r>
        <w:rPr>
          <w:b/>
        </w:rPr>
        <w:t xml:space="preserve">Source: </w:t>
      </w:r>
      <w:r>
        <w:t>Wiley-Online-Library: Angewandte Chemie International Edition: Table of Contents</w:t>
      </w:r>
      <w:r>
        <w:t xml:space="preserve">    </w:t>
      </w:r>
      <w:r>
        <w:rPr>
          <w:b/>
        </w:rPr>
        <w:t xml:space="preserve">Pub date: </w:t>
      </w:r>
      <w:r>
        <w:t>2026-06-13 16:46:49+00:00</w:t>
      </w:r>
      <w:r>
        <w:t xml:space="preserve">    </w:t>
      </w:r>
      <w:r>
        <w:rPr>
          <w:b/>
        </w:rPr>
        <w:t xml:space="preserve">DOI: </w:t>
      </w:r>
      <w:hyperlink r:id="rId82">
        <w:r>
          <w:rPr>
            <w:color w:val="1155CC"/>
            <w:u w:val="single"/>
          </w:rPr>
          <w:t>10.1002/anie.1244287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氟的强电负性，氟化学通过强大的界面钝化来扩展电解质的工作电压限制而引起了人们的关注。然而，面对溶剂/盐/添加剂多组分引起的巨大组合空间，传统的高压电解质配方设计仅限于依赖氟含量调整，导致氧化稳定性和离子传输动力学之间不可避免的权衡。在这里，我们开发了一种嵌入到机器学习中的化学配位知情摩尔浓度特征解析方法，用于训练适应模型。通过在给定配方的组分和化学配位原子摩尔浓度之间建立一对一映射，经过训练的梯度增强回归实现了 MAE 低于 0.36 V 的氧化电位预测。基于三元溶剂混合物演示了 2808 个实验操作候选方案，我们揭示了单配位氟和双键氧摩尔浓度 (F1/O1) 在突破氧化稳定性极限方面的显着作用，并定义了黄金设计指导 O1 相关食谱的标准：F1(≥8.19)/O1(≥13.39)[0.55, 1.10]。接下来，我们验证了三种实验报告的低氟配方，并确定了两种有前景的配方，其氧化电位相对于 Li 约为 6.3 V</w:t>
      </w:r>
      <w:r>
        <w:t xml:space="preserve"> </w:t>
      </w:r>
      <w:r>
        <w:t>+</w:t>
      </w:r>
      <w:r>
        <w:t xml:space="preserve"> </w:t>
      </w:r>
      <w:r>
        <w:t>/Li 以及高离子传输动力学进行进一步评估。这项工作展示了可定制的特征工程在产生智能机器</w:t>
      </w:r>
    </w:p>
    <w:p>
      <w:pPr>
        <w:spacing w:before="0" w:after="200" w:lineRule="auto" w:line="276"/>
      </w:pPr>
      <w:r>
        <w:rPr>
          <w:b/>
        </w:rPr>
        <w:t xml:space="preserve">Abstract (EN): </w:t>
      </w:r>
      <w:r>
        <w:t>Fluorine chemistry has garnered attention for extending operating voltage limits of electrolytes through robust interfacial passivation owing to fluorine's strong electronegativity. However, confronted with solvent/salt/additive multicomponent induced vast combinatorial space, conventional high‐voltage electrolyte recipe design has been confined to reliance on fluorine content adjustments, resulting in inevitable trade‐off between oxidation stability and ion transport kinetics. Herein, we develop a Chemical Coordination‐Informed Molarity feature parsing approach embedded into machine learning for training adapted models. By building the one‐to‐one mapping between components and chemical‐coordination atomic molarities of a given recipe, the trained gradient boosting regression achieves a prediction of oxidation potential with MAE below 0.36 V. Demonstrating 2808 experiment operational candidates based on a ternary‐solvent blend, we reveal the pronounced role of mono‐coordinated fluorine and double‐bonded oxygen molarity ratio (F1/O1) for breaking the oxidative stability limit, and define a golden design criterion for guiding O1‐involved recipes: F1(≥8.19)/O1(≥13.39)[0.55, 1.10]. Following this, we validate three experimentally reported low‐fluoride recipes and identify two promising ones exhibiting oxidation potentials around 6.3 V vs. Li</w:t>
      </w:r>
      <w:r>
        <w:t xml:space="preserve"> </w:t>
      </w:r>
      <w:r>
        <w:t>+</w:t>
      </w:r>
      <w:r>
        <w:t xml:space="preserve"> </w:t>
      </w:r>
      <w:r>
        <w:t>/Li along with high ion‐transport kinetics for further assessments. This work demonstrates customizable feature engineering in yielding intelligent materials design principles for reconciling multiple target performance that are usually mutually exclusive.</w:t>
      </w:r>
    </w:p>
    <w:p>
      <w:pPr>
        <w:spacing w:before="120" w:after="120"/>
      </w:pPr>
      <w:r>
        <w:rPr>
          <w:sz w:val="18"/>
        </w:rPr>
        <w:t>——————————————————————————————————————————————————————————————————————</w:t>
      </w:r>
    </w:p>
    <w:p>
      <w:pPr>
        <w:spacing w:before="160" w:after="40" w:line="240" w:lineRule="auto"/>
      </w:pPr>
      <w:r>
        <w:rPr>
          <w:b/>
        </w:rPr>
        <w:t xml:space="preserve">[6] </w:t>
      </w:r>
      <w:hyperlink r:id="rId83">
        <w:r>
          <w:rPr>
            <w:color w:val="1155CC"/>
            <w:u w:val="single"/>
          </w:rPr>
          <w:t>金属有机框架中通道内负电荷密度的精确调控以实现碱离子的高效传输</w:t>
        </w:r>
      </w:hyperlink>
    </w:p>
    <w:p>
      <w:pPr>
        <w:spacing w:before="0" w:after="80"/>
      </w:pPr>
      <w:r>
        <w:rPr>
          <w:i/>
          <w:sz w:val="20"/>
        </w:rPr>
        <w:t>EN: Precise Regulation of Intrachannel Negative Charge Density in Metal‐Organic Frameworks for Efficient Alkali‐Ion Transport</w:t>
      </w:r>
    </w:p>
    <w:p>
      <w:pPr>
        <w:spacing w:before="0" w:after="120"/>
      </w:pPr>
      <w:r>
        <w:rPr>
          <w:b/>
        </w:rPr>
        <w:t xml:space="preserve">Source: </w:t>
      </w:r>
      <w:r>
        <w:t>Wiley-Online-Library: Angewandte Chemie International Edition: Table of Contents</w:t>
      </w:r>
      <w:r>
        <w:t xml:space="preserve">    </w:t>
      </w:r>
      <w:r>
        <w:rPr>
          <w:b/>
        </w:rPr>
        <w:t xml:space="preserve">Pub date: </w:t>
      </w:r>
      <w:r>
        <w:t>2026-06-13 16:50:37+00:00</w:t>
      </w:r>
      <w:r>
        <w:t xml:space="preserve">    </w:t>
      </w:r>
      <w:r>
        <w:rPr>
          <w:b/>
        </w:rPr>
        <w:t xml:space="preserve">DOI: </w:t>
      </w:r>
      <w:hyperlink r:id="rId84">
        <w:r>
          <w:rPr>
            <w:color w:val="1155CC"/>
            <w:u w:val="single"/>
          </w:rPr>
          <w:t>10.1002/anie.7827578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带电纳米通道对于金属有机框架（MOF）中阳离子的有效传输至关重要；然而，通道内负电荷密度和离子电导率之间的关系仍然知之甚少。在这里，我们报告了结构类似的 MOF，具有可精确调节负电荷密度的纳米通道：中性 N-MOF、中等电荷 M-MOF 和高电荷 H-MOF。我们的结果表明，通道内负电荷密度调节静电微环境和主客体相互作用，从而控制离子对解离、阳离子跳跃和移动电荷载流子的浓度。 MOF 纳米通道内的固定负电荷基团促进盐解离并为离子迁移提供跳跃位点。然而，H-MOF 中过高的电荷密度会导致静电锚定，从而限制了 Li</w:t>
      </w:r>
      <w:r>
        <w:t xml:space="preserve"> </w:t>
      </w:r>
      <w:r>
        <w:t>+</w:t>
      </w:r>
      <w:r>
        <w:t xml:space="preserve"> </w:t>
      </w:r>
      <w:r>
        <w:t>迁移率，而 M-MOF 中的中等电荷密度提供了离子解离和离子传输之间的最佳平衡。因此，对于 Li 来说，离子电导率遵循 M–MOF &gt; H–MOF &gt; N–MOF 的顺序</w:t>
      </w:r>
      <w:r>
        <w:t xml:space="preserve"> </w:t>
      </w:r>
      <w:r>
        <w:t>+</w:t>
      </w:r>
      <w:r>
        <w:t xml:space="preserve"> </w:t>
      </w:r>
      <w:r>
        <w:t>和钠</w:t>
      </w:r>
      <w:r>
        <w:t xml:space="preserve"> </w:t>
      </w:r>
      <w:r>
        <w:t>+</w:t>
      </w:r>
      <w:r>
        <w:t xml:space="preserve"> </w:t>
      </w:r>
      <w:r>
        <w:t>运输。 M–MOF 的离子电导率达到 1.56 mS cm</w:t>
      </w:r>
      <w:r>
        <w:t xml:space="preserve"> </w:t>
      </w:r>
      <w:r>
        <w:t>−1</w:t>
      </w:r>
      <w:r>
        <w:t xml:space="preserve"> </w:t>
      </w:r>
      <w:r>
        <w:t>为李</w:t>
      </w:r>
      <w:r>
        <w:t xml:space="preserve"> </w:t>
      </w:r>
      <w:r>
        <w:t>+</w:t>
      </w:r>
      <w:r>
        <w:t xml:space="preserve"> </w:t>
      </w:r>
      <w:r>
        <w:t>和 1.38 mS cm</w:t>
      </w:r>
      <w:r>
        <w:t xml:space="preserve"> </w:t>
      </w:r>
      <w:r>
        <w:t>−1</w:t>
      </w:r>
      <w:r>
        <w:t xml:space="preserve"> </w:t>
      </w:r>
      <w:r>
        <w:t>对于钠</w:t>
      </w:r>
      <w:r>
        <w:t xml:space="preserve"> </w:t>
      </w:r>
      <w:r>
        <w:t>+</w:t>
      </w:r>
      <w:r>
        <w:t xml:space="preserve"> </w:t>
      </w:r>
      <w:r>
        <w:t>在 30°C 下，建立精确的通道内电荷调节作为设计原则</w:t>
      </w:r>
    </w:p>
    <w:p>
      <w:pPr>
        <w:spacing w:before="0" w:after="200" w:lineRule="auto" w:line="276"/>
      </w:pPr>
      <w:r>
        <w:rPr>
          <w:b/>
        </w:rPr>
        <w:t xml:space="preserve">Abstract (EN): </w:t>
      </w:r>
      <w:r>
        <w:t>Charged nanochannels are critical for efficient cation transport in metal‐organic frameworks (MOFs); however, the relationship between intrachannel negative charge density and ionic conductivity remains poorly understood. Here, we report structurally analogous MOFs with nanochannels of precisely tunable negative charge density: neutral N–MOF, moderately charged M–MOF, and highly charged H–MOF. Our results show that intrachannel negative charge density regulates the electrostatic microenvironment and host‐guest interactions, thereby controlling ion‐pair dissociation, cation hopping, and the concentration of mobile charge carriers. Fixed negatively charged groups within the MOF nanochannels promote salt dissociation and provide hopping sites for ion migration. However, excessive charge density in H–MOF causes electrostatic anchoring that restricts Li</w:t>
      </w:r>
      <w:r>
        <w:t xml:space="preserve"> </w:t>
      </w:r>
      <w:r>
        <w:t>+</w:t>
      </w:r>
      <w:r>
        <w:t xml:space="preserve"> </w:t>
      </w:r>
      <w:r>
        <w:t>mobility, whereas the moderate charge density in M–MOF provides the optimal balance between ion dissociation and ion transport. Accordingly, ionic conductivity follows the order M–MOF &amp;gt; H–MOF &amp;gt; N–MOF for both Li</w:t>
      </w:r>
      <w:r>
        <w:t xml:space="preserve"> </w:t>
      </w:r>
      <w:r>
        <w:t>+</w:t>
      </w:r>
      <w:r>
        <w:t xml:space="preserve"> </w:t>
      </w:r>
      <w:r>
        <w:t>and Na</w:t>
      </w:r>
      <w:r>
        <w:t xml:space="preserve"> </w:t>
      </w:r>
      <w:r>
        <w:t>+</w:t>
      </w:r>
      <w:r>
        <w:t xml:space="preserve"> </w:t>
      </w:r>
      <w:r>
        <w:t>transport. M–MOF achieved ionic conductivities of 1.56 mS cm</w:t>
      </w:r>
      <w:r>
        <w:t xml:space="preserve"> </w:t>
      </w:r>
      <w:r>
        <w:t>−1</w:t>
      </w:r>
      <w:r>
        <w:t xml:space="preserve"> </w:t>
      </w:r>
      <w:r>
        <w:t>for Li</w:t>
      </w:r>
      <w:r>
        <w:t xml:space="preserve"> </w:t>
      </w:r>
      <w:r>
        <w:t>+</w:t>
      </w:r>
      <w:r>
        <w:t xml:space="preserve"> </w:t>
      </w:r>
      <w:r>
        <w:t>and 1.38 mS cm</w:t>
      </w:r>
      <w:r>
        <w:t xml:space="preserve"> </w:t>
      </w:r>
      <w:r>
        <w:t>−1</w:t>
      </w:r>
      <w:r>
        <w:t xml:space="preserve"> </w:t>
      </w:r>
      <w:r>
        <w:t>for Na</w:t>
      </w:r>
      <w:r>
        <w:t xml:space="preserve"> </w:t>
      </w:r>
      <w:r>
        <w:t>+</w:t>
      </w:r>
      <w:r>
        <w:t xml:space="preserve"> </w:t>
      </w:r>
      <w:r>
        <w:t>at 30°C, establishing precise intrachannel charge regulation as a design principle for next‐generation solid‐state electrolytes.</w:t>
      </w:r>
    </w:p>
    <w:p>
      <w:pPr>
        <w:spacing w:before="120" w:after="120"/>
      </w:pPr>
      <w:r>
        <w:rPr>
          <w:sz w:val="18"/>
        </w:rPr>
        <w:t>——————————————————————————————————————————————————————————————————————</w:t>
      </w:r>
    </w:p>
    <w:p>
      <w:pPr>
        <w:spacing w:before="160" w:after="40" w:line="240" w:lineRule="auto"/>
      </w:pPr>
      <w:r>
        <w:rPr>
          <w:b/>
        </w:rPr>
        <w:t xml:space="preserve">[7] </w:t>
      </w:r>
      <w:hyperlink r:id="rId37">
        <w:r>
          <w:rPr>
            <w:color w:val="1155CC"/>
            <w:u w:val="single"/>
          </w:rPr>
          <w:t>解锁实用固态锌金属软包​​电池的全各向异性组件集成范例</w:t>
        </w:r>
      </w:hyperlink>
    </w:p>
    <w:p>
      <w:pPr>
        <w:spacing w:before="0" w:after="80"/>
      </w:pPr>
      <w:r>
        <w:rPr>
          <w:i/>
          <w:sz w:val="20"/>
        </w:rPr>
        <w:t>EN: Unlocking an All‐Anisotropic‐Component Integrated Paradigm Toward Practical Solid‐State Zinc Metal Pouch Cells</w:t>
      </w:r>
    </w:p>
    <w:p>
      <w:pPr>
        <w:spacing w:before="0" w:after="120"/>
      </w:pPr>
      <w:r>
        <w:rPr>
          <w:b/>
        </w:rPr>
        <w:t xml:space="preserve">Source: </w:t>
      </w:r>
      <w:r>
        <w:t>Wiley-Online-Library: Angewandte Chemie International Edition: Table of Contents</w:t>
      </w:r>
      <w:r>
        <w:t xml:space="preserve">    </w:t>
      </w:r>
      <w:r>
        <w:rPr>
          <w:b/>
        </w:rPr>
        <w:t xml:space="preserve">Pub date: </w:t>
      </w:r>
      <w:r>
        <w:t>2026-06-13 17:13:46+00:00</w:t>
      </w:r>
      <w:r>
        <w:t xml:space="preserve">    </w:t>
      </w:r>
      <w:r>
        <w:rPr>
          <w:b/>
        </w:rPr>
        <w:t xml:space="preserve">DOI: </w:t>
      </w:r>
      <w:hyperlink r:id="rId38">
        <w:r>
          <w:rPr>
            <w:color w:val="1155CC"/>
            <w:u w:val="single"/>
          </w:rPr>
          <w:t>10.1002/anie.1641255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安全性和低成本的锌金属电池在储能方面具有广阔的前景，但其有限的能量密度仍然是限制其实际发展的主要瓶颈。在这里，提出了一种具有完全高通量特性的全各向异性组件集成模型，用于实现高比能器件。通过利用天然和可回收的木质材料，我们验证了其在经典 Zn-MnO 中的可行性</w:t>
      </w:r>
      <w:r>
        <w:rPr>
          <w:vertAlign w:val="subscript"/>
        </w:rPr>
        <w:t>2</w:t>
      </w:r>
      <w:r>
        <w:t>单电子反应体系。其中，轻质碳化木质材料被用作 MnO 的通用集电器</w:t>
      </w:r>
      <w:r>
        <w:rPr>
          <w:vertAlign w:val="subscript"/>
        </w:rPr>
        <w:t>2</w:t>
      </w:r>
      <w:r>
        <w:t>阴极和锌阳极。同时，制备了具有垂直排列通道的磷酸盐改性纤维素基水凝胶，以实现电极和电解质界面之间的高电化学相容性。因此，这种结构能够实现 Zn||Ca-MnO 的稳定循环</w:t>
      </w:r>
      <w:r>
        <w:rPr>
          <w:vertAlign w:val="subscript"/>
        </w:rPr>
        <w:t>2</w:t>
      </w:r>
      <w:r>
        <w:t>高质量负载下的软包电池（甚至高达 50.13 mg cm</w:t>
      </w:r>
      <w:r>
        <w:t xml:space="preserve"> </w:t>
      </w:r>
      <w:r>
        <w:t>−2</w:t>
      </w:r>
      <w:r>
        <w:t xml:space="preserve"> </w:t>
      </w:r>
      <w:r>
        <w:t>），具有宽温度操作性（−30°C 至 60°C）。令人印象深刻的是，最大能量密度为 173.2 Wh kg</w:t>
      </w:r>
      <w:r>
        <w:t xml:space="preserve"> </w:t>
      </w:r>
      <w:r>
        <w:t>−1</w:t>
      </w:r>
      <w:r>
        <w:t xml:space="preserve"> </w:t>
      </w:r>
      <w:r>
        <w:t>在0.1 A g的电流密度下实现</w:t>
      </w:r>
      <w:r>
        <w:t xml:space="preserve"> </w:t>
      </w:r>
      <w:r>
        <w:t>−1</w:t>
      </w:r>
      <w:r>
        <w:t xml:space="preserve"> </w:t>
      </w:r>
      <w:r>
        <w:t>，超过了之前的绝大多数发现。这种电池结构模型可以应用于钒基和锰基阴极，但也有望应用于其他多电子反应系统，例如</w:t>
      </w:r>
    </w:p>
    <w:p>
      <w:pPr>
        <w:spacing w:before="0" w:after="200" w:lineRule="auto" w:line="276"/>
      </w:pPr>
      <w:r>
        <w:rPr>
          <w:b/>
        </w:rPr>
        <w:t xml:space="preserve">Abstract (EN): </w:t>
      </w:r>
      <w:r>
        <w:t>High‐safety and low‐cost Zn metal batteries hold great promise for energy storage, but their limited energy density remains a major bottleneck restricting their practical development. Here, an all‐anisotropic‐component integrated model with full high‐flux characteristic is presented for enabling high‐specific‐energy devices. By utilizing natural and recyclable wood‐based materials, we validate its feasibility in classic Zn–MnO</w:t>
      </w:r>
      <w:r>
        <w:rPr>
          <w:vertAlign w:val="subscript"/>
        </w:rPr>
        <w:t>2</w:t>
      </w:r>
      <w:r>
        <w:t>single‐electron reaction system. Among them, lightweight and carbonized wood material was used to serves as a universal current collector for both MnO</w:t>
      </w:r>
      <w:r>
        <w:rPr>
          <w:vertAlign w:val="subscript"/>
        </w:rPr>
        <w:t>2</w:t>
      </w:r>
      <w:r>
        <w:t>cathode and Zn anode. Simultaneously, a phosphate‐modified cellulose‐based hydrogel with vertically aligned channels was fabricated to achieve high electrochemical compatibility between electrode and electrolyte interfaces. As a result, this configuration enables the stable cycling of Zn||Ca‐MnO</w:t>
      </w:r>
      <w:r>
        <w:rPr>
          <w:vertAlign w:val="subscript"/>
        </w:rPr>
        <w:t>2</w:t>
      </w:r>
      <w:r>
        <w:t>pouch cells at high mass loading (even up to 50.13 mg cm</w:t>
      </w:r>
      <w:r>
        <w:t xml:space="preserve"> </w:t>
      </w:r>
      <w:r>
        <w:t>−2</w:t>
      </w:r>
      <w:r>
        <w:t xml:space="preserve"> </w:t>
      </w:r>
      <w:r>
        <w:t>), with a wide‐temperature operability (−30°C to 60°C). Impressively, a maximum energy density of 173.2 Wh kg</w:t>
      </w:r>
      <w:r>
        <w:t xml:space="preserve"> </w:t>
      </w:r>
      <w:r>
        <w:t>−1</w:t>
      </w:r>
      <w:r>
        <w:t xml:space="preserve"> </w:t>
      </w:r>
      <w:r>
        <w:t>is achieved at the current density of 0.1 A g</w:t>
      </w:r>
      <w:r>
        <w:t xml:space="preserve"> </w:t>
      </w:r>
      <w:r>
        <w:t>−1</w:t>
      </w:r>
      <w:r>
        <w:t xml:space="preserve"> </w:t>
      </w:r>
      <w:r>
        <w:t>, exceeding the vast majority of previous findings. Such battery structure model can be applied to both vanadium‐ and manganese‐based cathodes, but also expected to other multielectron reaction systems, promoting the fast development of economical nonlithium energy storage batteries.</w:t>
      </w:r>
    </w:p>
    <w:p>
      <w:pPr>
        <w:spacing w:before="120" w:after="120"/>
      </w:pPr>
      <w:r>
        <w:rPr>
          <w:sz w:val="18"/>
        </w:rPr>
        <w:t>——————————————————————————————————————————————————————————————————————</w:t>
      </w:r>
    </w:p>
    <w:p>
      <w:pPr>
        <w:spacing w:before="160" w:after="40" w:line="240" w:lineRule="auto"/>
      </w:pPr>
      <w:r>
        <w:rPr>
          <w:b/>
        </w:rPr>
        <w:t xml:space="preserve">[8] </w:t>
      </w:r>
      <w:hyperlink r:id="rId85">
        <w:r>
          <w:rPr>
            <w:color w:val="1155CC"/>
            <w:u w:val="single"/>
          </w:rPr>
          <w:t>用于全固态锂电池的具有干燥大气稳定性的银汞矿硫化物电解质</w:t>
        </w:r>
      </w:hyperlink>
    </w:p>
    <w:p>
      <w:pPr>
        <w:spacing w:before="0" w:after="80"/>
      </w:pPr>
      <w:r>
        <w:rPr>
          <w:i/>
          <w:sz w:val="20"/>
        </w:rPr>
        <w:t>EN: Argyrodite Sulfide Electrolytes with Dry Atmospheric Stability for All‐Solid‐State Lithium Batteries</w:t>
      </w:r>
    </w:p>
    <w:p>
      <w:pPr>
        <w:spacing w:before="0" w:after="120"/>
      </w:pPr>
      <w:r>
        <w:rPr>
          <w:b/>
        </w:rPr>
        <w:t xml:space="preserve">Source: </w:t>
      </w:r>
      <w:r>
        <w:t>Wiley: Advanced Materials: Table of Contents</w:t>
      </w:r>
      <w:r>
        <w:t xml:space="preserve">    </w:t>
      </w:r>
      <w:r>
        <w:rPr>
          <w:b/>
        </w:rPr>
        <w:t xml:space="preserve">Pub date: </w:t>
      </w:r>
      <w:r>
        <w:t>2026-06-15 05:04:53+00:00</w:t>
      </w:r>
      <w:r>
        <w:t xml:space="preserve">    </w:t>
      </w:r>
      <w:r>
        <w:rPr>
          <w:b/>
        </w:rPr>
        <w:t xml:space="preserve">DOI: </w:t>
      </w:r>
      <w:hyperlink r:id="rId86">
        <w:r>
          <w:rPr>
            <w:color w:val="1155CC"/>
            <w:u w:val="single"/>
          </w:rPr>
          <w:t>10.1002/adma.73671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硫化物电解质对空气的不稳定性以及与溶剂的不相容性仍然是一个巨大的挑战，阻碍了全固态锂电池的可扩展制造。在这项工作中，系统地研究了空气中的主要成分对银汞矿硫化物电解质的影响，包括N</w:t>
      </w:r>
      <w:r>
        <w:rPr>
          <w:vertAlign w:val="subscript"/>
        </w:rPr>
        <w:t>2</w:t>
      </w:r>
      <w:r>
        <w:t>, 氧</w:t>
      </w:r>
      <w:r>
        <w:rPr>
          <w:vertAlign w:val="subscript"/>
        </w:rPr>
        <w:t>2</w:t>
      </w:r>
      <w:r>
        <w:t>，和一氧化碳</w:t>
      </w:r>
      <w:r>
        <w:rPr>
          <w:vertAlign w:val="subscript"/>
        </w:rPr>
        <w:t>2</w:t>
      </w:r>
      <w:r>
        <w:t>。既李</w:t>
      </w:r>
      <w:r>
        <w:rPr>
          <w:vertAlign w:val="subscript"/>
        </w:rPr>
        <w:t>6</w:t>
      </w:r>
      <w:r>
        <w:t>聚苯乙烯</w:t>
      </w:r>
      <w:r>
        <w:rPr>
          <w:vertAlign w:val="subscript"/>
        </w:rPr>
        <w:t>5</w:t>
      </w:r>
      <w:r>
        <w:t>氯和锂</w:t>
      </w:r>
      <w:r>
        <w:t xml:space="preserve"> </w:t>
      </w:r>
      <w:r>
        <w:t>5.4</w:t>
      </w:r>
      <w:r>
        <w:t xml:space="preserve"> </w:t>
      </w:r>
      <w:r>
        <w:t>聚苯乙烯</w:t>
      </w:r>
      <w:r>
        <w:t xml:space="preserve"> </w:t>
      </w:r>
      <w:r>
        <w:t>4.4</w:t>
      </w:r>
      <w:r>
        <w:t xml:space="preserve"> </w:t>
      </w:r>
      <w:r>
        <w:t>氯</w:t>
      </w:r>
      <w:r>
        <w:t xml:space="preserve"> </w:t>
      </w:r>
      <w:r>
        <w:t>1.6</w:t>
      </w:r>
      <w:r>
        <w:t xml:space="preserve"> </w:t>
      </w:r>
      <w:r>
        <w:t>对 N 表现出化学惰性</w:t>
      </w:r>
      <w:r>
        <w:rPr>
          <w:vertAlign w:val="subscript"/>
        </w:rPr>
        <w:t>2</w:t>
      </w:r>
      <w:r>
        <w:t>，但易与O反应</w:t>
      </w:r>
      <w:r>
        <w:rPr>
          <w:vertAlign w:val="subscript"/>
        </w:rPr>
        <w:t>2</w:t>
      </w:r>
      <w:r>
        <w:t>和二氧化碳</w:t>
      </w:r>
      <w:r>
        <w:rPr>
          <w:vertAlign w:val="subscript"/>
        </w:rPr>
        <w:t>2</w:t>
      </w:r>
      <w:r>
        <w:t>。值得注意的是，李</w:t>
      </w:r>
      <w:r>
        <w:t xml:space="preserve"> </w:t>
      </w:r>
      <w:r>
        <w:t>5.4</w:t>
      </w:r>
      <w:r>
        <w:t xml:space="preserve"> </w:t>
      </w:r>
      <w:r>
        <w:t>聚苯乙烯</w:t>
      </w:r>
      <w:r>
        <w:t xml:space="preserve"> </w:t>
      </w:r>
      <w:r>
        <w:t>4.4</w:t>
      </w:r>
      <w:r>
        <w:t xml:space="preserve"> </w:t>
      </w:r>
      <w:r>
        <w:t>氯</w:t>
      </w:r>
      <w:r>
        <w:t xml:space="preserve"> </w:t>
      </w:r>
      <w:r>
        <w:t>1.6</w:t>
      </w:r>
      <w:r>
        <w:t xml:space="preserve"> </w:t>
      </w:r>
      <w:r>
        <w:t>对 O 表现出较差的稳定性</w:t>
      </w:r>
      <w:r>
        <w:rPr>
          <w:vertAlign w:val="subscript"/>
        </w:rPr>
        <w:t>2</w:t>
      </w:r>
      <w:r>
        <w:t>和二氧化碳</w:t>
      </w:r>
      <w:r>
        <w:rPr>
          <w:vertAlign w:val="subscript"/>
        </w:rPr>
        <w:t>2</w:t>
      </w:r>
      <w:r>
        <w:t>与李相比</w:t>
      </w:r>
      <w:r>
        <w:rPr>
          <w:vertAlign w:val="subscript"/>
        </w:rPr>
        <w:t>6</w:t>
      </w:r>
      <w:r>
        <w:t>聚苯乙烯</w:t>
      </w:r>
      <w:r>
        <w:rPr>
          <w:vertAlign w:val="subscript"/>
        </w:rPr>
        <w:t>5</w:t>
      </w:r>
      <w:r>
        <w:t>Cl，归因于PS中P─Cl键的弱点</w:t>
      </w:r>
      <w:r>
        <w:rPr>
          <w:vertAlign w:val="subscript"/>
        </w:rPr>
        <w:t>3</w:t>
      </w:r>
      <w:r>
        <w:t>由密度泛函理论计算证实的 Cl 基序。尽管如此，氧掺杂的Li</w:t>
      </w:r>
      <w:r>
        <w:t xml:space="preserve"> </w:t>
      </w:r>
      <w:r>
        <w:t>6.05</w:t>
      </w:r>
      <w:r>
        <w:t xml:space="preserve"> </w:t>
      </w:r>
      <w:r>
        <w:t>聚苯乙烯</w:t>
      </w:r>
      <w:r>
        <w:t xml:space="preserve"> </w:t>
      </w:r>
      <w:r>
        <w:t>4.9</w:t>
      </w:r>
    </w:p>
    <w:p>
      <w:pPr>
        <w:spacing w:before="0" w:after="200" w:lineRule="auto" w:line="276"/>
      </w:pPr>
      <w:r>
        <w:rPr>
          <w:b/>
        </w:rPr>
        <w:t xml:space="preserve">Abstract (EN): </w:t>
      </w:r>
      <w:r>
        <w:t>The instability of sulfide electrolytes toward air and their incompatibility with solvents remain a great challenge that hampers their scalable manufacturing for all‐solid‐state lithium batteries. In this work, the effects of major components in air on argyrodite sulfide electrolytes are systematically investigated, including N</w:t>
      </w:r>
      <w:r>
        <w:rPr>
          <w:vertAlign w:val="subscript"/>
        </w:rPr>
        <w:t>2</w:t>
      </w:r>
      <w:r>
        <w:t>, O</w:t>
      </w:r>
      <w:r>
        <w:rPr>
          <w:vertAlign w:val="subscript"/>
        </w:rPr>
        <w:t>2</w:t>
      </w:r>
      <w:r>
        <w:t>, and CO</w:t>
      </w:r>
      <w:r>
        <w:rPr>
          <w:vertAlign w:val="subscript"/>
        </w:rPr>
        <w:t>2</w:t>
      </w:r>
      <w:r>
        <w:t>. Both Li</w:t>
      </w:r>
      <w:r>
        <w:rPr>
          <w:vertAlign w:val="subscript"/>
        </w:rPr>
        <w:t>6</w:t>
      </w:r>
      <w:r>
        <w:t>PS</w:t>
      </w:r>
      <w:r>
        <w:rPr>
          <w:vertAlign w:val="subscript"/>
        </w:rPr>
        <w:t>5</w:t>
      </w:r>
      <w:r>
        <w:t>Cl and Li</w:t>
      </w:r>
      <w:r>
        <w:t xml:space="preserve"> </w:t>
      </w:r>
      <w:r>
        <w:t>5.4</w:t>
      </w:r>
      <w:r>
        <w:t xml:space="preserve"> </w:t>
      </w:r>
      <w:r>
        <w:t>PS</w:t>
      </w:r>
      <w:r>
        <w:t xml:space="preserve"> </w:t>
      </w:r>
      <w:r>
        <w:t>4.4</w:t>
      </w:r>
      <w:r>
        <w:t xml:space="preserve"> </w:t>
      </w:r>
      <w:r>
        <w:t>Cl</w:t>
      </w:r>
      <w:r>
        <w:t xml:space="preserve"> </w:t>
      </w:r>
      <w:r>
        <w:t>1.6</w:t>
      </w:r>
      <w:r>
        <w:t xml:space="preserve"> </w:t>
      </w:r>
      <w:r>
        <w:t>exhibit chemical inertness toward N</w:t>
      </w:r>
      <w:r>
        <w:rPr>
          <w:vertAlign w:val="subscript"/>
        </w:rPr>
        <w:t>2</w:t>
      </w:r>
      <w:r>
        <w:t>, but easily react with O</w:t>
      </w:r>
      <w:r>
        <w:rPr>
          <w:vertAlign w:val="subscript"/>
        </w:rPr>
        <w:t>2</w:t>
      </w:r>
      <w:r>
        <w:t>and CO</w:t>
      </w:r>
      <w:r>
        <w:rPr>
          <w:vertAlign w:val="subscript"/>
        </w:rPr>
        <w:t>2</w:t>
      </w:r>
      <w:r>
        <w:t>. Notably, Li</w:t>
      </w:r>
      <w:r>
        <w:t xml:space="preserve"> </w:t>
      </w:r>
      <w:r>
        <w:t>5.4</w:t>
      </w:r>
      <w:r>
        <w:t xml:space="preserve"> </w:t>
      </w:r>
      <w:r>
        <w:t>PS</w:t>
      </w:r>
      <w:r>
        <w:t xml:space="preserve"> </w:t>
      </w:r>
      <w:r>
        <w:t>4.4</w:t>
      </w:r>
      <w:r>
        <w:t xml:space="preserve"> </w:t>
      </w:r>
      <w:r>
        <w:t>Cl</w:t>
      </w:r>
      <w:r>
        <w:t xml:space="preserve"> </w:t>
      </w:r>
      <w:r>
        <w:t>1.6</w:t>
      </w:r>
      <w:r>
        <w:t xml:space="preserve"> </w:t>
      </w:r>
      <w:r>
        <w:t>shows inferior stability against O</w:t>
      </w:r>
      <w:r>
        <w:rPr>
          <w:vertAlign w:val="subscript"/>
        </w:rPr>
        <w:t>2</w:t>
      </w:r>
      <w:r>
        <w:t>and CO</w:t>
      </w:r>
      <w:r>
        <w:rPr>
          <w:vertAlign w:val="subscript"/>
        </w:rPr>
        <w:t>2</w:t>
      </w:r>
      <w:r>
        <w:t>compared to Li</w:t>
      </w:r>
      <w:r>
        <w:rPr>
          <w:vertAlign w:val="subscript"/>
        </w:rPr>
        <w:t>6</w:t>
      </w:r>
      <w:r>
        <w:t>PS</w:t>
      </w:r>
      <w:r>
        <w:rPr>
          <w:vertAlign w:val="subscript"/>
        </w:rPr>
        <w:t>5</w:t>
      </w:r>
      <w:r>
        <w:t>Cl, attributed to the weakness of P─Cl bond in the PS</w:t>
      </w:r>
      <w:r>
        <w:rPr>
          <w:vertAlign w:val="subscript"/>
        </w:rPr>
        <w:t>3</w:t>
      </w:r>
      <w:r>
        <w:t>Cl motif as confirmed by density functional theory calculations. Nevertheless, oxygen doped Li</w:t>
      </w:r>
      <w:r>
        <w:t xml:space="preserve"> </w:t>
      </w:r>
      <w:r>
        <w:t>6.05</w:t>
      </w:r>
      <w:r>
        <w:t xml:space="preserve"> </w:t>
      </w:r>
      <w:r>
        <w:t>PS</w:t>
      </w:r>
      <w:r>
        <w:t xml:space="preserve"> </w:t>
      </w:r>
      <w:r>
        <w:t>4.9</w:t>
      </w:r>
      <w:r>
        <w:t xml:space="preserve"> </w:t>
      </w:r>
      <w:r>
        <w:t>O</w:t>
      </w:r>
      <w:r>
        <w:t xml:space="preserve"> </w:t>
      </w:r>
      <w:r>
        <w:t>0.1</w:t>
      </w:r>
      <w:r>
        <w:t xml:space="preserve"> </w:t>
      </w:r>
      <w:r>
        <w:t>Cl</w:t>
      </w:r>
      <w:r>
        <w:t xml:space="preserve"> </w:t>
      </w:r>
      <w:r>
        <w:t>1.05</w:t>
      </w:r>
      <w:r>
        <w:t xml:space="preserve"> </w:t>
      </w:r>
      <w:r>
        <w:t>and Li</w:t>
      </w:r>
      <w:r>
        <w:t xml:space="preserve"> </w:t>
      </w:r>
      <w:r>
        <w:t>5.3</w:t>
      </w:r>
      <w:r>
        <w:t xml:space="preserve"> </w:t>
      </w:r>
      <w:r>
        <w:t>PS</w:t>
      </w:r>
      <w:r>
        <w:t xml:space="preserve"> </w:t>
      </w:r>
      <w:r>
        <w:t>4.2</w:t>
      </w:r>
      <w:r>
        <w:t xml:space="preserve"> </w:t>
      </w:r>
      <w:r>
        <w:t>O</w:t>
      </w:r>
      <w:r>
        <w:t xml:space="preserve"> </w:t>
      </w:r>
      <w:r>
        <w:t>0.2</w:t>
      </w:r>
      <w:r>
        <w:t xml:space="preserve"> </w:t>
      </w:r>
      <w:r>
        <w:t>Cl</w:t>
      </w:r>
      <w:r>
        <w:t xml:space="preserve"> </w:t>
      </w:r>
      <w:r>
        <w:t>1.5</w:t>
      </w:r>
      <w:r>
        <w:t xml:space="preserve"> </w:t>
      </w:r>
      <w:r>
        <w:t>possess more positive free energy changes towards O</w:t>
      </w:r>
      <w:r>
        <w:rPr>
          <w:vertAlign w:val="subscript"/>
        </w:rPr>
        <w:t>2</w:t>
      </w:r>
      <w:r>
        <w:t>and CO</w:t>
      </w:r>
      <w:r>
        <w:rPr>
          <w:vertAlign w:val="subscript"/>
        </w:rPr>
        <w:t>2</w:t>
      </w:r>
      <w:r>
        <w:t>oxidation, thereby suppressing the decomposition of PS</w:t>
      </w:r>
      <w:r>
        <w:rPr>
          <w:vertAlign w:val="subscript"/>
        </w:rPr>
        <w:t>4</w:t>
      </w:r>
      <w:r>
        <w:t>3−</w:t>
      </w:r>
      <w:r>
        <w:t>units. In addition, Li</w:t>
      </w:r>
      <w:r>
        <w:t xml:space="preserve"> </w:t>
      </w:r>
      <w:r>
        <w:t>5.3</w:t>
      </w:r>
      <w:r>
        <w:t xml:space="preserve"> </w:t>
      </w:r>
      <w:r>
        <w:t>PS</w:t>
      </w:r>
      <w:r>
        <w:t xml:space="preserve"> </w:t>
      </w:r>
      <w:r>
        <w:t>4.2</w:t>
      </w:r>
      <w:r>
        <w:t xml:space="preserve"> </w:t>
      </w:r>
      <w:r>
        <w:t>O</w:t>
      </w:r>
      <w:r>
        <w:t xml:space="preserve"> </w:t>
      </w:r>
      <w:r>
        <w:t>0.2</w:t>
      </w:r>
      <w:r>
        <w:t xml:space="preserve"> </w:t>
      </w:r>
      <w:r>
        <w:t>Cl</w:t>
      </w:r>
      <w:r>
        <w:t xml:space="preserve"> </w:t>
      </w:r>
      <w:r>
        <w:t>1.5</w:t>
      </w:r>
      <w:r>
        <w:t xml:space="preserve"> </w:t>
      </w:r>
      <w:r>
        <w:t>also shows excellent tolerance to sec‐butyl acetate, realizing a 12 µm‐thick membrane with high ionic conductivity of 2.34 mS cm</w:t>
      </w:r>
      <w:r>
        <w:t xml:space="preserve"> </w:t>
      </w:r>
      <w:r>
        <w:t>−1</w:t>
      </w:r>
      <w:r>
        <w:t xml:space="preserve"> </w:t>
      </w:r>
      <w:r>
        <w:t>by wet‐coating process. Moreover, the improved interface compatibility between Li</w:t>
      </w:r>
      <w:r>
        <w:t xml:space="preserve"> </w:t>
      </w:r>
      <w:r>
        <w:t>5.3</w:t>
      </w:r>
      <w:r>
        <w:t xml:space="preserve"> </w:t>
      </w:r>
      <w:r>
        <w:t>PS</w:t>
      </w:r>
      <w:r>
        <w:t xml:space="preserve"> </w:t>
      </w:r>
      <w:r>
        <w:t>4.2</w:t>
      </w:r>
      <w:r>
        <w:t xml:space="preserve"> </w:t>
      </w:r>
      <w:r>
        <w:t>O</w:t>
      </w:r>
      <w:r>
        <w:t xml:space="preserve"> </w:t>
      </w:r>
      <w:r>
        <w:t>0.2</w:t>
      </w:r>
      <w:r>
        <w:t xml:space="preserve"> </w:t>
      </w:r>
      <w:r>
        <w:t>Cl</w:t>
      </w:r>
      <w:r>
        <w:t xml:space="preserve"> </w:t>
      </w:r>
      <w:r>
        <w:t>1.5</w:t>
      </w:r>
      <w:r>
        <w:t xml:space="preserve"> </w:t>
      </w:r>
      <w:r>
        <w:t>and lithium metal enables stable cycling for 10 000 h at 0.1 mA cm</w:t>
      </w:r>
      <w:r>
        <w:t xml:space="preserve"> </w:t>
      </w:r>
      <w:r>
        <w:t>−2</w:t>
      </w:r>
      <w:r>
        <w:t xml:space="preserve"> </w:t>
      </w:r>
      <w:r>
        <w:t>. The resultant LiNbO</w:t>
      </w:r>
      <w:r>
        <w:rPr>
          <w:vertAlign w:val="subscript"/>
        </w:rPr>
        <w:t>3</w:t>
      </w:r>
      <w:r>
        <w:t>@LiCoO</w:t>
      </w:r>
      <w:r>
        <w:rPr>
          <w:vertAlign w:val="subscript"/>
        </w:rPr>
        <w:t>2</w:t>
      </w:r>
      <w:r>
        <w:t>|Li</w:t>
      </w:r>
      <w:r>
        <w:t xml:space="preserve"> </w:t>
      </w:r>
      <w:r>
        <w:t>5.3</w:t>
      </w:r>
      <w:r>
        <w:t xml:space="preserve"> </w:t>
      </w:r>
      <w:r>
        <w:t>PS</w:t>
      </w:r>
      <w:r>
        <w:t xml:space="preserve"> </w:t>
      </w:r>
      <w:r>
        <w:t>4.2</w:t>
      </w:r>
      <w:r>
        <w:t xml:space="preserve"> </w:t>
      </w:r>
      <w:r>
        <w:t>O</w:t>
      </w:r>
      <w:r>
        <w:t xml:space="preserve"> </w:t>
      </w:r>
      <w:r>
        <w:t>0.2</w:t>
      </w:r>
      <w:r>
        <w:t xml:space="preserve"> </w:t>
      </w:r>
      <w:r>
        <w:t>Cl</w:t>
      </w:r>
      <w:r>
        <w:t xml:space="preserve"> </w:t>
      </w:r>
      <w:r>
        <w:t>1.5</w:t>
      </w:r>
      <w:r>
        <w:t xml:space="preserve"> </w:t>
      </w:r>
      <w:r>
        <w:t>|Li battery retains 81.6% of its initial capacity after 1000 cycles at 1 C, and the LiNbO</w:t>
      </w:r>
      <w:r>
        <w:rPr>
          <w:vertAlign w:val="subscript"/>
        </w:rPr>
        <w:t>3</w:t>
      </w:r>
      <w:r>
        <w:t>@LiCoO</w:t>
      </w:r>
      <w:r>
        <w:rPr>
          <w:vertAlign w:val="subscript"/>
        </w:rPr>
        <w:t>2</w:t>
      </w:r>
      <w:r>
        <w:t>||Li pouch cell with Li</w:t>
      </w:r>
      <w:r>
        <w:t xml:space="preserve"> </w:t>
      </w:r>
      <w:r>
        <w:t>5.3</w:t>
      </w:r>
      <w:r>
        <w:t xml:space="preserve"> </w:t>
      </w:r>
      <w:r>
        <w:t>PS</w:t>
      </w:r>
      <w:r>
        <w:t xml:space="preserve"> </w:t>
      </w:r>
      <w:r>
        <w:t>4.2</w:t>
      </w:r>
      <w:r>
        <w:t xml:space="preserve"> </w:t>
      </w:r>
      <w:r>
        <w:t>O</w:t>
      </w:r>
      <w:r>
        <w:t xml:space="preserve"> </w:t>
      </w:r>
      <w:r>
        <w:t>0.2</w:t>
      </w:r>
      <w:r>
        <w:t xml:space="preserve"> </w:t>
      </w:r>
      <w:r>
        <w:t>Cl</w:t>
      </w:r>
      <w:r>
        <w:t xml:space="preserve"> </w:t>
      </w:r>
      <w:r>
        <w:t>1.5</w:t>
      </w:r>
      <w:r>
        <w:t xml:space="preserve"> </w:t>
      </w:r>
      <w:r>
        <w:t>membrane delivers 86.6% capacity retention after 250 cycles at 0.1 C.</w:t>
      </w:r>
    </w:p>
    <w:p>
      <w:pPr>
        <w:spacing w:before="120" w:after="120"/>
      </w:pPr>
      <w:r>
        <w:rPr>
          <w:sz w:val="18"/>
        </w:rPr>
        <w:t>——————————————————————————————————————————————————————————————————————</w:t>
      </w:r>
    </w:p>
    <w:p>
      <w:pPr>
        <w:spacing w:before="160" w:after="40" w:line="240" w:lineRule="auto"/>
      </w:pPr>
      <w:r>
        <w:rPr>
          <w:b/>
        </w:rPr>
        <w:t xml:space="preserve">[9] </w:t>
      </w:r>
      <w:hyperlink r:id="rId40">
        <w:r>
          <w:rPr>
            <w:color w:val="1155CC"/>
            <w:u w:val="single"/>
          </w:rPr>
          <w:t>分子编排可以使超过 500 Wh kg−1 的锂金属电池的电解质化学相互增强</w:t>
        </w:r>
      </w:hyperlink>
    </w:p>
    <w:p>
      <w:pPr>
        <w:spacing w:before="0" w:after="80"/>
      </w:pPr>
      <w:r>
        <w:rPr>
          <w:i/>
          <w:sz w:val="20"/>
        </w:rPr>
        <w:t>EN: Molecular orchestration enables mutually reinforcing electrolyte chemistry for lithium metal batteries exceeding 500 Wh kg−1</w:t>
      </w:r>
    </w:p>
    <w:p>
      <w:pPr>
        <w:spacing w:before="0" w:after="120"/>
      </w:pPr>
      <w:r>
        <w:rPr>
          <w:b/>
        </w:rPr>
        <w:t xml:space="preserve">Source: </w:t>
      </w:r>
      <w:r>
        <w:t>RSC - Energy Environ. Sci. latest articles</w:t>
      </w:r>
      <w:r>
        <w:t xml:space="preserve">    </w:t>
      </w:r>
      <w:r>
        <w:rPr>
          <w:b/>
        </w:rPr>
        <w:t xml:space="preserve">Pub date: </w:t>
      </w:r>
      <w:r>
        <w:t>2026-06-15 23:00:00+00:00</w:t>
      </w:r>
    </w:p>
    <w:p>
      <w:pPr>
        <w:spacing w:before="0" w:after="120"/>
      </w:pPr>
      <w:r>
        <w:rPr>
          <w:b/>
        </w:rPr>
        <w:t xml:space="preserve">Notes: </w:t>
      </w:r>
      <w:r>
        <w:t>abstract_source=rsc_html</w:t>
      </w:r>
    </w:p>
    <w:p>
      <w:pPr>
        <w:spacing w:before="0" w:after="80" w:lineRule="auto" w:line="276"/>
      </w:pPr>
      <w:r>
        <w:rPr>
          <w:b/>
        </w:rPr>
        <w:t xml:space="preserve">摘要（ZH）: </w:t>
      </w:r>
      <w:r>
        <w:t>集成高压富镍阴极的锂金属电池（LMB）是能量密度超过 500 Wh kg−1 的有希望的候选者。然而，它们的实际发展受到两个电极严重的界面反应性的阻碍，这对电解质设计提出了严格的要求。一个根本的挑战在于对电解质组分之间的相互作用及其潜在的协同效应认识不足，这限制了溶剂化结构的精确调控和双界面的同时稳定。在此，我们提出了一种基于互补分子电荷工程的分子编排策略，以诱导电解质成分之间的相互增强。具有互补电荷需求的功能分子对通过分子间合作缔合合理整合，充当协同前驱体。由此产生的分子间电荷转移可调节 Li+ 配位亲和力，并增强每种添加剂的还原和氧化反应活性，从而实现同步双界面优化。因此，该电解质支持超高电压运行（4.6 V）、快速充电（10C）、宽温度（-25至50°C）和超过3200小时的长期稳定性。值得注意的是，5.4 Ah Li‖NCM811软包电池在恶劣的实际条件下获得了超过513 Wh kg−1（基于电池总重量）的高能量密度。与传统对高浓度电解质或增加添加剂剂量的依赖不同，这项工作建立了实用的电解质工程</w:t>
      </w:r>
    </w:p>
    <w:p>
      <w:pPr>
        <w:spacing w:before="0" w:after="200" w:lineRule="auto" w:line="276"/>
      </w:pPr>
      <w:r>
        <w:rPr>
          <w:b/>
        </w:rPr>
        <w:t xml:space="preserve">Abstract (EN): </w:t>
      </w:r>
      <w:r>
        <w:t>Lithium metal batteries (LMBs) integrating high-voltage nickel-rich cathodes are promising candidates for energy densities exceeding 500 Wh kg−1. However, their practical development is hindered by severe interfacial reactivity at both electrodes, which imposes stringent requirements on electrolyte design. A fundamental challenge lies in the insufficient understanding of interactions among electrolyte components and their potential synergistic effects, which restricts precise regulation of solvation structures and simultaneous stabilization of dual interfaces. Herein, we propose a molecular orchestration strategy based on complementary molecular charge engineering to induce mutual reinforcement among electrolyte constituents. Functional molecular pairs with complementary charge demands are rationally integrated through cooperative intermolecular association, serving as synergistic precursors. The resulting intermolecular charge transfer modulates Li+ coordination affinity and enhances the reductive and oxidative reactivity of each additive, enabling synchronous dual-interface optimization. Consequently, the electrolyte supports ultrahigh voltage operation (4.6 V), fast charging (10C), a wide temperature (−25 to 50 °C) and long-term stability over 3200 h. Notably, a high energy density exceeding 513 Wh kg−1 (based on the total cell weight) is attained in 5.4 Ah Li‖NCM811 pouch cells under harsh practical conditions. Departing from conventional reliance on high-concentration electrolytes or increased additive dosages, this work establishes a practical electrolyte-engineering paradigm centered on the systematic organization and activation of latent functionalities, providing an energetic perspective for high-performance LMBs.</w:t>
      </w:r>
    </w:p>
    <w:p>
      <w:pPr>
        <w:spacing w:before="120" w:after="120"/>
      </w:pPr>
      <w:r>
        <w:rPr>
          <w:sz w:val="18"/>
        </w:rPr>
        <w:t>——————————————————————————————————————————————————————————————————————</w:t>
      </w:r>
    </w:p>
    <w:p>
      <w:pPr>
        <w:spacing w:before="160" w:after="40" w:line="240" w:lineRule="auto"/>
      </w:pPr>
      <w:r>
        <w:rPr>
          <w:b/>
        </w:rPr>
        <w:t xml:space="preserve">[10] </w:t>
      </w:r>
      <w:hyperlink r:id="rId43">
        <w:r>
          <w:rPr>
            <w:color w:val="1155CC"/>
            <w:u w:val="single"/>
          </w:rPr>
          <w:t>利用 N─H···O═V 键合在 Ah 级锌离子电池中实现稳定的钒阴极</w:t>
        </w:r>
      </w:hyperlink>
    </w:p>
    <w:p>
      <w:pPr>
        <w:spacing w:before="0" w:after="80"/>
      </w:pPr>
      <w:r>
        <w:rPr>
          <w:i/>
          <w:sz w:val="20"/>
        </w:rPr>
        <w:t>EN: Harnessing N─H···O═V Bonding Toward Stable Vanadium Cathodes in Ah‐Level Zn‐Ion Batteries</w:t>
      </w:r>
    </w:p>
    <w:p>
      <w:pPr>
        <w:spacing w:before="0" w:after="120"/>
      </w:pPr>
      <w:r>
        <w:rPr>
          <w:b/>
        </w:rPr>
        <w:t xml:space="preserve">Source: </w:t>
      </w:r>
      <w:r>
        <w:t>Wiley: Advanced Materials: Table of Contents</w:t>
      </w:r>
      <w:r>
        <w:t xml:space="preserve">    </w:t>
      </w:r>
      <w:r>
        <w:rPr>
          <w:b/>
        </w:rPr>
        <w:t xml:space="preserve">Pub date: </w:t>
      </w:r>
      <w:r>
        <w:t>2026-06-16 07:16:17+00:00</w:t>
      </w:r>
      <w:r>
        <w:t xml:space="preserve">    </w:t>
      </w:r>
      <w:r>
        <w:rPr>
          <w:b/>
        </w:rPr>
        <w:t xml:space="preserve">DOI: </w:t>
      </w:r>
      <w:hyperlink r:id="rId44">
        <w:r>
          <w:rPr>
            <w:color w:val="1155CC"/>
            <w:u w:val="single"/>
          </w:rPr>
          <w:t>10.1002/adma.73731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钒基电池由于其高比容量，在 Ah 级储能系统中具有巨大的潜力。然而，金属-氧键在水性电解质中不稳定，导致结构降解和容量衰减。在这里，受到稳定蛋白质结构的强大的 N─H···O=C 键的启发，我们提出了一种基于聚（N-丙烯酰基甘氨酰胺）（PNAGA）的仿生聚合物集成电解质。 PNAGA 中富含酰胺的 N-H 基团可以通过强的类蛋白质分子间 N─H···O=V 相互作用锚定在氧化钒单元 (O=V) 上，从而通过抑制钒溶解并在 Zn 过程中保持结构完整性来有效稳定阴极框架</w:t>
      </w:r>
      <w:r>
        <w:t xml:space="preserve"> </w:t>
      </w:r>
      <w:r>
        <w:t>2+</w:t>
      </w:r>
      <w:r>
        <w:t xml:space="preserve"> </w:t>
      </w:r>
      <w:r>
        <w:t>嵌入和脱嵌。此外，PNAGA可以通过N─H···O=V氢键在钒阴极表面建立富电子环境，加速氧化还原动力学，从而实现高倍率性能和循环稳定性。因此，Zn/Zn</w:t>
      </w:r>
      <w:r>
        <w:t xml:space="preserve"> </w:t>
      </w:r>
      <w:r>
        <w:t>0.25</w:t>
      </w:r>
      <w:r>
        <w:t xml:space="preserve"> </w:t>
      </w:r>
      <w:r>
        <w:t>V</w:t>
      </w:r>
      <w:r>
        <w:rPr>
          <w:vertAlign w:val="subscript"/>
        </w:rPr>
        <w:t>2</w:t>
      </w:r>
      <w:r>
        <w:t>氧</w:t>
      </w:r>
      <w:r>
        <w:rPr>
          <w:vertAlign w:val="subscript"/>
        </w:rPr>
        <w:t>5</w:t>
      </w:r>
      <w:r>
        <w:t>全电池提供 286.2 mA h g 的高比容量</w:t>
      </w:r>
      <w:r>
        <w:t xml:space="preserve"> </w:t>
      </w:r>
      <w:r>
        <w:t>−1</w:t>
      </w:r>
      <w:r>
        <w:t xml:space="preserve"> </w:t>
      </w:r>
      <w:r>
        <w:t>2 A g 下 1000 次循环后容量保持率为 97%</w:t>
      </w:r>
      <w:r>
        <w:t xml:space="preserve"> </w:t>
      </w:r>
      <w:r>
        <w:t>−1</w:t>
      </w:r>
      <w:r>
        <w:t xml:space="preserve"> </w:t>
      </w:r>
      <w:r>
        <w:t>。同时，支持 PNAGA 的软包电池可以在 0.15 A g 下达到 1.35 Ah</w:t>
      </w:r>
      <w:r>
        <w:t xml:space="preserve"> </w:t>
      </w:r>
      <w:r>
        <w:t>−1</w:t>
      </w:r>
      <w:r>
        <w:t xml:space="preserve"> </w:t>
      </w:r>
      <w:r>
        <w:t>，展示了 h 的通用分子设计策略</w:t>
      </w:r>
    </w:p>
    <w:p>
      <w:pPr>
        <w:spacing w:before="0" w:after="200" w:lineRule="auto" w:line="276"/>
      </w:pPr>
      <w:r>
        <w:rPr>
          <w:b/>
        </w:rPr>
        <w:t xml:space="preserve">Abstract (EN): </w:t>
      </w:r>
      <w:r>
        <w:t>The vanadium‐based batteries deliver great potential in Ah‐level energy storage systems, ascribing to their high specific capacity. Nevertheless, the metal‐oxygen bonds are unstable in aqueous electrolytes, resulting in structural degradation and capacity attenuation. Here, inspired by the robust N─H···O═C bonding that stabilizes protein structures, we propose a bioinspired polymer‐integrated electrolyte based on poly(N‐acryloyl glycinamide) (PNAGA). The amide‐rich N‐H groups in PNAGA can anchor onto vanadium oxide units (O═V) via strong protein‐like intermolecular N─H···O═V interactions, which effectively stabilize the cathode framework by suppressing vanadium dissolution and preserving structural integrity during Zn</w:t>
      </w:r>
      <w:r>
        <w:t xml:space="preserve"> </w:t>
      </w:r>
      <w:r>
        <w:t>2+</w:t>
      </w:r>
      <w:r>
        <w:t xml:space="preserve"> </w:t>
      </w:r>
      <w:r>
        <w:t>intercalation and deintercalation. In addition, the PNAGA can establish an electron‐enriched environment on the vanadium cathode surface via N─H···O═V hydrogen bonding to accelerate redox kinetics for high rate capability and cycling stability. Consequently, the Zn/Zn</w:t>
      </w:r>
      <w:r>
        <w:t xml:space="preserve"> </w:t>
      </w:r>
      <w:r>
        <w:t>0.25</w:t>
      </w:r>
      <w:r>
        <w:t xml:space="preserve"> </w:t>
      </w:r>
      <w:r>
        <w:t>V</w:t>
      </w:r>
      <w:r>
        <w:rPr>
          <w:vertAlign w:val="subscript"/>
        </w:rPr>
        <w:t>2</w:t>
      </w:r>
      <w:r>
        <w:t>O</w:t>
      </w:r>
      <w:r>
        <w:rPr>
          <w:vertAlign w:val="subscript"/>
        </w:rPr>
        <w:t>5</w:t>
      </w:r>
      <w:r>
        <w:t>full battery delivers a high specific capacity of 286.2 mA h g</w:t>
      </w:r>
      <w:r>
        <w:t xml:space="preserve"> </w:t>
      </w:r>
      <w:r>
        <w:t>−1</w:t>
      </w:r>
      <w:r>
        <w:t xml:space="preserve"> </w:t>
      </w:r>
      <w:r>
        <w:t>with 97% capacity retention over 1000 cycles at 2 A g</w:t>
      </w:r>
      <w:r>
        <w:t xml:space="preserve"> </w:t>
      </w:r>
      <w:r>
        <w:t>−1</w:t>
      </w:r>
      <w:r>
        <w:t xml:space="preserve"> </w:t>
      </w:r>
      <w:r>
        <w:t>. Meanwhile, the PNAGA‐enabled pouch cell can achieve 1.35 Ah at 0.15 A g</w:t>
      </w:r>
      <w:r>
        <w:t xml:space="preserve"> </w:t>
      </w:r>
      <w:r>
        <w:t>−1</w:t>
      </w:r>
      <w:r>
        <w:t xml:space="preserve"> </w:t>
      </w:r>
      <w:r>
        <w:t>, demonstrating a universal molecular design strategy for high‐performance aqueous vanadium‐based batteries.</w:t>
      </w:r>
    </w:p>
    <w:p>
      <w:pPr>
        <w:spacing w:before="120" w:after="120"/>
      </w:pPr>
      <w:r>
        <w:rPr>
          <w:sz w:val="18"/>
        </w:rPr>
        <w:t>——————————————————————————————————————————————————————————————————————</w:t>
      </w:r>
    </w:p>
    <w:p>
      <w:pPr>
        <w:spacing w:before="160" w:after="40" w:line="240" w:lineRule="auto"/>
      </w:pPr>
      <w:r>
        <w:rPr>
          <w:b/>
        </w:rPr>
        <w:t xml:space="preserve">[11] </w:t>
      </w:r>
      <w:hyperlink r:id="rId87">
        <w:r>
          <w:rPr>
            <w:color w:val="1155CC"/>
            <w:u w:val="single"/>
          </w:rPr>
          <w:t>传热流体作为高倍率锂金属电池局部高浓度电解质中的辅助稀释剂，安全性更高</w:t>
        </w:r>
      </w:hyperlink>
    </w:p>
    <w:p>
      <w:pPr>
        <w:spacing w:before="0" w:after="80"/>
      </w:pPr>
      <w:r>
        <w:rPr>
          <w:i/>
          <w:sz w:val="20"/>
        </w:rPr>
        <w:t>EN: Heat Transfer Fluids as Co‐Diluents in Localized High‐Concentration Electrolytes for High‐Rate Lithium Metal Batteries With Enhanced Safety</w:t>
      </w:r>
    </w:p>
    <w:p>
      <w:pPr>
        <w:spacing w:before="0" w:after="120"/>
      </w:pPr>
      <w:r>
        <w:rPr>
          <w:b/>
        </w:rPr>
        <w:t xml:space="preserve">Source: </w:t>
      </w:r>
      <w:r>
        <w:t>Wiley: Angewandte Chemie International Edition: Table of Contents</w:t>
      </w:r>
      <w:r>
        <w:t xml:space="preserve">    </w:t>
      </w:r>
      <w:r>
        <w:rPr>
          <w:b/>
        </w:rPr>
        <w:t xml:space="preserve">Pub date: </w:t>
      </w:r>
      <w:r>
        <w:t>2026-06-16 17:54:50+00:00</w:t>
      </w:r>
      <w:r>
        <w:t xml:space="preserve">    </w:t>
      </w:r>
      <w:r>
        <w:rPr>
          <w:b/>
        </w:rPr>
        <w:t xml:space="preserve">DOI: </w:t>
      </w:r>
      <w:hyperlink r:id="rId88">
        <w:r>
          <w:rPr>
            <w:color w:val="1155CC"/>
            <w:u w:val="single"/>
          </w:rPr>
          <w:t>10.1002/anie.3797296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局部高浓度电解质（LHCE）由于其有效的界面形成和促进致密的锂沉积而被认为是有前途的锂金属电池电解质配方，但其实际应用往往受到离子传输动力学降低的限制。在这项研究中，两种工业上建立的氟化醚首次在电池研究中被确定为有效的助稀释剂，因为它们结合了广泛的电化学稳定性窗口、低粘度和固有的不可燃性。结合这些通常用作传热流体的成分，可产生更安全、不易燃且离子迁移率增强的电解质配方。特别是，三元助稀释剂配方通过降低电解质的粘度同时限制过度的离子聚集而显示出改善的离子迁移率。基于改进的电解质传输动力学，在电流密度 ≥ 1 mA cm 时具有更低的过电压和更高的库仑效率</w:t>
      </w:r>
      <w:r>
        <w:t xml:space="preserve"> </w:t>
      </w:r>
      <w:r>
        <w:t>−2</w:t>
      </w:r>
      <w:r>
        <w:t xml:space="preserve"> </w:t>
      </w:r>
      <w:r>
        <w:t>通过三元共稀释剂混合物实现了这一目标，与基准系统相比，面向应用的零过量软包电池的循环寿命显着延长。在中等电流密度下对收获的电极进行的补充电化学和异位分析显示，相间形态和成分没有明显差异，这表明离子迁移率的增强是提高高倍率性能的主要原因。</w:t>
      </w:r>
    </w:p>
    <w:p>
      <w:pPr>
        <w:spacing w:before="0" w:after="200" w:lineRule="auto" w:line="276"/>
      </w:pPr>
      <w:r>
        <w:rPr>
          <w:b/>
        </w:rPr>
        <w:t xml:space="preserve">Abstract (EN): </w:t>
      </w:r>
      <w:r>
        <w:t>Localized high‐concentration electrolytes (LHCEs) have been identified as promising electrolyte formulations for lithium metal batteries, due to their effective interphase formation and promotion of compact Li deposition, yet their practical implementation is often limited by reduced ion transport kinetics. In this study, two industrially established fluorinated ethers are identified for the first time in battery research as effective co‐diluents as they combine a broad electrochemical stability window with a low viscosity and intrinsic non‐flammability. Incorporating these components, commonly used as heat transfer fluids, yields safer, less flammable electrolyte formulations with enhanced ion mobilities. In particular, the ternary co‐diluent formulation shows improved ion mobility by reducing the electrolyte's viscosity while limiting excessive ion clustering. Based on the improved electrolyte transport kinetics, lower overvoltages and higher Coulombic efficiencies at current densities ≥ 1 mA cm</w:t>
      </w:r>
      <w:r>
        <w:t xml:space="preserve"> </w:t>
      </w:r>
      <w:r>
        <w:t>−2</w:t>
      </w:r>
      <w:r>
        <w:t xml:space="preserve"> </w:t>
      </w:r>
      <w:r>
        <w:t>are achieved with the ternary co‐diluent blend, resulting in markedly extended cycle life in an application‐oriented zero‐excess pouch cell compared with the baseline system. Complementary electrochemical and ex situ analysis of harvested electrodes at moderate current densities reveals no discernible differences in interphase morphology and composition, suggesting enhanced ion mobility as the primary cause of the improved high‐rate performance.</w:t>
      </w:r>
    </w:p>
    <w:p>
      <w:pPr>
        <w:spacing w:before="120" w:after="120"/>
      </w:pPr>
      <w:r>
        <w:rPr>
          <w:sz w:val="18"/>
        </w:rPr>
        <w:t>——————————————————————————————————————————————————————————————————————</w:t>
      </w:r>
    </w:p>
    <w:p>
      <w:pPr>
        <w:spacing w:before="160" w:after="40" w:line="240" w:lineRule="auto"/>
      </w:pPr>
      <w:r>
        <w:rPr>
          <w:b/>
        </w:rPr>
        <w:t xml:space="preserve">[12] </w:t>
      </w:r>
      <w:hyperlink r:id="rId67">
        <w:r>
          <w:rPr>
            <w:color w:val="1155CC"/>
            <w:u w:val="single"/>
          </w:rPr>
          <w:t>吸电子化学驱动钠离子电池的超快充电中间相</w:t>
        </w:r>
      </w:hyperlink>
    </w:p>
    <w:p>
      <w:pPr>
        <w:spacing w:before="0" w:after="80"/>
      </w:pPr>
      <w:r>
        <w:rPr>
          <w:i/>
          <w:sz w:val="20"/>
        </w:rPr>
        <w:t>EN: Electron-Withdrawing Chemistry Drives Ultrafast-Charging Interphases for Sodium-ion Batteries</w:t>
      </w:r>
    </w:p>
    <w:p>
      <w:pPr>
        <w:spacing w:before="0" w:after="120"/>
      </w:pPr>
      <w:r>
        <w:rPr>
          <w:b/>
        </w:rPr>
        <w:t xml:space="preserve">Source: </w:t>
      </w:r>
      <w:r>
        <w:t>RSC - Energy Environ. Sci. latest articles</w:t>
      </w:r>
      <w:r>
        <w:t xml:space="preserve">    </w:t>
      </w:r>
      <w:r>
        <w:rPr>
          <w:b/>
        </w:rPr>
        <w:t xml:space="preserve">Pub date: </w:t>
      </w:r>
      <w:r>
        <w:t>2026-06-16 23:00:00+00:00</w:t>
      </w:r>
    </w:p>
    <w:p>
      <w:pPr>
        <w:spacing w:before="0" w:after="120"/>
      </w:pPr>
      <w:r>
        <w:rPr>
          <w:b/>
        </w:rPr>
        <w:t xml:space="preserve">Notes: </w:t>
      </w:r>
      <w:r>
        <w:t>abstract_source=rsc_html</w:t>
      </w:r>
    </w:p>
    <w:p>
      <w:pPr>
        <w:spacing w:before="0" w:after="80" w:lineRule="auto" w:line="276"/>
      </w:pPr>
      <w:r>
        <w:rPr>
          <w:b/>
        </w:rPr>
        <w:t xml:space="preserve">摘要（ZH）: </w:t>
      </w:r>
      <w:r>
        <w:t>钠离子电池的快速充电和长期循环性能从根本上受到不稳定、离子传输受限的固体电解质界面（SEI）的限制，SEI是由传统碳酸盐电解质中以溶剂为主的Na⁺溶剂化结构产生的。这些固有的限制长期以来将实用的快速充电钠离子电池（SIB）限制在〜3C的上限。在此，我们通过设计基于溶剂吸电子化学的分子策略突破了这一瓶颈：通过碳酸酯溶剂的逐步氟化，使得基于硬碳阳极的安时级全钠离子电池能够在7分钟内实现超快充电，并具有1800次循环的稳定性。这种方法促进了 FSI⁻ 阴离子的优先还原和低去溶剂化能量，这与在硬碳阳极上形成薄、致密且高导电性的富含 NaF 的无机 SEI 相关。所得电解质具有优异的界面动力学和稳定性，打破了钠离子电解质中高离子电导率和低溶剂化能之间长期存在的不相容性。值得注意的是，这种性能首次在工业相关条件下的 52 Ah 棱柱形全电池中得到证明。这项工作为设计坚固、快速充电的电池提供了一个通用的化学框架，将分子级创新与实际的储能应用联系起来。</w:t>
      </w:r>
    </w:p>
    <w:p>
      <w:pPr>
        <w:spacing w:before="0" w:after="200" w:lineRule="auto" w:line="276"/>
      </w:pPr>
      <w:r>
        <w:rPr>
          <w:b/>
        </w:rPr>
        <w:t xml:space="preserve">Abstract (EN): </w:t>
      </w:r>
      <w:r>
        <w:t>Fast charging and long-term cyclability in sodium-ion batteries are fundamentally limited by unstable, ion-transport-limited solid electrolyte interphases (SEI) arising from solvent-dominated Na⁺ solvation structures in conventional carbonate electrolytes. These intrinsic limitations have long confined practical fast-charging sodium-ion batteries (SIBs) to a ceiling of ~3C. Herein, we break through this bottleneck by designing a molecular strategy based on solvent electron-withdrawing chemistry: through stepwise fluorination of carbonate solvents, enabling ampere-hour-level full sodium-ion batteries based on hard carbon anodes to achieve ultrafast charging within 7 minutes with 1,800-cycle stability. This approach promotes preferential reduction of FSI⁻ anions and low desolvation energy, which is correlated with the formation of a thin, dense, and highly conductive NaF-rich inorganic SEI on hard carbon anodes. The resulting electrolyte delivers exceptional interfacial kinetics and stability, breaks the long-standing incompatibility between high ionic conductivity and low solvation energy in sodium-ion electrolytes. Notably, this performance is demonstrated for the first time in a 52 Ah prismatic full cell under industrially relevant conditions. This work provides a generalizable chemical framework for designing robust, fast-charging batteries, bridging molecular-level innovation with practical energy storage applications.</w:t>
      </w:r>
    </w:p>
    <w:p>
      <w:pPr>
        <w:spacing w:before="120" w:after="120"/>
      </w:pPr>
      <w:r>
        <w:rPr>
          <w:sz w:val="18"/>
        </w:rPr>
        <w:t>——————————————————————————————————————————————————————————————————————</w:t>
      </w:r>
    </w:p>
    <w:p>
      <w:pPr>
        <w:spacing w:before="160" w:after="40" w:line="240" w:lineRule="auto"/>
      </w:pPr>
      <w:r>
        <w:rPr>
          <w:b/>
        </w:rPr>
        <w:t xml:space="preserve">[13] </w:t>
      </w:r>
      <w:hyperlink r:id="rId89">
        <w:r>
          <w:rPr>
            <w:color w:val="1155CC"/>
            <w:u w:val="single"/>
          </w:rPr>
          <w:t>共晶电解质中的熵调节介电摩擦解锁了 150°C 高性能锂金属电池</w:t>
        </w:r>
      </w:hyperlink>
    </w:p>
    <w:p>
      <w:pPr>
        <w:spacing w:before="0" w:after="80"/>
      </w:pPr>
      <w:r>
        <w:rPr>
          <w:i/>
          <w:sz w:val="20"/>
        </w:rPr>
        <w:t>EN: Entropy-Regulated Dielectric Friction in Eutectic Electrolyte Unlocks 150°C High-Performance Li Metal Batteries</w:t>
      </w:r>
    </w:p>
    <w:p>
      <w:pPr>
        <w:spacing w:before="0" w:after="120"/>
      </w:pPr>
      <w:r>
        <w:rPr>
          <w:b/>
        </w:rPr>
        <w:t xml:space="preserve">Source: </w:t>
      </w:r>
      <w:r>
        <w:t>RSC - Energy Environ. Sci. latest articles</w:t>
      </w:r>
      <w:r>
        <w:t xml:space="preserve">    </w:t>
      </w:r>
      <w:r>
        <w:rPr>
          <w:b/>
        </w:rPr>
        <w:t xml:space="preserve">Pub date: </w:t>
      </w:r>
      <w:r>
        <w:t>2026-06-16 23:00:00+00:00</w:t>
      </w:r>
    </w:p>
    <w:p>
      <w:pPr>
        <w:spacing w:before="0" w:after="120"/>
      </w:pPr>
      <w:r>
        <w:rPr>
          <w:b/>
        </w:rPr>
        <w:t xml:space="preserve">Notes: </w:t>
      </w:r>
      <w:r>
        <w:t>abstract_source=rsc_html</w:t>
      </w:r>
    </w:p>
    <w:p>
      <w:pPr>
        <w:spacing w:before="0" w:after="80" w:lineRule="auto" w:line="276"/>
      </w:pPr>
      <w:r>
        <w:rPr>
          <w:b/>
        </w:rPr>
        <w:t xml:space="preserve">摘要（ZH）: </w:t>
      </w:r>
      <w:r>
        <w:t>传统电解质较差的高温性能限制了锂金属电池在极端场景下的应用。在这里，我们提出了对介电摩擦调节电解质的新颖见解，并基于设计的高熵共晶电解质（HEEE），成功实现了锂金属电池在150°C的长期运行。 HEEE内结构多样的阴离子创造了无序的介电环境，破坏了介电极化弛豫的长程协同性，减少了介电摩擦对Li+传输的阻碍，从而抑制了枝晶的生长。此外，无序的介电环境促进了锂金属阳极上富含无机物的固体电解质界面，赋予HEEE优异的电极兼容性。因此，Li||Li 电池在 25°C 下运行超过 6000 小时，在 80°C 下运行 8820 小时，在 150°C 下运行 1000 小时。即使在 150°C 下循环 200 次后，V2O5||Li 电池仍能保持 68.5 mAh g−1 的容量。重要的是，1.07 Ah LiFePO4||Li软包电池在80°C下运行超过200小时，成功通过钉刺测试，并为微型卡车提供动力。这项工作提供了对 Li+ 溶剂化化学的基本见解，并扩展了极端温度下电解质的设计原理。</w:t>
      </w:r>
    </w:p>
    <w:p>
      <w:pPr>
        <w:spacing w:before="0" w:after="200" w:lineRule="auto" w:line="276"/>
      </w:pPr>
      <w:r>
        <w:rPr>
          <w:b/>
        </w:rPr>
        <w:t xml:space="preserve">Abstract (EN): </w:t>
      </w:r>
      <w:r>
        <w:t>The poor high-temperature performance of conventional electrolytes limits the application of Li metal batteries under extreme scenarios. Here, we propose a novel insight into dielectric friction-regulated electrolytes and, based on the designed high-entropy eutectic electrolyte (HEEE), successfully achieve long-term operation of Li metal batteries at 150°C. The structurally diverse anions within the HEEE create a disordered dielectric environment, disrupting the long-range cooperativity of dielectric polarization relaxation, reducing the hindrance of dielectric friction to Li+ transport, and thereby suppressing dendrite growth. Also, the disordered dielectric environment promotes an inorganic-rich solid electrolyte interphase on the Li metal anode, endowing HEEE with excellent electrode compatibility. Consequently, Li||Li cells operate for over 6000 h at 25°C, 8820 h at 80°C, and 1000 h at 150°C. V2O5||Li cells maintain a capacity of 68.5 mAh g−1 even after 200 cycles at 150°C. Importantly, 1.07 Ah LiFePO4||Li pouch cells operate for over 200 h at 80°C, successfully pass the nail penetration test, and power a micro-truck. This work provides a fundamental insight of Li+ solvation chemistry and expands the design principles for electrolytes under extreme temperatures.</w:t>
      </w:r>
    </w:p>
    <w:p>
      <w:pPr>
        <w:spacing w:before="120" w:after="120"/>
      </w:pPr>
      <w:r>
        <w:rPr>
          <w:sz w:val="18"/>
        </w:rPr>
        <w:t>——————————————————————————————————————————————————————————————————————</w:t>
      </w:r>
    </w:p>
    <w:p>
      <w:pPr>
        <w:spacing w:before="160" w:after="40" w:line="240" w:lineRule="auto"/>
      </w:pPr>
      <w:r>
        <w:rPr>
          <w:b/>
        </w:rPr>
        <w:t xml:space="preserve">[14] </w:t>
      </w:r>
      <w:hyperlink r:id="rId90">
        <w:r>
          <w:rPr>
            <w:color w:val="1155CC"/>
            <w:u w:val="single"/>
          </w:rPr>
          <w:t>具有超分子纳米孔的葫芦脲基阴离子传导膜</w:t>
        </w:r>
      </w:hyperlink>
    </w:p>
    <w:p>
      <w:pPr>
        <w:spacing w:before="0" w:after="80"/>
      </w:pPr>
      <w:r>
        <w:rPr>
          <w:i/>
          <w:sz w:val="20"/>
        </w:rPr>
        <w:t>EN: Cucurbituril-based anion-conducting membranes with supramolecular nanopores</w:t>
      </w:r>
    </w:p>
    <w:p>
      <w:pPr>
        <w:spacing w:before="0" w:after="120"/>
      </w:pPr>
      <w:r>
        <w:rPr>
          <w:b/>
        </w:rPr>
        <w:t xml:space="preserve">Source: </w:t>
      </w:r>
      <w:r>
        <w:t>Nature</w:t>
      </w:r>
      <w:r>
        <w:t xml:space="preserve">    </w:t>
      </w:r>
      <w:r>
        <w:rPr>
          <w:b/>
        </w:rPr>
        <w:t xml:space="preserve">Pub date: </w:t>
      </w:r>
      <w:r>
        <w:t>2026-06-17 00:00:00+00:00</w:t>
      </w:r>
      <w:r>
        <w:t xml:space="preserve">    </w:t>
      </w:r>
      <w:r>
        <w:rPr>
          <w:b/>
        </w:rPr>
        <w:t xml:space="preserve">DOI: </w:t>
      </w:r>
      <w:hyperlink r:id="rId91">
        <w:r>
          <w:rPr>
            <w:color w:val="1155CC"/>
            <w:u w:val="single"/>
          </w:rPr>
          <w:t>10.1038/s41586-026-10666-6</w:t>
        </w:r>
      </w:hyperlink>
    </w:p>
    <w:p>
      <w:pPr>
        <w:spacing w:before="0" w:after="120"/>
      </w:pPr>
      <w:r>
        <w:rPr>
          <w:b/>
        </w:rPr>
        <w:t xml:space="preserve">Notes: </w:t>
      </w:r>
      <w:r>
        <w:t>abstract_source=nature_html</w:t>
      </w:r>
    </w:p>
    <w:p>
      <w:pPr>
        <w:spacing w:before="0" w:after="80" w:lineRule="auto" w:line="276"/>
      </w:pPr>
      <w:r>
        <w:rPr>
          <w:b/>
        </w:rPr>
        <w:t xml:space="preserve">摘要（ZH）: </w:t>
      </w:r>
      <w:r>
        <w:t>纳米多孔阴离子导电膜因其在电化学装置中降低电阻的潜力而引起了人们极大的兴趣1,2,3,4。然而，目前的成孔方法，例如通过固有微孔聚合物5,6或共价有机和金属有机框架7,8进行主干工程，受到​​结构控制有限、机械脆性或合成要求较高的困扰。在这里，我们建立了一种超分子策略，通过构建均匀的动态纳米孔来克服这些限制。刚性大环主体葫芦[7]脲与阳离子聚合物客体季铵化聚(哌啶鎓-三联苯)的共组装产生了强大的纳米级通道网络，同时增强了机械和化学稳定性。动态的主客体相互作用使得孔隙结构在皮秒和埃尺度上波动。这种瞬态环境通过 Grotthuss 机制支持低摩擦氢氧化物迁移，从而显着增强离子电导率。这种自下而上的设计原理为分子工程传输途径提供了一种多功能的新工具，并有望在能源效率、操作稳定性和高纯度产品的生产方面推动电化学反应器的发展。</w:t>
      </w:r>
    </w:p>
    <w:p>
      <w:pPr>
        <w:spacing w:before="0" w:after="200" w:lineRule="auto" w:line="276"/>
      </w:pPr>
      <w:r>
        <w:rPr>
          <w:b/>
        </w:rPr>
        <w:t xml:space="preserve">Abstract (EN): </w:t>
      </w:r>
      <w:r>
        <w:t>Nanoporous anion-conducting membranes have gained considerable interest for their potential to reduce resistance in electrochemical devices1,2,3,4. Current pore-forming methods, such as backbone engineering through polymers of intrinsic microporosity5,6 or covalent organic and metal–organic frameworks7,8, however, suffer from limited structural control, mechanical fragility or demanding synthesis. Here we establish a supramolecular strategy that overcomes these limitations by constructing uniform, dynamic nanopores. Co-assembly of the rigid macrocyclic host cucurbit[7]uril with the cationic polymer guest quaternized poly(piperidinium-terphenyl) yields a robust network of nanometre-scale channels while simultaneously enhancing mechanical and chemical stability. The dynamic host–guest interactions allow the pore structure to fluctuate on picosecond and angstrom scales. This transient environment supports low-friction hydroxide migration through a Grotthuss mechanism, producing a marked enhancement in ionic conductivity. This bottom-up design principle provides a versatile new tool for molecularly engineering transport pathways and promises to advance electrochemical reactors with respect to energy efficiency, operational stability and the production of high-purity products.</w:t>
      </w:r>
    </w:p>
    <w:p>
      <w:pPr>
        <w:spacing w:before="120" w:after="120"/>
      </w:pPr>
      <w:r>
        <w:rPr>
          <w:sz w:val="18"/>
        </w:rPr>
        <w:t>——————————————————————————————————————————————————————————————————————</w:t>
      </w:r>
    </w:p>
    <w:p>
      <w:pPr>
        <w:spacing w:before="160" w:after="40" w:line="240" w:lineRule="auto"/>
      </w:pPr>
      <w:r>
        <w:rPr>
          <w:b/>
        </w:rPr>
        <w:t xml:space="preserve">[15] </w:t>
      </w:r>
      <w:hyperlink r:id="rId92">
        <w:r>
          <w:rPr>
            <w:color w:val="1155CC"/>
            <w:u w:val="single"/>
          </w:rPr>
          <w:t>无机层状配位聚合物作为稳定锂金属电池的高性能固态电解质</w:t>
        </w:r>
      </w:hyperlink>
    </w:p>
    <w:p>
      <w:pPr>
        <w:spacing w:before="0" w:after="80"/>
      </w:pPr>
      <w:r>
        <w:rPr>
          <w:i/>
          <w:sz w:val="20"/>
        </w:rPr>
        <w:t>EN: An Inorganic Layered Coordination Polymer as High‐Performance Solid‐State Electrolyte for Stable Lithium Metal Batteries</w:t>
      </w:r>
    </w:p>
    <w:p>
      <w:pPr>
        <w:spacing w:before="0" w:after="120"/>
      </w:pPr>
      <w:r>
        <w:rPr>
          <w:b/>
        </w:rPr>
        <w:t xml:space="preserve">Source: </w:t>
      </w:r>
      <w:r>
        <w:t>Wiley: Advanced Materials: Table of Contents</w:t>
      </w:r>
      <w:r>
        <w:t xml:space="preserve">    </w:t>
      </w:r>
      <w:r>
        <w:rPr>
          <w:b/>
        </w:rPr>
        <w:t xml:space="preserve">Pub date: </w:t>
      </w:r>
      <w:r>
        <w:t>2026-06-17 11:53:56+00:00</w:t>
      </w:r>
      <w:r>
        <w:t xml:space="preserve">    </w:t>
      </w:r>
      <w:r>
        <w:rPr>
          <w:b/>
        </w:rPr>
        <w:t xml:space="preserve">DOI: </w:t>
      </w:r>
      <w:hyperlink r:id="rId93">
        <w:r>
          <w:rPr>
            <w:color w:val="1155CC"/>
            <w:u w:val="single"/>
          </w:rPr>
          <w:t>10.1002/adma.73754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固态电解质（SSE）中有限的离子电导率、异质锂离子通量和界面不稳定性阻碍了高能量密度固态锂金属电池（SSLMB）的发展。在此，我们报道一位新李</w:t>
      </w:r>
      <w:r>
        <w:t xml:space="preserve"> </w:t>
      </w:r>
      <w:r>
        <w:t>+</w:t>
      </w:r>
      <w:r>
        <w:t xml:space="preserve"> </w:t>
      </w:r>
      <w:r>
        <w:t>进行源自无机配位聚合物的 SSE，特别是二维霍夫曼型框架材料（HFM）。通过改变用作层间客体分子的溶剂类型，我们可以调节 HFM 的层间距。具体来说，当甲氧基甲烷（DME）作为客体时，它会精心策划高度选择性的Li</w:t>
      </w:r>
      <w:r>
        <w:t xml:space="preserve"> </w:t>
      </w:r>
      <w:r>
        <w:t>+</w:t>
      </w:r>
      <w:r>
        <w:t xml:space="preserve"> </w:t>
      </w:r>
      <w:r>
        <w:t>结构内的传输路径，实现 1.51 mS cm 的高离子电导率</w:t>
      </w:r>
      <w:r>
        <w:t xml:space="preserve"> </w:t>
      </w:r>
      <w:r>
        <w:t>−1</w:t>
      </w:r>
      <w:r>
        <w:t xml:space="preserve"> </w:t>
      </w:r>
      <w:r>
        <w:t>。金属中心和溶剂分子之间的配位导致局部Li的重构</w:t>
      </w:r>
      <w:r>
        <w:t xml:space="preserve"> </w:t>
      </w:r>
      <w:r>
        <w:t>+</w:t>
      </w:r>
      <w:r>
        <w:t xml:space="preserve"> </w:t>
      </w:r>
      <w:r>
        <w:t>溶剂化结构，有效固定溶剂分子并降低去溶剂化过程的能垒。更重要的是，李</w:t>
      </w:r>
      <w:r>
        <w:rPr>
          <w:vertAlign w:val="subscript"/>
        </w:rPr>
        <w:t>3</w:t>
      </w:r>
      <w:r>
        <w:t>富氮固体电解质界面在锂阳极上形成，稳定了锂-电解质界面。结果，Li||Li 对称电池表现出超过 3000 小时的稳定循环，而 LiFePO</w:t>
      </w:r>
      <w:r>
        <w:rPr>
          <w:vertAlign w:val="subscript"/>
        </w:rPr>
        <w:t>4</w:t>
      </w:r>
      <w:r>
        <w:t>||Li 全电池在 1C 下循环 500 次后容量保持率为 96.3%。这项工作建立了一种结构纳米限制的电解质系统，该系统桥接离子选择</w:t>
      </w:r>
    </w:p>
    <w:p>
      <w:pPr>
        <w:spacing w:before="0" w:after="200" w:lineRule="auto" w:line="276"/>
      </w:pPr>
      <w:r>
        <w:rPr>
          <w:b/>
        </w:rPr>
        <w:t xml:space="preserve">Abstract (EN): </w:t>
      </w:r>
      <w:r>
        <w:t>Limited ionic conductivity, heterogeneous Lithium‐ion flux, and interfacial instability in solid‐state electrolytes (SSEs) hinder the development of high‐energy‐density solid‐state lithium metal batteries (SSLMBs). Herein, we report a new Li</w:t>
      </w:r>
      <w:r>
        <w:t xml:space="preserve"> </w:t>
      </w:r>
      <w:r>
        <w:t>+</w:t>
      </w:r>
      <w:r>
        <w:t xml:space="preserve"> </w:t>
      </w:r>
      <w:r>
        <w:t>conducting SSE derived from an inorganic coordination polymer, specifically a two‐dimensional Hofmann‐type framework material (HFM). By varying the solvent types used as interlayer guest molecules, we can modulate the interlayer spacing of the HFM. Specifically, when methoxymethane (DME) serves as the guest, it orchestrates highly selective Li</w:t>
      </w:r>
      <w:r>
        <w:t xml:space="preserve"> </w:t>
      </w:r>
      <w:r>
        <w:t>+</w:t>
      </w:r>
      <w:r>
        <w:t xml:space="preserve"> </w:t>
      </w:r>
      <w:r>
        <w:t>transport pathways within the structure, achieving a high ionic conductivity of 1.51 mS cm</w:t>
      </w:r>
      <w:r>
        <w:t xml:space="preserve"> </w:t>
      </w:r>
      <w:r>
        <w:t>−1</w:t>
      </w:r>
      <w:r>
        <w:t xml:space="preserve"> </w:t>
      </w:r>
      <w:r>
        <w:t>. The coordination between metal centers and solvent molecules leads to the reconstruction of the local Li</w:t>
      </w:r>
      <w:r>
        <w:t xml:space="preserve"> </w:t>
      </w:r>
      <w:r>
        <w:t>+</w:t>
      </w:r>
      <w:r>
        <w:t xml:space="preserve"> </w:t>
      </w:r>
      <w:r>
        <w:t>solvation structure, effectively immobilizing solvent molecules and lowering the energy barriers for the desolvation process. More importantly, a Li</w:t>
      </w:r>
      <w:r>
        <w:rPr>
          <w:vertAlign w:val="subscript"/>
        </w:rPr>
        <w:t>3</w:t>
      </w:r>
      <w:r>
        <w:t>N‐rich solid electrolyte interphase forms on the lithium anode, stabilizing the Li–electrolyte interface. As a result, Li||Li symmetric cells demonstrate stable cycling for over 3000 h, while LiFePO</w:t>
      </w:r>
      <w:r>
        <w:rPr>
          <w:vertAlign w:val="subscript"/>
        </w:rPr>
        <w:t>4</w:t>
      </w:r>
      <w:r>
        <w:t>||Li full cells show a capacity retention of 96.3% after 500 cycles at 1C. This work establishes a structurally nanoconfined electrolyte system that bridges ion‐selective nanochannels with a stabilized interphase, offering a promising platform for next‐generation high‐energy‐density SSBs.</w:t>
      </w:r>
    </w:p>
    <w:p>
      <w:pPr>
        <w:spacing w:before="120" w:after="120"/>
      </w:pPr>
      <w:r>
        <w:rPr>
          <w:sz w:val="18"/>
        </w:rPr>
        <w:t>——————————————————————————————————————————————————————————————————————</w:t>
      </w:r>
    </w:p>
    <w:p>
      <w:pPr>
        <w:spacing w:before="160" w:after="40" w:line="240" w:lineRule="auto"/>
      </w:pPr>
      <w:r>
        <w:rPr>
          <w:b/>
        </w:rPr>
        <w:t xml:space="preserve">[16] </w:t>
      </w:r>
      <w:hyperlink r:id="rId70">
        <w:r>
          <w:rPr>
            <w:color w:val="1155CC"/>
            <w:u w:val="single"/>
          </w:rPr>
          <w:t>通过工程化的亲电解质和亲钠界面引导无枝晶钠金属电池的均匀成核和生长</w:t>
        </w:r>
      </w:hyperlink>
    </w:p>
    <w:p>
      <w:pPr>
        <w:spacing w:before="0" w:after="80"/>
      </w:pPr>
      <w:r>
        <w:rPr>
          <w:i/>
          <w:sz w:val="20"/>
        </w:rPr>
        <w:t>EN: Guiding Uniform Nucleation and Growth by Engineered Electrolyte‐Philic and Sodiophilic Interface for Dendrite‐Free Sodium Metal Batteries</w:t>
      </w:r>
    </w:p>
    <w:p>
      <w:pPr>
        <w:spacing w:before="0" w:after="120"/>
      </w:pPr>
      <w:r>
        <w:rPr>
          <w:b/>
        </w:rPr>
        <w:t xml:space="preserve">Source: </w:t>
      </w:r>
      <w:r>
        <w:t>Wiley: Advanced Energy Materials: Table of Contents</w:t>
      </w:r>
      <w:r>
        <w:t xml:space="preserve">    </w:t>
      </w:r>
      <w:r>
        <w:rPr>
          <w:b/>
        </w:rPr>
        <w:t xml:space="preserve">Pub date: </w:t>
      </w:r>
      <w:r>
        <w:t>2026-06-17 11:58:10+00:00</w:t>
      </w:r>
      <w:r>
        <w:t xml:space="preserve">    </w:t>
      </w:r>
      <w:r>
        <w:rPr>
          <w:b/>
        </w:rPr>
        <w:t xml:space="preserve">DOI: </w:t>
      </w:r>
      <w:hyperlink r:id="rId71">
        <w:r>
          <w:rPr>
            <w:color w:val="1155CC"/>
            <w:u w:val="single"/>
          </w:rPr>
          <w:t>10.1002/aenm.71200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亲电解质性较差的亲钠界面通常会限制快速 Na</w:t>
      </w:r>
      <w:r>
        <w:t xml:space="preserve"> </w:t>
      </w:r>
      <w:r>
        <w:t>+</w:t>
      </w:r>
      <w:r>
        <w:t xml:space="preserve"> </w:t>
      </w:r>
      <w:r>
        <w:t>运输，从而破坏亲钠性的好处并引发不均匀的电镀。在此，我们提出了由 CH 组成的亲电解质和亲钠界面</w:t>
      </w:r>
      <w:r>
        <w:rPr>
          <w:vertAlign w:val="subscript"/>
        </w:rPr>
        <w:t>3</w:t>
      </w:r>
      <w:r>
        <w:t>COONa (NaAc) 和 Na</w:t>
      </w:r>
      <w:r>
        <w:rPr>
          <w:vertAlign w:val="subscript"/>
        </w:rPr>
        <w:t>3</w:t>
      </w:r>
      <w:r>
        <w:t>Sb（表示为 SA 层）协同指导均匀的 Na 成核和生长。令人印象深刻的是，SA层的亲电解质性能够实现有利的界面润湿，而亲钠性进一步引导Na</w:t>
      </w:r>
      <w:r>
        <w:t xml:space="preserve"> </w:t>
      </w:r>
      <w:r>
        <w:t>+</w:t>
      </w:r>
      <w:r>
        <w:t xml:space="preserve"> </w:t>
      </w:r>
      <w:r>
        <w:t>离子快速、绝对地接触界面。这种协同作用使 Na 成核和生长更加均匀，从而有效地均匀化 Na</w:t>
      </w:r>
      <w:r>
        <w:t xml:space="preserve"> </w:t>
      </w:r>
      <w:r>
        <w:t>+</w:t>
      </w:r>
      <w:r>
        <w:t xml:space="preserve"> </w:t>
      </w:r>
      <w:r>
        <w:t>通量。此外，SA层对FEC润湿性的增加有利于NaF的形成，这与其高杨氏模量协同抑制枝晶生长。 SA@Na 可以稳定循环超过 2166 小时（0.5 mA cm</w:t>
      </w:r>
      <w:r>
        <w:t xml:space="preserve"> </w:t>
      </w:r>
      <w:r>
        <w:t>−2</w:t>
      </w:r>
      <w:r>
        <w:t xml:space="preserve"> </w:t>
      </w:r>
      <w:r>
        <w:t>, 0.5 毫安厘米</w:t>
      </w:r>
      <w:r>
        <w:t xml:space="preserve"> </w:t>
      </w:r>
      <w:r>
        <w:t>−2</w:t>
      </w:r>
      <w:r>
        <w:t xml:space="preserve"> </w:t>
      </w:r>
      <w:r>
        <w:t>) at 25°C and 570 h (1.0 mA cm</w:t>
      </w:r>
      <w:r>
        <w:t xml:space="preserve"> </w:t>
      </w:r>
      <w:r>
        <w:t>−2</w:t>
      </w:r>
      <w:r>
        <w:t xml:space="preserve"> </w:t>
      </w:r>
      <w:r>
        <w:t>, 0.5 毫安厘米</w:t>
      </w:r>
      <w:r>
        <w:t xml:space="preserve"> </w:t>
      </w:r>
      <w:r>
        <w:t>−2</w:t>
      </w:r>
      <w:r>
        <w:t xml:space="preserve"> </w:t>
      </w:r>
      <w:r>
        <w:t>）在 45°C。此外，纳</w:t>
      </w:r>
      <w:r>
        <w:rPr>
          <w:vertAlign w:val="subscript"/>
        </w:rPr>
        <w:t>3</w:t>
      </w:r>
      <w:r>
        <w:t>V</w:t>
      </w:r>
      <w:r>
        <w:rPr>
          <w:vertAlign w:val="subscript"/>
        </w:rPr>
        <w:t>2</w:t>
      </w:r>
      <w:r>
        <w:t>（采购订单</w:t>
      </w:r>
      <w:r>
        <w:rPr>
          <w:vertAlign w:val="subscript"/>
        </w:rPr>
        <w:t>4</w:t>
      </w:r>
      <w:r>
        <w:t>）</w:t>
      </w:r>
      <w:r>
        <w:rPr>
          <w:vertAlign w:val="subscript"/>
        </w:rPr>
        <w:t>3</w:t>
      </w:r>
      <w:r>
        <w:t>(NVP)||SA@Na cells demonstrate</w:t>
      </w:r>
    </w:p>
    <w:p>
      <w:pPr>
        <w:spacing w:before="0" w:after="200" w:lineRule="auto" w:line="276"/>
      </w:pPr>
      <w:r>
        <w:rPr>
          <w:b/>
        </w:rPr>
        <w:t xml:space="preserve">Abstract (EN): </w:t>
      </w:r>
      <w:r>
        <w:t>A sodiophilic interface with poor electrolyte‐philicity often limits fast Na</w:t>
      </w:r>
      <w:r>
        <w:t xml:space="preserve"> </w:t>
      </w:r>
      <w:r>
        <w:t>+</w:t>
      </w:r>
      <w:r>
        <w:t xml:space="preserve"> </w:t>
      </w:r>
      <w:r>
        <w:t>transport, thereby undermining the benefits of sodiophilicity and triggering uneven plating. Herein, we propose an electrolyte‐philic and sodiophilic interface composed of CH</w:t>
      </w:r>
      <w:r>
        <w:rPr>
          <w:vertAlign w:val="subscript"/>
        </w:rPr>
        <w:t>3</w:t>
      </w:r>
      <w:r>
        <w:t>COONa (NaAc) and Na</w:t>
      </w:r>
      <w:r>
        <w:rPr>
          <w:vertAlign w:val="subscript"/>
        </w:rPr>
        <w:t>3</w:t>
      </w:r>
      <w:r>
        <w:t>Sb (denoted as SA layer) to synergistically direct uniform Na nucleation and growth. Impressively, the electrolyte‐philicity of the SA layer enables favorable interfacial wetting, while the sodiophilicity further guides Na</w:t>
      </w:r>
      <w:r>
        <w:t xml:space="preserve"> </w:t>
      </w:r>
      <w:r>
        <w:t>+</w:t>
      </w:r>
      <w:r>
        <w:t xml:space="preserve"> </w:t>
      </w:r>
      <w:r>
        <w:t>ions to contact the interface rapidly and absolutely. This synergy enables more homogeneous Na nucleation and growth, effectively homogenizing Na</w:t>
      </w:r>
      <w:r>
        <w:t xml:space="preserve"> </w:t>
      </w:r>
      <w:r>
        <w:t>+</w:t>
      </w:r>
      <w:r>
        <w:t xml:space="preserve"> </w:t>
      </w:r>
      <w:r>
        <w:t>flux. Moreover, the increased wettability of the SA layer toward FEC favors NaF formation, which contributes synergistically with its high Young's modulus to suppress dendrite growth. The SA@Na can cycle stably for over 2166 h (0.5 mA cm</w:t>
      </w:r>
      <w:r>
        <w:t xml:space="preserve"> </w:t>
      </w:r>
      <w:r>
        <w:t>−2</w:t>
      </w:r>
      <w:r>
        <w:t xml:space="preserve"> </w:t>
      </w:r>
      <w:r>
        <w:t>, 0.5 mAh cm</w:t>
      </w:r>
      <w:r>
        <w:t xml:space="preserve"> </w:t>
      </w:r>
      <w:r>
        <w:t>−2</w:t>
      </w:r>
      <w:r>
        <w:t xml:space="preserve"> </w:t>
      </w:r>
      <w:r>
        <w:t>) at 25°C and 570 h (1.0 mA cm</w:t>
      </w:r>
      <w:r>
        <w:t xml:space="preserve"> </w:t>
      </w:r>
      <w:r>
        <w:t>−2</w:t>
      </w:r>
      <w:r>
        <w:t xml:space="preserve"> </w:t>
      </w:r>
      <w:r>
        <w:t>, 0.5 mAh cm</w:t>
      </w:r>
      <w:r>
        <w:t xml:space="preserve"> </w:t>
      </w:r>
      <w:r>
        <w:t>−2</w:t>
      </w:r>
      <w:r>
        <w:t xml:space="preserve"> </w:t>
      </w:r>
      <w:r>
        <w:t>) at 45°C. Moreover, the Na</w:t>
      </w:r>
      <w:r>
        <w:rPr>
          <w:vertAlign w:val="subscript"/>
        </w:rPr>
        <w:t>3</w:t>
      </w:r>
      <w:r>
        <w:t>V</w:t>
      </w:r>
      <w:r>
        <w:rPr>
          <w:vertAlign w:val="subscript"/>
        </w:rPr>
        <w:t>2</w:t>
      </w:r>
      <w:r>
        <w:t>(PO</w:t>
      </w:r>
      <w:r>
        <w:rPr>
          <w:vertAlign w:val="subscript"/>
        </w:rPr>
        <w:t>4</w:t>
      </w:r>
      <w:r>
        <w:t>)</w:t>
      </w:r>
      <w:r>
        <w:rPr>
          <w:vertAlign w:val="subscript"/>
        </w:rPr>
        <w:t>3</w:t>
      </w:r>
      <w:r>
        <w:t>(NVP)||SA@Na cells demonstrate superior rate capacity (66 mAh g</w:t>
      </w:r>
      <w:r>
        <w:t xml:space="preserve"> </w:t>
      </w:r>
      <w:r>
        <w:t>−1</w:t>
      </w:r>
      <w:r>
        <w:t xml:space="preserve"> </w:t>
      </w:r>
      <w:r>
        <w:t>at 100 C) and maintain 74 mAh g</w:t>
      </w:r>
      <w:r>
        <w:t xml:space="preserve"> </w:t>
      </w:r>
      <w:r>
        <w:t>−1</w:t>
      </w:r>
      <w:r>
        <w:t xml:space="preserve"> </w:t>
      </w:r>
      <w:r>
        <w:t>at 50 C after 2000 cycles (25°C). Even at 45°C, the NVP||SA@Na can maintain stably for 1000 cycles (94.8% capacity retention). Therefore, the rationally designed electrolyte‐philic and sodiophilic interface can effectively regulate Na deposition and suppress dendrite growth.</w:t>
      </w:r>
    </w:p>
    <w:p>
      <w:pPr>
        <w:spacing w:before="120" w:after="120"/>
      </w:pPr>
      <w:r>
        <w:rPr>
          <w:sz w:val="18"/>
        </w:rPr>
        <w:t>——————————————————————————————————————————————————————————————————————</w:t>
      </w:r>
    </w:p>
    <w:p>
      <w:pPr>
        <w:spacing w:before="160" w:after="40" w:line="240" w:lineRule="auto"/>
      </w:pPr>
      <w:r>
        <w:rPr>
          <w:b/>
        </w:rPr>
        <w:t xml:space="preserve">[17] </w:t>
      </w:r>
      <w:hyperlink r:id="rId72">
        <w:r>
          <w:rPr>
            <w:color w:val="1155CC"/>
            <w:u w:val="single"/>
          </w:rPr>
          <w:t>通过 AlPO4 改性进行界面化学调节，实现锂离子电池石墨阳极的快速充电和宽温运行</w:t>
        </w:r>
      </w:hyperlink>
    </w:p>
    <w:p>
      <w:pPr>
        <w:spacing w:before="0" w:after="80"/>
      </w:pPr>
      <w:r>
        <w:rPr>
          <w:i/>
          <w:sz w:val="20"/>
        </w:rPr>
        <w:t>EN: Interfacial Chemistry Regulation via AlPO4 Modification Enables Fast Charging and Wide‐Temperature Operation of Graphite Anodes for Lithium‐Ion Batteries</w:t>
      </w:r>
    </w:p>
    <w:p>
      <w:pPr>
        <w:spacing w:before="0" w:after="120"/>
      </w:pPr>
      <w:r>
        <w:rPr>
          <w:b/>
        </w:rPr>
        <w:t xml:space="preserve">Source: </w:t>
      </w:r>
      <w:r>
        <w:t>Wiley: Advanced Energy Materials: Table of Contents</w:t>
      </w:r>
      <w:r>
        <w:t xml:space="preserve">    </w:t>
      </w:r>
      <w:r>
        <w:rPr>
          <w:b/>
        </w:rPr>
        <w:t xml:space="preserve">Pub date: </w:t>
      </w:r>
      <w:r>
        <w:t>2026-06-17 12:00:05+00:00</w:t>
      </w:r>
      <w:r>
        <w:t xml:space="preserve">    </w:t>
      </w:r>
      <w:r>
        <w:rPr>
          <w:b/>
        </w:rPr>
        <w:t xml:space="preserve">DOI: </w:t>
      </w:r>
      <w:hyperlink r:id="rId73">
        <w:r>
          <w:rPr>
            <w:color w:val="1155CC"/>
            <w:u w:val="single"/>
          </w:rPr>
          <w:t>10.1002/aenm.71158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石墨仍然是商用锂离子电池（LIB）的主要负极，但在长期循环和极端温度条件下，其反应动力学缓慢且相间不稳定，这阻碍了LIB的高倍率性能、寿命和环境适应性。在此，通过 AlPO 进行界面化学调节策略</w:t>
      </w:r>
      <w:r>
        <w:rPr>
          <w:vertAlign w:val="subscript"/>
        </w:rPr>
        <w:t>4</w:t>
      </w:r>
      <w:r>
        <w:t>（APO）表面改性是为了应对这一挑战。 APO 修饰诱导更多 PF</w:t>
      </w:r>
      <w:r>
        <w:rPr>
          <w:vertAlign w:val="subscript"/>
        </w:rPr>
        <w:t>6</w:t>
      </w:r>
      <w:r>
        <w:t>-</w:t>
      </w:r>
      <w:r>
        <w:t>阴离子在界面处进入溶剂化结构，不仅降低了去溶剂化能，而且有利于富无机SEI的生成，促进SEI的反应动力学和热/结构稳定性。同时，APO优化了电解质分解反应路径并抑制了气体释放，缓解了气体引起的界面结构退化，进一步增强了SEI和石墨的均匀性和稳定性。因此，APO 改性石墨在较宽的温度范围内与普通电解质一起表现出卓越的性能。提供 210.5 mAh/g</w:t>
      </w:r>
      <w:r>
        <w:t xml:space="preserve"> </w:t>
      </w:r>
      <w:r>
        <w:t>−1</w:t>
      </w:r>
      <w:r>
        <w:t xml:space="preserve"> </w:t>
      </w:r>
      <w:r>
        <w:t>2000 mA g</w:t>
      </w:r>
      <w:r>
        <w:t xml:space="preserve"> </w:t>
      </w:r>
      <w:r>
        <w:t>−1</w:t>
      </w:r>
      <w:r>
        <w:t xml:space="preserve"> </w:t>
      </w:r>
      <w:r>
        <w:t>室温下循环 1000 次后保持率为 76.2%，在 -20°C 下保持稳定的循环，并提供前所未有的 345.5 mAh g</w:t>
      </w:r>
      <w:r>
        <w:t xml:space="preserve"> </w:t>
      </w:r>
      <w:r>
        <w:t>−1</w:t>
      </w:r>
      <w:r>
        <w:t xml:space="preserve"> </w:t>
      </w:r>
      <w:r>
        <w:t>60°C 下 2000 mA g</w:t>
      </w:r>
      <w:r>
        <w:t xml:space="preserve"> </w:t>
      </w:r>
      <w:r>
        <w:t>−1</w:t>
      </w:r>
      <w:r>
        <w:t xml:space="preserve"> </w:t>
      </w:r>
      <w:r>
        <w:t>和优良的循环</w:t>
      </w:r>
    </w:p>
    <w:p>
      <w:pPr>
        <w:spacing w:before="0" w:after="200" w:lineRule="auto" w:line="276"/>
      </w:pPr>
      <w:r>
        <w:rPr>
          <w:b/>
        </w:rPr>
        <w:t xml:space="preserve">Abstract (EN): </w:t>
      </w:r>
      <w:r>
        <w:t>Graphite remains the dominant anode for commercial lithium‐ion batteries (LIBs), yet it suffers from sluggish reaction kinetics and interphase instability under long‐term cycling and extreme‐temperature conditions, which hinder the high rate performance, longevity and environmental adaptability of LIBs. Herein, an interfacial chemistry regulation strategy via AlPO</w:t>
      </w:r>
      <w:r>
        <w:rPr>
          <w:vertAlign w:val="subscript"/>
        </w:rPr>
        <w:t>4</w:t>
      </w:r>
      <w:r>
        <w:t>(APO) surface modification is proposed to address the challenge. APO modification induces more PF</w:t>
      </w:r>
      <w:r>
        <w:rPr>
          <w:vertAlign w:val="subscript"/>
        </w:rPr>
        <w:t>6</w:t>
      </w:r>
      <w:r>
        <w:t>−</w:t>
      </w:r>
      <w:r>
        <w:t>anions entering the solvation structure at interface, which not only reduces the desolvation energy, but also facilitates the generation of inorganic‐rich SEI, promoting the reaction kinetics and thermal/structural stability of SEI. Meanwhile, APO optimizes the electrolyte decomposition reaction route and suppresses gas release, alleviating gas‐induced interfacial structure degradation, further enhances the uniformity and stability of the SEI and graphite. Consequently, the APO‐modified graphite exhibits remarkable performance across a wide temperature range with ordinary electrolyte. It delivers 210.5 mAh g</w:t>
      </w:r>
      <w:r>
        <w:t xml:space="preserve"> </w:t>
      </w:r>
      <w:r>
        <w:t>−1</w:t>
      </w:r>
      <w:r>
        <w:t xml:space="preserve"> </w:t>
      </w:r>
      <w:r>
        <w:t>at 2000 mA g</w:t>
      </w:r>
      <w:r>
        <w:t xml:space="preserve"> </w:t>
      </w:r>
      <w:r>
        <w:t>−1</w:t>
      </w:r>
      <w:r>
        <w:t xml:space="preserve"> </w:t>
      </w:r>
      <w:r>
        <w:t>with 76.2% retention after 1000 cycles at room temperature, maintains stable cycling at −20°C and providing an unprecedented 345.5 mAh g</w:t>
      </w:r>
      <w:r>
        <w:t xml:space="preserve"> </w:t>
      </w:r>
      <w:r>
        <w:t>−1</w:t>
      </w:r>
      <w:r>
        <w:t xml:space="preserve"> </w:t>
      </w:r>
      <w:r>
        <w:t>at 60°C under 2000 mA g</w:t>
      </w:r>
      <w:r>
        <w:t xml:space="preserve"> </w:t>
      </w:r>
      <w:r>
        <w:t>−1</w:t>
      </w:r>
      <w:r>
        <w:t xml:space="preserve"> </w:t>
      </w:r>
      <w:r>
        <w:t>and excellent cycle stability. This work demonstrates an effective interfacial chemistry regulation strategy via surface modification to achieve fast‐charging, thermally resilient graphite electrode for high‐performance LIBs.</w:t>
      </w:r>
    </w:p>
    <w:p>
      <w:pPr>
        <w:spacing w:before="120" w:after="120"/>
      </w:pPr>
      <w:r>
        <w:rPr>
          <w:sz w:val="18"/>
        </w:rPr>
        <w:t>——————————————————————————————————————————————————————————————————————</w:t>
      </w:r>
    </w:p>
    <w:p>
      <w:pPr>
        <w:spacing w:before="160" w:after="40" w:line="240" w:lineRule="auto"/>
      </w:pPr>
      <w:r>
        <w:rPr>
          <w:b/>
        </w:rPr>
        <w:t xml:space="preserve">[18] </w:t>
      </w:r>
      <w:hyperlink r:id="rId78">
        <w:r>
          <w:rPr>
            <w:color w:val="1155CC"/>
            <w:u w:val="single"/>
          </w:rPr>
          <w:t>路易斯酸性分子调节同步阴离子固定和分解，形成具有增强 Zn2+ 动力学的稳健固体电解质界面</w:t>
        </w:r>
      </w:hyperlink>
    </w:p>
    <w:p>
      <w:pPr>
        <w:spacing w:before="0" w:after="80"/>
      </w:pPr>
      <w:r>
        <w:rPr>
          <w:i/>
          <w:sz w:val="20"/>
        </w:rPr>
        <w:t>EN: Lewis acidic molecule-modulated synchronous anion immobilization and decomposition towards a robust solid electrolyte interphase with enhanced Zn2+ kinetics</w:t>
      </w:r>
    </w:p>
    <w:p>
      <w:pPr>
        <w:spacing w:before="0" w:after="120"/>
      </w:pPr>
      <w:r>
        <w:rPr>
          <w:b/>
        </w:rPr>
        <w:t xml:space="preserve">Source: </w:t>
      </w:r>
      <w:r>
        <w:t>RSC - Energy Environ. Sci. latest articles</w:t>
      </w:r>
      <w:r>
        <w:t xml:space="preserve">    </w:t>
      </w:r>
      <w:r>
        <w:rPr>
          <w:b/>
        </w:rPr>
        <w:t xml:space="preserve">Pub date: </w:t>
      </w:r>
      <w:r>
        <w:t>2026-06-17 23:00:00+00:00</w:t>
      </w:r>
    </w:p>
    <w:p>
      <w:pPr>
        <w:spacing w:before="0" w:after="120"/>
      </w:pPr>
      <w:r>
        <w:rPr>
          <w:b/>
        </w:rPr>
        <w:t xml:space="preserve">Notes: </w:t>
      </w:r>
      <w:r>
        <w:t>abstract_source=rsc_html</w:t>
      </w:r>
    </w:p>
    <w:p>
      <w:pPr>
        <w:spacing w:before="0" w:after="80" w:lineRule="auto" w:line="276"/>
      </w:pPr>
      <w:r>
        <w:rPr>
          <w:b/>
        </w:rPr>
        <w:t xml:space="preserve">摘要（ZH）: </w:t>
      </w:r>
      <w:r>
        <w:t>由于有害的枝晶生长和不稳定的固体电解质界面（SEI）层引起的严重副反应、缓慢的 Zn 2+ 传输动力学和不可逆的 Zn 沉积，水性锌离子电池（AZIB）中的锌金属负极在实际应用中面临着重大挑战。虽然阴离子调节是构建稳定SEI层的一种有前景的策略，但典型的方法主要依赖于加强Zn 2+ -阴离子相互作用，这会减慢Zn 2+ 去溶剂化并降低传输效率。为了解决这些问题，我们引入了三(五氟苯基)硼烷(TPFPB)作为路易斯酸的多功能添加剂，能够同步固定和分解阴离子。理论和实验结果表明，TPFPB中的缺电子硼中心和五氟苯基可以通过B-O/F键有效锚定阴离子。这种独特的结构 (i) 促进阴离子直接分解，形成坚固的富含 ZnS/ZnF 2 的 SEI； (ii) 限制阴离子迁移率； (iii)削弱Zn 2+ -阴离子缔合，从而增强界面稳定性和Zn 2+ 传输动力学。因此，锌阳极在 2800 次循环中库仑效率达到 99.7%，钒基全电池的使用寿命超过 40,000 次循环。这项工作提出了一种新颖的阴离子调节策略，可同时稳定 Zn 界面并加速离子传输，为高性能 AZIB 提供了一条有前途的道路。</w:t>
      </w:r>
    </w:p>
    <w:p>
      <w:pPr>
        <w:spacing w:before="0" w:after="200" w:lineRule="auto" w:line="276"/>
      </w:pPr>
      <w:r>
        <w:rPr>
          <w:b/>
        </w:rPr>
        <w:t xml:space="preserve">Abstract (EN): </w:t>
      </w:r>
      <w:r>
        <w:t>Zn metal anodes in aqueous zinc-ion batteries (AZIBs) face significant challenges for practical applications, due to detrimental dendrite growth and severe side reactions arising from unstable solid electrolyte interface (SEI) layers, sluggish Zn 2+ transport kinetics, and irreversible Zn deposition. While anion regulation is a promising strategy for constructing a stable SEI layer, typical approaches mainly rely on strengthening Zn 2+ -anion interactions, which slows Zn 2+ desolvation and reduces transport efficiency. To resolve these trade-offs, we have introduced tris(pentafluorophenyl)borane (TPFPB) as a multifunctional additive of Lewis acidic that enables synchronous anion immobilization and decomposition.Theoretical and experimental results reveal that the electron-deficient boron centers and pentafluorophenyl groups in TPFPB can effectively anchor anions via B-O/F bonds. This unique structure (i) promotes direct anion decomposition to form a robust ZnS/ZnF 2 -rich SEI; (ii) restricts anion mobility; and (iii) weakens the Zn 2+ -anion association, thereby enhancing the interfacial stability and Zn 2+ transport kinetics. As a result, Zn anodes achieve a Coulombic efficiency of 99.7% over 2800 cycles, and the vanadium-based full cells deliver a lifespan exceeding 40,000 cycles. This work presents a novel anion-regulation strategy that simultaneously stabilizes the Zn interface and accelerates ion transport, offering a promising path toward high-performance AZIBs.</w:t>
      </w:r>
    </w:p>
    <w:p>
      <w:pPr>
        <w:spacing w:before="120" w:after="120"/>
      </w:pPr>
      <w:r>
        <w:rPr>
          <w:sz w:val="18"/>
        </w:rPr>
        <w:t>——————————————————————————————————————————————————————————————————————</w:t>
      </w:r>
    </w:p>
    <w:p>
      <w:pPr>
        <w:spacing w:before="160" w:after="40" w:line="240" w:lineRule="auto"/>
      </w:pPr>
      <w:r>
        <w:rPr>
          <w:b/>
        </w:rPr>
        <w:t xml:space="preserve">[19] </w:t>
      </w:r>
      <w:hyperlink r:id="rId94">
        <w:r>
          <w:rPr>
            <w:color w:val="1155CC"/>
            <w:u w:val="single"/>
          </w:rPr>
          <w:t>通过用于宽温锌电池的高熵、贫水水凝胶电解质触发快速 Zn2+ DMSO 桥接沉积</w:t>
        </w:r>
      </w:hyperlink>
    </w:p>
    <w:p>
      <w:pPr>
        <w:spacing w:before="0" w:after="80"/>
      </w:pPr>
      <w:r>
        <w:rPr>
          <w:i/>
          <w:sz w:val="20"/>
        </w:rPr>
        <w:t>EN: Triggering expeditious Zn2+ DMSO-bridged deposition through high-entropy, H2O-depleted hydrogel electrolyte for wide-temperature zinc batteries</w:t>
      </w:r>
    </w:p>
    <w:p>
      <w:pPr>
        <w:spacing w:before="0" w:after="120"/>
      </w:pPr>
      <w:r>
        <w:rPr>
          <w:b/>
        </w:rPr>
        <w:t xml:space="preserve">Source: </w:t>
      </w:r>
      <w:r>
        <w:t>Chem</w:t>
      </w:r>
      <w:r>
        <w:t xml:space="preserve">    </w:t>
      </w:r>
      <w:r>
        <w:rPr>
          <w:b/>
        </w:rPr>
        <w:t xml:space="preserve">Pub date: </w:t>
      </w:r>
      <w:r>
        <w:t>2026-06-18 00:00:00+00:00</w:t>
      </w:r>
      <w:r>
        <w:t xml:space="preserve">    </w:t>
      </w:r>
      <w:r>
        <w:rPr>
          <w:b/>
        </w:rPr>
        <w:t xml:space="preserve">DOI: </w:t>
      </w:r>
      <w:hyperlink r:id="rId95">
        <w:r>
          <w:rPr>
            <w:color w:val="1155CC"/>
            <w:u w:val="single"/>
          </w:rPr>
          <w:t>10.1016/j.chempr.2026.103104</w:t>
        </w:r>
      </w:hyperlink>
    </w:p>
    <w:p>
      <w:pPr>
        <w:spacing w:before="0" w:after="120"/>
      </w:pPr>
      <w:r>
        <w:rPr>
          <w:b/>
        </w:rPr>
        <w:t xml:space="preserve">Notes: </w:t>
      </w:r>
      <w:r>
        <w:t>abstract_source=rss_cell</w:t>
      </w:r>
    </w:p>
    <w:p>
      <w:pPr>
        <w:spacing w:before="0" w:after="80" w:lineRule="auto" w:line="276"/>
      </w:pPr>
      <w:r>
        <w:rPr>
          <w:b/>
        </w:rPr>
        <w:t xml:space="preserve">摘要（ZH）: </w:t>
      </w:r>
      <w:r>
        <w:t>单水溶剂系统是限制 Zn2+ 沉积动力学和电池工作温度窗口的主要因素。我们通过设计多溶剂系统重建了Zn2+溶剂化结构和H2O分子氢键网络，从而实现了电池的快速沉积动力学和宽温度范围运行。我们的工作为能够在现实世界的热波动环境中运行的耐用且高倍率的水性电池提供了新的见解。</w:t>
      </w:r>
    </w:p>
    <w:p>
      <w:pPr>
        <w:spacing w:before="0" w:after="200" w:lineRule="auto" w:line="276"/>
      </w:pPr>
      <w:r>
        <w:rPr>
          <w:b/>
        </w:rPr>
        <w:t xml:space="preserve">Abstract (EN): </w:t>
      </w:r>
      <w:r>
        <w:t>The single H2O solvent system is the primary factor limiting Zn2+ deposition kinetics and a battery's operating temperature window. We reconstructed the Zn2+ solvation structure and H2O molecule hydrogen-bonding network by designing a multi-solvent system, thereby achieving expeditious deposition kinetics and broad temperature-range operation for the battery. Our work provides new insights into durable and high-rate aqueous batteries capable of operating in real-world, thermally fluctuating environments.</w:t>
      </w:r>
    </w:p>
    <w:p>
      <w:pPr>
        <w:spacing w:before="120" w:after="120"/>
      </w:pPr>
      <w:r>
        <w:rPr>
          <w:sz w:val="18"/>
        </w:rPr>
        <w:t>——————————————————————————————————————————————————————————————————————</w:t>
      </w:r>
    </w:p>
    <w:p>
      <w:pPr>
        <w:spacing w:before="160" w:after="40" w:line="240" w:lineRule="auto"/>
      </w:pPr>
      <w:r>
        <w:rPr>
          <w:b/>
        </w:rPr>
        <w:t xml:space="preserve">[20] </w:t>
      </w:r>
      <w:hyperlink r:id="rId96">
        <w:r>
          <w:rPr>
            <w:color w:val="1155CC"/>
            <w:u w:val="single"/>
          </w:rPr>
          <w:t>酰胺单体介导的增溶策略可实现用于高温稳定锂金属电池的不易燃的深共晶凝胶聚合物电解质</w:t>
        </w:r>
      </w:hyperlink>
    </w:p>
    <w:p>
      <w:pPr>
        <w:spacing w:before="0" w:after="80"/>
      </w:pPr>
      <w:r>
        <w:rPr>
          <w:i/>
          <w:sz w:val="20"/>
        </w:rPr>
        <w:t>EN: Amide Monomer‐Mediated Solubilization Strategy Enables Nonflammable Deep Eutectic Gel Polymer Electrolytes for High‐Temperature‐Stable Lithium Metal Batteries</w:t>
      </w:r>
    </w:p>
    <w:p>
      <w:pPr>
        <w:spacing w:before="0" w:after="120"/>
      </w:pPr>
      <w:r>
        <w:rPr>
          <w:b/>
        </w:rPr>
        <w:t xml:space="preserve">Source: </w:t>
      </w:r>
      <w:r>
        <w:t>Wiley: Advanced Materials: Table of Contents</w:t>
      </w:r>
      <w:r>
        <w:t xml:space="preserve">    </w:t>
      </w:r>
      <w:r>
        <w:rPr>
          <w:b/>
        </w:rPr>
        <w:t xml:space="preserve">Pub date: </w:t>
      </w:r>
      <w:r>
        <w:t>2026-06-18 13:30:41+00:00</w:t>
      </w:r>
      <w:r>
        <w:t xml:space="preserve">    </w:t>
      </w:r>
      <w:r>
        <w:rPr>
          <w:b/>
        </w:rPr>
        <w:t xml:space="preserve">DOI: </w:t>
      </w:r>
      <w:hyperlink r:id="rId97">
        <w:r>
          <w:rPr>
            <w:color w:val="1155CC"/>
            <w:u w:val="single"/>
          </w:rPr>
          <w:t>10.1002/adma.73748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深共晶凝胶聚合物电解质（DEGPE）结合了固有的不可燃性和出色的热稳定性，是下一代锂金属电池（LMB）的有吸引力的候选者。然而，它们在高能量密度 LMB 中的实际部署从根本上受到与锂金属阳极较差的界面稳定性和对高压阴极的有限耐受性的限制。我们报告了一种新的酰胺单体介导的 DEGPE，它通过 LiNO 实现了综合性能</w:t>
      </w:r>
      <w:r>
        <w:rPr>
          <w:vertAlign w:val="subscript"/>
        </w:rPr>
        <w:t>3</w:t>
      </w:r>
      <w:r>
        <w:t>增溶策略。聚（N-甲基丙烯酰胺）（PNME）框架中的 N-甲基丙烯酰胺（NME）单元增强了 LiNO</w:t>
      </w:r>
      <w:r>
        <w:rPr>
          <w:vertAlign w:val="subscript"/>
        </w:rPr>
        <w:t>3</w:t>
      </w:r>
      <w:r>
        <w:t>通过氢键和Li溶解</w:t>
      </w:r>
      <w:r>
        <w:t xml:space="preserve"> </w:t>
      </w:r>
      <w:r>
        <w:t>+</w:t>
      </w:r>
      <w:r>
        <w:t xml:space="preserve"> </w:t>
      </w:r>
      <w:r>
        <w:t>配位，形成稳定的富含无机物的界面。同时，它通过氢键固定游离的 N-甲基三氟乙酰胺 (NMTFA)，抑制过渡金属溶解并防止电解质泄漏。基于酰胺单体介导的 DEGPE 的 NCM811||Li 电池在 500 次循环后容量保持率为 80.1%，平均库仑效率为 99.67%，这一性能超越了最先进的（深共晶电解质）基于 DEE 的系统。更令人印象深刻的是，即使在80°C的高温下，LCO||Li电池在300次循环后仍保持89.6%的容量，远远超过传统电解质的热稳定性极限，并强调了其在极端操作条件下卓越的界面稳定性。这</w:t>
      </w:r>
    </w:p>
    <w:p>
      <w:pPr>
        <w:spacing w:before="0" w:after="200" w:lineRule="auto" w:line="276"/>
      </w:pPr>
      <w:r>
        <w:rPr>
          <w:b/>
        </w:rPr>
        <w:t xml:space="preserve">Abstract (EN): </w:t>
      </w:r>
      <w:r>
        <w:t>Deep eutectic gel polymer electrolytes (DEGPEs), combining intrinsic non‐flammability with outstanding thermal stability, are attractive candidates for next‐generation lithium metal batteries (LMBs). However, their practical deployment in high‐energy‐density LMBs has been fundamentally constrained by poor interfacial stability with the lithium metal anode and limited tolerance toward the high‐voltage cathode. We report a new amide‐monomer‐mediated DEGPE that achieves comprehensive performance via a LiNO</w:t>
      </w:r>
      <w:r>
        <w:rPr>
          <w:vertAlign w:val="subscript"/>
        </w:rPr>
        <w:t>3</w:t>
      </w:r>
      <w:r>
        <w:t>solubilization strategy. The N‐methylacrylamide (NME) units in the poly(N‐methylacrylamide) (PNME) framework enhance LiNO</w:t>
      </w:r>
      <w:r>
        <w:rPr>
          <w:vertAlign w:val="subscript"/>
        </w:rPr>
        <w:t>3</w:t>
      </w:r>
      <w:r>
        <w:t>solubility through hydrogen bonding and Li</w:t>
      </w:r>
      <w:r>
        <w:t xml:space="preserve"> </w:t>
      </w:r>
      <w:r>
        <w:t>+</w:t>
      </w:r>
      <w:r>
        <w:t xml:space="preserve"> </w:t>
      </w:r>
      <w:r>
        <w:t>coordination, forming a stable inorganic‐rich interphase. Concurrently, it immobilizes free N‐methyltrifluoroacetamide (NMTFA) via hydrogen bonds, suppressing transition‐metal dissolution and preventing electrolyte leakage. The amide monomer‐mediated DEGPE‐based NCM811||Li cells achieve 80.1% capacity retention after 500 cycles with an average Coulombic efficiency of 99.67%, a performance that surpasses state‐of‐the‐art (deep eutectic electrolyte) DEE‐based systems. More impressively, LCO||Li cells retain 89.6% capacity after 300 cycles even at an elevated temperature of 80°C, far exceeding the thermal stability limits of conventional electrolytes and underscoring its remarkable interfacial stability under extreme operational conditions. This work establishes a molecularly engineered solvation and interfacial regulation strategy for DEGPEs, providing both fundamental insight and a practical pathway toward safe, high‐energy, and high‐temperature‐tolerant LMBs.</w:t>
      </w:r>
    </w:p>
    <w:p>
      <w:pPr>
        <w:spacing w:before="120" w:after="120"/>
      </w:pPr>
      <w:r>
        <w:rPr>
          <w:sz w:val="18"/>
        </w:rPr>
        <w:t>——————————————————————————————————————————————————————————————————————</w:t>
      </w:r>
    </w:p>
    <w:p>
      <w:pPr>
        <w:spacing w:before="160" w:after="40" w:line="240" w:lineRule="auto"/>
      </w:pPr>
      <w:r>
        <w:rPr>
          <w:b/>
        </w:rPr>
        <w:t xml:space="preserve">[21] </w:t>
      </w:r>
      <w:hyperlink r:id="rId98">
        <w:r>
          <w:rPr>
            <w:color w:val="1155CC"/>
            <w:u w:val="single"/>
          </w:rPr>
          <w:t>&gt;4.2 V 高压锂金属电池中的先进氟化学</w:t>
        </w:r>
      </w:hyperlink>
    </w:p>
    <w:p>
      <w:pPr>
        <w:spacing w:before="0" w:after="80"/>
      </w:pPr>
      <w:r>
        <w:rPr>
          <w:i/>
          <w:sz w:val="20"/>
        </w:rPr>
        <w:t>EN: Advanced fluorine chemistry in &gt;4.2 V high-voltage lithium metal batteries</w:t>
      </w:r>
    </w:p>
    <w:p>
      <w:pPr>
        <w:spacing w:before="0" w:after="120"/>
      </w:pPr>
      <w:r>
        <w:rPr>
          <w:b/>
        </w:rPr>
        <w:t xml:space="preserve">Source: </w:t>
      </w:r>
      <w:r>
        <w:t>RSC - Chem. Soc. Rev. latest articles</w:t>
      </w:r>
      <w:r>
        <w:t xml:space="preserve">    </w:t>
      </w:r>
      <w:r>
        <w:rPr>
          <w:b/>
        </w:rPr>
        <w:t xml:space="preserve">Pub date: </w:t>
      </w:r>
      <w:r>
        <w:t>2026-06-18 23:00:00+00:00</w:t>
      </w:r>
    </w:p>
    <w:p>
      <w:pPr>
        <w:spacing w:before="0" w:after="120"/>
      </w:pPr>
      <w:r>
        <w:rPr>
          <w:b/>
        </w:rPr>
        <w:t xml:space="preserve">Notes: </w:t>
      </w:r>
      <w:r>
        <w:t>abstract_source=rsc_html</w:t>
      </w:r>
    </w:p>
    <w:p>
      <w:pPr>
        <w:spacing w:before="0" w:after="80" w:lineRule="auto" w:line="276"/>
      </w:pPr>
      <w:r>
        <w:rPr>
          <w:b/>
        </w:rPr>
        <w:t xml:space="preserve">摘要（ZH）: </w:t>
      </w:r>
      <w:r>
        <w:t>锂金属电池（LMB）在高电压（&gt;4.2 V）下运行，表现出前所未有的能量密度（&gt;400 Wh kg−1），但受到不可控的锂枝晶、神秘的界面化学和不稳定的固体电解质界面（SEI）的限制。氟以其高稳定性、不易燃性和低成本，在高压LMB中发挥着越来越重要的作用，有望解决上述障碍。遗憾的是，目前很少有文献全面总结氟工程在高压LMB中的精湛设计，尤其是对其在LMB中作用机制的深入分析。在这篇综述中，我们从SEI形成和锂成核和沉积的基本原理开始，系统地剖析了高压LMB中氟化学的精致工程，包括氟化电解质系统（盐、溶剂、添加剂等）、基于氟化聚合物的SEI、氟化收集器和分离器。同时，精心挑选了几个有针对性且复杂的案例，结合所提出的想法进行描述，旨在阐明氟工程在抑制枝晶生长、稳定SEI和最大程度降低安全隐患方面的功能。此外，我们还强调了氟化学在 LMB 中面临的障碍，并指出了其未来的前景。该综述为高压 LMB 中的氟化学工程提供了指导。</w:t>
      </w:r>
    </w:p>
    <w:p>
      <w:pPr>
        <w:spacing w:before="0" w:after="200" w:lineRule="auto" w:line="276"/>
      </w:pPr>
      <w:r>
        <w:rPr>
          <w:b/>
        </w:rPr>
        <w:t xml:space="preserve">Abstract (EN): </w:t>
      </w:r>
      <w:r>
        <w:t>Lithium metal batteries (LMBs), operating at high voltage (&gt;4.2 V), exhibit unprecedented energy density (&gt;400 Wh kg−1), but are restricted by uncontrollable Li dendrites, enigmatic interfacial chemistries, and unstable solid electrolyte interfaces (SEIs). Fluorine, with its high stability, non-flammability, and low cost, is playing an increasingly vital role in high-voltage LMBs and is expected to resolve the above obstacles. Unfortunately, there are few reviews that comprehensively summarise the exquisite design of fluorine engineering in high-voltage LMBs, especially in-depth analysis of its action mechanism in LMBs. In this review, we start with the fundamentals of SEI formation and Li nucleation and deposition, systematically dissecting the exquisite engineering of fluorine chemistry in high-voltage LMBs, including fluorinated electrolyte systems (salts, solvents, additives, etc.), fluorinated polymer-based SEIs, fluorinated collectors and separators. Meanwhile, several targeted and sophisticated cases are handpicked to be portrayed in conjunction with the proposed ideas, aiming to clarify the functionality of fluorine engineering in inhibiting dendrite growth, stabilising SEIs, and minimising safety hazards. Additionally, we highlight the obstacles faced by fluorine chemistry in LMBs and point out its future perspectives. This review provides guidance for the engineering of fluorine chemistry in high-voltage LMBs.</w:t>
      </w:r>
    </w:p>
    <w:p>
      <w:pPr>
        <w:spacing w:before="120" w:after="120"/>
      </w:pPr>
      <w:r>
        <w:rPr>
          <w:sz w:val="18"/>
        </w:rPr>
        <w:t>——————————————————————————————————————————————————————————————————————</w:t>
      </w:r>
    </w:p>
    <w:p>
      <w:pPr>
        <w:spacing w:before="160" w:after="120"/>
      </w:pPr>
      <w:r>
        <w:rPr>
          <w:b/>
          <w:sz w:val="28"/>
        </w:rPr>
        <w:t>【非活性材料等】</w:t>
      </w:r>
    </w:p>
    <w:p>
      <w:pPr>
        <w:spacing w:before="160" w:after="40" w:line="240" w:lineRule="auto"/>
      </w:pPr>
      <w:r>
        <w:rPr>
          <w:b/>
        </w:rPr>
        <w:t xml:space="preserve">[1] </w:t>
      </w:r>
      <w:hyperlink r:id="rId31">
        <w:r>
          <w:rPr>
            <w:color w:val="1155CC"/>
            <w:u w:val="single"/>
          </w:rPr>
          <w:t>降解的 LiCoO2 的电子软化可通过配体介导的界面调节实现直接再生</w:t>
        </w:r>
      </w:hyperlink>
    </w:p>
    <w:p>
      <w:pPr>
        <w:spacing w:before="0" w:after="80"/>
      </w:pPr>
      <w:r>
        <w:rPr>
          <w:i/>
          <w:sz w:val="20"/>
        </w:rPr>
        <w:t>EN: Electronic softening of degraded LiCoO2 enables direct regeneration via ligand-mediated interface modulation</w:t>
      </w:r>
    </w:p>
    <w:p>
      <w:pPr>
        <w:spacing w:before="0" w:after="120"/>
      </w:pPr>
      <w:r>
        <w:rPr>
          <w:b/>
        </w:rPr>
        <w:t xml:space="preserve">Source: </w:t>
      </w:r>
      <w:r>
        <w:t>National Science Review Advance Access</w:t>
      </w:r>
      <w:r>
        <w:t xml:space="preserve">    </w:t>
      </w:r>
      <w:r>
        <w:rPr>
          <w:b/>
        </w:rPr>
        <w:t xml:space="preserve">Pub date: </w:t>
      </w:r>
      <w:r>
        <w:t>2026-06-13 00:00:00+00:00</w:t>
      </w:r>
      <w:r>
        <w:t xml:space="preserve">    </w:t>
      </w:r>
      <w:r>
        <w:rPr>
          <w:b/>
        </w:rPr>
        <w:t xml:space="preserve">DOI: </w:t>
      </w:r>
      <w:hyperlink r:id="rId32">
        <w:r>
          <w:rPr>
            <w:color w:val="1155CC"/>
            <w:u w:val="single"/>
          </w:rPr>
          <w:t>10.1093/nsr/nwag369</w:t>
        </w:r>
      </w:hyperlink>
    </w:p>
    <w:p>
      <w:pPr>
        <w:spacing w:before="0" w:after="120"/>
      </w:pPr>
      <w:r>
        <w:rPr>
          <w:b/>
        </w:rPr>
        <w:t xml:space="preserve">Notes: </w:t>
      </w:r>
      <w:r>
        <w:t>abstract_source=rss_oup</w:t>
      </w:r>
    </w:p>
    <w:p>
      <w:pPr>
        <w:spacing w:before="0" w:after="80" w:lineRule="auto" w:line="276"/>
      </w:pPr>
      <w:r>
        <w:rPr>
          <w:b/>
        </w:rPr>
        <w:t xml:space="preserve">摘要（ZH）: </w:t>
      </w:r>
      <w:r>
        <w:t>降解的钴酸锂（LiCoO2，LCO）阴极的直接再生对于可持续电池回收至关重要，但仍然受到表面电子结构不稳定引起的复杂晶格缺陷的阻碍。现有的再生策略大多依赖成分补偿而忽略电子水平调节，并且缺乏对自发形成的阻碍离子传输的电化学不利界面（刚性界面）的研究。在这里，我们展示了一种使用乙酰丙酮锂铝复合物（LAAE）的配体介导的电子调节策略，其中乙酰丙酮（acac）充当电子介体而不是传统的螯合剂。通过与高价钴位点的 π→d 轨道耦合，acac 重新分布 Co-O 键合特性，形成电子顺应表面。这种吸附引起的键弱化优先破坏与缺陷相关的 Co-O 连接的稳定性，促进电子惰性钴物质的去除和氧空位钝化，同时降低界面离子传输势垒。同时，Liacac 衍生物质的锂补充以及 Al3+ 的掺入有助于稳定层状框架。再生的LCO（R-LCO-Al）实现了近乎理想的化学计量，抑制了氧空位并恢复了结构有序性，在0.5 C（3.0-4.5 V）下具有179.9 mAh g−1的高比容量，200次循环后容量保持率为87.0%，可与商用LCO相媲美。这些发现建立了电子结构模块</w:t>
      </w:r>
    </w:p>
    <w:p>
      <w:pPr>
        <w:spacing w:before="0" w:after="200" w:lineRule="auto" w:line="276"/>
      </w:pPr>
      <w:r>
        <w:rPr>
          <w:b/>
        </w:rPr>
        <w:t xml:space="preserve">Abstract (EN): </w:t>
      </w:r>
      <w:r>
        <w:t>The direct regeneration of degraded lithium cobalt oxide (LiCoO2, LCO) cathodes is pivotal for sustainable battery recycling, yet remains hindered by the intricate lattice defects arising from surface electronic-structure instability. Most existing regeneration strategies rely on compositional compensation while neglecting electronic-level regulation, and lack research on spontaneously formed, electrochemically unfavorable interface (rigid interface) that impede ion transport. Herein, we demonstrate a ligand-mediated electronic modulation strategy using a lithium-aluminum acetylacetonate complex (LAAE), where acetylacetonate (acac) functions as an electronic mediator rather than a conventional chelator. Through π→d orbital coupling with high-valence cobalt sites, acac redistributes Co-O bonding characteristics, creating an electronically compliant surface. This adsorption-induced bond weakening preferentially destabilizes defect-associated Co-O linkages, facilitating the removal of electronically inactive cobalt species and oxygen vacancy passivation, while lowering interfacial ion transport barriers. Simultaneously, lithium replenishment from Liacac-derived species together with Al3+ incorporation contributes to stabilizing the layered framework. The regenerated LCO (R-LCO-Al) achieves a near-ideal stoichiometry with suppressed oxygen vacancies and restored structural ordering, delivering a high specific capacity of 179.9 mAh g−1 at 0.5 C (3.0–4.5 V) and 87.0% capacity retention after 200 cycles, rivaling commercial LCO. These findings establish electronic-structure modulation as an effective strategy for closed-loop regeneration of degraded oxide cathodes.</w:t>
      </w:r>
    </w:p>
    <w:p>
      <w:pPr>
        <w:spacing w:before="120" w:after="120"/>
      </w:pPr>
      <w:r>
        <w:rPr>
          <w:sz w:val="18"/>
        </w:rPr>
        <w:t>——————————————————————————————————————————————————————————————————————</w:t>
      </w:r>
    </w:p>
    <w:p>
      <w:pPr>
        <w:spacing w:before="160" w:after="40" w:line="240" w:lineRule="auto"/>
      </w:pPr>
      <w:r>
        <w:rPr>
          <w:b/>
        </w:rPr>
        <w:t xml:space="preserve">[2] </w:t>
      </w:r>
      <w:hyperlink r:id="rId99">
        <w:r>
          <w:rPr>
            <w:color w:val="1155CC"/>
            <w:u w:val="single"/>
          </w:rPr>
          <w:t>使用绿色溶剂高效、可持续地回收废旧锂离子电池：综述</w:t>
        </w:r>
      </w:hyperlink>
    </w:p>
    <w:p>
      <w:pPr>
        <w:spacing w:before="0" w:after="80"/>
      </w:pPr>
      <w:r>
        <w:rPr>
          <w:i/>
          <w:sz w:val="20"/>
        </w:rPr>
        <w:t>EN: Efficient and sustainable recycling of spent Lithium-ion batteries using green solvents: A review</w:t>
      </w:r>
    </w:p>
    <w:p>
      <w:pPr>
        <w:spacing w:before="0" w:after="120"/>
      </w:pPr>
      <w:r>
        <w:rPr>
          <w:b/>
        </w:rPr>
        <w:t xml:space="preserve">Source: </w:t>
      </w:r>
      <w:r>
        <w:t>ScienceDirect Publication: Applied Energy</w:t>
      </w:r>
      <w:r>
        <w:t xml:space="preserve">    </w:t>
      </w:r>
      <w:r>
        <w:rPr>
          <w:b/>
        </w:rPr>
        <w:t xml:space="preserve">Pub date: </w:t>
      </w:r>
      <w:r>
        <w:t>2026-06-14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00">
        <w:r>
          <w:rPr>
            <w:color w:val="1155CC"/>
            <w:u w:val="single"/>
          </w:rPr>
          <w:t>一种具有动态时空图建模和自适应优化的锂离子电池剩余使用寿命预测新框架</w:t>
        </w:r>
      </w:hyperlink>
    </w:p>
    <w:p>
      <w:pPr>
        <w:spacing w:before="0" w:after="80"/>
      </w:pPr>
      <w:r>
        <w:rPr>
          <w:i/>
          <w:sz w:val="20"/>
        </w:rPr>
        <w:t>EN: A novel framework with dynamic spatiotemporal graph modeling and adaptive optimization for lithium-ion battery remaining useful life prediction</w:t>
      </w:r>
    </w:p>
    <w:p>
      <w:pPr>
        <w:spacing w:before="0" w:after="120"/>
      </w:pPr>
      <w:r>
        <w:rPr>
          <w:b/>
        </w:rPr>
        <w:t xml:space="preserve">Source: </w:t>
      </w:r>
      <w:r>
        <w:t>ScienceDirect Publication: Applied Energy</w:t>
      </w:r>
      <w:r>
        <w:t xml:space="preserve">    </w:t>
      </w:r>
      <w:r>
        <w:rPr>
          <w:b/>
        </w:rPr>
        <w:t xml:space="preserve">Pub date: </w:t>
      </w:r>
      <w:r>
        <w:t>2026-06-14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01">
        <w:r>
          <w:rPr>
            <w:color w:val="1155CC"/>
            <w:u w:val="single"/>
          </w:rPr>
          <w:t>强化学习驱动的自适应隐形攻击操纵电池健康状态估计</w:t>
        </w:r>
      </w:hyperlink>
    </w:p>
    <w:p>
      <w:pPr>
        <w:spacing w:before="0" w:after="80"/>
      </w:pPr>
      <w:r>
        <w:rPr>
          <w:i/>
          <w:sz w:val="20"/>
        </w:rPr>
        <w:t>EN: Reinforcement learning-driven adaptive stealthy attacks manipulating battery state of health estimation</w:t>
      </w:r>
    </w:p>
    <w:p>
      <w:pPr>
        <w:spacing w:before="0" w:after="120"/>
      </w:pPr>
      <w:r>
        <w:rPr>
          <w:b/>
        </w:rPr>
        <w:t xml:space="preserve">Source: </w:t>
      </w:r>
      <w:r>
        <w:t>ScienceDirect Publication: Applied Energy</w:t>
      </w:r>
      <w:r>
        <w:t xml:space="preserve">    </w:t>
      </w:r>
      <w:r>
        <w:rPr>
          <w:b/>
        </w:rPr>
        <w:t xml:space="preserve">Pub date: </w:t>
      </w:r>
      <w:r>
        <w:t>2026-06-14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102">
        <w:r>
          <w:rPr>
            <w:color w:val="1155CC"/>
            <w:u w:val="single"/>
          </w:rPr>
          <w:t>电化学过程驱动的锂离子电池回收和再生技术综述</w:t>
        </w:r>
      </w:hyperlink>
    </w:p>
    <w:p>
      <w:pPr>
        <w:spacing w:before="0" w:after="80"/>
      </w:pPr>
      <w:r>
        <w:rPr>
          <w:i/>
          <w:sz w:val="20"/>
        </w:rPr>
        <w:t>EN: A review of electrochemical process-driven recycling and regeneration technologies for lithium-ion batteries</w:t>
      </w:r>
    </w:p>
    <w:p>
      <w:pPr>
        <w:spacing w:before="0" w:after="120"/>
      </w:pPr>
      <w:r>
        <w:rPr>
          <w:b/>
        </w:rPr>
        <w:t xml:space="preserve">Source: </w:t>
      </w:r>
      <w:r>
        <w:t>ScienceDirect Publication: Applied Energy</w:t>
      </w:r>
      <w:r>
        <w:t xml:space="preserve">    </w:t>
      </w:r>
      <w:r>
        <w:rPr>
          <w:b/>
        </w:rPr>
        <w:t xml:space="preserve">Pub date: </w:t>
      </w:r>
      <w:r>
        <w:t>2026-06-14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103">
        <w:r>
          <w:rPr>
            <w:color w:val="1155CC"/>
            <w:u w:val="single"/>
          </w:rPr>
          <w:t>在退货数量和质量不确定的情况下，将监管存储时间限制纳入退役锂离子电池的逆向物流网络设计中</w:t>
        </w:r>
      </w:hyperlink>
    </w:p>
    <w:p>
      <w:pPr>
        <w:spacing w:before="0" w:after="80"/>
      </w:pPr>
      <w:r>
        <w:rPr>
          <w:i/>
          <w:sz w:val="20"/>
        </w:rPr>
        <w:t>EN: Embedding regulatory storage time limitations into reverse logistics network design for retired lithium-ion batteries under uncertain quantity and quality of returns</w:t>
      </w:r>
    </w:p>
    <w:p>
      <w:pPr>
        <w:spacing w:before="0" w:after="120"/>
      </w:pPr>
      <w:r>
        <w:rPr>
          <w:b/>
        </w:rPr>
        <w:t xml:space="preserve">Source: </w:t>
      </w:r>
      <w:r>
        <w:t>ScienceDirect Publication: Applied Energy</w:t>
      </w:r>
      <w:r>
        <w:t xml:space="preserve">    </w:t>
      </w:r>
      <w:r>
        <w:rPr>
          <w:b/>
        </w:rPr>
        <w:t xml:space="preserve">Pub date: </w:t>
      </w:r>
      <w:r>
        <w:t>2026-06-15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104">
        <w:r>
          <w:rPr>
            <w:color w:val="1155CC"/>
            <w:u w:val="single"/>
          </w:rPr>
          <w:t>将晶体框架工程化到多孔液体中以制造氧化石墨烯/多孔液体膜以实现高效的 Li+/Mg2+ 分离</w:t>
        </w:r>
      </w:hyperlink>
    </w:p>
    <w:p>
      <w:pPr>
        <w:spacing w:before="0" w:after="80"/>
      </w:pPr>
      <w:r>
        <w:rPr>
          <w:i/>
          <w:sz w:val="20"/>
        </w:rPr>
        <w:t>EN: Engineering Crystalline Frameworks into Porous Liquids to Fabricate Graphene Oxide/Porous Liquid Membranes for Efficient Li+/Mg2+ Separation</w:t>
      </w:r>
    </w:p>
    <w:p>
      <w:pPr>
        <w:spacing w:before="0" w:after="120"/>
      </w:pPr>
      <w:r>
        <w:rPr>
          <w:b/>
        </w:rPr>
        <w:t xml:space="preserve">Source: </w:t>
      </w:r>
      <w:r>
        <w:t>Physical sciences : Nature Communications subject feeds</w:t>
      </w:r>
      <w:r>
        <w:t xml:space="preserve">    </w:t>
      </w:r>
      <w:r>
        <w:rPr>
          <w:b/>
        </w:rPr>
        <w:t xml:space="preserve">Pub date: </w:t>
      </w:r>
      <w:r>
        <w:t>2026-06-15 00:00:00+00:00</w:t>
      </w:r>
    </w:p>
    <w:p>
      <w:pPr>
        <w:spacing w:before="0" w:after="120"/>
      </w:pPr>
      <w:r>
        <w:rPr>
          <w:b/>
        </w:rPr>
        <w:t xml:space="preserve">Notes: </w:t>
      </w:r>
      <w:r>
        <w:t>abstract_source=nature_html</w:t>
      </w:r>
    </w:p>
    <w:p>
      <w:pPr>
        <w:spacing w:before="0" w:after="80" w:lineRule="auto" w:line="276"/>
      </w:pPr>
      <w:r>
        <w:rPr>
          <w:b/>
        </w:rPr>
        <w:t xml:space="preserve">摘要（ZH）: </w:t>
      </w:r>
      <w:r>
        <w:t>对可持续能源转型的追求加剧了对从盐湖卤水中提取锂的需求，需要先进的膜来高效分离 Li+/Mg2+。集成多孔框架和二维（2D）支架已显示出制造离子选择性渗透膜的前景，但由于可加工性差而受到阻碍。在这里，我们将晶体框架转化为多孔液体 (PL)，并将它们嵌入氧化石墨烯 (GO) 层压板中，以设计超薄且无缺陷的 GO/PLs 膜。离散的多孔客体被均匀地限制在由位阻溶剂介导的二维纳米流体通道内。通过调节离子脱水和离子与通道的相互作用，GO/PLs 膜表现出超高的 Li+ 渗透性 (0.75 mol m−2 h−1) 和出色的 Li+/Mg2+ 选择性 (154.4)。证明了从模拟盐水中有效提取锂，将 40 的 Mg/Li 比例反转，实现 4.6 的 Li/Mg 比例。这项工作报告了基于多孔框架和二维材料的混合膜的制造策略，用于精确的离子分离。</w:t>
      </w:r>
    </w:p>
    <w:p>
      <w:pPr>
        <w:spacing w:before="0" w:after="200" w:lineRule="auto" w:line="276"/>
      </w:pPr>
      <w:r>
        <w:rPr>
          <w:b/>
        </w:rPr>
        <w:t xml:space="preserve">Abstract (EN): </w:t>
      </w:r>
      <w:r>
        <w:t>The quest for sustainable energy transition has intensified the demand for lithium extraction from salt-lake brines, necessitating advanced membranes for high-efficiency Li+/Mg2+ separation. Integrating porous frameworks and two-dimensional (2D) scaffolds has shown promise for fabricating ion-permselective membranes, but is hampered by poor processability. Here we transform crystalline frameworks into porous liquids (PLs), and embed them within graphene oxide (GO) laminates to engineer an ultrathin and defect-free GO/PLs membrane. Discrete porous guests are uniformly confined within 2D nanofluidic channels mediated by a sterically hindered solvent. The GO/PLs membrane exhibits ultrahigh Li+ permeance (0.75 mol m−2 h−1) and exceptional Li+/Mg2+ selectivity (154.4) by regulating ion dehydration and ion-to-channel interactions. Efficient lithium extraction from simulated brine is demonstrated, reversing the Mg/Li ratio of 40 to achieve a Li/Mg ratio of 4.6. This work reports the manufacturing strategy of hybrid membranes based on porous frameworks and 2D materials for precise ion separation.</w:t>
      </w:r>
    </w:p>
    <w:p>
      <w:pPr>
        <w:spacing w:before="120" w:after="120"/>
      </w:pPr>
      <w:r>
        <w:rPr>
          <w:sz w:val="18"/>
        </w:rPr>
        <w:t>——————————————————————————————————————————————————————————————————————</w:t>
      </w:r>
    </w:p>
    <w:p>
      <w:pPr>
        <w:spacing w:before="160" w:after="40" w:line="240" w:lineRule="auto"/>
      </w:pPr>
      <w:r>
        <w:rPr>
          <w:b/>
        </w:rPr>
        <w:t xml:space="preserve">[8] </w:t>
      </w:r>
      <w:hyperlink r:id="rId105">
        <w:r>
          <w:rPr>
            <w:color w:val="1155CC"/>
            <w:u w:val="single"/>
          </w:rPr>
          <w:t>通过稳定的苯并双噻唑连接的聚合物光催化剂实现锂离子电池阴极材料的连续太阳能驱动回收</w:t>
        </w:r>
      </w:hyperlink>
    </w:p>
    <w:p>
      <w:pPr>
        <w:spacing w:before="0" w:after="80"/>
      </w:pPr>
      <w:r>
        <w:rPr>
          <w:i/>
          <w:sz w:val="20"/>
        </w:rPr>
        <w:t>EN: Continuous solar-driven recycling of lithium-ion battery cathode materials enabled by a stable benzobisthiazole-linked polymeric photocatalyst</w:t>
      </w:r>
    </w:p>
    <w:p>
      <w:pPr>
        <w:spacing w:before="0" w:after="120"/>
      </w:pPr>
      <w:r>
        <w:rPr>
          <w:b/>
        </w:rPr>
        <w:t xml:space="preserve">Source: </w:t>
      </w:r>
      <w:r>
        <w:t>Physical sciences : Nature Communications subject feeds</w:t>
      </w:r>
      <w:r>
        <w:t xml:space="preserve">    </w:t>
      </w:r>
      <w:r>
        <w:rPr>
          <w:b/>
        </w:rPr>
        <w:t xml:space="preserve">Pub date: </w:t>
      </w:r>
      <w:r>
        <w:t>2026-06-15 00:00:00+00:00</w:t>
      </w:r>
    </w:p>
    <w:p>
      <w:pPr>
        <w:spacing w:before="0" w:after="120"/>
      </w:pPr>
      <w:r>
        <w:rPr>
          <w:b/>
        </w:rPr>
        <w:t xml:space="preserve">Notes: </w:t>
      </w:r>
      <w:r>
        <w:t>abstract_source=nature_html</w:t>
      </w:r>
    </w:p>
    <w:p>
      <w:pPr>
        <w:spacing w:before="0" w:after="80" w:lineRule="auto" w:line="276"/>
      </w:pPr>
      <w:r>
        <w:rPr>
          <w:b/>
        </w:rPr>
        <w:t xml:space="preserve">摘要（ZH）: </w:t>
      </w:r>
      <w:r>
        <w:t>从废旧锂离子电池 (LIB) 中回收有价值的金属至关重要，但受到高能耗和大量废物排放的严重限制。在此，我们提出了一种适用于各种锂离子电池正极材料的太阳能驱动回收策略。该方法的核心在于通过合理设计的苯并双噻唑连接的聚合物光催化剂实现高效、稳定的过氧化氢（H2O2）生产。原位光生H2O2诱导金属物种的氧化还原反应，促进其溶解和锂离子脱嵌。在最佳条件下，该方法的 Li+ 浸出率高达 14 mmol h−1 g−1，过渡金属萃取效率超过 90%。自然阳光下的户外试验表明，LiCoO2 可以连续稳定地回收超过 30 天，平均日浸出量为 8.4 mmol Co2+ 和 8.7 mmol Li+。技术经济分析进一步支持了我们的光催化回收策略的实际可行性，强调了其作为从锂离子电池废物中回收关键金属的可扩展且可持续的解决方案的潜力。</w:t>
      </w:r>
    </w:p>
    <w:p>
      <w:pPr>
        <w:spacing w:before="0" w:after="200" w:lineRule="auto" w:line="276"/>
      </w:pPr>
      <w:r>
        <w:rPr>
          <w:b/>
        </w:rPr>
        <w:t xml:space="preserve">Abstract (EN): </w:t>
      </w:r>
      <w:r>
        <w:t>Recovering valuable metals from spent lithium-ion batteries (LIBs) is essential but highly limited by high energy consumption and significant waste emissions. Herein, we propose a solar-driven recycling strategy applicable to a wide range of LIB cathode materials. The core of this approach lies in the efficient and stable hydrogen peroxide (H2O2) production, enabled by a rationally engineered benzobisthiazole-linked polymeric photocatalyst. The in-situ photogenerated H2O2 induces the redox reactions of metal species, promoting their dissolution and lithium-ion deintercalation. Under optimal conditions, this approach achieves Li+ leaching rates of up to 14 mmol h−1 g−1 and transition metal extraction efficiencies exceeding 90%. Outdoor trials under natural sunlight demonstrate continuous and stable recycling of LiCoO2 for over a 30-day period, achieving average daily leaching yields of 8.4 mmol Co2+ and 8.7 mmol Li+. A techno-economic analysis further supports the practical feasibility of our photocatalytic recycling strategy, underscoring its potential as a scalable and sustainable solution for recovering critical metals from LIB waste.</w:t>
      </w:r>
    </w:p>
    <w:p>
      <w:pPr>
        <w:spacing w:before="120" w:after="120"/>
      </w:pPr>
      <w:r>
        <w:rPr>
          <w:sz w:val="18"/>
        </w:rPr>
        <w:t>——————————————————————————————————————————————————————————————————————</w:t>
      </w:r>
    </w:p>
    <w:p>
      <w:pPr>
        <w:spacing w:before="160" w:after="40" w:line="240" w:lineRule="auto"/>
      </w:pPr>
      <w:r>
        <w:rPr>
          <w:b/>
        </w:rPr>
        <w:t xml:space="preserve">[9] </w:t>
      </w:r>
      <w:hyperlink r:id="rId39">
        <w:r>
          <w:rPr>
            <w:color w:val="1155CC"/>
            <w:u w:val="single"/>
          </w:rPr>
          <w:t>导电聚合物涂层纳米纤维素可实现氧化还原均质超高面积容量锂离子电池的双梯度厚电极</w:t>
        </w:r>
      </w:hyperlink>
    </w:p>
    <w:p>
      <w:pPr>
        <w:spacing w:before="0" w:after="80"/>
      </w:pPr>
      <w:r>
        <w:rPr>
          <w:i/>
          <w:sz w:val="20"/>
        </w:rPr>
        <w:t>EN: Conducting-Polymer-Coated Nanocellulose Enabling Dual-Gradient Thick Electrodes for Redox-Homogeneous Ultrahigh-Areal-Capacity Li-Ion Batteries</w:t>
      </w:r>
    </w:p>
    <w:p>
      <w:pPr>
        <w:spacing w:before="0" w:after="120"/>
      </w:pPr>
      <w:r>
        <w:rPr>
          <w:b/>
        </w:rPr>
        <w:t xml:space="preserve">Source: </w:t>
      </w:r>
      <w:r>
        <w:t>RSC - Energy Environ. Sci. latest articles</w:t>
      </w:r>
      <w:r>
        <w:t xml:space="preserve">    </w:t>
      </w:r>
      <w:r>
        <w:rPr>
          <w:b/>
        </w:rPr>
        <w:t xml:space="preserve">Pub date: </w:t>
      </w:r>
      <w:r>
        <w:t>2026-06-15 23:00:00+00:00</w:t>
      </w:r>
    </w:p>
    <w:p>
      <w:pPr>
        <w:spacing w:before="0" w:after="120"/>
      </w:pPr>
      <w:r>
        <w:rPr>
          <w:b/>
        </w:rPr>
        <w:t xml:space="preserve">Notes: </w:t>
      </w:r>
      <w:r>
        <w:t>abstract_source=rsc_html</w:t>
      </w:r>
    </w:p>
    <w:p>
      <w:pPr>
        <w:spacing w:before="0" w:after="80" w:lineRule="auto" w:line="276"/>
      </w:pPr>
      <w:r>
        <w:rPr>
          <w:b/>
        </w:rPr>
        <w:t xml:space="preserve">摘要（ZH）: </w:t>
      </w:r>
      <w:r>
        <w:t>高面积容量厚电极对于提高锂离子电池的能量密度至关重要，但其部署受到电极增厚过程中沉降引起的材料偏析导致的氧化还原不均匀性的限制。在这里，我们通过构建由导电聚合物涂覆的纳米纤维素实现的沉降引导、氧化还原均质厚电极来克服这一挑战。与本质上绝缘的纳米纤维素不同，这种改性纳米纤维素将高电子电导率与增强的离子传输结合在一起，从而将粘合剂、导电添加剂和机械支架的作用统一到单相网络中。这消除了传统纳米纤维素基系统的粘合剂/碳域不均匀性特征，并将沉降从制造挑战转变为结构设计优势。由此产生的厚纸电极表现出活性材料-孔隙率双梯度结构，其中活性材料密集且均匀地嵌入互连的导电纳米纤维素基质内，支持快速、双连续的离子/电子传输以及空间均匀的Li+通量和电流密度。使用 LiFePO4 作为模型，电极在负载 110 mg cm−2 和密度 2.9 g cm−3 时分别提供创纪录的高面积容量和体积容量，分别为 16.7 mAh cm−2 和 431.9 mAh cm−3。这一策略不仅重新定义了沉积作为电极工程的工具，而且还扩展了下一代高能电池可持续纤维素材料的功能。</w:t>
      </w:r>
    </w:p>
    <w:p>
      <w:pPr>
        <w:spacing w:before="0" w:after="200" w:lineRule="auto" w:line="276"/>
      </w:pPr>
      <w:r>
        <w:rPr>
          <w:b/>
        </w:rPr>
        <w:t xml:space="preserve">Abstract (EN): </w:t>
      </w:r>
      <w:r>
        <w:t>High-areal-capacity thick electrodes are essential for enhancing the energy density of lithium-ion batteries, yet their deployment is limited by redox heterogeneity caused by sedimentation-induced material segregation during electrode thickening. Here, we overcome this challenge by constructing a sedimentation-guided, redox-homogeneous thick electrode enabled by conducting polymer-coated nanocellulose. Unlike intrinsically insulating nanocellulose, this modified nanocellulose combines high electronic conductivity with enhanced ion transport, thereby unifying the roles of binder, conductive additive, and mechanical scaffold into a single-phase network. This eliminates binder/carbon domain inhomogeneity characteristic of conventional nanocellulose-based systems and transforms sedimentation from a fabrication challenge into a structural design advantage. The resulting thick paper electrodes exhibit an active material-porosity dual-gradient structure, in which active materials are densely and uniformly embedded within an interconnected conductive nanocellulose matrix, supporting fast, bicontinuous ion/electron transport and spatially uniform Li+ flux and current density. Using LiFePO4 as a model, the electrodes deliver record-high areal and volumetric capacities of 16.7 mAh cm−2 and 431.9 mAh cm−3, respectively, at a loading of 110 mg cm−2 and density of 2.9 g cm−3. This strategy not only redefines sedimentation as a tool for electrode engineering but also expands the functionality of sustainable cellulose materials for next-generation high-energy batteries.</w:t>
      </w:r>
    </w:p>
    <w:p>
      <w:pPr>
        <w:spacing w:before="120" w:after="120"/>
      </w:pPr>
      <w:r>
        <w:rPr>
          <w:sz w:val="18"/>
        </w:rPr>
        <w:t>——————————————————————————————————————————————————————————————————————</w:t>
      </w:r>
    </w:p>
    <w:p>
      <w:pPr>
        <w:spacing w:before="160" w:after="40" w:line="240" w:lineRule="auto"/>
      </w:pPr>
      <w:r>
        <w:rPr>
          <w:b/>
        </w:rPr>
        <w:t xml:space="preserve">[10] </w:t>
      </w:r>
      <w:hyperlink r:id="rId106">
        <w:r>
          <w:rPr>
            <w:color w:val="1155CC"/>
            <w:u w:val="single"/>
          </w:rPr>
          <w:t>通过数据高效学习和可转移评估对商业锂离子电池制造进行在线质量分级</w:t>
        </w:r>
      </w:hyperlink>
    </w:p>
    <w:p>
      <w:pPr>
        <w:spacing w:before="0" w:after="80"/>
      </w:pPr>
      <w:r>
        <w:rPr>
          <w:i/>
          <w:sz w:val="20"/>
        </w:rPr>
        <w:t>EN: Inline quality grading of commercial lithium-ion battery manufacturing via da-ta-efficient learning and transferable assessment</w:t>
      </w:r>
    </w:p>
    <w:p>
      <w:pPr>
        <w:spacing w:before="0" w:after="120"/>
      </w:pPr>
      <w:r>
        <w:rPr>
          <w:b/>
        </w:rPr>
        <w:t xml:space="preserve">Source: </w:t>
      </w:r>
      <w:r>
        <w:t>RSC - Energy Environ. Sci. latest articles</w:t>
      </w:r>
      <w:r>
        <w:t xml:space="preserve">    </w:t>
      </w:r>
      <w:r>
        <w:rPr>
          <w:b/>
        </w:rPr>
        <w:t xml:space="preserve">Pub date: </w:t>
      </w:r>
      <w:r>
        <w:t>2026-06-16 23:00:00+00:00</w:t>
      </w:r>
    </w:p>
    <w:p>
      <w:pPr>
        <w:spacing w:before="0" w:after="120"/>
      </w:pPr>
      <w:r>
        <w:rPr>
          <w:b/>
        </w:rPr>
        <w:t xml:space="preserve">Notes: </w:t>
      </w:r>
      <w:r>
        <w:t>abstract_source=rsc_html</w:t>
      </w:r>
    </w:p>
    <w:p>
      <w:pPr>
        <w:spacing w:before="0" w:after="80" w:lineRule="auto" w:line="276"/>
      </w:pPr>
      <w:r>
        <w:rPr>
          <w:b/>
        </w:rPr>
        <w:t xml:space="preserve">摘要（ZH）: </w:t>
      </w:r>
      <w:r>
        <w:t>锂离子电池制造涉及一系列紧密耦合的复杂流程，因此可靠的质量分级对于确保电池一致性、生产效率和产品可靠性至关重要。然而，现有的分级范式严重依赖长周期测试和密集标签，导致能源消耗、时间成本和可扩展性有限。在这里，我们提出了数据高效学习和可转移评估（DELTA）框架，该框架结合了特征提取和半监督一致性分类，用于制造中的早期质量分级，并使用生命周期结束时（EOL）作为质量评估指标。该框架评估来自 6 个公开数据集的数据，包括 421 个电池，具有 3 种电池化学成分、6 种充电速率、6 种温度和 8 种额定容量。线性混合效应模型提取静态特征来量化材料效应，而预循环测试的动态特征则表征性能稳定性。基于高斯混合模型和熵驱动机制的半监督分类器模拟了真实制造标签的缺失。实验结果表明，DELTA 在 EOL 时仅用 30% 的标记数据即可实现超过 83% 的循环寿命分类精度，优于 FixMatch 和 UDA 等最先进的方法，同时将训练时间减少 50%。它对未见过的数据集保持超过 95% 的准确度，从而在制造过程中实现快速、低成本且可扩展的电池筛选，将缺失感知学习建立为数据有限制造的实用解决方案</w:t>
      </w:r>
    </w:p>
    <w:p>
      <w:pPr>
        <w:spacing w:before="0" w:after="200" w:lineRule="auto" w:line="276"/>
      </w:pPr>
      <w:r>
        <w:rPr>
          <w:b/>
        </w:rPr>
        <w:t xml:space="preserve">Abstract (EN): </w:t>
      </w:r>
      <w:r>
        <w:t>Lithium-ion battery manufacturing involves a complex sequence of tightly coupled processes, making reliable quality grading essential for ensuring cell consistency, production efficiency, and product reliability. However, existing grading paradigms rely heavily on long-cycle testing and dense labeling, resulting in energy consumption, time cost, and limited scalability. Here, we propose the Data-Efficient Learning and Transferable Assessment (DELTA) framework, which combines feature extraction and semi-supervised consistency classification for early quality grading in manufacturing, using cycle-life at end of life (EOL) as the quality evaluation metric. The framework evaluates data from 6 publicly available datasets, encompassing 421 cells with 3 battery chemistries, 6 charging rates, 6 temperatures, and 8 rated capacities. A Linear Mixed-Effects model extracts static features to quantify material effects, while dynamic features from pre-cycling tests characterize performance stability. A semi-supervised classifier based on Gaussian Mixture Models with an entropy-driven mechanism simulates the absence of true manufacturing labels. Experimental results show that DELTA achieves over 83% classification accuracy of cycle-life at EOL with only 30% labeled data, outperforming state-of-the-art methods such as FixMatch and UDA, while reducing training time by 50%. It maintains more than 95% accuracy on unseen datasets, enabling fast, low-cost, and scalable battery screening in manufacturing, establishing missingness-aware learning as a practical solution for data-limited manufacturing environments. A preliminary scenario analysis suggests that reducing reliance on long-cycle screening could potentially lower testing-related costs and energy consumption in large-scale battery production.</w:t>
      </w:r>
    </w:p>
    <w:p>
      <w:pPr>
        <w:spacing w:before="120" w:after="120"/>
      </w:pPr>
      <w:r>
        <w:rPr>
          <w:sz w:val="18"/>
        </w:rPr>
        <w:t>——————————————————————————————————————————————————————————————————————</w:t>
      </w:r>
    </w:p>
    <w:p>
      <w:pPr>
        <w:spacing w:before="160" w:after="40" w:line="240" w:lineRule="auto"/>
      </w:pPr>
      <w:r>
        <w:rPr>
          <w:b/>
        </w:rPr>
        <w:t xml:space="preserve">[11] </w:t>
      </w:r>
      <w:hyperlink r:id="rId107">
        <w:r>
          <w:rPr>
            <w:color w:val="1155CC"/>
            <w:u w:val="single"/>
          </w:rPr>
          <w:t>从线性到循环：废旧电池回收网络优化回顾与未来议程</w:t>
        </w:r>
      </w:hyperlink>
    </w:p>
    <w:p>
      <w:pPr>
        <w:spacing w:before="0" w:after="80"/>
      </w:pPr>
      <w:r>
        <w:rPr>
          <w:i/>
          <w:sz w:val="20"/>
        </w:rPr>
        <w:t>EN: From linear to circular: review and future agenda of waste battery recycling network optimization</w:t>
      </w:r>
    </w:p>
    <w:p>
      <w:pPr>
        <w:spacing w:before="0" w:after="120"/>
      </w:pPr>
      <w:r>
        <w:rPr>
          <w:b/>
        </w:rPr>
        <w:t xml:space="preserve">Source: </w:t>
      </w:r>
      <w:r>
        <w:t>ScienceDirect Publication: Applied Energy</w:t>
      </w:r>
      <w:r>
        <w:t xml:space="preserve">    </w:t>
      </w:r>
      <w:r>
        <w:rPr>
          <w:b/>
        </w:rPr>
        <w:t xml:space="preserve">Pub date: </w:t>
      </w:r>
      <w:r>
        <w:t>2026-06-17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 </w:t>
      </w:r>
      <w:hyperlink r:id="rId108">
        <w:r>
          <w:rPr>
            <w:color w:val="1155CC"/>
            <w:u w:val="single"/>
          </w:rPr>
          <w:t>用于深海电力应用的压力补偿浸没式电池系统综述</w:t>
        </w:r>
      </w:hyperlink>
    </w:p>
    <w:p>
      <w:pPr>
        <w:spacing w:before="0" w:after="80"/>
      </w:pPr>
      <w:r>
        <w:rPr>
          <w:i/>
          <w:sz w:val="20"/>
        </w:rPr>
        <w:t>EN: Review of pressure compensated immersion battery systems for deep-sea power applications</w:t>
      </w:r>
    </w:p>
    <w:p>
      <w:pPr>
        <w:spacing w:before="0" w:after="120"/>
      </w:pPr>
      <w:r>
        <w:rPr>
          <w:b/>
        </w:rPr>
        <w:t xml:space="preserve">Source: </w:t>
      </w:r>
      <w:r>
        <w:t>ScienceDirect Publication: Applied Energy</w:t>
      </w:r>
      <w:r>
        <w:t xml:space="preserve">    </w:t>
      </w:r>
      <w:r>
        <w:rPr>
          <w:b/>
        </w:rPr>
        <w:t xml:space="preserve">Pub date: </w:t>
      </w:r>
      <w:r>
        <w:t>2026-06-17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 </w:t>
      </w:r>
      <w:hyperlink r:id="rId109">
        <w:r>
          <w:rPr>
            <w:color w:val="1155CC"/>
            <w:u w:val="single"/>
          </w:rPr>
          <w:t>数字孪生驱动的深度强化学习分布式储能集群协调调度与状态预测</w:t>
        </w:r>
      </w:hyperlink>
    </w:p>
    <w:p>
      <w:pPr>
        <w:spacing w:before="0" w:after="80"/>
      </w:pPr>
      <w:r>
        <w:rPr>
          <w:i/>
          <w:sz w:val="20"/>
        </w:rPr>
        <w:t>EN: Digital twin-driven deep reinforcement learning for coordinated scheduling and state prediction of distributed energy storage clusters</w:t>
      </w:r>
    </w:p>
    <w:p>
      <w:pPr>
        <w:spacing w:before="0" w:after="120"/>
      </w:pPr>
      <w:r>
        <w:rPr>
          <w:b/>
        </w:rPr>
        <w:t xml:space="preserve">Source: </w:t>
      </w:r>
      <w:r>
        <w:t>ScienceDirect Publication: Applied Energy</w:t>
      </w:r>
      <w:r>
        <w:t xml:space="preserve">    </w:t>
      </w:r>
      <w:r>
        <w:rPr>
          <w:b/>
        </w:rPr>
        <w:t xml:space="preserve">Pub date: </w:t>
      </w:r>
      <w:r>
        <w:t>2026-06-18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 </w:t>
      </w:r>
      <w:hyperlink r:id="rId110">
        <w:r>
          <w:rPr>
            <w:color w:val="1155CC"/>
            <w:u w:val="single"/>
          </w:rPr>
          <w:t>配电网共享储能的自适应风险差网络定价</w:t>
        </w:r>
      </w:hyperlink>
    </w:p>
    <w:p>
      <w:pPr>
        <w:spacing w:before="0" w:after="80"/>
      </w:pPr>
      <w:r>
        <w:rPr>
          <w:i/>
          <w:sz w:val="20"/>
        </w:rPr>
        <w:t>EN: Adaptive risk-difference-based network pricing for shared energy storage in distribution networks</w:t>
      </w:r>
    </w:p>
    <w:p>
      <w:pPr>
        <w:spacing w:before="0" w:after="120"/>
      </w:pPr>
      <w:r>
        <w:rPr>
          <w:b/>
        </w:rPr>
        <w:t xml:space="preserve">Source: </w:t>
      </w:r>
      <w:r>
        <w:t>ScienceDirect Publication: Applied Energy</w:t>
      </w:r>
      <w:r>
        <w:t xml:space="preserve">    </w:t>
      </w:r>
      <w:r>
        <w:rPr>
          <w:b/>
        </w:rPr>
        <w:t xml:space="preserve">Pub date: </w:t>
      </w:r>
      <w:r>
        <w:t>2026-06-18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 </w:t>
      </w:r>
      <w:hyperlink r:id="rId111">
        <w:r>
          <w:rPr>
            <w:color w:val="1155CC"/>
            <w:u w:val="single"/>
          </w:rPr>
          <w:t>用于高性能、轻质复合铜集流体的应力匹配分子桥和3D微纳米阵列</w:t>
        </w:r>
      </w:hyperlink>
    </w:p>
    <w:p>
      <w:pPr>
        <w:spacing w:before="0" w:after="80"/>
      </w:pPr>
      <w:r>
        <w:rPr>
          <w:i/>
          <w:sz w:val="20"/>
        </w:rPr>
        <w:t>EN: Stress‐Matching Molecular Bridge and 3D Micro‐Nano Array for High‐Performance, Lightweight Composite Copper Current Collectors</w:t>
      </w:r>
    </w:p>
    <w:p>
      <w:pPr>
        <w:spacing w:before="0" w:after="120"/>
      </w:pPr>
      <w:r>
        <w:rPr>
          <w:b/>
        </w:rPr>
        <w:t xml:space="preserve">Source: </w:t>
      </w:r>
      <w:r>
        <w:t>Wiley: Advanced Materials: Table of Contents</w:t>
      </w:r>
      <w:r>
        <w:t xml:space="preserve">    </w:t>
      </w:r>
      <w:r>
        <w:rPr>
          <w:b/>
        </w:rPr>
        <w:t xml:space="preserve">Pub date: </w:t>
      </w:r>
      <w:r>
        <w:t>2026-06-18 06:43:44+00:00</w:t>
      </w:r>
      <w:r>
        <w:t xml:space="preserve">    </w:t>
      </w:r>
      <w:r>
        <w:rPr>
          <w:b/>
        </w:rPr>
        <w:t xml:space="preserve">DOI: </w:t>
      </w:r>
      <w:hyperlink r:id="rId112">
        <w:r>
          <w:rPr>
            <w:color w:val="1155CC"/>
            <w:u w:val="single"/>
          </w:rPr>
          <w:t>10.1002/adma.73763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与致密铜箔集流体相比，聚合物基复合铜箔（CCF）显着提高了锂电池的能量密度。然而，由于溅射铜层和电镀铜层之间的应力不匹配以及聚合物基底的不完全覆盖，传统上通过两步工艺制造的CCF存在界面粘附力差的问题。在此，我们提出了一种结合分子自组装和微纳米电镀的协同策略来制造轻质三维CCF。理论上筛选的三硫氰尿酸充当双功能“分子桥”：其硫醇基团与铜形成强Cu-S键，而其三嗪核心通过π-π堆积和氢键锚定到暴露的聚对苯二甲酸乙二醇酯基材上，形成坚固且消除应力的界面。分子工程CCF与低温电沉积3D微纳米锥形阵列集成，表现出八倍高的比表面积，可有效抑制枝晶生长。与 LiFePO 配对时</w:t>
      </w:r>
      <w:r>
        <w:rPr>
          <w:vertAlign w:val="subscript"/>
        </w:rPr>
        <w:t>4</w:t>
      </w:r>
      <w:r>
        <w:t>阴极（N:P = 3），全电池表现出卓越的循环稳定性（1C 下 398 次循环）和倍率能力。值得注意的是，作为无锂阳极与高压 NCM811 阴极相结合，该电池可保持稳定运行超过 100 个循环（对照电池在 60 个循环内失效）。这项工作为开发高性能、轻量级电流大学提供了通用的分子界面策略</w:t>
      </w:r>
    </w:p>
    <w:p>
      <w:pPr>
        <w:spacing w:before="0" w:after="200" w:lineRule="auto" w:line="276"/>
      </w:pPr>
      <w:r>
        <w:rPr>
          <w:b/>
        </w:rPr>
        <w:t xml:space="preserve">Abstract (EN): </w:t>
      </w:r>
      <w:r>
        <w:t>Compared to dense copper foil current collectors, polymer‐based composite copper foils (CCFs) significantly enhance the energy density of lithium batteries. However, conventionally fabricated CCFs via a two‐step process suffer from poor interfacial adhesion due to stress mismatch between the sputtered and electroplated copper layers, along with incomplete coverage of the polymer substrate. Herein, we propose a synergistic strategy combining molecular self‐assembly and micro‐nano electroplating to fabricate a lightweight three‐dimensional CCF. Theoretically screened trithiocyanuric acid serves as a dual‐functional “molecular bridge”: its thiol groups form strong Cu‐S bonds with copper, while its triazine core anchors to the exposed polyethylene terephthalate substrate via π–π stacking and hydrogen bonding, creating a robust and strain‐relieved interface. Integrated with a low‐temperature electrodeposited 3D micro‐nano conical array, the molecularly engineered CCFs exhibit an eightfold higher specific surface area, which effectively suppresses dendrite growth. When paired with an LiFePO</w:t>
      </w:r>
      <w:r>
        <w:rPr>
          <w:vertAlign w:val="subscript"/>
        </w:rPr>
        <w:t>4</w:t>
      </w:r>
      <w:r>
        <w:t>cathode (N:P = 3), the full cell demonstrates exceptional cycling stability (398 cycles at 1C) and rate capability. Notably, as a lithium‐free anode coupled with a high‐voltage NCM811 cathode, the cell maintains stable operation for over 100 cycles (the control cells fail within 60 cycles). This work provides a general molecular‐interface strategy for developing high‐performance, lightweight current collectors.</w:t>
      </w:r>
    </w:p>
    <w:p>
      <w:pPr>
        <w:spacing w:before="120" w:after="120"/>
      </w:pPr>
      <w:r>
        <w:rPr>
          <w:sz w:val="18"/>
        </w:rPr>
        <w:t>——————————————————————————————————————————————————————————————————————</w:t>
      </w:r>
    </w:p>
    <w:p>
      <w:pPr>
        <w:spacing w:before="160" w:after="40" w:line="240" w:lineRule="auto"/>
      </w:pPr>
      <w:r>
        <w:rPr>
          <w:b/>
        </w:rPr>
        <w:t xml:space="preserve">[16] </w:t>
      </w:r>
      <w:hyperlink r:id="rId113">
        <w:r>
          <w:rPr>
            <w:color w:val="1155CC"/>
            <w:u w:val="single"/>
          </w:rPr>
          <w:t>脉冲充电诱导的界面稳定使磷酸铁电极高度稳定，用于超快电化学锂提取</w:t>
        </w:r>
      </w:hyperlink>
    </w:p>
    <w:p>
      <w:pPr>
        <w:spacing w:before="0" w:after="80"/>
      </w:pPr>
      <w:r>
        <w:rPr>
          <w:i/>
          <w:sz w:val="20"/>
        </w:rPr>
        <w:t>EN: Pulsed Charging‐Induced Interfacial Stabilization Enables Highly Stable Iron Phosphate Electrode for Ultrafast Electrochemical Lithium Extraction</w:t>
      </w:r>
    </w:p>
    <w:p>
      <w:pPr>
        <w:spacing w:before="0" w:after="120"/>
      </w:pPr>
      <w:r>
        <w:rPr>
          <w:b/>
        </w:rPr>
        <w:t xml:space="preserve">Source: </w:t>
      </w:r>
      <w:r>
        <w:t>Wiley: Angewandte Chemie International Edition: Table of Contents</w:t>
      </w:r>
      <w:r>
        <w:t xml:space="preserve">    </w:t>
      </w:r>
      <w:r>
        <w:rPr>
          <w:b/>
        </w:rPr>
        <w:t xml:space="preserve">Pub date: </w:t>
      </w:r>
      <w:r>
        <w:t>2026-06-18 17:27:40+00:00</w:t>
      </w:r>
      <w:r>
        <w:t xml:space="preserve">    </w:t>
      </w:r>
      <w:r>
        <w:rPr>
          <w:b/>
        </w:rPr>
        <w:t xml:space="preserve">DOI: </w:t>
      </w:r>
      <w:hyperlink r:id="rId114">
        <w:r>
          <w:rPr>
            <w:color w:val="1155CC"/>
            <w:u w:val="single"/>
          </w:rPr>
          <w:t>10.1002/anie.1780372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随着全球锂需求的飙升，使用磷酸铁（FePO</w:t>
      </w:r>
      <w:r>
        <w:rPr>
          <w:vertAlign w:val="subscript"/>
        </w:rPr>
        <w:t>4</w:t>
      </w:r>
      <w:r>
        <w:t>）电极前景广阔，但其在盐湖卤水中的实际应用受到高镁的严重限制</w:t>
      </w:r>
      <w:r>
        <w:t xml:space="preserve"> </w:t>
      </w:r>
      <w:r>
        <w:t>2+</w:t>
      </w:r>
      <w:r>
        <w:t xml:space="preserve"> </w:t>
      </w:r>
      <w:r>
        <w:t>/李</w:t>
      </w:r>
      <w:r>
        <w:t xml:space="preserve"> </w:t>
      </w:r>
      <w:r>
        <w:t>+</w:t>
      </w:r>
      <w:r>
        <w:t xml:space="preserve"> </w:t>
      </w:r>
      <w:r>
        <w:t>比率。在这里，我们通过证明镁来揭示内在的降解机制</w:t>
      </w:r>
      <w:r>
        <w:t xml:space="preserve"> </w:t>
      </w:r>
      <w:r>
        <w:t>2+</w:t>
      </w:r>
      <w:r>
        <w:t xml:space="preserve"> </w:t>
      </w:r>
      <w:r>
        <w:t>插层削弱了 FePO 中的 Fe─O 键</w:t>
      </w:r>
      <w:r>
        <w:rPr>
          <w:vertAlign w:val="subscript"/>
        </w:rPr>
        <w:t>4</w:t>
      </w:r>
      <w:r>
        <w:t>, 触发 Fe</w:t>
      </w:r>
      <w:r>
        <w:t xml:space="preserve"> </w:t>
      </w:r>
      <w:r>
        <w:t>2+</w:t>
      </w:r>
      <w:r>
        <w:t xml:space="preserve"> </w:t>
      </w:r>
      <w:r>
        <w:t>溶解，并诱导 Fe 的形成</w:t>
      </w:r>
      <w:r>
        <w:rPr>
          <w:vertAlign w:val="subscript"/>
        </w:rPr>
        <w:t>2</w:t>
      </w:r>
      <w:r>
        <w:t>氧</w:t>
      </w:r>
      <w:r>
        <w:rPr>
          <w:vertAlign w:val="subscript"/>
        </w:rPr>
        <w:t>3</w:t>
      </w:r>
      <w:r>
        <w:t>降低电极性能的表面物质。为了应对这一关键挑战，我们提出了一种新颖的脉冲充电协议，其中反向电势不仅有效地冲洗掉表面嵌入的镁</w:t>
      </w:r>
      <w:r>
        <w:t xml:space="preserve"> </w:t>
      </w:r>
      <w:r>
        <w:t>2+</w:t>
      </w:r>
      <w:r>
        <w:t xml:space="preserve"> </w:t>
      </w:r>
      <w:r>
        <w:t>还能丰富Cl</w:t>
      </w:r>
      <w:r>
        <w:t xml:space="preserve"> </w:t>
      </w:r>
      <w:r>
        <w:t>-</w:t>
      </w:r>
      <w:r>
        <w:t>在电极表面，从而调节电子结构并降低 Mg</w:t>
      </w:r>
      <w:r>
        <w:t xml:space="preserve"> </w:t>
      </w:r>
      <w:r>
        <w:t>2+</w:t>
      </w:r>
      <w:r>
        <w:t xml:space="preserve"> </w:t>
      </w:r>
      <w:r>
        <w:t>脱嵌屏障。磷酸铁</w:t>
      </w:r>
      <w:r>
        <w:rPr>
          <w:vertAlign w:val="subscript"/>
        </w:rPr>
        <w:t>4</w:t>
      </w:r>
      <w:r>
        <w:t>||与该协议集成的 Ag 细胞表现出优异的 Li</w:t>
      </w:r>
      <w:r>
        <w:t xml:space="preserve"> </w:t>
      </w:r>
      <w:r>
        <w:t>+</w:t>
      </w:r>
      <w:r>
        <w:t xml:space="preserve"> </w:t>
      </w:r>
      <w:r>
        <w:t>萃取动力学（∼20 mg g</w:t>
      </w:r>
      <w:r>
        <w:t xml:space="preserve"> </w:t>
      </w:r>
      <w:r>
        <w:t>−1</w:t>
      </w:r>
      <w:r>
        <w:t xml:space="preserve"> </w:t>
      </w:r>
      <w:r>
        <w:t>小时</w:t>
      </w:r>
      <w:r>
        <w:t xml:space="preserve"> </w:t>
      </w:r>
      <w:r>
        <w:t>−1</w:t>
      </w:r>
      <w:r>
        <w:t xml:space="preserve"> </w:t>
      </w:r>
      <w:r>
        <w:t>），高 LiCl 产品纯度（99.95%），并且 ex</w:t>
      </w:r>
    </w:p>
    <w:p>
      <w:pPr>
        <w:spacing w:before="0" w:after="200" w:lineRule="auto" w:line="276"/>
      </w:pPr>
      <w:r>
        <w:rPr>
          <w:b/>
        </w:rPr>
        <w:t xml:space="preserve">Abstract (EN): </w:t>
      </w:r>
      <w:r>
        <w:t>Amid the soaring global demand for lithium, electrochemical lithium extraction using iron phosphate (FePO</w:t>
      </w:r>
      <w:r>
        <w:rPr>
          <w:vertAlign w:val="subscript"/>
        </w:rPr>
        <w:t>4</w:t>
      </w:r>
      <w:r>
        <w:t>) electrodes is promising, yet its practical application in salt lake brines is severely constrained by high Mg</w:t>
      </w:r>
      <w:r>
        <w:t xml:space="preserve"> </w:t>
      </w:r>
      <w:r>
        <w:t>2+</w:t>
      </w:r>
      <w:r>
        <w:t xml:space="preserve"> </w:t>
      </w:r>
      <w:r>
        <w:t>/Li</w:t>
      </w:r>
      <w:r>
        <w:t xml:space="preserve"> </w:t>
      </w:r>
      <w:r>
        <w:t>+</w:t>
      </w:r>
      <w:r>
        <w:t xml:space="preserve"> </w:t>
      </w:r>
      <w:r>
        <w:t>ratios. Herein, we unravel the intrinsic degradation mechanism by demonstrating that Mg</w:t>
      </w:r>
      <w:r>
        <w:t xml:space="preserve"> </w:t>
      </w:r>
      <w:r>
        <w:t>2+</w:t>
      </w:r>
      <w:r>
        <w:t xml:space="preserve"> </w:t>
      </w:r>
      <w:r>
        <w:t>intercalation weakens the Fe─O bonds in FePO</w:t>
      </w:r>
      <w:r>
        <w:rPr>
          <w:vertAlign w:val="subscript"/>
        </w:rPr>
        <w:t>4</w:t>
      </w:r>
      <w:r>
        <w:t>, triggering Fe</w:t>
      </w:r>
      <w:r>
        <w:t xml:space="preserve"> </w:t>
      </w:r>
      <w:r>
        <w:t>2+</w:t>
      </w:r>
      <w:r>
        <w:t xml:space="preserve"> </w:t>
      </w:r>
      <w:r>
        <w:t>dissolution, and inducing the formation of Fe</w:t>
      </w:r>
      <w:r>
        <w:rPr>
          <w:vertAlign w:val="subscript"/>
        </w:rPr>
        <w:t>2</w:t>
      </w:r>
      <w:r>
        <w:t>O</w:t>
      </w:r>
      <w:r>
        <w:rPr>
          <w:vertAlign w:val="subscript"/>
        </w:rPr>
        <w:t>3</w:t>
      </w:r>
      <w:r>
        <w:t>surface species that deteriorate electrode performance. To tackle this critical challenge, we propose a novel pulsed charging protocol where reverse potentials not only efficiently flush out surface‐intercalated Mg</w:t>
      </w:r>
      <w:r>
        <w:t xml:space="preserve"> </w:t>
      </w:r>
      <w:r>
        <w:t>2+</w:t>
      </w:r>
      <w:r>
        <w:t xml:space="preserve"> </w:t>
      </w:r>
      <w:r>
        <w:t>but also enrich Cl</w:t>
      </w:r>
      <w:r>
        <w:t xml:space="preserve"> </w:t>
      </w:r>
      <w:r>
        <w:t>−</w:t>
      </w:r>
      <w:r>
        <w:t>on the electrode surface, thereby modulating the electronic structure and lowering the Mg</w:t>
      </w:r>
      <w:r>
        <w:t xml:space="preserve"> </w:t>
      </w:r>
      <w:r>
        <w:t>2+</w:t>
      </w:r>
      <w:r>
        <w:t xml:space="preserve"> </w:t>
      </w:r>
      <w:r>
        <w:t>deintercalation barrier. The FePO</w:t>
      </w:r>
      <w:r>
        <w:rPr>
          <w:vertAlign w:val="subscript"/>
        </w:rPr>
        <w:t>4</w:t>
      </w:r>
      <w:r>
        <w:t>||Ag cell integrated with this protocol exhibits superior Li</w:t>
      </w:r>
      <w:r>
        <w:t xml:space="preserve"> </w:t>
      </w:r>
      <w:r>
        <w:t>+</w:t>
      </w:r>
      <w:r>
        <w:t xml:space="preserve"> </w:t>
      </w:r>
      <w:r>
        <w:t>extraction kinetics (∼20 mg g</w:t>
      </w:r>
      <w:r>
        <w:t xml:space="preserve"> </w:t>
      </w:r>
      <w:r>
        <w:t>−1</w:t>
      </w:r>
      <w:r>
        <w:t xml:space="preserve"> </w:t>
      </w:r>
      <w:r>
        <w:t>h</w:t>
      </w:r>
      <w:r>
        <w:t xml:space="preserve"> </w:t>
      </w:r>
      <w:r>
        <w:t>−1</w:t>
      </w:r>
      <w:r>
        <w:t xml:space="preserve"> </w:t>
      </w:r>
      <w:r>
        <w:t>), high LiCl product purity (99.95%), and exceptional cycling stability (800 h operation with ∼80% performance retention) in real salt lake brines. This work establishes a theoretical basis for electrode protection and provides a robust strategy to advance high‐efficiency electrochemical lithium extraction.</w:t>
      </w:r>
    </w:p>
    <w:p>
      <w:pPr>
        <w:spacing w:before="120" w:after="120"/>
      </w:pPr>
      <w:r>
        <w:rPr>
          <w:sz w:val="18"/>
        </w:rPr>
        <w:t>——————————————————————————————————————————————————————————————————————</w:t>
      </w:r>
    </w:p>
    <w:p>
      <w:pPr>
        <w:spacing w:before="160" w:after="40" w:line="240" w:lineRule="auto"/>
      </w:pPr>
      <w:r>
        <w:rPr>
          <w:b/>
        </w:rPr>
        <w:t xml:space="preserve">[17] </w:t>
      </w:r>
      <w:hyperlink r:id="rId98">
        <w:r>
          <w:rPr>
            <w:color w:val="1155CC"/>
            <w:u w:val="single"/>
          </w:rPr>
          <w:t>&gt;4.2 V 高压锂金属电池中的先进氟化学</w:t>
        </w:r>
      </w:hyperlink>
    </w:p>
    <w:p>
      <w:pPr>
        <w:spacing w:before="0" w:after="80"/>
      </w:pPr>
      <w:r>
        <w:rPr>
          <w:i/>
          <w:sz w:val="20"/>
        </w:rPr>
        <w:t>EN: Advanced fluorine chemistry in &gt;4.2 V high-voltage lithium metal batteries</w:t>
      </w:r>
    </w:p>
    <w:p>
      <w:pPr>
        <w:spacing w:before="0" w:after="120"/>
      </w:pPr>
      <w:r>
        <w:rPr>
          <w:b/>
        </w:rPr>
        <w:t xml:space="preserve">Source: </w:t>
      </w:r>
      <w:r>
        <w:t>RSC - Chem. Soc. Rev. latest articles</w:t>
      </w:r>
      <w:r>
        <w:t xml:space="preserve">    </w:t>
      </w:r>
      <w:r>
        <w:rPr>
          <w:b/>
        </w:rPr>
        <w:t xml:space="preserve">Pub date: </w:t>
      </w:r>
      <w:r>
        <w:t>2026-06-18 23:00:00+00:00</w:t>
      </w:r>
    </w:p>
    <w:p>
      <w:pPr>
        <w:spacing w:before="0" w:after="120"/>
      </w:pPr>
      <w:r>
        <w:rPr>
          <w:b/>
        </w:rPr>
        <w:t xml:space="preserve">Notes: </w:t>
      </w:r>
      <w:r>
        <w:t>abstract_source=rsc_html</w:t>
      </w:r>
    </w:p>
    <w:p>
      <w:pPr>
        <w:spacing w:before="0" w:after="80" w:lineRule="auto" w:line="276"/>
      </w:pPr>
      <w:r>
        <w:rPr>
          <w:b/>
        </w:rPr>
        <w:t xml:space="preserve">摘要（ZH）: </w:t>
      </w:r>
      <w:r>
        <w:t>锂金属电池（LMB）在高电压（&gt;4.2 V）下运行，表现出前所未有的能量密度（&gt;400 Wh kg−1），但受到不可控的锂枝晶、神秘的界面化学和不稳定的固体电解质界面（SEI）的限制。氟以其高稳定性、不易燃性和低成本，在高压LMB中发挥着越来越重要的作用，有望解决上述障碍。遗憾的是，目前很少有文献全面总结氟工程在高压LMB中的精湛设计，尤其是对其在LMB中作用机制的深入分析。在这篇综述中，我们从SEI形成和锂成核和沉积的基本原理开始，系统地剖析了高压LMB中氟化学的精致工程，包括氟化电解质系统（盐、溶剂、添加剂等）、基于氟化聚合物的SEI、氟化收集器和分离器。同时，精心挑选了几个有针对性且复杂的案例，结合所提出的想法进行描述，旨在阐明氟工程在抑制枝晶生长、稳定SEI和最大程度降低安全隐患方面的功能。此外，我们还强调了氟化学在 LMB 中面临的障碍，并指出了其未来的前景。该综述为高压 LMB 中的氟化学工程提供了指导。</w:t>
      </w:r>
    </w:p>
    <w:p>
      <w:pPr>
        <w:spacing w:before="0" w:after="200" w:lineRule="auto" w:line="276"/>
      </w:pPr>
      <w:r>
        <w:rPr>
          <w:b/>
        </w:rPr>
        <w:t xml:space="preserve">Abstract (EN): </w:t>
      </w:r>
      <w:r>
        <w:t>Lithium metal batteries (LMBs), operating at high voltage (&gt;4.2 V), exhibit unprecedented energy density (&gt;400 Wh kg−1), but are restricted by uncontrollable Li dendrites, enigmatic interfacial chemistries, and unstable solid electrolyte interfaces (SEIs). Fluorine, with its high stability, non-flammability, and low cost, is playing an increasingly vital role in high-voltage LMBs and is expected to resolve the above obstacles. Unfortunately, there are few reviews that comprehensively summarise the exquisite design of fluorine engineering in high-voltage LMBs, especially in-depth analysis of its action mechanism in LMBs. In this review, we start with the fundamentals of SEI formation and Li nucleation and deposition, systematically dissecting the exquisite engineering of fluorine chemistry in high-voltage LMBs, including fluorinated electrolyte systems (salts, solvents, additives, etc.), fluorinated polymer-based SEIs, fluorinated collectors and separators. Meanwhile, several targeted and sophisticated cases are handpicked to be portrayed in conjunction with the proposed ideas, aiming to clarify the functionality of fluorine engineering in inhibiting dendrite growth, stabilising SEIs, and minimising safety hazards. Additionally, we highlight the obstacles faced by fluorine chemistry in LMBs and point out its future perspectives. This review provides guidance for the engineering of fluorine chemistry in high-voltage LMBs.</w:t>
      </w:r>
    </w:p>
    <w:p>
      <w:pPr>
        <w:spacing w:before="120" w:after="120"/>
      </w:pPr>
      <w:r>
        <w:rPr>
          <w:sz w:val="18"/>
        </w:rPr>
        <w:t>——————————————————————————————————————————————————————————————————————</w:t>
      </w:r>
    </w:p>
    <w:p>
      <w:pPr>
        <w:spacing w:before="160" w:after="120"/>
      </w:pPr>
      <w:r>
        <w:rPr>
          <w:b/>
          <w:sz w:val="28"/>
        </w:rPr>
        <w:t>【其他储能器件】</w:t>
      </w:r>
    </w:p>
    <w:p>
      <w:pPr>
        <w:spacing w:before="160" w:after="40" w:line="240" w:lineRule="auto"/>
      </w:pPr>
      <w:r>
        <w:rPr>
          <w:b/>
        </w:rPr>
        <w:t xml:space="preserve">[1] </w:t>
      </w:r>
      <w:hyperlink r:id="rId115">
        <w:r>
          <w:rPr>
            <w:color w:val="1155CC"/>
            <w:u w:val="single"/>
          </w:rPr>
          <w:t>具有优化氢化动力学的 Pd 单原子掺杂 Cu3Co 量子点用于具有同步能量收集和废物增值的多功能硝酸铝原电池</w:t>
        </w:r>
      </w:hyperlink>
    </w:p>
    <w:p>
      <w:pPr>
        <w:spacing w:before="0" w:after="80"/>
      </w:pPr>
      <w:r>
        <w:rPr>
          <w:i/>
          <w:sz w:val="20"/>
        </w:rPr>
        <w:t>EN: Pd Single‐Atom‐Doped Cu3Co Quantum Dots With Optimized Hydrogenation Kinetics for Versatile Aluminum‐Nitrate Primary Battery With Synchronous Energy Harvesting and Waste Valorization</w:t>
      </w:r>
    </w:p>
    <w:p>
      <w:pPr>
        <w:spacing w:before="0" w:after="120"/>
      </w:pPr>
      <w:r>
        <w:rPr>
          <w:b/>
        </w:rPr>
        <w:t xml:space="preserve">Source: </w:t>
      </w:r>
      <w:r>
        <w:t>Wiley-Online-Library: Angewandte Chemie International Edition: Table of Contents</w:t>
      </w:r>
      <w:r>
        <w:t xml:space="preserve">    </w:t>
      </w:r>
      <w:r>
        <w:rPr>
          <w:b/>
        </w:rPr>
        <w:t xml:space="preserve">Pub date: </w:t>
      </w:r>
      <w:r>
        <w:t>2026-06-13 16:53:48+00:00</w:t>
      </w:r>
      <w:r>
        <w:t xml:space="preserve">    </w:t>
      </w:r>
      <w:r>
        <w:rPr>
          <w:b/>
        </w:rPr>
        <w:t xml:space="preserve">DOI: </w:t>
      </w:r>
      <w:hyperlink r:id="rId116">
        <w:r>
          <w:rPr>
            <w:color w:val="1155CC"/>
            <w:u w:val="single"/>
          </w:rPr>
          <w:t>10.1002/anie.8420715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能够同时发电和污染物降解的硝酸盐电池的合理设计是非常有前途的，但大多数报道的系统，如硝酸锌或醛基硝酸盐电池，都面临着关键的限制，包括缓慢的阴极硝酸盐还原动力学、高阳极材料成本、低价值的阳极反应产物、较差的开路电位（OCP）和有限的功率输出。优化催化剂活性和 NH</w:t>
      </w:r>
      <w:r>
        <w:rPr>
          <w:vertAlign w:val="subscript"/>
        </w:rPr>
        <w:t>3</w:t>
      </w:r>
      <w:r>
        <w:t>通过结构-活性关系的选择性对于提高此类电池的电输出效率至关重要。在此，我们报道了 Pd 单原子掺杂 Cu</w:t>
      </w:r>
      <w:r>
        <w:rPr>
          <w:vertAlign w:val="subscript"/>
        </w:rPr>
        <w:t>3</w:t>
      </w:r>
      <w:r>
        <w:t>钴量子点电催化剂（Pd</w:t>
      </w:r>
      <w:r>
        <w:t xml:space="preserve"> </w:t>
      </w:r>
      <w:r>
        <w:t>萨</w:t>
      </w:r>
      <w:r>
        <w:t xml:space="preserve"> </w:t>
      </w:r>
      <w:r>
        <w:t>‐铜</w:t>
      </w:r>
      <w:r>
        <w:rPr>
          <w:vertAlign w:val="subscript"/>
        </w:rPr>
        <w:t>3</w:t>
      </w:r>
      <w:r>
        <w:t>Co QDs），调节 H* 吸附以加速 NO 的关键氢化步骤</w:t>
      </w:r>
      <w:r>
        <w:rPr>
          <w:vertAlign w:val="subscript"/>
        </w:rPr>
        <w:t>3</w:t>
      </w:r>
      <w:r>
        <w:t>RR，NH 实现 +0.18 V 的正起始电压（相对于 RHE）和接近 100% 的法拉第效率 (FE)</w:t>
      </w:r>
      <w:r>
        <w:rPr>
          <w:vertAlign w:val="subscript"/>
        </w:rPr>
        <w:t>3</w:t>
      </w:r>
      <w:r>
        <w:t>−0.5 V（相对于 RHE）。一种新型Al-NO</w:t>
      </w:r>
      <w:r>
        <w:rPr>
          <w:vertAlign w:val="subscript"/>
        </w:rPr>
        <w:t>3</w:t>
      </w:r>
      <w:r>
        <w:t>-</w:t>
      </w:r>
      <w:r>
        <w:t>耦合阴极NO进一步构成原电池</w:t>
      </w:r>
      <w:r>
        <w:rPr>
          <w:vertAlign w:val="subscript"/>
        </w:rPr>
        <w:t>3</w:t>
      </w:r>
      <w:r>
        <w:t>RR 具有阳极铝氧化，可实现阴极 NH</w:t>
      </w:r>
      <w:r>
        <w:rPr>
          <w:vertAlign w:val="subscript"/>
        </w:rPr>
        <w:t>3</w:t>
      </w:r>
      <w:r>
        <w:t>废铝（例如用过的可乐罐）的生产和阳极转化为绿色 H</w:t>
      </w:r>
      <w:r>
        <w:rPr>
          <w:vertAlign w:val="subscript"/>
        </w:rPr>
        <w:t>2</w:t>
      </w:r>
      <w:r>
        <w:t>和高价值明矾</w:t>
      </w:r>
    </w:p>
    <w:p>
      <w:pPr>
        <w:spacing w:before="0" w:after="200" w:lineRule="auto" w:line="276"/>
      </w:pPr>
      <w:r>
        <w:rPr>
          <w:b/>
        </w:rPr>
        <w:t xml:space="preserve">Abstract (EN): </w:t>
      </w:r>
      <w:r>
        <w:t>The rational design of nitrate batteries enabling simultaneous electricity generation and pollutant degradation is highly promising, yet most reported systems, such as Zn‐nitrate or aldehyde‐nitrate batteries, face critical limitations, including sluggish cathodic nitrate reduction kinetics, high anode material cost, low‐value anode reaction products, inferior open‐circuit potential (OCP), and limited power output. Optimizing catalyst activity and NH</w:t>
      </w:r>
      <w:r>
        <w:rPr>
          <w:vertAlign w:val="subscript"/>
        </w:rPr>
        <w:t>3</w:t>
      </w:r>
      <w:r>
        <w:t>selectivity via structure‐activity relationships is pivotal to enhancing the electrical output efficiency of such batteries. Herein, we report a Pd single‐atom‐doped Cu</w:t>
      </w:r>
      <w:r>
        <w:rPr>
          <w:vertAlign w:val="subscript"/>
        </w:rPr>
        <w:t>3</w:t>
      </w:r>
      <w:r>
        <w:t>Co quantum dots electrocatalyst (Pd</w:t>
      </w:r>
      <w:r>
        <w:t xml:space="preserve"> </w:t>
      </w:r>
      <w:r>
        <w:t>sa</w:t>
      </w:r>
      <w:r>
        <w:t xml:space="preserve"> </w:t>
      </w:r>
      <w:r>
        <w:t>‐Cu</w:t>
      </w:r>
      <w:r>
        <w:rPr>
          <w:vertAlign w:val="subscript"/>
        </w:rPr>
        <w:t>3</w:t>
      </w:r>
      <w:r>
        <w:t>Co QDs), which modulates H* adsorption to accelerate the key hydrogenation steps of NO</w:t>
      </w:r>
      <w:r>
        <w:rPr>
          <w:vertAlign w:val="subscript"/>
        </w:rPr>
        <w:t>3</w:t>
      </w:r>
      <w:r>
        <w:t>RR, achieving a positive onset of +0.18 V (vs. RHE) and nearly 100% Faradaic efficiency (FE) for NH</w:t>
      </w:r>
      <w:r>
        <w:rPr>
          <w:vertAlign w:val="subscript"/>
        </w:rPr>
        <w:t>3</w:t>
      </w:r>
      <w:r>
        <w:t>at −0.5 V (vs. RHE). A novel Al‐NO</w:t>
      </w:r>
      <w:r>
        <w:rPr>
          <w:vertAlign w:val="subscript"/>
        </w:rPr>
        <w:t>3</w:t>
      </w:r>
      <w:r>
        <w:t>−</w:t>
      </w:r>
      <w:r>
        <w:t>primary battery is further constructed by coupling cathodic NO</w:t>
      </w:r>
      <w:r>
        <w:rPr>
          <w:vertAlign w:val="subscript"/>
        </w:rPr>
        <w:t>3</w:t>
      </w:r>
      <w:r>
        <w:t>RR with anodic aluminum oxidation, enabling cathodic NH</w:t>
      </w:r>
      <w:r>
        <w:rPr>
          <w:vertAlign w:val="subscript"/>
        </w:rPr>
        <w:t>3</w:t>
      </w:r>
      <w:r>
        <w:t>production and anodic conversion of waste aluminum (e.g., used Cola cans) to green H</w:t>
      </w:r>
      <w:r>
        <w:rPr>
          <w:vertAlign w:val="subscript"/>
        </w:rPr>
        <w:t>2</w:t>
      </w:r>
      <w:r>
        <w:t>and high‐value alums. This battery exhibits an OCP of 1.26 V, 8.85 mW cm</w:t>
      </w:r>
      <w:r>
        <w:t xml:space="preserve"> </w:t>
      </w:r>
      <w:r>
        <w:t>−2</w:t>
      </w:r>
      <w:r>
        <w:t xml:space="preserve"> </w:t>
      </w:r>
      <w:r>
        <w:t>peak power density, and an FE of 48.78% NH</w:t>
      </w:r>
      <w:r>
        <w:rPr>
          <w:vertAlign w:val="subscript"/>
        </w:rPr>
        <w:t>3</w:t>
      </w:r>
      <w:r>
        <w:t>, 56.88% H</w:t>
      </w:r>
      <w:r>
        <w:rPr>
          <w:vertAlign w:val="subscript"/>
        </w:rPr>
        <w:t>2</w:t>
      </w:r>
      <w:r>
        <w:t>, and yield 56.10% alum, significantly enhancing its economic viability and practical application.</w:t>
      </w:r>
    </w:p>
    <w:p>
      <w:pPr>
        <w:spacing w:before="120" w:after="120"/>
      </w:pPr>
      <w:r>
        <w:rPr>
          <w:sz w:val="18"/>
        </w:rPr>
        <w:t>——————————————————————————————————————————————————————————————————————</w:t>
      </w:r>
    </w:p>
    <w:p>
      <w:pPr>
        <w:spacing w:before="160" w:after="40" w:line="240" w:lineRule="auto"/>
      </w:pPr>
      <w:r>
        <w:rPr>
          <w:b/>
        </w:rPr>
        <w:t xml:space="preserve">[2] </w:t>
      </w:r>
      <w:hyperlink r:id="rId117">
        <w:r>
          <w:rPr>
            <w:color w:val="1155CC"/>
            <w:u w:val="single"/>
          </w:rPr>
          <w:t>Ru-N4/MXene 界面的协同双 d 带工程可实现高效、长寿命的 Li-CO2 电池</w:t>
        </w:r>
      </w:hyperlink>
    </w:p>
    <w:p>
      <w:pPr>
        <w:spacing w:before="0" w:after="80"/>
      </w:pPr>
      <w:r>
        <w:rPr>
          <w:i/>
          <w:sz w:val="20"/>
        </w:rPr>
        <w:t>EN: Synergistic Dual d‐Band Engineering at the Ru‐N4/MXene Interface for High‐Efficiency and Long‐Lived Li–CO2 Batteries</w:t>
      </w:r>
    </w:p>
    <w:p>
      <w:pPr>
        <w:spacing w:before="0" w:after="120"/>
      </w:pPr>
      <w:r>
        <w:rPr>
          <w:b/>
        </w:rPr>
        <w:t xml:space="preserve">Source: </w:t>
      </w:r>
      <w:r>
        <w:t>Wiley-Online-Library: Angewandte Chemie International Edition: Table of Contents</w:t>
      </w:r>
      <w:r>
        <w:t xml:space="preserve">    </w:t>
      </w:r>
      <w:r>
        <w:rPr>
          <w:b/>
        </w:rPr>
        <w:t xml:space="preserve">Pub date: </w:t>
      </w:r>
      <w:r>
        <w:t>2026-06-13 17:02:19+00:00</w:t>
      </w:r>
      <w:r>
        <w:t xml:space="preserve">    </w:t>
      </w:r>
      <w:r>
        <w:rPr>
          <w:b/>
        </w:rPr>
        <w:t xml:space="preserve">DOI: </w:t>
      </w:r>
      <w:hyperlink r:id="rId118">
        <w:r>
          <w:rPr>
            <w:color w:val="1155CC"/>
            <w:u w:val="single"/>
          </w:rPr>
          <w:t>10.1002/anie.7329130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Li-CO的循环性能</w:t>
      </w:r>
      <w:r>
        <w:t xml:space="preserve"> </w:t>
      </w:r>
      <w:r>
        <w:rPr>
          <w:vertAlign w:val="subscript"/>
        </w:rPr>
        <w:t>2</w:t>
      </w:r>
      <w:r>
        <w:t xml:space="preserve"> </w:t>
      </w:r>
      <w:r>
        <w:t>电池从根本上受到锂动力学缓慢的限制</w:t>
      </w:r>
      <w:r>
        <w:rPr>
          <w:vertAlign w:val="subscript"/>
        </w:rPr>
        <w:t>2</w:t>
      </w:r>
      <w:r>
        <w:t>一氧化碳</w:t>
      </w:r>
      <w:r>
        <w:rPr>
          <w:vertAlign w:val="subscript"/>
        </w:rPr>
        <w:t>3</w:t>
      </w:r>
      <w:r>
        <w:t>形成和分解。在这项工作中，我们开发了 Ru-N</w:t>
      </w:r>
      <w:r>
        <w:t xml:space="preserve"> </w:t>
      </w:r>
      <w:r>
        <w:rPr>
          <w:vertAlign w:val="subscript"/>
        </w:rPr>
        <w:t>4</w:t>
      </w:r>
      <w:r>
        <w:t xml:space="preserve"> </w:t>
      </w:r>
      <w:r>
        <w:t>锚定在 MXene 上的单原子催化剂 (MX-Ru</w:t>
      </w:r>
      <w:r>
        <w:t xml:space="preserve"> </w:t>
      </w:r>
      <w:r>
        <w:t>SA</w:t>
      </w:r>
      <w:r>
        <w:t xml:space="preserve"> </w:t>
      </w:r>
      <w:r>
        <w:t>），其中原子界面建立了协同对偶</w:t>
      </w:r>
      <w:r>
        <w:t xml:space="preserve"> </w:t>
      </w:r>
      <w:r>
        <w:t>d</w:t>
      </w:r>
      <w:r>
        <w:t xml:space="preserve"> </w:t>
      </w:r>
      <w:r>
        <w:t>能带中心来克服这种动力学约束。 N配位改变了Ru的电子态，提高了它的电子态</w:t>
      </w:r>
      <w:r>
        <w:t xml:space="preserve"> </w:t>
      </w:r>
      <w:r>
        <w:t>d</w:t>
      </w:r>
      <w:r>
        <w:t xml:space="preserve"> </w:t>
      </w:r>
      <w:r>
        <w:t>‐能带中心加强中间吸附并引导垂直排列的锂的生长</w:t>
      </w:r>
      <w:r>
        <w:rPr>
          <w:vertAlign w:val="subscript"/>
        </w:rPr>
        <w:t>2</w:t>
      </w:r>
      <w:r>
        <w:t>一氧化碳</w:t>
      </w:r>
      <w:r>
        <w:rPr>
          <w:vertAlign w:val="subscript"/>
        </w:rPr>
        <w:t>3</w:t>
      </w:r>
      <w:r>
        <w:t>促进有效电子和离子传输的纳米片。同时，Ru-N的存在</w:t>
      </w:r>
      <w:r>
        <w:rPr>
          <w:vertAlign w:val="subscript"/>
        </w:rPr>
        <w:t>4</w:t>
      </w:r>
      <w:r>
        <w:t>位点调节 MXene 支持的电子结构，优化</w:t>
      </w:r>
      <w:r>
        <w:t xml:space="preserve"> </w:t>
      </w:r>
      <w:r>
        <w:t>d</w:t>
      </w:r>
      <w:r>
        <w:t xml:space="preserve"> </w:t>
      </w:r>
      <w:r>
        <w:t>Ti的‐能带中心，削弱了Li中的Li─O键</w:t>
      </w:r>
      <w:r>
        <w:rPr>
          <w:vertAlign w:val="subscript"/>
        </w:rPr>
        <w:t>2</w:t>
      </w:r>
      <w:r>
        <w:t>一氧化碳</w:t>
      </w:r>
      <w:r>
        <w:rPr>
          <w:vertAlign w:val="subscript"/>
        </w:rPr>
        <w:t>3</w:t>
      </w:r>
      <w:r>
        <w:t>并显着降低其分解障碍。因此，Li-CO</w:t>
      </w:r>
      <w:r>
        <w:rPr>
          <w:vertAlign w:val="subscript"/>
        </w:rPr>
        <w:t>2</w:t>
      </w:r>
      <w:r>
        <w:t>MX-Ru 电池</w:t>
      </w:r>
      <w:r>
        <w:t xml:space="preserve"> </w:t>
      </w:r>
      <w:r>
        <w:t>SA</w:t>
      </w:r>
      <w:r>
        <w:t xml:space="preserve"> </w:t>
      </w:r>
      <w:r>
        <w:t>提供高DI</w:t>
      </w:r>
    </w:p>
    <w:p>
      <w:pPr>
        <w:spacing w:before="0" w:after="200" w:lineRule="auto" w:line="276"/>
      </w:pPr>
      <w:r>
        <w:rPr>
          <w:b/>
        </w:rPr>
        <w:t xml:space="preserve">Abstract (EN): </w:t>
      </w:r>
      <w:r>
        <w:t>The cyclability of Li–CO</w:t>
      </w:r>
      <w:r>
        <w:t xml:space="preserve"> </w:t>
      </w:r>
      <w:r>
        <w:rPr>
          <w:vertAlign w:val="subscript"/>
        </w:rPr>
        <w:t>2</w:t>
      </w:r>
      <w:r>
        <w:t xml:space="preserve"> </w:t>
      </w:r>
      <w:r>
        <w:t>batteries is fundamentally limited by the sluggish kinetics of Li</w:t>
      </w:r>
      <w:r>
        <w:rPr>
          <w:vertAlign w:val="subscript"/>
        </w:rPr>
        <w:t>2</w:t>
      </w:r>
      <w:r>
        <w:t>CO</w:t>
      </w:r>
      <w:r>
        <w:rPr>
          <w:vertAlign w:val="subscript"/>
        </w:rPr>
        <w:t>3</w:t>
      </w:r>
      <w:r>
        <w:t>formation and decomposition. In this work, we develop a Ru‑N</w:t>
      </w:r>
      <w:r>
        <w:t xml:space="preserve"> </w:t>
      </w:r>
      <w:r>
        <w:rPr>
          <w:vertAlign w:val="subscript"/>
        </w:rPr>
        <w:t>4</w:t>
      </w:r>
      <w:r>
        <w:t xml:space="preserve"> </w:t>
      </w:r>
      <w:r>
        <w:t>single‑atom catalyst anchored on MXene (MX‑Ru</w:t>
      </w:r>
      <w:r>
        <w:t xml:space="preserve"> </w:t>
      </w:r>
      <w:r>
        <w:t>SA</w:t>
      </w:r>
      <w:r>
        <w:t xml:space="preserve"> </w:t>
      </w:r>
      <w:r>
        <w:t>), in which the atomic interface establishes a synergistic dual</w:t>
      </w:r>
      <w:r>
        <w:t xml:space="preserve"> </w:t>
      </w:r>
      <w:r>
        <w:t>d</w:t>
      </w:r>
      <w:r>
        <w:t xml:space="preserve"> </w:t>
      </w:r>
      <w:r>
        <w:t>‑band center to overcome this kinetic constraint. The N coordination modifies the electronic state of Ru, upshifting its</w:t>
      </w:r>
      <w:r>
        <w:t xml:space="preserve"> </w:t>
      </w:r>
      <w:r>
        <w:t>d</w:t>
      </w:r>
      <w:r>
        <w:t xml:space="preserve"> </w:t>
      </w:r>
      <w:r>
        <w:t>‐band center to strengthen intermediate adsorption and steer the growth of vertically aligned Li</w:t>
      </w:r>
      <w:r>
        <w:rPr>
          <w:vertAlign w:val="subscript"/>
        </w:rPr>
        <w:t>2</w:t>
      </w:r>
      <w:r>
        <w:t>CO</w:t>
      </w:r>
      <w:r>
        <w:rPr>
          <w:vertAlign w:val="subscript"/>
        </w:rPr>
        <w:t>3</w:t>
      </w:r>
      <w:r>
        <w:t>nanosheets that facilitate efficient electron and ion transport. Meanwhile, the presence of Ru‐N</w:t>
      </w:r>
      <w:r>
        <w:rPr>
          <w:vertAlign w:val="subscript"/>
        </w:rPr>
        <w:t>4</w:t>
      </w:r>
      <w:r>
        <w:t>sites modulates the electronic structure of the MXene support, optimizing the</w:t>
      </w:r>
      <w:r>
        <w:t xml:space="preserve"> </w:t>
      </w:r>
      <w:r>
        <w:t>d</w:t>
      </w:r>
      <w:r>
        <w:t xml:space="preserve"> </w:t>
      </w:r>
      <w:r>
        <w:t>‐band center of Ti, which weakens the Li─O bonds in Li</w:t>
      </w:r>
      <w:r>
        <w:rPr>
          <w:vertAlign w:val="subscript"/>
        </w:rPr>
        <w:t>2</w:t>
      </w:r>
      <w:r>
        <w:t>CO</w:t>
      </w:r>
      <w:r>
        <w:rPr>
          <w:vertAlign w:val="subscript"/>
        </w:rPr>
        <w:t>3</w:t>
      </w:r>
      <w:r>
        <w:t>and significantly reduces its decomposition barrier. As a result, the Li–CO</w:t>
      </w:r>
      <w:r>
        <w:rPr>
          <w:vertAlign w:val="subscript"/>
        </w:rPr>
        <w:t>2</w:t>
      </w:r>
      <w:r>
        <w:t>battery with MX‑Ru</w:t>
      </w:r>
      <w:r>
        <w:t xml:space="preserve"> </w:t>
      </w:r>
      <w:r>
        <w:t>SA</w:t>
      </w:r>
      <w:r>
        <w:t xml:space="preserve"> </w:t>
      </w:r>
      <w:r>
        <w:t>delivers a high discharge capacity of 14757 mA h g</w:t>
      </w:r>
      <w:r>
        <w:t xml:space="preserve"> </w:t>
      </w:r>
      <w:r>
        <w:t>−1</w:t>
      </w:r>
      <w:r>
        <w:t xml:space="preserve"> </w:t>
      </w:r>
      <w:r>
        <w:t>, along with an ultralow charging overpotential of 0.56 V and a long cycle life over 3000 h at 100 mA g</w:t>
      </w:r>
      <w:r>
        <w:t xml:space="preserve"> </w:t>
      </w:r>
      <w:r>
        <w:t>−1</w:t>
      </w:r>
      <w:r>
        <w:t xml:space="preserve"> </w:t>
      </w:r>
      <w:r>
        <w:t>. This work demonstrates interfacial dual</w:t>
      </w:r>
      <w:r>
        <w:t xml:space="preserve"> </w:t>
      </w:r>
      <w:r>
        <w:t>d</w:t>
      </w:r>
      <w:r>
        <w:t xml:space="preserve"> </w:t>
      </w:r>
      <w:r>
        <w:t>‑band synergy as a promising design principle toward high‑performance catalysts for metal‐gas battery systems.</w:t>
      </w:r>
    </w:p>
    <w:p>
      <w:pPr>
        <w:spacing w:before="120" w:after="120"/>
      </w:pPr>
      <w:r>
        <w:rPr>
          <w:sz w:val="18"/>
        </w:rPr>
        <w:t>——————————————————————————————————————————————————————————————————————</w:t>
      </w:r>
    </w:p>
    <w:p>
      <w:pPr>
        <w:spacing w:before="160" w:after="40" w:line="240" w:lineRule="auto"/>
      </w:pPr>
      <w:r>
        <w:rPr>
          <w:b/>
        </w:rPr>
        <w:t xml:space="preserve">[3] </w:t>
      </w:r>
      <w:hyperlink r:id="rId119">
        <w:r>
          <w:rPr>
            <w:color w:val="1155CC"/>
            <w:u w:val="single"/>
          </w:rPr>
          <w:t>电力系统弹性储能综述：功能、指标和应用</w:t>
        </w:r>
      </w:hyperlink>
    </w:p>
    <w:p>
      <w:pPr>
        <w:spacing w:before="0" w:after="80"/>
      </w:pPr>
      <w:r>
        <w:rPr>
          <w:i/>
          <w:sz w:val="20"/>
        </w:rPr>
        <w:t>EN: A review of energy storage for power system resilience: Functions, metrics, and applications</w:t>
      </w:r>
    </w:p>
    <w:p>
      <w:pPr>
        <w:spacing w:before="0" w:after="120"/>
      </w:pPr>
      <w:r>
        <w:rPr>
          <w:b/>
        </w:rPr>
        <w:t xml:space="preserve">Source: </w:t>
      </w:r>
      <w:r>
        <w:t>ScienceDirect Publication: Applied Energy</w:t>
      </w:r>
      <w:r>
        <w:t xml:space="preserve">    </w:t>
      </w:r>
      <w:r>
        <w:rPr>
          <w:b/>
        </w:rPr>
        <w:t xml:space="preserve">Pub date: </w:t>
      </w:r>
      <w:r>
        <w:t>2026-06-14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20">
        <w:r>
          <w:rPr>
            <w:color w:val="1155CC"/>
            <w:u w:val="single"/>
          </w:rPr>
          <w:t>通过自旋态调制进行高效氧电还原的仿生双金属单原子催化剂的晶体场工程</w:t>
        </w:r>
      </w:hyperlink>
    </w:p>
    <w:p>
      <w:pPr>
        <w:spacing w:before="0" w:after="80"/>
      </w:pPr>
      <w:r>
        <w:rPr>
          <w:i/>
          <w:sz w:val="20"/>
        </w:rPr>
        <w:t>EN: Crystal Field Engineering of Bioinspired Dual‐Metal Single‐Atom Catalysts Via Spin‐State Modulation for Efficient Oxygen Electroreduction</w:t>
      </w:r>
    </w:p>
    <w:p>
      <w:pPr>
        <w:spacing w:before="0" w:after="120"/>
      </w:pPr>
      <w:r>
        <w:rPr>
          <w:b/>
        </w:rPr>
        <w:t xml:space="preserve">Source: </w:t>
      </w:r>
      <w:r>
        <w:t>Wiley: Advanced Materials: Table of Contents</w:t>
      </w:r>
      <w:r>
        <w:t xml:space="preserve">    </w:t>
      </w:r>
      <w:r>
        <w:rPr>
          <w:b/>
        </w:rPr>
        <w:t xml:space="preserve">Pub date: </w:t>
      </w:r>
      <w:r>
        <w:t>2026-06-16 07:15:10+00:00</w:t>
      </w:r>
      <w:r>
        <w:t xml:space="preserve">    </w:t>
      </w:r>
      <w:r>
        <w:rPr>
          <w:b/>
        </w:rPr>
        <w:t xml:space="preserve">DOI: </w:t>
      </w:r>
      <w:hyperlink r:id="rId121">
        <w:r>
          <w:rPr>
            <w:color w:val="1155CC"/>
            <w:u w:val="single"/>
          </w:rPr>
          <w:t>10.1002/adma.73739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氧还原反应（ORR）是下一代能源技术的核心，但其实际实施受到固有的缓慢动力学的限制。在此，我们提出了一种仿生策略，将原子级晶体场工程和分层孔隙率设计协同整合，有效解决ORR的内在活性和传质限制。该策略是在锚定于分层介孔/微孔氮掺杂碳基质（MPNC-FeCo-x）上的 Fe/Co 双金属单原子位点中实现的。优化后的 MPNC-FeCo-4 表现出卓越的 ORR 性能，半波电位为 0.923 V，转换频率为 2.01 e</w:t>
      </w:r>
      <w:r>
        <w:t xml:space="preserve"> </w:t>
      </w:r>
      <w:r>
        <w:t>–</w:t>
      </w:r>
      <w:r>
        <w:t xml:space="preserve"> </w:t>
      </w:r>
      <w:r>
        <w:t>站点</w:t>
      </w:r>
      <w:r>
        <w:t xml:space="preserve"> </w:t>
      </w:r>
      <w:r>
        <w:t>−1</w:t>
      </w:r>
      <w:r>
        <w:t xml:space="preserve"> </w:t>
      </w:r>
      <w:r>
        <w:t>s</w:t>
      </w:r>
      <w:r>
        <w:t xml:space="preserve"> </w:t>
      </w:r>
      <w:r>
        <w:t>−1</w:t>
      </w:r>
      <w:r>
        <w:t xml:space="preserve"> </w:t>
      </w:r>
      <w:r>
        <w:t>在碱性介质中。当部署在锌空气电池中时，它可提供 232.81 mW cm 的超高峰值功率密度</w:t>
      </w:r>
      <w:r>
        <w:t xml:space="preserve"> </w:t>
      </w:r>
      <w:r>
        <w:t>−2</w:t>
      </w:r>
      <w:r>
        <w:t xml:space="preserve"> </w:t>
      </w:r>
      <w:r>
        <w:t>以及超过 800 小时的前所未有的循环稳定性。机理研究表明，Co 原子调节晶体场以诱导 Fe 物种的自旋跃迁到中等自旋（</w:t>
      </w:r>
      <w:r>
        <w:t xml:space="preserve"> </w:t>
      </w:r>
      <w:r>
        <w:t>t</w:t>
      </w:r>
      <w:r>
        <w:t xml:space="preserve"> </w:t>
      </w:r>
      <w:r>
        <w:t>2克</w:t>
      </w:r>
      <w:r>
        <w:rPr>
          <w:vertAlign w:val="subscript"/>
        </w:rPr>
        <w:t>4</w:t>
      </w:r>
      <w:r>
        <w:t>e</w:t>
      </w:r>
      <w:r>
        <w:t xml:space="preserve"> </w:t>
      </w:r>
      <w:r>
        <w:t>克</w:t>
      </w:r>
      <w:r>
        <w:rPr>
          <w:vertAlign w:val="subscript"/>
        </w:rPr>
        <w:t>1</w:t>
      </w:r>
      <w:r>
        <w:t>配置），而分层孔隙结构增强了电荷和质量传递。先进的逐步界面动力学分析可量化增强的内在活性和优化的传质如何协同提高 ORR p</w:t>
      </w:r>
    </w:p>
    <w:p>
      <w:pPr>
        <w:spacing w:before="0" w:after="200" w:lineRule="auto" w:line="276"/>
      </w:pPr>
      <w:r>
        <w:rPr>
          <w:b/>
        </w:rPr>
        <w:t xml:space="preserve">Abstract (EN): </w:t>
      </w:r>
      <w:r>
        <w:t>The oxygen reduction reaction (ORR) is central to next‐generation energy technologies, but its practical implementation is constrained by inherently sluggish kinetics. Herein, we propose a bioinspired strategy that synergistically integrate atomic‐scale crystal field engineering and hierarchical porosity design, effectively tackling the intrinsic activity and mass transport limitations of ORR. This strategy is realized in a Fe/Co dual‐metallic single‐atom sites anchored on hierarchical meso/microporous N‐doped carbon matrices (MPNC‐FeCo‐x). The optimized MPNC‐FeCo‐4 exhibits remarkable ORR performance with a half‐wave potential of 0.923 V and a turnover frequency of 2.01 e</w:t>
      </w:r>
      <w:r>
        <w:t xml:space="preserve"> </w:t>
      </w:r>
      <w:r>
        <w:t>–</w:t>
      </w:r>
      <w:r>
        <w:t xml:space="preserve"> </w:t>
      </w:r>
      <w:r>
        <w:t>site</w:t>
      </w:r>
      <w:r>
        <w:t xml:space="preserve"> </w:t>
      </w:r>
      <w:r>
        <w:t>−1</w:t>
      </w:r>
      <w:r>
        <w:t xml:space="preserve"> </w:t>
      </w:r>
      <w:r>
        <w:t>s</w:t>
      </w:r>
      <w:r>
        <w:t xml:space="preserve"> </w:t>
      </w:r>
      <w:r>
        <w:t>−1</w:t>
      </w:r>
      <w:r>
        <w:t xml:space="preserve"> </w:t>
      </w:r>
      <w:r>
        <w:t>in alkaline media. When deployed in zinc‐air batteries, it delivers an ultrahigh peak power density of 232.81 mW cm</w:t>
      </w:r>
      <w:r>
        <w:t xml:space="preserve"> </w:t>
      </w:r>
      <w:r>
        <w:t>−2</w:t>
      </w:r>
      <w:r>
        <w:t xml:space="preserve"> </w:t>
      </w:r>
      <w:r>
        <w:t>and unprecedented cycling stability over 800 h. Mechanistic studies reveal that Co atoms modulate the crystal field to induce the spin transition of Fe species to medium spin (</w:t>
      </w:r>
      <w:r>
        <w:t xml:space="preserve"> </w:t>
      </w:r>
      <w:r>
        <w:t>t</w:t>
      </w:r>
      <w:r>
        <w:t xml:space="preserve"> </w:t>
      </w:r>
      <w:r>
        <w:t>2g</w:t>
      </w:r>
      <w:r>
        <w:rPr>
          <w:vertAlign w:val="subscript"/>
        </w:rPr>
        <w:t>4</w:t>
      </w:r>
      <w:r>
        <w:t>e</w:t>
      </w:r>
      <w:r>
        <w:t xml:space="preserve"> </w:t>
      </w:r>
      <w:r>
        <w:t>g</w:t>
      </w:r>
      <w:r>
        <w:rPr>
          <w:vertAlign w:val="subscript"/>
        </w:rPr>
        <w:t>1</w:t>
      </w:r>
      <w:r>
        <w:t>configuration), while the hierarchical pore architecture enhancing charge and mass transfer. Advanced stepwise interfacial kinetic analysis quantifies how the enhanced intrinsic activity and the optimized mass transport cooperate to enhance ORR performance. This work establishes a paradigm for manipulating spin states via rational crystal field design in multi‐metallic single‐atom systems, providing fundamental insights into structure‐activity relationships for energy conversion technologies.</w:t>
      </w:r>
    </w:p>
    <w:p>
      <w:pPr>
        <w:spacing w:before="120" w:after="120"/>
      </w:pPr>
      <w:r>
        <w:rPr>
          <w:sz w:val="18"/>
        </w:rPr>
        <w:t>——————————————————————————————————————————————————————————————————————</w:t>
      </w:r>
    </w:p>
    <w:p>
      <w:pPr>
        <w:spacing w:before="160" w:after="40" w:line="240" w:lineRule="auto"/>
      </w:pPr>
      <w:r>
        <w:rPr>
          <w:b/>
        </w:rPr>
        <w:t xml:space="preserve">[5] </w:t>
      </w:r>
      <w:hyperlink r:id="rId122">
        <w:r>
          <w:rPr>
            <w:color w:val="1155CC"/>
            <w:u w:val="single"/>
          </w:rPr>
          <w:t>NaNbO3 膜的室温铁电性</w:t>
        </w:r>
      </w:hyperlink>
    </w:p>
    <w:p>
      <w:pPr>
        <w:spacing w:before="0" w:after="80"/>
      </w:pPr>
      <w:r>
        <w:rPr>
          <w:i/>
          <w:sz w:val="20"/>
        </w:rPr>
        <w:t>EN: Room-temperature ferroelectricity in NaNbO3 membrane</w:t>
      </w:r>
    </w:p>
    <w:p>
      <w:pPr>
        <w:spacing w:before="0" w:after="120"/>
      </w:pPr>
      <w:r>
        <w:rPr>
          <w:b/>
        </w:rPr>
        <w:t xml:space="preserve">Source: </w:t>
      </w:r>
      <w:r>
        <w:t>Physical sciences : Nature Communications subject feeds</w:t>
      </w:r>
      <w:r>
        <w:t xml:space="preserve">    </w:t>
      </w:r>
      <w:r>
        <w:rPr>
          <w:b/>
        </w:rPr>
        <w:t xml:space="preserve">Pub date: </w:t>
      </w:r>
      <w:r>
        <w:t>2026-06-17 00:00:00+00:00</w:t>
      </w:r>
    </w:p>
    <w:p>
      <w:pPr>
        <w:spacing w:before="0" w:after="120"/>
      </w:pPr>
      <w:r>
        <w:rPr>
          <w:b/>
        </w:rPr>
        <w:t xml:space="preserve">Notes: </w:t>
      </w:r>
      <w:r>
        <w:t>abstract_source=nature_html</w:t>
      </w:r>
    </w:p>
    <w:p>
      <w:pPr>
        <w:spacing w:before="0" w:after="80" w:lineRule="auto" w:line="276"/>
      </w:pPr>
      <w:r>
        <w:rPr>
          <w:b/>
        </w:rPr>
        <w:t xml:space="preserve">摘要（ZH）: </w:t>
      </w:r>
      <w:r>
        <w:t>铌酸钠（NaNbO3）传统上被认为是一种反铁电材料，因其在储能、机电设备和电热应用中的潜力而受到广泛关注。释放其全部潜力的核心是精确控制其铁电序，特别是反铁电相和铁电相之间的转变。在这项研究中，我们提出了一种拓扑化学转化策略，用于制造具有 P21ma 正交相的纯铁电 NaNbO3 膜，无论膜厚度如何。使用扫描透射电子显微镜，我们识别出两个具有大 (&gt; 10°) 或小 ( 3 膜) 的不同区域。这些区域的极化分析表明，铁电性源自 Nb5+ 阳离子的面外位移。此外，纯铁电 NaNbO3 膜表现出厚度依赖性压电增强，在 30 nm 厚度下实现 93.7 pm/V 的 d33 值，以及明显的电阻切换行为。创新的熔盐环境控制合成策略，能够高效生产高质量的纯铁电NaNbO3膜，并促进其与下一代功能器件的集成。</w:t>
      </w:r>
    </w:p>
    <w:p>
      <w:pPr>
        <w:spacing w:before="0" w:after="200" w:lineRule="auto" w:line="276"/>
      </w:pPr>
      <w:r>
        <w:rPr>
          <w:b/>
        </w:rPr>
        <w:t xml:space="preserve">Abstract (EN): </w:t>
      </w:r>
      <w:r>
        <w:t>Sodium niobate (NaNbO3), traditionally recognized as an antiferroelectric material, has garnered significant attention for its potential in energy storage, electromechanical devices, and electrocaloric applications. Central to unlocking its full potential is precise control over its ferroic orders, particularly the transition between antiferroelectric and ferroelectric phases. In this study, we propose a topochemical conversion strategy for fabricating pure ferroelectric NaNbO3 membranes with a P21ma orthorhombic phase regardless of membrane thickness. Using Scanning transmission electron microscopy, we identify two distinct regions with large ( &gt; 10°) or small ( 3 membranes. Polarization analyses in these regions reveal that the ferroelectricity originates from the out-of-plane displacement of Nb5+ cations. Additionally, the pure ferroelectric NaNbO3 membranes demonstrate thickness-dependent piezoelectric enhancement, achieving a d33 value of 93.7 pm/V at 30 nm thickness, as well as pronounced resistance switching behaviors. This study introduces an innovative molten salt environment-controlled synthesis strategy, enabling efficient production of high-quality pure ferroelectric NaNbO3 membranes, and advancing their integration into next-generation functional devices.</w:t>
      </w:r>
    </w:p>
    <w:p>
      <w:pPr>
        <w:spacing w:before="120" w:after="120"/>
      </w:pPr>
      <w:r>
        <w:rPr>
          <w:sz w:val="18"/>
        </w:rPr>
        <w:t>——————————————————————————————————————————————————————————————————————</w:t>
      </w:r>
    </w:p>
    <w:p>
      <w:pPr>
        <w:spacing w:before="160" w:after="40" w:line="240" w:lineRule="auto"/>
      </w:pPr>
      <w:r>
        <w:rPr>
          <w:b/>
        </w:rPr>
        <w:t xml:space="preserve">[6] </w:t>
      </w:r>
      <w:hyperlink r:id="rId123">
        <w:r>
          <w:rPr>
            <w:color w:val="1155CC"/>
            <w:u w:val="single"/>
          </w:rPr>
          <w:t>山东德州含水层压缩空气储能日循环井筒-含水层耦合模型多井效应分析</w:t>
        </w:r>
      </w:hyperlink>
    </w:p>
    <w:p>
      <w:pPr>
        <w:spacing w:before="0" w:after="80"/>
      </w:pPr>
      <w:r>
        <w:rPr>
          <w:i/>
          <w:sz w:val="20"/>
        </w:rPr>
        <w:t>EN: Analysis on multi-well effects with the wellbore-aquifer coupled model on compressed air energy storage in aquifers with daily cycles in Dezhou, Shandong of China</w:t>
      </w:r>
    </w:p>
    <w:p>
      <w:pPr>
        <w:spacing w:before="0" w:after="120"/>
      </w:pPr>
      <w:r>
        <w:rPr>
          <w:b/>
        </w:rPr>
        <w:t xml:space="preserve">Source: </w:t>
      </w:r>
      <w:r>
        <w:t>ScienceDirect Publication: Applied Energy</w:t>
      </w:r>
      <w:r>
        <w:t xml:space="preserve">    </w:t>
      </w:r>
      <w:r>
        <w:rPr>
          <w:b/>
        </w:rPr>
        <w:t xml:space="preserve">Pub date: </w:t>
      </w:r>
      <w:r>
        <w:t>2026-06-17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124">
        <w:r>
          <w:rPr>
            <w:color w:val="1155CC"/>
            <w:u w:val="single"/>
          </w:rPr>
          <w:t>了解重新出现的质子电池的化学成分</w:t>
        </w:r>
      </w:hyperlink>
    </w:p>
    <w:p>
      <w:pPr>
        <w:spacing w:before="0" w:after="80"/>
      </w:pPr>
      <w:r>
        <w:rPr>
          <w:i/>
          <w:sz w:val="20"/>
        </w:rPr>
        <w:t>EN: Understanding the chemistry of re-emerging proton batteries</w:t>
      </w:r>
    </w:p>
    <w:p>
      <w:pPr>
        <w:spacing w:before="0" w:after="120"/>
      </w:pPr>
      <w:r>
        <w:rPr>
          <w:b/>
        </w:rPr>
        <w:t xml:space="preserve">Source: </w:t>
      </w:r>
      <w:r>
        <w:t>RSC - Chem. Soc. Rev. latest articles</w:t>
      </w:r>
      <w:r>
        <w:t xml:space="preserve">    </w:t>
      </w:r>
      <w:r>
        <w:rPr>
          <w:b/>
        </w:rPr>
        <w:t xml:space="preserve">Pub date: </w:t>
      </w:r>
      <w:r>
        <w:t>2026-06-17 23:00:00+00:00</w:t>
      </w:r>
    </w:p>
    <w:p>
      <w:pPr>
        <w:spacing w:before="0" w:after="120"/>
      </w:pPr>
      <w:r>
        <w:rPr>
          <w:b/>
        </w:rPr>
        <w:t xml:space="preserve">Notes: </w:t>
      </w:r>
      <w:r>
        <w:t>abstract_source=rsc_html</w:t>
      </w:r>
    </w:p>
    <w:p>
      <w:pPr>
        <w:spacing w:before="0" w:after="80" w:lineRule="auto" w:line="276"/>
      </w:pPr>
      <w:r>
        <w:rPr>
          <w:b/>
        </w:rPr>
        <w:t xml:space="preserve">摘要（ZH）: </w:t>
      </w:r>
      <w:r>
        <w:t>近年来，质子电池（PB）技术由于其优异的电化学性能、可扩展性和环境友好性，作为传统锂离子电池的一种有前景的储能替代品重新受到关注。为了评估它的潜力，我们对它的重新出现进行了全面的回顾，包括它的历史背景、构造、工作原理和有利的材料。强调了全球对储能不断增长的需求以及PB在满足这一需求中的作用，并涵盖了追踪PB从早期概念到最近进展的演变的历史背景。讨论了电极和电解质等电池组件，还总结了电极-电解质界面的质子传导、催化活性和表面化学的机制。此外，还检查了各种质子传导材料和介质，并讨论了它们的结构和电化学特性。最后，SWOT 分析涵盖了 PB 的优势、劣势、机遇和威胁，并提供了有关研发前景的宝贵观点。本次审查强调需要持续创新，以释放PB作为可持续能源存储替代品的全部潜力。</w:t>
      </w:r>
    </w:p>
    <w:p>
      <w:pPr>
        <w:spacing w:before="0" w:after="200" w:lineRule="auto" w:line="276"/>
      </w:pPr>
      <w:r>
        <w:rPr>
          <w:b/>
        </w:rPr>
        <w:t xml:space="preserve">Abstract (EN): </w:t>
      </w:r>
      <w:r>
        <w:t>Proton battery (PB) technology has regained attention in recent years as a promising energy storage alternative to conventional lithium-ion batteries due to its excellent electrochemical performance, scalability, and environmental friendliness. To assess its potential, we provide a comprehensive review of its re-emergence, including its historical background, construction, working principles, and favorable materials. The growing global demand for energy storage and the role of PBs in addressing this need are highlighted, and the historical background tracing the evolution of PBs, from their early conceptualizations to recent advancements, is covered. Battery components such as electrodes and electrolytes are discussed, and the mechanisms underlying proton conduction, catalytic activity, and surface chemistry at the electrode–electrolyte interfaces are also summarized. Furthermore, various proton-conducting materials and media are examined, along with a discussion on their structural and electrochemical properties. Finally, a SWOT analysis covers the strengths, weaknesses, opportunities, and threats of PBs and offers valuable perspectives regarding R&amp;D prospects. This review emphasizes the need for continued innovation to unlock the full potential of PBs as sustainable energy storage alternatives.</w:t>
      </w:r>
    </w:p>
    <w:p>
      <w:pPr>
        <w:spacing w:before="120" w:after="120"/>
      </w:pPr>
      <w:r>
        <w:rPr>
          <w:sz w:val="18"/>
        </w:rPr>
        <w:t>——————————————————————————————————————————————————————————————————————</w:t>
      </w:r>
    </w:p>
    <w:p>
      <w:pPr>
        <w:spacing w:before="160" w:after="40" w:line="240" w:lineRule="auto"/>
      </w:pPr>
      <w:r>
        <w:rPr>
          <w:b/>
        </w:rPr>
        <w:t xml:space="preserve">[8] </w:t>
      </w:r>
      <w:hyperlink r:id="rId125">
        <w:r>
          <w:rPr>
            <w:color w:val="1155CC"/>
            <w:u w:val="single"/>
          </w:rPr>
          <w:t>无催化剂固态 Li-O2 电池中电流驱动的 Li2O 形成，可同时实现高能量和高功率</w:t>
        </w:r>
      </w:hyperlink>
    </w:p>
    <w:p>
      <w:pPr>
        <w:spacing w:before="0" w:after="80"/>
      </w:pPr>
      <w:r>
        <w:rPr>
          <w:i/>
          <w:sz w:val="20"/>
        </w:rPr>
        <w:t>EN: Current‐Driven Li2O Formation in Catalyst‐Free Solid‐State Li‐O2 Batteries Enabling Simultaneous High Energy and High Power</w:t>
      </w:r>
    </w:p>
    <w:p>
      <w:pPr>
        <w:spacing w:before="0" w:after="120"/>
      </w:pPr>
      <w:r>
        <w:rPr>
          <w:b/>
        </w:rPr>
        <w:t xml:space="preserve">Source: </w:t>
      </w:r>
      <w:r>
        <w:t>Wiley: Advanced Energy Materials: Table of Contents</w:t>
      </w:r>
      <w:r>
        <w:t xml:space="preserve">    </w:t>
      </w:r>
      <w:r>
        <w:rPr>
          <w:b/>
        </w:rPr>
        <w:t xml:space="preserve">Pub date: </w:t>
      </w:r>
      <w:r>
        <w:t>2026-06-18 05:55:46+00:00</w:t>
      </w:r>
      <w:r>
        <w:t xml:space="preserve">    </w:t>
      </w:r>
      <w:r>
        <w:rPr>
          <w:b/>
        </w:rPr>
        <w:t xml:space="preserve">DOI: </w:t>
      </w:r>
      <w:hyperlink r:id="rId126">
        <w:r>
          <w:rPr>
            <w:color w:val="1155CC"/>
            <w:u w:val="single"/>
          </w:rPr>
          <w:t>10.1002/aenm.71210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锂氧</w:t>
      </w:r>
      <w:r>
        <w:rPr>
          <w:vertAlign w:val="subscript"/>
        </w:rPr>
        <w:t>2</w:t>
      </w:r>
      <w:r>
        <w:t>由于其超高的理论能量密度，电池为下一代储能提供了一条引人注目的途径；然而，实际实现受到寄生反应、可逆性差以及单电子或双电子氧还原途径占主导地位的严重限制。在这里，我们报道了一种无催化剂的固态Li-O</w:t>
      </w:r>
      <w:r>
        <w:rPr>
          <w:vertAlign w:val="subscript"/>
        </w:rPr>
        <w:t>2</w:t>
      </w:r>
      <w:r>
        <w:t>与Li实现四电子反应的电池（SSLOB）</w:t>
      </w:r>
      <w:r>
        <w:rPr>
          <w:vertAlign w:val="subscript"/>
        </w:rPr>
        <w:t>2</w:t>
      </w:r>
      <w:r>
        <w:t>通过电流驱动的相变锂化机制形成O，从而实现同时高能和高功率运行。全面的结构和化学分析，包括 X 射线衍射、紫外可见光谱、酸滴定和高分辨率透射电子显微镜，证实了 Li</w:t>
      </w:r>
      <w:r>
        <w:rPr>
          <w:vertAlign w:val="subscript"/>
        </w:rPr>
        <w:t>2</w:t>
      </w:r>
      <w:r>
        <w:t>O 形成。系统研究表明放电电流密度是控制Li的主要动力学参数</w:t>
      </w:r>
      <w:r>
        <w:rPr>
          <w:vertAlign w:val="subscript"/>
        </w:rPr>
        <w:t>2</w:t>
      </w:r>
      <w:r>
        <w:t>O 的形成，而工作温度和放电深度对 Li 的影响最小</w:t>
      </w:r>
      <w:r>
        <w:rPr>
          <w:vertAlign w:val="subscript"/>
        </w:rPr>
        <w:t>2</w:t>
      </w:r>
      <w:r>
        <w:t>氧/锂</w:t>
      </w:r>
      <w:r>
        <w:rPr>
          <w:vertAlign w:val="subscript"/>
        </w:rPr>
        <w:t>2</w:t>
      </w:r>
      <w:r>
        <w:t>氧</w:t>
      </w:r>
      <w:r>
        <w:rPr>
          <w:vertAlign w:val="subscript"/>
        </w:rPr>
        <w:t>2</w:t>
      </w:r>
      <w:r>
        <w:t>相比。在高电流密度下，增强的Li</w:t>
      </w:r>
      <w:r>
        <w:t xml:space="preserve"> </w:t>
      </w:r>
      <w:r>
        <w:t>+</w:t>
      </w:r>
      <w:r>
        <w:t xml:space="preserve"> </w:t>
      </w:r>
      <w:r>
        <w:t>通量和界面电化学驱动力促进Li的双电子锂化</w:t>
      </w:r>
      <w:r>
        <w:rPr>
          <w:vertAlign w:val="subscript"/>
        </w:rPr>
        <w:t>2</w:t>
      </w:r>
      <w:r>
        <w:t>氧</w:t>
      </w:r>
    </w:p>
    <w:p>
      <w:pPr>
        <w:spacing w:before="0" w:after="200" w:lineRule="auto" w:line="276"/>
      </w:pPr>
      <w:r>
        <w:rPr>
          <w:b/>
        </w:rPr>
        <w:t xml:space="preserve">Abstract (EN): </w:t>
      </w:r>
      <w:r>
        <w:t>Li‐O</w:t>
      </w:r>
      <w:r>
        <w:rPr>
          <w:vertAlign w:val="subscript"/>
        </w:rPr>
        <w:t>2</w:t>
      </w:r>
      <w:r>
        <w:t>batteries offer a compelling pathway toward next‐generation energy storage owing to their ultrahigh theoretical energy density; however, practical realization has been severely constrained by parasitic reactions, poor reversibility, and the predominance of one‐ or two‐electron oxygen reduction pathways. Here, we report a catalyst‐free solid‐state Li‐O</w:t>
      </w:r>
      <w:r>
        <w:rPr>
          <w:vertAlign w:val="subscript"/>
        </w:rPr>
        <w:t>2</w:t>
      </w:r>
      <w:r>
        <w:t>battery (SSLOB) that achieves a four‐electron reaction with Li</w:t>
      </w:r>
      <w:r>
        <w:rPr>
          <w:vertAlign w:val="subscript"/>
        </w:rPr>
        <w:t>2</w:t>
      </w:r>
      <w:r>
        <w:t>O formation through a current‐driven, phase‐conversion lithiation mechanism, enabling simultaneous high‐energy and high‐power operation. Comprehensive structural and chemical analyses, including x‐ray diffraction, UV–vis spectroscopy, acid titration, and high‐resolution transmission electron microscopy, confirm Li</w:t>
      </w:r>
      <w:r>
        <w:rPr>
          <w:vertAlign w:val="subscript"/>
        </w:rPr>
        <w:t>2</w:t>
      </w:r>
      <w:r>
        <w:t>O formation. Systematic investigations reveal that discharge current density is the dominant kinetic parameter governing Li</w:t>
      </w:r>
      <w:r>
        <w:rPr>
          <w:vertAlign w:val="subscript"/>
        </w:rPr>
        <w:t>2</w:t>
      </w:r>
      <w:r>
        <w:t>O formation, whereas operating temperature and depth of discharge exert minimal influence on the Li</w:t>
      </w:r>
      <w:r>
        <w:rPr>
          <w:vertAlign w:val="subscript"/>
        </w:rPr>
        <w:t>2</w:t>
      </w:r>
      <w:r>
        <w:t>O/Li</w:t>
      </w:r>
      <w:r>
        <w:rPr>
          <w:vertAlign w:val="subscript"/>
        </w:rPr>
        <w:t>2</w:t>
      </w:r>
      <w:r>
        <w:t>O</w:t>
      </w:r>
      <w:r>
        <w:rPr>
          <w:vertAlign w:val="subscript"/>
        </w:rPr>
        <w:t>2</w:t>
      </w:r>
      <w:r>
        <w:t>phase ratio. At high current densities, enhanced Li</w:t>
      </w:r>
      <w:r>
        <w:t xml:space="preserve"> </w:t>
      </w:r>
      <w:r>
        <w:t>+</w:t>
      </w:r>
      <w:r>
        <w:t xml:space="preserve"> </w:t>
      </w:r>
      <w:r>
        <w:t>flux and interfacial electrochemical driving forces promote two‐electron lithiation of Li</w:t>
      </w:r>
      <w:r>
        <w:rPr>
          <w:vertAlign w:val="subscript"/>
        </w:rPr>
        <w:t>2</w:t>
      </w:r>
      <w:r>
        <w:t>O</w:t>
      </w:r>
      <w:r>
        <w:rPr>
          <w:vertAlign w:val="subscript"/>
        </w:rPr>
        <w:t>2</w:t>
      </w:r>
      <w:r>
        <w:t>to Li</w:t>
      </w:r>
      <w:r>
        <w:rPr>
          <w:vertAlign w:val="subscript"/>
        </w:rPr>
        <w:t>2</w:t>
      </w:r>
      <w:r>
        <w:t>O to complete the entire four‐electron transfer pathway. The present SSLOB delivers an areal capacity of 8.25 mAh·cm</w:t>
      </w:r>
      <w:r>
        <w:t xml:space="preserve"> </w:t>
      </w:r>
      <w:r>
        <w:t>−2</w:t>
      </w:r>
      <w:r>
        <w:t xml:space="preserve"> </w:t>
      </w:r>
      <w:r>
        <w:t>at 3.0 mA·cm</w:t>
      </w:r>
      <w:r>
        <w:t xml:space="preserve"> </w:t>
      </w:r>
      <w:r>
        <w:t>−2</w:t>
      </w:r>
      <w:r>
        <w:t xml:space="preserve"> </w:t>
      </w:r>
      <w:r>
        <w:t>, corresponding to a cell‐level specific energy of ∼1032 Wh·kg</w:t>
      </w:r>
      <w:r>
        <w:t xml:space="preserve"> </w:t>
      </w:r>
      <w:r>
        <w:t>−1</w:t>
      </w:r>
      <w:r>
        <w:t xml:space="preserve"> </w:t>
      </w:r>
      <w:r>
        <w:t>with a continuous power of ∼374 W·kg</w:t>
      </w:r>
      <w:r>
        <w:t xml:space="preserve"> </w:t>
      </w:r>
      <w:r>
        <w:t>−1</w:t>
      </w:r>
      <w:r>
        <w:t xml:space="preserve"> </w:t>
      </w:r>
      <w:r>
        <w:t>. This work represents the first demonstration of catalyst‐free four‐electron Li</w:t>
      </w:r>
      <w:r>
        <w:rPr>
          <w:vertAlign w:val="subscript"/>
        </w:rPr>
        <w:t>2</w:t>
      </w:r>
      <w:r>
        <w:t>O formation and establishes a scalable solid‐state platform for achieving cell‐level energy densities exceeding 1000 Wh·kg</w:t>
      </w:r>
      <w:r>
        <w:t xml:space="preserve"> </w:t>
      </w:r>
      <w:r>
        <w:t>−1</w:t>
      </w:r>
      <w:r>
        <w:t xml:space="preserve"> </w:t>
      </w:r>
      <w:r>
        <w:t>.</w:t>
      </w:r>
    </w:p>
    <w:p>
      <w:pPr>
        <w:spacing w:before="120" w:after="120"/>
      </w:pPr>
      <w:r>
        <w:rPr>
          <w:sz w:val="18"/>
        </w:rPr>
        <w:t>——————————————————————————————————————————————————————————————————————</w:t>
      </w:r>
    </w:p>
    <w:p>
      <w:pPr>
        <w:spacing w:before="160" w:after="40" w:line="240" w:lineRule="auto"/>
      </w:pPr>
      <w:r>
        <w:rPr>
          <w:b/>
        </w:rPr>
        <w:t xml:space="preserve">[9] </w:t>
      </w:r>
      <w:hyperlink r:id="rId127">
        <w:r>
          <w:rPr>
            <w:color w:val="1155CC"/>
            <w:u w:val="single"/>
          </w:rPr>
          <w:t>面向蓝色储能的海水电池先进材料：关键策略和未来展望</w:t>
        </w:r>
      </w:hyperlink>
    </w:p>
    <w:p>
      <w:pPr>
        <w:spacing w:before="0" w:after="80"/>
      </w:pPr>
      <w:r>
        <w:rPr>
          <w:i/>
          <w:sz w:val="20"/>
        </w:rPr>
        <w:t>EN: Advanced Materials for Seawater Batteries toward Blue Energy Storage: Key Strategies and Future Perspectives</w:t>
      </w:r>
    </w:p>
    <w:p>
      <w:pPr>
        <w:spacing w:before="0" w:after="120"/>
      </w:pPr>
      <w:r>
        <w:rPr>
          <w:b/>
        </w:rPr>
        <w:t xml:space="preserve">Source: </w:t>
      </w:r>
      <w:r>
        <w:t>Wiley: Advanced Energy Materials: Table of Contents</w:t>
      </w:r>
      <w:r>
        <w:t xml:space="preserve">    </w:t>
      </w:r>
      <w:r>
        <w:rPr>
          <w:b/>
        </w:rPr>
        <w:t xml:space="preserve">Pub date: </w:t>
      </w:r>
      <w:r>
        <w:t>2026-06-18 05:58:45+00:00</w:t>
      </w:r>
      <w:r>
        <w:t xml:space="preserve">    </w:t>
      </w:r>
      <w:r>
        <w:rPr>
          <w:b/>
        </w:rPr>
        <w:t xml:space="preserve">DOI: </w:t>
      </w:r>
      <w:hyperlink r:id="rId128">
        <w:r>
          <w:rPr>
            <w:color w:val="1155CC"/>
            <w:u w:val="single"/>
          </w:rPr>
          <w:t>10.1002/aenm.71195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海水电池（SWB）由于其本质安全性和环境可持续性而成为有前途的水储能系统。海水作为一种天然丰富且具有成本效益的电解质来源，具有可观的经济效益和潜在的应用前景。然而，SWB的实际应用受到一些挑战的限制，包括复杂的多组分离子组成、高腐蚀性以及海水电解质的电化学稳定性窗口窄等。尽管存在这些限制，但仍然缺乏针对专门针对海水电解质的功能材料的目标设计的系统总结。在这篇综述中，我们首先阐明了海水的物理化学性质如何产生不同的SWB配置，并定义了电极材料的相应要求。随后，我们全面讨论了增强SWB电化学性能的合理设计策略，重点关注电极材料、电解质工程和界面调节对电子/离子传输路径的调节，以在具有复杂相互作用的高氯离子浓度下实现快速动力学和有利的热力学。此外，根据配置原型概述了SWB的潜在应用场景。最后，我们强调了关键挑战，并为开发高性能和耐用 SWB 的先进材料提供了未来的研究方向。</w:t>
      </w:r>
    </w:p>
    <w:p>
      <w:pPr>
        <w:spacing w:before="0" w:after="200" w:lineRule="auto" w:line="276"/>
      </w:pPr>
      <w:r>
        <w:rPr>
          <w:b/>
        </w:rPr>
        <w:t xml:space="preserve">Abstract (EN): </w:t>
      </w:r>
      <w:r>
        <w:t>Seawater batteries (SWBs) have emerged as promising aqueous energy storage systems owing to their intrinsic safety and environmental sustainability. As a naturally abundant and cost‐effective electrolyte source, seawater exhibits considerable economic benefits and potential applications. Nevertheless, the practical applications of SWBs are constrained by several challenges, including the complex multicomponent ionic composition, high corrosivity, and the narrow electrochemical stability window of seawater electrolytes. Despite these constraints, a systematic summary regarding the targeted design of functional materials specifically tailored for seawater‐based electrolytes remains lacking. In this review, we first elucidate how the physicochemical properties of seawater give rise to distinct SWB configurations and define the corresponding requirements for electrode materials. Subsequently, we provide a comprehensive discussion of rational design strategies to enhance the electrochemical performance of SWBs, focusing on the modulation of electron/ion transport pathways with electrode materials, electrolyte engineering, and interfacial regulation to achieve rapid kinetics and favorable thermodynamics in high chloride ion concentration with complex interplay. Furthermore, potential application scenarios of SWBs are outlined in accordance with the configuration prototypes. Finally, we highlight the key challenges and provide future research directions for the development of advanced materials toward high‐performance and durable SWBs.</w:t>
      </w:r>
    </w:p>
    <w:p>
      <w:pPr>
        <w:spacing w:before="120" w:after="120"/>
      </w:pPr>
      <w:r>
        <w:rPr>
          <w:sz w:val="18"/>
        </w:rPr>
        <w:t>——————————————————————————————————————————————————————————————————————</w:t>
      </w:r>
    </w:p>
    <w:p>
      <w:pPr>
        <w:spacing w:before="160" w:after="40" w:line="240" w:lineRule="auto"/>
      </w:pPr>
      <w:r>
        <w:rPr>
          <w:b/>
        </w:rPr>
        <w:t xml:space="preserve">[10] </w:t>
      </w:r>
      <w:hyperlink r:id="rId129">
        <w:r>
          <w:rPr>
            <w:color w:val="1155CC"/>
            <w:u w:val="single"/>
          </w:rPr>
          <w:t>具有不同磺酸基密度的自支撑 COF 膜实现高效渗透能转换</w:t>
        </w:r>
      </w:hyperlink>
    </w:p>
    <w:p>
      <w:pPr>
        <w:spacing w:before="0" w:after="80"/>
      </w:pPr>
      <w:r>
        <w:rPr>
          <w:i/>
          <w:sz w:val="20"/>
        </w:rPr>
        <w:t>EN: Efficient Osmotic Energy Conversion Enabled by Self‐Standing COF Membranes With Varied Sulfonic Acid Group Density</w:t>
      </w:r>
    </w:p>
    <w:p>
      <w:pPr>
        <w:spacing w:before="0" w:after="120"/>
      </w:pPr>
      <w:r>
        <w:rPr>
          <w:b/>
        </w:rPr>
        <w:t xml:space="preserve">Source: </w:t>
      </w:r>
      <w:r>
        <w:t>Wiley: Advanced Materials: Table of Contents</w:t>
      </w:r>
      <w:r>
        <w:t xml:space="preserve">    </w:t>
      </w:r>
      <w:r>
        <w:rPr>
          <w:b/>
        </w:rPr>
        <w:t xml:space="preserve">Pub date: </w:t>
      </w:r>
      <w:r>
        <w:t>2026-06-18 06:32:41+00:00</w:t>
      </w:r>
      <w:r>
        <w:t xml:space="preserve">    </w:t>
      </w:r>
      <w:r>
        <w:rPr>
          <w:b/>
        </w:rPr>
        <w:t xml:space="preserve">DOI: </w:t>
      </w:r>
      <w:hyperlink r:id="rId130">
        <w:r>
          <w:rPr>
            <w:color w:val="1155CC"/>
            <w:u w:val="single"/>
          </w:rPr>
          <w:t>10.1002/adma.73758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海水和淡水在盐度梯度上混合产生的吉布斯自由能被认为是最重要但未得到充分利用的可再生能源之一。基于膜的反电渗析 (RED) 通过利用离子选择性膜上浓度梯度驱动的净离子通量，可以利用渗透能直接发电。然而，非选择性离子混合引起的熵产生显着限制了 RED 系统的功率密度。因此，提高膜离子选择性至关重要。 2D 共价有机框架 (COF) 由于其排列的 1D 纳米通道、高孔隙率和有组织的离子基团，在渗透能转换方面表现出巨大的潜力。在此，我们提出了一种利用静电排斥来可控制造 TpPa-(SO</w:t>
      </w:r>
      <w:r>
        <w:rPr>
          <w:vertAlign w:val="subscript"/>
        </w:rPr>
        <w:t>3</w:t>
      </w:r>
      <w:r>
        <w:t>H)</w:t>
      </w:r>
      <w:r>
        <w:t xml:space="preserve"> </w:t>
      </w:r>
      <w:r>
        <w:t>X</w:t>
      </w:r>
      <w:r>
        <w:t xml:space="preserve"> </w:t>
      </w:r>
      <w:r>
        <w:t>摩擦系数（</w:t>
      </w:r>
      <w:r>
        <w:t xml:space="preserve"> </w:t>
      </w:r>
      <w:r>
        <w:t>X</w:t>
      </w:r>
      <w:r>
        <w:t xml:space="preserve"> </w:t>
      </w:r>
      <w:r>
        <w:t>= 0.5, 1, 1.5, 2) 具有不同离子基团密度的膜。通过 COF 合成过程中的化学计量调节，我们实现了纳米通道内磺酸基团密度的变化，从而实现了优化的电荷控制离子选择性。在模拟海水/淡水条件的盐度梯度下（0.5</w:t>
      </w:r>
      <w:r>
        <w:t xml:space="preserve"> </w:t>
      </w:r>
      <w:r>
        <w:t>米</w:t>
      </w:r>
      <w:r>
        <w:t xml:space="preserve"> </w:t>
      </w:r>
      <w:r>
        <w:t>/0.01</w:t>
      </w:r>
      <w:r>
        <w:t xml:space="preserve"> </w:t>
      </w:r>
      <w:r>
        <w:t>米</w:t>
      </w:r>
      <w:r>
        <w:t xml:space="preserve"> </w:t>
      </w:r>
      <w:r>
        <w:t>，氯化钠），该设备提供了 24.53 W m 的卓越功率输出密度</w:t>
      </w:r>
      <w:r>
        <w:t xml:space="preserve"> </w:t>
      </w:r>
      <w:r>
        <w:t>−2</w:t>
      </w:r>
      <w:r>
        <w:t xml:space="preserve"> </w:t>
      </w:r>
      <w:r>
        <w:t>，比通信增强了 4.9 倍</w:t>
      </w:r>
    </w:p>
    <w:p>
      <w:pPr>
        <w:spacing w:before="0" w:after="200" w:lineRule="auto" w:line="276"/>
      </w:pPr>
      <w:r>
        <w:rPr>
          <w:b/>
        </w:rPr>
        <w:t xml:space="preserve">Abstract (EN): </w:t>
      </w:r>
      <w:r>
        <w:t>The Gibbs free energy generated from the mixing of seawater and freshwater across a salinity gradient is considered one of the most significant yet underutilized renewable energy sources. Membrane‐based reverse electrodialysis (RED) enables direct electricity generation from osmotic energy by harnessing the net ion flux driven by concentration gradients across ion‐selective membranes. However, entropy generation caused by non‐selective ion mixing significantly limits the power density of RED systems. Therefore, enhancing membrane ion selectivity is critical. 2D covalent organic frameworks (COFs) demonstrate remarkable potential for osmotic energy conversion due to their aligned 1D nanochannel, high porosity, and organized ionic groups. Herein, we present a strategy leveraging electrostatic repulsion to controllably fabricate TpPa‐(SO</w:t>
      </w:r>
      <w:r>
        <w:rPr>
          <w:vertAlign w:val="subscript"/>
        </w:rPr>
        <w:t>3</w:t>
      </w:r>
      <w:r>
        <w:t>H)</w:t>
      </w:r>
      <w:r>
        <w:t xml:space="preserve"> </w:t>
      </w:r>
      <w:r>
        <w:t>X</w:t>
      </w:r>
      <w:r>
        <w:t xml:space="preserve"> </w:t>
      </w:r>
      <w:r>
        <w:t>COF (</w:t>
      </w:r>
      <w:r>
        <w:t xml:space="preserve"> </w:t>
      </w:r>
      <w:r>
        <w:t>X</w:t>
      </w:r>
      <w:r>
        <w:t xml:space="preserve"> </w:t>
      </w:r>
      <w:r>
        <w:t>= 0.5, 1, 1.5, 2) membranes with varied ionic group density. Via stoichiometric modulation during COF synthesis, we achieved variation in sulfonic acid group density within nanochannels, enabling optimized charge‐governed ion selectivity. Under salinity gradients mimicking seawater/freshwater conditions (0.5</w:t>
      </w:r>
      <w:r>
        <w:t xml:space="preserve"> </w:t>
      </w:r>
      <w:r>
        <w:t>m</w:t>
      </w:r>
      <w:r>
        <w:t xml:space="preserve"> </w:t>
      </w:r>
      <w:r>
        <w:t>/0.01</w:t>
      </w:r>
      <w:r>
        <w:t xml:space="preserve"> </w:t>
      </w:r>
      <w:r>
        <w:t>m</w:t>
      </w:r>
      <w:r>
        <w:t xml:space="preserve"> </w:t>
      </w:r>
      <w:r>
        <w:t>, NaCl), the device delivered an exceptional power output density of 24.53 W m</w:t>
      </w:r>
      <w:r>
        <w:t xml:space="preserve"> </w:t>
      </w:r>
      <w:r>
        <w:t>−2</w:t>
      </w:r>
      <w:r>
        <w:t xml:space="preserve"> </w:t>
      </w:r>
      <w:r>
        <w:t>, representing a 4.9‐fold enhancement over commercial benchmarks (5 W m</w:t>
      </w:r>
      <w:r>
        <w:t xml:space="preserve"> </w:t>
      </w:r>
      <w:r>
        <w:t>−2</w:t>
      </w:r>
      <w:r>
        <w:t xml:space="preserve"> </w:t>
      </w:r>
      <w:r>
        <w:t>). This study presents a novel method and strategy for the design and application of ion‐selective membranes in mass transport and efficient energy conversion.</w:t>
      </w:r>
    </w:p>
    <w:p>
      <w:pPr>
        <w:spacing w:before="120" w:after="120"/>
      </w:pPr>
      <w:r>
        <w:rPr>
          <w:sz w:val="18"/>
        </w:rPr>
        <w:t>——————————————————————————————————————————————————————————————————————</w:t>
      </w:r>
    </w:p>
    <w:p>
      <w:pPr>
        <w:spacing w:before="160" w:after="120"/>
      </w:pPr>
      <w:r>
        <w:rPr>
          <w:b/>
          <w:sz w:val="28"/>
        </w:rPr>
        <w:t>【热能】</w:t>
      </w:r>
    </w:p>
    <w:p>
      <w:pPr>
        <w:spacing w:before="160" w:after="40" w:line="240" w:lineRule="auto"/>
      </w:pPr>
      <w:r>
        <w:rPr>
          <w:b/>
        </w:rPr>
        <w:t xml:space="preserve">[1] </w:t>
      </w:r>
      <w:hyperlink r:id="rId131">
        <w:r>
          <w:rPr>
            <w:color w:val="1155CC"/>
            <w:u w:val="single"/>
          </w:rPr>
          <w:t>新兴国家和发展中国家不确定性下的金融包容性以及获得清洁烹饪燃料和技术的机会</w:t>
        </w:r>
      </w:hyperlink>
    </w:p>
    <w:p>
      <w:pPr>
        <w:spacing w:before="0" w:after="80"/>
      </w:pPr>
      <w:r>
        <w:rPr>
          <w:i/>
          <w:sz w:val="20"/>
        </w:rPr>
        <w:t>EN: Financial inclusion and access to clean cooking fuels and technologies under uncertainty in emerging and developing countries</w:t>
      </w:r>
    </w:p>
    <w:p>
      <w:pPr>
        <w:spacing w:before="0" w:after="120"/>
      </w:pPr>
      <w:r>
        <w:rPr>
          <w:b/>
        </w:rPr>
        <w:t xml:space="preserve">Source: </w:t>
      </w:r>
      <w:r>
        <w:t>ScienceDirect Publication: Energy Policy</w:t>
      </w:r>
      <w:r>
        <w:t xml:space="preserve">    </w:t>
      </w:r>
      <w:r>
        <w:rPr>
          <w:b/>
        </w:rPr>
        <w:t xml:space="preserve">Pub date: </w:t>
      </w:r>
      <w:r>
        <w:t>2026-06-13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32">
        <w:r>
          <w:rPr>
            <w:color w:val="1155CC"/>
            <w:u w:val="single"/>
          </w:rPr>
          <w:t>热电制冷技术的进展、挑战与前景</w:t>
        </w:r>
      </w:hyperlink>
    </w:p>
    <w:p>
      <w:pPr>
        <w:spacing w:before="0" w:after="80"/>
      </w:pPr>
      <w:r>
        <w:rPr>
          <w:i/>
          <w:sz w:val="20"/>
        </w:rPr>
        <w:t>EN: Advances, challenges and prospects in thermoelectric cooling technology</w:t>
      </w:r>
    </w:p>
    <w:p>
      <w:pPr>
        <w:spacing w:before="0" w:after="120"/>
      </w:pPr>
      <w:r>
        <w:rPr>
          <w:b/>
        </w:rPr>
        <w:t xml:space="preserve">Source: </w:t>
      </w:r>
      <w:r>
        <w:t>ScienceDirect Publication: Applied Energy</w:t>
      </w:r>
      <w:r>
        <w:t xml:space="preserve">    </w:t>
      </w:r>
      <w:r>
        <w:rPr>
          <w:b/>
        </w:rPr>
        <w:t xml:space="preserve">Pub date: </w:t>
      </w:r>
      <w:r>
        <w:t>2026-06-13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33">
        <w:r>
          <w:rPr>
            <w:color w:val="1155CC"/>
            <w:u w:val="single"/>
          </w:rPr>
          <w:t>自供电热电水凝胶的生物电重新唤醒加速糖尿病溃疡修复</w:t>
        </w:r>
      </w:hyperlink>
    </w:p>
    <w:p>
      <w:pPr>
        <w:spacing w:before="0" w:after="80"/>
      </w:pPr>
      <w:r>
        <w:rPr>
          <w:i/>
          <w:sz w:val="20"/>
        </w:rPr>
        <w:t>EN: Bioelectric Reawakening by a Self‐Powered Thermoelectric Hydrogel Accelerates Diabetic Ulcer Repair</w:t>
      </w:r>
    </w:p>
    <w:p>
      <w:pPr>
        <w:spacing w:before="0" w:after="120"/>
      </w:pPr>
      <w:r>
        <w:rPr>
          <w:b/>
        </w:rPr>
        <w:t xml:space="preserve">Source: </w:t>
      </w:r>
      <w:r>
        <w:t>Wiley-Online-Library: Advanced Materials: Table of Contents</w:t>
      </w:r>
      <w:r>
        <w:t xml:space="preserve">    </w:t>
      </w:r>
      <w:r>
        <w:rPr>
          <w:b/>
        </w:rPr>
        <w:t xml:space="preserve">Pub date: </w:t>
      </w:r>
      <w:r>
        <w:t>2026-06-13 06:25:05+00:00</w:t>
      </w:r>
      <w:r>
        <w:t xml:space="preserve">    </w:t>
      </w:r>
      <w:r>
        <w:rPr>
          <w:b/>
        </w:rPr>
        <w:t xml:space="preserve">DOI: </w:t>
      </w:r>
      <w:hyperlink r:id="rId134">
        <w:r>
          <w:rPr>
            <w:color w:val="1155CC"/>
            <w:u w:val="single"/>
          </w:rPr>
          <w:t>10.1002/adma.73728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由于内源性生物电紊乱以及持续感染、炎症和氧化应激，糖尿病足溃疡 (DFU) 仍然难以治愈。因此，恢复伤口生物电代表了一种有吸引力的治疗策略，而热电材料通过在无需外部电源输入的情况下收集自然皮肤-空气温度梯度而特别适合此目的。在这里，开发了一种自供电离子热电双网络水凝胶，可以同时重建伤口生物电信号并重塑不利的 DFU 微环境。水凝胶在生理温度梯度下产生与伤口相关的微电流，而木犀草素和锌</w:t>
      </w:r>
      <w:r>
        <w:rPr>
          <w:vertAlign w:val="subscript"/>
        </w:rPr>
        <w:t>2</w:t>
      </w:r>
      <w:r>
        <w:t>+</w:t>
      </w:r>
      <w:r>
        <w:t xml:space="preserve"> </w:t>
      </w:r>
      <w:r>
        <w:t>作为补充生物活性模块被纳入，以抑制细菌负担和过度炎症，从而建立一个促再生生态位。同时，含有儿茶酚的双网络结构为保形伤口覆盖提供了强大的湿粘附力和强大的机械稳定性。从机制上讲，据我们所知，这项研究提供了第一个证据，证明热电刺激通过生物电转导成 Ca 来重新编程成纤维细胞修复行为。</w:t>
      </w:r>
      <w:r>
        <w:rPr>
          <w:vertAlign w:val="subscript"/>
        </w:rPr>
        <w:t>2</w:t>
      </w:r>
      <w:r>
        <w:t>+</w:t>
      </w:r>
      <w:r>
        <w:t xml:space="preserve"> </w:t>
      </w:r>
      <w:r>
        <w:t>/钙调蛋白依赖性磷酸肌醇 3 激酶/蛋白激酶 B (PI3K/Akt) 和细胞外信号调节激酶 (Erk) 信号网络。该水凝胶具有广谱抗菌活性、免疫调节作用</w:t>
      </w:r>
    </w:p>
    <w:p>
      <w:pPr>
        <w:spacing w:before="0" w:after="200" w:lineRule="auto" w:line="276"/>
      </w:pPr>
      <w:r>
        <w:rPr>
          <w:b/>
        </w:rPr>
        <w:t xml:space="preserve">Abstract (EN): </w:t>
      </w:r>
      <w:r>
        <w:t>Diabetic foot ulcer (DFU) remains difficult to heal due to disrupted endogenous bioelectricity together with persistent infection, inflammation, and oxidative stress. Reinstating wound bioelectricity therefore represents an attractive therapeutic strategy, and thermoelectric materials are particularly suited to this purpose by harvesting the natural skin–air temperature gradient without external power input. Here, a self‐powered ionic thermoelectric dual‐network hydrogel is developed to simultaneously reconstruct wound bioelectric cues and remodel the hostile DFU microenvironment. The hydrogel generates wound‐relevant microcurrents under physiological temperature gradients, while luteolin and Zn</w:t>
      </w:r>
      <w:r>
        <w:rPr>
          <w:vertAlign w:val="subscript"/>
        </w:rPr>
        <w:t>2</w:t>
      </w:r>
      <w:r>
        <w:t>+</w:t>
      </w:r>
      <w:r>
        <w:t xml:space="preserve"> </w:t>
      </w:r>
      <w:r>
        <w:t>are incorporated as complementary bioactive modules to suppress bacterial burden and excessive inflammation, thereby establishing a pro‐regenerative niche. Meanwhile, the catechol‐containing dual‐network architecture imparts strong wet adhesion and robust mechanical stability for conformal wound coverage. Mechanistically, this study provides, to our knowledge, the first evidence that thermoelectric stimulation reprograms fibroblast repair behavior through bioelectric transduction into a Ca</w:t>
      </w:r>
      <w:r>
        <w:rPr>
          <w:vertAlign w:val="subscript"/>
        </w:rPr>
        <w:t>2</w:t>
      </w:r>
      <w:r>
        <w:t>+</w:t>
      </w:r>
      <w:r>
        <w:t xml:space="preserve"> </w:t>
      </w:r>
      <w:r>
        <w:t>/calmodulin‐dependent phosphoinositide 3‐kinase/protein kinase B (PI3K/Akt) and extracellular signal‐regulated kinase (Erk) signaling network. The hydrogel exhibits broad‐spectrum antibacterial activity, immunomodulatory effects, and pro‐angiogenic capacity in vitro, and accelerates wound healing by 66.84% in diabetic rats. This work establishes a self‐powered strategy that integrates bioelectric restoration with microenvironment remodeling for DFU repair.</w:t>
      </w:r>
    </w:p>
    <w:p>
      <w:pPr>
        <w:spacing w:before="120" w:after="120"/>
      </w:pPr>
      <w:r>
        <w:rPr>
          <w:sz w:val="18"/>
        </w:rPr>
        <w:t>——————————————————————————————————————————————————————————————————————</w:t>
      </w:r>
    </w:p>
    <w:p>
      <w:pPr>
        <w:spacing w:before="160" w:after="40" w:line="240" w:lineRule="auto"/>
      </w:pPr>
      <w:r>
        <w:rPr>
          <w:b/>
        </w:rPr>
        <w:t xml:space="preserve">[4] </w:t>
      </w:r>
      <w:hyperlink r:id="rId135">
        <w:r>
          <w:rPr>
            <w:color w:val="1155CC"/>
            <w:u w:val="single"/>
          </w:rPr>
          <w:t>可涂漆的仿生分层表皮解决了全天候建筑改造的冷却与电力权衡问题</w:t>
        </w:r>
      </w:hyperlink>
    </w:p>
    <w:p>
      <w:pPr>
        <w:spacing w:before="0" w:after="80"/>
      </w:pPr>
      <w:r>
        <w:rPr>
          <w:i/>
          <w:sz w:val="20"/>
        </w:rPr>
        <w:t>EN: A Paintable Bioinspired Stratified Skin Resolving the Cooling‐Electricity Trade‐Off for All‐Weather Building Retrofits</w:t>
      </w:r>
    </w:p>
    <w:p>
      <w:pPr>
        <w:spacing w:before="0" w:after="120"/>
      </w:pPr>
      <w:r>
        <w:rPr>
          <w:b/>
        </w:rPr>
        <w:t xml:space="preserve">Source: </w:t>
      </w:r>
      <w:r>
        <w:t>Wiley-Online-Library: Advanced Materials: Table of Contents</w:t>
      </w:r>
      <w:r>
        <w:t xml:space="preserve">    </w:t>
      </w:r>
      <w:r>
        <w:rPr>
          <w:b/>
        </w:rPr>
        <w:t xml:space="preserve">Pub date: </w:t>
      </w:r>
      <w:r>
        <w:t>2026-06-13 13:45:37+00:00</w:t>
      </w:r>
      <w:r>
        <w:t xml:space="preserve">    </w:t>
      </w:r>
      <w:r>
        <w:rPr>
          <w:b/>
        </w:rPr>
        <w:t xml:space="preserve">DOI: </w:t>
      </w:r>
      <w:hyperlink r:id="rId136">
        <w:r>
          <w:rPr>
            <w:color w:val="1155CC"/>
            <w:u w:val="single"/>
          </w:rPr>
          <w:t>10.1002/adma.73697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被动日间辐射冷却（PDRC）可以通过将热量散发到寒冷的外层空间来缓解热应激，但其好处会受到降雨和高纬度地区过冷的抑制。为了抵消这些限制，可以通过液滴发电机（DEG）利用全球分布的降雨进行补充发电。然而，将 DEG 与 PDRC 集成，同时保持冷却和电气性能仍然具有挑战性。受铁兰毛状体的启发，我们报告了一种可涂漆的双功能皮肤，它通过分层组织和功能重用解决了这种权衡。氟化顶层能够实现可重复的液滴带电和​​自清洁，同时保留强中红外发射，而基于纳米颗粒的层同时提供宽带太阳散射和介电电荷存储。在蒙特卡罗模拟的指导下，该表皮具有 96.2% 的太阳反射率和 96.5% 的热发射率，可提供 104 W m 的峰值净冷却功率</w:t>
      </w:r>
      <w:r>
        <w:t xml:space="preserve"> </w:t>
      </w:r>
      <w:r>
        <w:t>−2</w:t>
      </w:r>
      <w:r>
        <w:t xml:space="preserve"> </w:t>
      </w:r>
      <w:r>
        <w:t>，并能在室外低于环境温度 9.5°C 的情况下维持六个月以上。降雨期间，峰值电力密度达到 357 W m</w:t>
      </w:r>
      <w:r>
        <w:t xml:space="preserve"> </w:t>
      </w:r>
      <w:r>
        <w:t>−2</w:t>
      </w:r>
      <w:r>
        <w:t xml:space="preserve"> </w:t>
      </w:r>
      <w:r>
        <w:t>。覆盖 1803 个城市的全球模型预测，相对于独立的 PDRC，净正年度效益的纬度跨度将扩大 33.9%，从而为全天候、高纬度的建筑改造提供了一条可扩展的路线。</w:t>
      </w:r>
    </w:p>
    <w:p>
      <w:pPr>
        <w:spacing w:before="0" w:after="200" w:lineRule="auto" w:line="276"/>
      </w:pPr>
      <w:r>
        <w:rPr>
          <w:b/>
        </w:rPr>
        <w:t xml:space="preserve">Abstract (EN): </w:t>
      </w:r>
      <w:r>
        <w:t>Passive daytime radiative cooling (PDRC) can mitigate heat stress by dissipating heat into cold outer space, yet its benefit is suppressed by rainfall and by overcooling at higher latitudes. To offset these limitations, globally distributed rainfall can be harnessed for complementary electricity generation via a droplet electricity generator (DEG). However, integrating DEG with PDRC while preserving both cooling and electrical performance remains challenging. Inspired by Tillandsia trichomes, we report a paintable bifunctional skin that resolves this trade‐off through stratified organization and functional reuse. A fluorinated top layer enables repeatable droplet electrification and self‐cleaning while preserving strong mid‐infrared emission, whereas nanoparticle‐based layers simultaneously provide broadband solar scattering and dielectric charge storage. Guided by Monte Carlo simulations, this skin exhibits 96.2% solar reflectance and 96.5% thermal emissivity, delivers a peak net cooling power of 104 W m</w:t>
      </w:r>
      <w:r>
        <w:t xml:space="preserve"> </w:t>
      </w:r>
      <w:r>
        <w:t>−2</w:t>
      </w:r>
      <w:r>
        <w:t xml:space="preserve"> </w:t>
      </w:r>
      <w:r>
        <w:t>, and sustains outdoor sub‐ambient cooling of up to 9.5°C for more than six months. During rainfall, it reaches a peak electrical power density of 357 W m</w:t>
      </w:r>
      <w:r>
        <w:t xml:space="preserve"> </w:t>
      </w:r>
      <w:r>
        <w:t>−2</w:t>
      </w:r>
      <w:r>
        <w:t xml:space="preserve"> </w:t>
      </w:r>
      <w:r>
        <w:t>. Global modeling across 1803 cities predicts a 33.9% expansion in the latitude span of net‐positive annual benefit relative to standalone PDRC, offering a scalable route toward all‐weather, latitude‐robust building retrofits.</w:t>
      </w:r>
    </w:p>
    <w:p>
      <w:pPr>
        <w:spacing w:before="120" w:after="120"/>
      </w:pPr>
      <w:r>
        <w:rPr>
          <w:sz w:val="18"/>
        </w:rPr>
        <w:t>——————————————————————————————————————————————————————————————————————</w:t>
      </w:r>
    </w:p>
    <w:p>
      <w:pPr>
        <w:spacing w:before="160" w:after="40" w:line="240" w:lineRule="auto"/>
      </w:pPr>
      <w:r>
        <w:rPr>
          <w:b/>
        </w:rPr>
        <w:t xml:space="preserve">[5] </w:t>
      </w:r>
      <w:hyperlink r:id="rId137">
        <w:r>
          <w:rPr>
            <w:color w:val="1155CC"/>
            <w:u w:val="single"/>
          </w:rPr>
          <w:t>通过极化反转测量区分本征热释电效应和界面热释电效应</w:t>
        </w:r>
      </w:hyperlink>
    </w:p>
    <w:p>
      <w:pPr>
        <w:spacing w:before="0" w:after="80"/>
      </w:pPr>
      <w:r>
        <w:rPr>
          <w:i/>
          <w:sz w:val="20"/>
        </w:rPr>
        <w:t>EN: Distinguishing intrinsic and interfacial pyroelectric effects by polarization reversal measurements</w:t>
      </w:r>
    </w:p>
    <w:p>
      <w:pPr>
        <w:spacing w:before="0" w:after="120"/>
      </w:pPr>
      <w:r>
        <w:rPr>
          <w:b/>
        </w:rPr>
        <w:t xml:space="preserve">Source: </w:t>
      </w:r>
      <w:r>
        <w:t>Physical sciences : Nature Communications subject feeds</w:t>
      </w:r>
      <w:r>
        <w:t xml:space="preserve">    </w:t>
      </w:r>
      <w:r>
        <w:rPr>
          <w:b/>
        </w:rPr>
        <w:t xml:space="preserve">Pub date: </w:t>
      </w:r>
      <w:r>
        <w:t>2026-06-15 00:00:00+00:00</w:t>
      </w:r>
    </w:p>
    <w:p>
      <w:pPr>
        <w:spacing w:before="0" w:after="120"/>
      </w:pPr>
      <w:r>
        <w:rPr>
          <w:b/>
        </w:rPr>
        <w:t xml:space="preserve">Notes: </w:t>
      </w:r>
      <w:r>
        <w:t>abstract_source=nature_html</w:t>
      </w:r>
    </w:p>
    <w:p>
      <w:pPr>
        <w:spacing w:before="0" w:after="80" w:lineRule="auto" w:line="276"/>
      </w:pPr>
      <w:r>
        <w:rPr>
          <w:b/>
        </w:rPr>
        <w:t xml:space="preserve">摘要（ZH）: </w:t>
      </w:r>
      <w:r>
        <w:t>热释电装置有望用于热能收集和传感。虽然以前的研究集中在本征热释电响应上，但他们忽略了电极-材料界面处的界面热释电效应，导致高估了对热释电的本征贡献。通过利用内在效应的可逆性和界面效应的不可逆性，我们提出了一种使用极化反转测量来区分它们的方法。通过计算这两种效应对不同铁电薄膜的贡献，观察到在具有肖特基接触的 PbTiO3 和 BaTiO3 薄膜中，本征热释电效应和界面热释电效应分别占主导地位，从而改变了能量品质因数。此外，采用机器学习模型来预测内在效应和界面效应的比例，为材料筛选提供策略。这项工作为基于铁电薄膜的高性能热释电器件提供了一种快速优化方法和指南。</w:t>
      </w:r>
    </w:p>
    <w:p>
      <w:pPr>
        <w:spacing w:before="0" w:after="200" w:lineRule="auto" w:line="276"/>
      </w:pPr>
      <w:r>
        <w:rPr>
          <w:b/>
        </w:rPr>
        <w:t xml:space="preserve">Abstract (EN): </w:t>
      </w:r>
      <w:r>
        <w:t>Pyroelectric devices hold promise for thermal energy harvesting and sensing. While previous studies have focused on the intrinsic pyroelectric response, they neglect the interfacial pyroelectric effect at the electrode-material interface, leading to an overestimation of the intrinsic contribution to pyroelectricity. By leveraging the reversibility of the intrinsic effect and the irreversibility of the interfacial effect, we propose a method that uses polarization reversal measurements to distinguish between them. By calculating the contributions of the two effects for different ferroelectric films, it is observed that the intrinsic and interfacial pyroelectric effects dominate in PbTiO3 and BaTiO3 films with Schottky contacts, respectively, modifying the energy Figure of Merit. Furthermore, a machine learning model is employed to predict the proportion of intrinsic and interfacial effects, offering strategies for material screening. This work provides a rapid optimization approach and guidelines for high-performance pyroelectric devices based on ferroelectric films.</w:t>
      </w:r>
    </w:p>
    <w:p>
      <w:pPr>
        <w:spacing w:before="120" w:after="120"/>
      </w:pPr>
      <w:r>
        <w:rPr>
          <w:sz w:val="18"/>
        </w:rPr>
        <w:t>——————————————————————————————————————————————————————————————————————</w:t>
      </w:r>
    </w:p>
    <w:p>
      <w:pPr>
        <w:spacing w:before="160" w:after="40" w:line="240" w:lineRule="auto"/>
      </w:pPr>
      <w:r>
        <w:rPr>
          <w:b/>
        </w:rPr>
        <w:t xml:space="preserve">[6] </w:t>
      </w:r>
      <w:hyperlink r:id="rId138">
        <w:r>
          <w:rPr>
            <w:color w:val="1155CC"/>
            <w:u w:val="single"/>
          </w:rPr>
          <w:t>水源热泵的数据驱动预测模型：能源站数字孪生开发</w:t>
        </w:r>
      </w:hyperlink>
    </w:p>
    <w:p>
      <w:pPr>
        <w:spacing w:before="0" w:after="80"/>
      </w:pPr>
      <w:r>
        <w:rPr>
          <w:i/>
          <w:sz w:val="20"/>
        </w:rPr>
        <w:t>EN: Data-driven predictive modeling for water source heat pumps: Toward digital twin development for energy stations</w:t>
      </w:r>
    </w:p>
    <w:p>
      <w:pPr>
        <w:spacing w:before="0" w:after="120"/>
      </w:pPr>
      <w:r>
        <w:rPr>
          <w:b/>
        </w:rPr>
        <w:t xml:space="preserve">Source: </w:t>
      </w:r>
      <w:r>
        <w:t>ScienceDirect Publication: Applied Energy</w:t>
      </w:r>
      <w:r>
        <w:t xml:space="preserve">    </w:t>
      </w:r>
      <w:r>
        <w:rPr>
          <w:b/>
        </w:rPr>
        <w:t xml:space="preserve">Pub date: </w:t>
      </w:r>
      <w:r>
        <w:t>2026-06-15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139">
        <w:r>
          <w:rPr>
            <w:color w:val="1155CC"/>
            <w:u w:val="single"/>
          </w:rPr>
          <w:t>热化学储能系统与自适应涡轮机械工业集成的运行经济评估</w:t>
        </w:r>
      </w:hyperlink>
    </w:p>
    <w:p>
      <w:pPr>
        <w:spacing w:before="0" w:after="80"/>
      </w:pPr>
      <w:r>
        <w:rPr>
          <w:i/>
          <w:sz w:val="20"/>
        </w:rPr>
        <w:t>EN: Exergoeconomic assessment of the industrial integration of a thermochemical energy storage system with adaptive turbomachinery</w:t>
      </w:r>
    </w:p>
    <w:p>
      <w:pPr>
        <w:spacing w:before="0" w:after="120"/>
      </w:pPr>
      <w:r>
        <w:rPr>
          <w:b/>
        </w:rPr>
        <w:t xml:space="preserve">Source: </w:t>
      </w:r>
      <w:r>
        <w:t>ScienceDirect Publication: Applied Energy</w:t>
      </w:r>
      <w:r>
        <w:t xml:space="preserve">    </w:t>
      </w:r>
      <w:r>
        <w:rPr>
          <w:b/>
        </w:rPr>
        <w:t xml:space="preserve">Pub date: </w:t>
      </w:r>
      <w:r>
        <w:t>2026-06-15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140">
        <w:r>
          <w:rPr>
            <w:color w:val="1155CC"/>
            <w:u w:val="single"/>
          </w:rPr>
          <w:t>共同遵守粮食安全和环境限制限制了能源作物的全球潜力</w:t>
        </w:r>
      </w:hyperlink>
    </w:p>
    <w:p>
      <w:pPr>
        <w:spacing w:before="0" w:after="80"/>
      </w:pPr>
      <w:r>
        <w:rPr>
          <w:i/>
          <w:sz w:val="20"/>
        </w:rPr>
        <w:t>EN: Joint compliance with food security and environmental constraints limits the global potential of energy crops</w:t>
      </w:r>
    </w:p>
    <w:p>
      <w:pPr>
        <w:spacing w:before="0" w:after="120"/>
      </w:pPr>
      <w:r>
        <w:rPr>
          <w:b/>
        </w:rPr>
        <w:t xml:space="preserve">Source: </w:t>
      </w:r>
      <w:r>
        <w:t>One Earth</w:t>
      </w:r>
      <w:r>
        <w:t xml:space="preserve">    </w:t>
      </w:r>
      <w:r>
        <w:rPr>
          <w:b/>
        </w:rPr>
        <w:t xml:space="preserve">Pub date: </w:t>
      </w:r>
      <w:r>
        <w:t>2026-06-15 00:00:00+00:00</w:t>
      </w:r>
      <w:r>
        <w:t xml:space="preserve">    </w:t>
      </w:r>
      <w:r>
        <w:rPr>
          <w:b/>
        </w:rPr>
        <w:t xml:space="preserve">DOI: </w:t>
      </w:r>
      <w:hyperlink r:id="rId141">
        <w:r>
          <w:rPr>
            <w:color w:val="1155CC"/>
            <w:u w:val="single"/>
          </w:rPr>
          <w:t>10.1016/j.oneear.2026.101739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142">
        <w:r>
          <w:rPr>
            <w:color w:val="1155CC"/>
            <w:u w:val="single"/>
          </w:rPr>
          <w:t>结合光催化和光热利用的光谱定制方法，实现高效太阳能转换：理论分析和实验研究</w:t>
        </w:r>
      </w:hyperlink>
    </w:p>
    <w:p>
      <w:pPr>
        <w:spacing w:before="0" w:after="80"/>
      </w:pPr>
      <w:r>
        <w:rPr>
          <w:i/>
          <w:sz w:val="20"/>
        </w:rPr>
        <w:t>EN: A spectrum-tailored approach integrating photocatalysis and photothermal utilization for efficient solar energy conversion: theoretical analysis and experimental investigation</w:t>
      </w:r>
    </w:p>
    <w:p>
      <w:pPr>
        <w:spacing w:before="0" w:after="120"/>
      </w:pPr>
      <w:r>
        <w:rPr>
          <w:b/>
        </w:rPr>
        <w:t xml:space="preserve">Source: </w:t>
      </w:r>
      <w:r>
        <w:t>ScienceDirect Publication: Applied Energy</w:t>
      </w:r>
      <w:r>
        <w:t xml:space="preserve">    </w:t>
      </w:r>
      <w:r>
        <w:rPr>
          <w:b/>
        </w:rPr>
        <w:t xml:space="preserve">Pub date: </w:t>
      </w:r>
      <w:r>
        <w:t>2026-06-15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 </w:t>
      </w:r>
      <w:hyperlink r:id="rId143">
        <w:r>
          <w:rPr>
            <w:color w:val="1155CC"/>
            <w:u w:val="single"/>
          </w:rPr>
          <w:t>基于生物质的热可调双余辉，具有室温日光可见度</w:t>
        </w:r>
      </w:hyperlink>
    </w:p>
    <w:p>
      <w:pPr>
        <w:spacing w:before="0" w:after="80"/>
      </w:pPr>
      <w:r>
        <w:rPr>
          <w:i/>
          <w:sz w:val="20"/>
        </w:rPr>
        <w:t>EN: Biomass-based thermally tunable dual afterglow with room temperature daylight visibility</w:t>
      </w:r>
    </w:p>
    <w:p>
      <w:pPr>
        <w:spacing w:before="0" w:after="120"/>
      </w:pPr>
      <w:r>
        <w:rPr>
          <w:b/>
        </w:rPr>
        <w:t xml:space="preserve">Source: </w:t>
      </w:r>
      <w:r>
        <w:t>Physical sciences : Nature Communications subject feeds</w:t>
      </w:r>
      <w:r>
        <w:t xml:space="preserve">    </w:t>
      </w:r>
      <w:r>
        <w:rPr>
          <w:b/>
        </w:rPr>
        <w:t xml:space="preserve">Pub date: </w:t>
      </w:r>
      <w:r>
        <w:t>2026-06-15 00:00:00+00:00</w:t>
      </w:r>
    </w:p>
    <w:p>
      <w:pPr>
        <w:spacing w:before="0" w:after="120"/>
      </w:pPr>
      <w:r>
        <w:rPr>
          <w:b/>
        </w:rPr>
        <w:t xml:space="preserve">Notes: </w:t>
      </w:r>
      <w:r>
        <w:t>abstract_source=nature_html</w:t>
      </w:r>
    </w:p>
    <w:p>
      <w:pPr>
        <w:spacing w:before="0" w:after="80" w:lineRule="auto" w:line="276"/>
      </w:pPr>
      <w:r>
        <w:rPr>
          <w:b/>
        </w:rPr>
        <w:t xml:space="preserve">摘要（ZH）: </w:t>
      </w:r>
      <w:r>
        <w:t>同时提供热激活延迟荧光 (TADF) 和室温磷光 (RTP) 的生物质衍生的长余辉材料备受追捧，但实现起来仍然具有挑战性，特别是在需要日光可见 RTP 和耐高温、颜色可调 TADF 时。在此，我们通过使用硼酸（BA）在轻松的空气干燥过程中原位共价交联天然鞣花酸（EA）和纤维素（Cell），开发了一种热可调RTP-TADF双模余辉材料，具有热致变色绿光至蓝光发射。由此产生的 EA@Cell 具有 B-O-C 刚性结构网络，表现出持久的绿色 RTP，在日光条件下紫外线激发下肉眼可见长达 8 秒。值得注意的是，EA@Cell 在 293–413 K 范围内表现出热增强的 TADF 发射，余辉寿命延长了 127 倍，即使在高达 453 K 的温度下也能保持其结构完整性和发射稳定性。作为 EA@Cell 的实际演示，EA 和 BA 的解决方案被配制为日光可见 RTP 油墨和热致变色余辉油墨，从而实现低成本纤维素基油墨防伪、高温热传感、动态信息加密。</w:t>
      </w:r>
    </w:p>
    <w:p>
      <w:pPr>
        <w:spacing w:before="0" w:after="200" w:lineRule="auto" w:line="276"/>
      </w:pPr>
      <w:r>
        <w:rPr>
          <w:b/>
        </w:rPr>
        <w:t xml:space="preserve">Abstract (EN): </w:t>
      </w:r>
      <w:r>
        <w:t>Biomass-derived long-persistent afterglow materials that simultaneously deliver thermally activated delayed fluorescence (TADF) and room-temperature phosphorescence (RTP) are highly sought after but remain challenging to achieve, particularly when daylight-visible RTP and high-temperature-tolerant, color-tunable TADF are required. Herein, we develop a thermally tunable RTP-TADF dual-mode afterglow material featuring thermochromic green-to-blue emission by using boric acid (BA) to covalently crosslink natural ellagic acid (EA) and cellulose (Cell) in situ during a facile air-drying process. The resulting EA@Cell, with B-O-C-rigidified structural network, exhibits long-persistent green RTP that remains visible to the naked eye for up to 8 s under daylight conditions upon ultraviolet excitation. Notably, EA@Cell exhibits thermally enhanced TADF emission across 293–413 K, with a 127-fold increase in afterglow lifetime, and maintains its structural integrity and emissive robustness even at temperatures as high as 453 K. As a practical demonstration of EA@Cell, the solution of EA and BA is formulated into daylight-visible RTP inks and thermochromic afterglow inks, enabling low-cost cellulose-based anti-counterfeiting, high-temperature thermal sensing, and dynamic information encryption.</w:t>
      </w:r>
    </w:p>
    <w:p>
      <w:pPr>
        <w:spacing w:before="120" w:after="120"/>
      </w:pPr>
      <w:r>
        <w:rPr>
          <w:sz w:val="18"/>
        </w:rPr>
        <w:t>——————————————————————————————————————————————————————————————————————</w:t>
      </w:r>
    </w:p>
    <w:p>
      <w:pPr>
        <w:spacing w:before="160" w:after="40" w:line="240" w:lineRule="auto"/>
      </w:pPr>
      <w:r>
        <w:rPr>
          <w:b/>
        </w:rPr>
        <w:t xml:space="preserve">[11] </w:t>
      </w:r>
      <w:hyperlink r:id="rId144">
        <w:r>
          <w:rPr>
            <w:color w:val="1155CC"/>
            <w:u w:val="single"/>
          </w:rPr>
          <w:t>通过多模态文献挖掘实现机器学习引导的无铅弛豫器逆向设计</w:t>
        </w:r>
      </w:hyperlink>
    </w:p>
    <w:p>
      <w:pPr>
        <w:spacing w:before="0" w:after="80"/>
      </w:pPr>
      <w:r>
        <w:rPr>
          <w:i/>
          <w:sz w:val="20"/>
        </w:rPr>
        <w:t>EN: Machine-learning-guided inverse design of lead-free relaxors enabled by multimodal literature mining</w:t>
      </w:r>
    </w:p>
    <w:p>
      <w:pPr>
        <w:spacing w:before="0" w:after="120"/>
      </w:pPr>
      <w:r>
        <w:rPr>
          <w:b/>
        </w:rPr>
        <w:t xml:space="preserve">Source: </w:t>
      </w:r>
      <w:r>
        <w:t>Physical sciences : Nature Communications subject feeds</w:t>
      </w:r>
      <w:r>
        <w:t xml:space="preserve">    </w:t>
      </w:r>
      <w:r>
        <w:rPr>
          <w:b/>
        </w:rPr>
        <w:t xml:space="preserve">Pub date: </w:t>
      </w:r>
      <w:r>
        <w:t>2026-06-15 00:00:00+00:00</w:t>
      </w:r>
    </w:p>
    <w:p>
      <w:pPr>
        <w:spacing w:before="0" w:after="120"/>
      </w:pPr>
      <w:r>
        <w:rPr>
          <w:b/>
        </w:rPr>
        <w:t xml:space="preserve">Notes: </w:t>
      </w:r>
      <w:r>
        <w:t>abstract_source=nature_html</w:t>
      </w:r>
    </w:p>
    <w:p>
      <w:pPr>
        <w:spacing w:before="0" w:after="80" w:lineRule="auto" w:line="276"/>
      </w:pPr>
      <w:r>
        <w:rPr>
          <w:b/>
        </w:rPr>
        <w:t xml:space="preserve">摘要（ZH）: </w:t>
      </w:r>
      <w:r>
        <w:t>结合高介电常数和耐热性的无铅弛豫剂对于在高温下运行的集成电子和电力系统至关重要。然而，它们的发展仍然从根本上受到固有属性权衡和巨大的化学搜索空间的阻碍。在这里，我们报告了一种逆向设计框架，它将多模态文献挖掘与物理引导的基于描述符的深度集成学习相结合，用于系统的弛豫筛选。通过筛选超过 1.5 亿个候选的组合空间，我们确定了 (Sr0.48Na0.26Bi0.26)(Ti1−xSnx)O3 (0 ≤ x ≤ 0.02) 组合物作为低复杂性组合物窗口，满足稀疏的三目标介电特性体系。实验验证证实，x = 0.01和0.02的组合物满足介电稳定性的预定设计目标，同时保持室温介电常数高于3300。这种稳定性进一步体现在同时满足高温侧X5R/X6R/X7R标准。原子尺度表征表明，八面体骨架膨胀会引起极性异质性，这是观察到的介电性能的基础。我们的结果建立了一个经过实验验证的向下选择框架，用于导航复杂的弛豫设计空间并加速数据驱动的温度稳定无铅电介质的发现。</w:t>
      </w:r>
    </w:p>
    <w:p>
      <w:pPr>
        <w:spacing w:before="0" w:after="200" w:lineRule="auto" w:line="276"/>
      </w:pPr>
      <w:r>
        <w:rPr>
          <w:b/>
        </w:rPr>
        <w:t xml:space="preserve">Abstract (EN): </w:t>
      </w:r>
      <w:r>
        <w:t>Lead-free relaxors combining high permittivity with thermal robustness are essential for integrated electronics and power systems operating at elevated temperatures. However, their development remains fundamentally hindered by inherent property trade-offs and the immense chemical search space. Here, we report an inverse-design framework integrating multimodal literature mining with physics-guided descriptor-based deep ensemble learning for systematic relaxor screening. By screening a combinatorial space exceeding 150 million candidates, we identify the (Sr0.48Na0.26Bi0.26)(Ti1−xSnx)O3 (0 ≤ x ≤ 0.02) compositions as a low-complexity composition window that satisfies a sparsely populated tri-target dielectric-property regime. Experimental validation confirms that compositions with x = 0.01 and 0.02 meet the predefined design targets for dielectric stability while maintaining a room temperature permittivity above 3300. This stability is further reflected in the simultaneous satisfaction of the upper-temperature-side X5R/X6R/X7R criteria. Atomic-scale characterization reveals that octahedral framework expansion induces polar heterogeneity, underlying the observed dielectric performance. Our results establish an experimentally validated down-selection framework for navigating complex relaxor design spaces and accelerating the data-driven discovery of temperature-stable lead-free dielectrics.</w:t>
      </w:r>
    </w:p>
    <w:p>
      <w:pPr>
        <w:spacing w:before="120" w:after="120"/>
      </w:pPr>
      <w:r>
        <w:rPr>
          <w:sz w:val="18"/>
        </w:rPr>
        <w:t>——————————————————————————————————————————————————————————————————————</w:t>
      </w:r>
    </w:p>
    <w:p>
      <w:pPr>
        <w:spacing w:before="160" w:after="40" w:line="240" w:lineRule="auto"/>
      </w:pPr>
      <w:r>
        <w:rPr>
          <w:b/>
        </w:rPr>
        <w:t xml:space="preserve">[12] </w:t>
      </w:r>
      <w:hyperlink r:id="rId145">
        <w:r>
          <w:rPr>
            <w:color w:val="1155CC"/>
            <w:u w:val="single"/>
          </w:rPr>
          <w:t>遵循公平数据原则的运行聚光太阳能发电厂数据的 PAINT 数据库</w:t>
        </w:r>
      </w:hyperlink>
    </w:p>
    <w:p>
      <w:pPr>
        <w:spacing w:before="0" w:after="80"/>
      </w:pPr>
      <w:r>
        <w:rPr>
          <w:i/>
          <w:sz w:val="20"/>
        </w:rPr>
        <w:t>EN: The PAINT database for operational concentrating solar power plant data following FAIR data principles</w:t>
      </w:r>
    </w:p>
    <w:p>
      <w:pPr>
        <w:spacing w:before="0" w:after="120"/>
      </w:pPr>
      <w:r>
        <w:rPr>
          <w:b/>
        </w:rPr>
        <w:t xml:space="preserve">Source: </w:t>
      </w:r>
      <w:r>
        <w:t>Nature Energy</w:t>
      </w:r>
      <w:r>
        <w:t xml:space="preserve">    </w:t>
      </w:r>
      <w:r>
        <w:rPr>
          <w:b/>
        </w:rPr>
        <w:t xml:space="preserve">Pub date: </w:t>
      </w:r>
      <w:r>
        <w:t>2026-06-16 00:00:00+00:00</w:t>
      </w:r>
      <w:r>
        <w:t xml:space="preserve">    </w:t>
      </w:r>
      <w:r>
        <w:rPr>
          <w:b/>
        </w:rPr>
        <w:t xml:space="preserve">DOI: </w:t>
      </w:r>
      <w:hyperlink r:id="rId146">
        <w:r>
          <w:rPr>
            <w:color w:val="1155CC"/>
            <w:u w:val="single"/>
          </w:rPr>
          <w:t>10.1038/s41560-026-02070-1</w:t>
        </w:r>
      </w:hyperlink>
    </w:p>
    <w:p>
      <w:pPr>
        <w:spacing w:before="0" w:after="120"/>
      </w:pPr>
      <w:r>
        <w:rPr>
          <w:b/>
        </w:rPr>
        <w:t xml:space="preserve">Notes: </w:t>
      </w:r>
      <w:r>
        <w:t>abstract_source=nature_html</w:t>
      </w:r>
    </w:p>
    <w:p>
      <w:pPr>
        <w:spacing w:before="0" w:after="80" w:lineRule="auto" w:line="276"/>
      </w:pPr>
      <w:r>
        <w:rPr>
          <w:b/>
        </w:rPr>
        <w:t xml:space="preserve">摘要（ZH）: </w:t>
      </w:r>
      <w:r>
        <w:t>整合可再生能源对于维持电网稳定性、同时努力实现全球气候目标至关重要。聚光型太阳能塔式发电厂提供了一种很有前景的解决方案，但其竞争力目前因运营成本高、数据可用性有限以及新兴技术采用缓慢而受到阻碍。为了解决这些障碍，我们在这里引入 PAINT，这是一个用于运行太阳能塔电站数据的 FAIR（可查找、可访问、可互操作和可重用）开放访问数据库。 PAINT 提供了多年来从 Jülich 太阳能塔工厂收集的 849 GB 高分辨率数据，包括定日镜特性、校准和偏转测量以及细粒度的天气数据。该数据库使用时空资产目录元数据规范进行组织，并支持数字孪生的开发、基于人工智能的校准方法、预测性维护和改进的太阳通量预测。我们还引入标准化基准来促进可重复性和公平比较。 PAINT 通过提供高质量数据，可以更广泛地参与太阳能研究，加速创新并促进太阳能塔式发电厂研究中的数据驱动解决方案。</w:t>
      </w:r>
    </w:p>
    <w:p>
      <w:pPr>
        <w:spacing w:before="0" w:after="200" w:lineRule="auto" w:line="276"/>
      </w:pPr>
      <w:r>
        <w:rPr>
          <w:b/>
        </w:rPr>
        <w:t xml:space="preserve">Abstract (EN): </w:t>
      </w:r>
      <w:r>
        <w:t>Integrating renewable energy is critical for maintaining grid stability while striving towards global climate goals. Concentrating solar power tower plants offer a promising solution but their competitiveness is currently hindered by high operational costs, limited data availability and slow adoption of emerging technologies. To address these barriers, here we introduce PAINT, a FAIR (findable, accessible, interoperable and reusable) open-access database for operational solar tower plant data. PAINT provides 849 GB of high-resolution data collected over multiple years from the Jülich solar tower plant, including heliostat properties, calibration and deflectometry measurements and fine-grained weather data. The database is organized using the SpatioTemporal Asset Catalog metadata specification and supports the development of digital twins, artificial intelligence-based calibration methods, predictive maintenance and improved solar flux prediction. We also introduce standardized benchmarks to promote reproducibility and fair comparisons. Providing access to high-quality data, PAINT enables broader participation in solar research, accelerates innovation and facilitates data-driven solutions in solar tower power plant research.</w:t>
      </w:r>
    </w:p>
    <w:p>
      <w:pPr>
        <w:spacing w:before="120" w:after="120"/>
      </w:pPr>
      <w:r>
        <w:rPr>
          <w:sz w:val="18"/>
        </w:rPr>
        <w:t>——————————————————————————————————————————————————————————————————————</w:t>
      </w:r>
    </w:p>
    <w:p>
      <w:pPr>
        <w:spacing w:before="160" w:after="40" w:line="240" w:lineRule="auto"/>
      </w:pPr>
      <w:r>
        <w:rPr>
          <w:b/>
        </w:rPr>
        <w:t xml:space="preserve">[13] </w:t>
      </w:r>
      <w:hyperlink r:id="rId147">
        <w:r>
          <w:rPr>
            <w:color w:val="1155CC"/>
            <w:u w:val="single"/>
          </w:rPr>
          <w:t>利用地热驱动的有机朗肯循环改造废弃油气井发电</w:t>
        </w:r>
      </w:hyperlink>
    </w:p>
    <w:p>
      <w:pPr>
        <w:spacing w:before="0" w:after="80"/>
      </w:pPr>
      <w:r>
        <w:rPr>
          <w:i/>
          <w:sz w:val="20"/>
        </w:rPr>
        <w:t>EN: Electricity generation from retrofitted abandoned oil and gas wells using a geothermal-driven organic rankine cycle</w:t>
      </w:r>
    </w:p>
    <w:p>
      <w:pPr>
        <w:spacing w:before="0" w:after="120"/>
      </w:pPr>
      <w:r>
        <w:rPr>
          <w:b/>
        </w:rPr>
        <w:t xml:space="preserve">Source: </w:t>
      </w:r>
      <w:r>
        <w:t>ScienceDirect Publication: Applied Energy</w:t>
      </w:r>
      <w:r>
        <w:t xml:space="preserve">    </w:t>
      </w:r>
      <w:r>
        <w:rPr>
          <w:b/>
        </w:rPr>
        <w:t xml:space="preserve">Pub date: </w:t>
      </w:r>
      <w:r>
        <w:t>2026-06-16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 </w:t>
      </w:r>
      <w:hyperlink r:id="rId148">
        <w:r>
          <w:rPr>
            <w:color w:val="1155CC"/>
            <w:u w:val="single"/>
          </w:rPr>
          <w:t>Metaceramic 可实现超高温记录校正和可编程 3D 热控制</w:t>
        </w:r>
      </w:hyperlink>
    </w:p>
    <w:p>
      <w:pPr>
        <w:spacing w:before="0" w:after="80"/>
      </w:pPr>
      <w:r>
        <w:rPr>
          <w:i/>
          <w:sz w:val="20"/>
        </w:rPr>
        <w:t>EN: Metaceramic enables ultrahigh-temperature record rectification and programmable 3D thermal control</w:t>
      </w:r>
    </w:p>
    <w:p>
      <w:pPr>
        <w:spacing w:before="0" w:after="120"/>
      </w:pPr>
      <w:r>
        <w:rPr>
          <w:b/>
        </w:rPr>
        <w:t xml:space="preserve">Source: </w:t>
      </w:r>
      <w:r>
        <w:t>AAAS: Science Advances: Table of Contents</w:t>
      </w:r>
      <w:r>
        <w:t xml:space="preserve">    </w:t>
      </w:r>
      <w:r>
        <w:rPr>
          <w:b/>
        </w:rPr>
        <w:t xml:space="preserve">Pub date: </w:t>
      </w:r>
      <w:r>
        <w:t>2026-06-17 07:00:00+00:00</w:t>
      </w:r>
      <w:r>
        <w:t xml:space="preserve">    </w:t>
      </w:r>
      <w:r>
        <w:rPr>
          <w:b/>
        </w:rPr>
        <w:t xml:space="preserve">DOI: </w:t>
      </w:r>
      <w:hyperlink r:id="rId149">
        <w:r>
          <w:rPr>
            <w:color w:val="1155CC"/>
            <w:u w:val="single"/>
          </w:rPr>
          <w:t>10.1126/sciadv.aef4765</w:t>
        </w:r>
      </w:hyperlink>
    </w:p>
    <w:p>
      <w:pPr>
        <w:spacing w:before="0" w:after="120"/>
      </w:pPr>
      <w:r>
        <w:rPr>
          <w:b/>
        </w:rPr>
        <w:t xml:space="preserve">Notes: </w:t>
      </w:r>
      <w:r>
        <w:t>abstract_source=crossref</w:t>
      </w:r>
    </w:p>
    <w:p>
      <w:pPr>
        <w:spacing w:before="0" w:after="80" w:lineRule="auto" w:line="276"/>
      </w:pPr>
      <w:r>
        <w:rPr>
          <w:b/>
        </w:rPr>
        <w:t xml:space="preserve">摘要（ZH）: </w:t>
      </w:r>
      <w:r>
        <w:t>热整流可实现不对称热流，并为极端环境下的热管理提供变革潜力，但其实际发展受到高温稳定性和非线性热响应之间基本权衡的限制。传统整流器面临着固有的局限性，工作温度低于 900 开尔文，整流比低于 3.5。在这里，我们提出了一种超陶瓷，一种整体式超材料陶瓷，采用多尺度分级孔隙率构建，协同集成了四种非线性传热机制：离子定制传导、腔调制辐射、混沌平流增强对流和自发对流耗散。该超陶瓷在 2473 开尔文温度下实现了创纪录的 8.5 热整流比，超出之前的基准 140% 以上。此外，该设计的连续体、功能可分区性质使其能够扩展到三轴超高温整流器，该整流器沿三个独立轴提供可编程的体积热流控制，有效地将整流从标量提升到类似张量的属性。通过解耦和重新组合单一材料内的多模态非线性，我们克服了经典的稳定性与非线性冲突。我们的工作建立了一个超材料平台，可在极端条件下打破热互易性，对高超音速系统、航天器和能源技术的热管理具有影响。</w:t>
      </w:r>
    </w:p>
    <w:p>
      <w:pPr>
        <w:spacing w:before="0" w:after="200" w:lineRule="auto" w:line="276"/>
      </w:pPr>
      <w:r>
        <w:rPr>
          <w:b/>
        </w:rPr>
        <w:t xml:space="preserve">Abstract (EN): </w:t>
      </w:r>
      <w:r>
        <w:t>Thermal rectification enables asymmetric heat flow and offers transformative potential for thermal management under extreme environments, yet its practical development has been constrained by a fundamental trade-off between high-temperature stability and nonlinear thermal response. Conventional rectifiers face intrinsic limitations, with operating temperatures below 900 kelvin and rectification ratios under 3.5. Here, we present a metaceramic, a monolithic metamaterial ceramic, architected with multiscale graded porosity that synergistically integrates four nonlinear heat transfer mechanisms: ion-tailored conduction, cavity-modulated radiation, chaotic advection–enhanced convection, and spontaneous convective dissipation. This metaceramic achieves a record thermal rectification ratio of 8.5 at 2473 kelvin, surpassing previous benchmarks by over 140%. In addition, the design’s continuum-like, functionally partitionable nature enables its extension into a triaxial ultrahigh-temperature rectifier, which provides programmable, volumetric thermal flow control along three independent axes, effectively elevating rectification from a scalar to a tensor-like property. By decoupling and recombining multimodal nonlinearities within a single material, we overcome the classical stability-nonlinearity conflict. Our work establishes a metamaterials platform for breaking thermal reciprocity under extreme conditions, with implications for heat management in hypersonic systems, spacecraft, and energy technologies.</w:t>
      </w:r>
    </w:p>
    <w:p>
      <w:pPr>
        <w:spacing w:before="120" w:after="120"/>
      </w:pPr>
      <w:r>
        <w:rPr>
          <w:sz w:val="18"/>
        </w:rPr>
        <w:t>——————————————————————————————————————————————————————————————————————</w:t>
      </w:r>
    </w:p>
    <w:p>
      <w:pPr>
        <w:spacing w:before="160" w:after="40" w:line="240" w:lineRule="auto"/>
      </w:pPr>
      <w:r>
        <w:rPr>
          <w:b/>
        </w:rPr>
        <w:t xml:space="preserve">[15] </w:t>
      </w:r>
      <w:hyperlink r:id="rId150">
        <w:r>
          <w:rPr>
            <w:color w:val="1155CC"/>
            <w:u w:val="single"/>
          </w:rPr>
          <w:t>螺旋反铁磁体中的伊辛超临界性和通用磁热学 ${\mathrm{Nd}}_{3}{\mathrm{BWO}}_{9}$</w:t>
        </w:r>
      </w:hyperlink>
    </w:p>
    <w:p>
      <w:pPr>
        <w:spacing w:before="0" w:after="80"/>
      </w:pPr>
      <w:r>
        <w:rPr>
          <w:i/>
          <w:sz w:val="20"/>
        </w:rPr>
        <w:t>EN: Ising Supercriticality and Universal Magnetocalorics in Spiral Antiferromagnet ${\mathrm{Nd}}_{3}{\mathrm{BWO}}_{9}$</w:t>
      </w:r>
    </w:p>
    <w:p>
      <w:pPr>
        <w:spacing w:before="0" w:after="120"/>
      </w:pPr>
      <w:r>
        <w:rPr>
          <w:b/>
        </w:rPr>
        <w:t xml:space="preserve">Source: </w:t>
      </w:r>
      <w:r>
        <w:t>Recent Articles in Phys. Rev. Lett.</w:t>
      </w:r>
      <w:r>
        <w:t xml:space="preserve">    </w:t>
      </w:r>
      <w:r>
        <w:rPr>
          <w:b/>
        </w:rPr>
        <w:t xml:space="preserve">Pub date: </w:t>
      </w:r>
      <w:r>
        <w:t>2026-06-17 10:00:00+00:00</w:t>
      </w:r>
      <w:r>
        <w:t xml:space="preserve">    </w:t>
      </w:r>
      <w:r>
        <w:rPr>
          <w:b/>
        </w:rPr>
        <w:t xml:space="preserve">DOI: </w:t>
      </w:r>
      <w:hyperlink r:id="rId151">
        <w:r>
          <w:rPr>
            <w:color w:val="1155CC"/>
            <w:u w:val="single"/>
          </w:rPr>
          <w:t>10.1103/nqcw-pz8v</w:t>
        </w:r>
      </w:hyperlink>
    </w:p>
    <w:p>
      <w:pPr>
        <w:spacing w:before="0" w:after="120"/>
      </w:pPr>
      <w:r>
        <w:rPr>
          <w:b/>
        </w:rPr>
        <w:t xml:space="preserve">Notes: </w:t>
      </w:r>
      <w:r>
        <w:t>abstract_source=rss_description</w:t>
      </w:r>
    </w:p>
    <w:p>
      <w:pPr>
        <w:spacing w:before="0" w:after="80" w:lineRule="auto" w:line="276"/>
      </w:pPr>
      <w:r>
        <w:rPr>
          <w:b/>
        </w:rPr>
        <w:t xml:space="preserve">摘要（ZH）: </w:t>
      </w:r>
      <w:r>
        <w:t>作者：刘新阳、吕恩泽、崔学凌、葛汉、宋方圆、田兆明、苏刚、赵侃、项俊森、孙培杰和李伟具有普遍热力学行为的 Nd3BWO9 中的伊辛超临界状态将液-气类比扩展到稀土反铁磁化合物，并显示了其由于临界端点和拓扑激发而实现亚开尔文制冷的潜力。莱特牧师。 136, 246502] 2026 年 6 月 17 日星期三发布</w:t>
      </w:r>
    </w:p>
    <w:p>
      <w:pPr>
        <w:spacing w:before="0" w:after="200" w:lineRule="auto" w:line="276"/>
      </w:pPr>
      <w:r>
        <w:rPr>
          <w:b/>
        </w:rPr>
        <w:t xml:space="preserve">Abstract (EN): </w:t>
      </w:r>
      <w:r>
        <w:t>Author(s): Xinyang Liu, Enze Lv, Xueling Cui, Han Ge, Fangyuan Song, Zhaoming Tian, Gang Su, Kan Zhao, Junsen Xiang, Peijie Sun, and Wei LiAn emergent Ising supercritical regime in Nd3BWO9 with universal thermodynamic behavior extends the liquid-gas analogy to a rare-earth antiferromagnetic compound and shows its potential for sub-Kelvin refrigeration due to critical endpoint and topological excitations.[Phys. Rev. Lett. 136, 246502] Published Wed Jun 17, 2026</w:t>
      </w:r>
    </w:p>
    <w:p>
      <w:pPr>
        <w:spacing w:before="120" w:after="120"/>
      </w:pPr>
      <w:r>
        <w:rPr>
          <w:sz w:val="18"/>
        </w:rPr>
        <w:t>——————————————————————————————————————————————————————————————————————</w:t>
      </w:r>
    </w:p>
    <w:p>
      <w:pPr>
        <w:spacing w:before="160" w:after="40" w:line="240" w:lineRule="auto"/>
      </w:pPr>
      <w:r>
        <w:rPr>
          <w:b/>
        </w:rPr>
        <w:t xml:space="preserve">[16] </w:t>
      </w:r>
      <w:hyperlink r:id="rId152">
        <w:r>
          <w:rPr>
            <w:color w:val="1155CC"/>
            <w:u w:val="single"/>
          </w:rPr>
          <w:t>用于热电能量收集的柔性红外伪装共晶镓-铟</w:t>
        </w:r>
      </w:hyperlink>
    </w:p>
    <w:p>
      <w:pPr>
        <w:spacing w:before="0" w:after="80"/>
      </w:pPr>
      <w:r>
        <w:rPr>
          <w:i/>
          <w:sz w:val="20"/>
        </w:rPr>
        <w:t>EN: Flexible infrared camouflage eutectic gallium-indium for thermoelectric energy harvesting</w:t>
      </w:r>
    </w:p>
    <w:p>
      <w:pPr>
        <w:spacing w:before="0" w:after="120"/>
      </w:pPr>
      <w:r>
        <w:rPr>
          <w:b/>
        </w:rPr>
        <w:t xml:space="preserve">Source: </w:t>
      </w:r>
      <w:r>
        <w:t>Physical sciences : Nature Communications subject feeds</w:t>
      </w:r>
      <w:r>
        <w:t xml:space="preserve">    </w:t>
      </w:r>
      <w:r>
        <w:rPr>
          <w:b/>
        </w:rPr>
        <w:t xml:space="preserve">Pub date: </w:t>
      </w:r>
      <w:r>
        <w:t>2026-06-18 00:00:00+00:00</w:t>
      </w:r>
    </w:p>
    <w:p>
      <w:pPr>
        <w:spacing w:before="0" w:after="120"/>
      </w:pPr>
      <w:r>
        <w:rPr>
          <w:b/>
        </w:rPr>
        <w:t xml:space="preserve">Notes: </w:t>
      </w:r>
      <w:r>
        <w:t>abstract_source=nature_html</w:t>
      </w:r>
    </w:p>
    <w:p>
      <w:pPr>
        <w:spacing w:before="0" w:after="80" w:lineRule="auto" w:line="276"/>
      </w:pPr>
      <w:r>
        <w:rPr>
          <w:b/>
        </w:rPr>
        <w:t xml:space="preserve">摘要（ZH）: </w:t>
      </w:r>
      <w:r>
        <w:t>具有能量收集和传感功能的集成红外伪装材料在提高军事环境中的作战效率方面具有巨大潜力。然而，一个关键的挑战在于如何在不复杂的制造工艺的情况下实现这种多功能性。在这项研究中，我们通过引入共晶镓铟（EGaIn）作为一种将红外伪装与热电传感相结合的多功能材料来解决这个问题。 EGaIn 在较宽的温度范围内表现出卓越的红外伪装性能。它通过反射周围的红外辐射来抑制自身的热辐射，隐藏其红外特征以进行红外伪装。除了红外伪装功能外，EGaIn 最显着的特点之一是它能够从小温度梯度产生电压。这种热电功能可以实现自供电、实时监测体温和呼吸模式等生理状态。我们的工作强调了将红外伪装与信号传输能力相结合的军事技术的发展路径。</w:t>
      </w:r>
    </w:p>
    <w:p>
      <w:pPr>
        <w:spacing w:before="0" w:after="200" w:lineRule="auto" w:line="276"/>
      </w:pPr>
      <w:r>
        <w:rPr>
          <w:b/>
        </w:rPr>
        <w:t xml:space="preserve">Abstract (EN): </w:t>
      </w:r>
      <w:r>
        <w:t>Integrated infrared camouflage materials capable of energy harvesting and sensing hold great potential for enhancing operational efficiency in military settings. A key challenge, however, lies in achieving such multifunctionality without complex fabrication processes. In this study, we address this issue by introducing eutectic gallium‑indium (EGaIn) as a versatile material that combines infrared camouflage with thermoelectric sensing. EGaIn exhibits remarkable infrared camouflage performance over a broad temperature range. It suppresses its own thermal radiation by reflecting ambient infrared radiation, concealing its infrared signature for infrared camouflage. In addition to its infrared camouflage function, one of the most notable features of EGaIn is its ability to generate voltage from small temperature gradients. This thermoelectric capability enables self‑powered, real‑time monitoring of physiological states like body temperature and breathing patterns. Our work highlights the pathways toward military technologies that combine infrared camouflage with signal transmission capabilities.</w:t>
      </w:r>
    </w:p>
    <w:p>
      <w:pPr>
        <w:spacing w:before="120" w:after="120"/>
      </w:pPr>
      <w:r>
        <w:rPr>
          <w:sz w:val="18"/>
        </w:rPr>
        <w:t>——————————————————————————————————————————————————————————————————————</w:t>
      </w:r>
    </w:p>
    <w:p>
      <w:pPr>
        <w:spacing w:before="160" w:after="120"/>
      </w:pPr>
      <w:r>
        <w:rPr>
          <w:b/>
          <w:sz w:val="28"/>
        </w:rPr>
        <w:t>【核能】</w:t>
      </w:r>
    </w:p>
    <w:p>
      <w:pPr>
        <w:spacing w:before="160" w:after="40" w:line="240" w:lineRule="auto"/>
      </w:pPr>
      <w:r>
        <w:rPr>
          <w:b/>
        </w:rPr>
        <w:t xml:space="preserve">[1] </w:t>
      </w:r>
      <w:hyperlink r:id="rId153">
        <w:r>
          <w:rPr>
            <w:color w:val="1155CC"/>
            <w:u w:val="single"/>
          </w:rPr>
          <w:t>MD-MC混合方法模拟钨表面绒毛形成及其对溅射和氢保留的影响</w:t>
        </w:r>
      </w:hyperlink>
    </w:p>
    <w:p>
      <w:pPr>
        <w:spacing w:before="0" w:after="80"/>
      </w:pPr>
      <w:r>
        <w:rPr>
          <w:i/>
          <w:sz w:val="20"/>
        </w:rPr>
        <w:t>EN: Simulation of fuzz formation on tungsten surface and its impact on sputtering and hydrogen retention by MD-MC hybrid method</w:t>
      </w:r>
    </w:p>
    <w:p>
      <w:pPr>
        <w:spacing w:before="0" w:after="120"/>
      </w:pPr>
      <w:r>
        <w:rPr>
          <w:b/>
        </w:rPr>
        <w:t xml:space="preserve">Source: </w:t>
      </w:r>
      <w:r>
        <w:t>Nuclear Fusion - latest papers</w:t>
      </w:r>
      <w:r>
        <w:t xml:space="preserve">    </w:t>
      </w:r>
      <w:r>
        <w:rPr>
          <w:b/>
        </w:rPr>
        <w:t xml:space="preserve">Pub date: </w:t>
      </w:r>
      <w:r>
        <w:t>2026-06-14 23:00:00+00:00</w:t>
      </w:r>
      <w:r>
        <w:t xml:space="preserve">    </w:t>
      </w:r>
      <w:r>
        <w:rPr>
          <w:b/>
        </w:rPr>
        <w:t xml:space="preserve">DOI: </w:t>
      </w:r>
      <w:hyperlink r:id="rId154">
        <w:r>
          <w:rPr>
            <w:color w:val="1155CC"/>
            <w:u w:val="single"/>
          </w:rPr>
          <w:t>10.1088/1741-4326/ae7585</w:t>
        </w:r>
      </w:hyperlink>
    </w:p>
    <w:p>
      <w:pPr>
        <w:spacing w:before="0" w:after="120"/>
      </w:pPr>
      <w:r>
        <w:rPr>
          <w:b/>
        </w:rPr>
        <w:t xml:space="preserve">Notes: </w:t>
      </w:r>
      <w:r>
        <w:t>abstract_source=rss_description</w:t>
      </w:r>
    </w:p>
    <w:p>
      <w:pPr>
        <w:spacing w:before="0" w:after="80" w:lineRule="auto" w:line="276"/>
      </w:pPr>
      <w:r>
        <w:rPr>
          <w:b/>
        </w:rPr>
        <w:t xml:space="preserve">摘要（ZH）: </w:t>
      </w:r>
      <w:r>
        <w:t>钨 (W) 被认为是未来聚变反应堆中偏滤器和第一壁的主要材料。在氦（He）等离子体的照射下，W表面会形成一层名为“绒毛”的多孔层，并伴随着其物理性质的变化。本文采用分子动力学（MD）和蒙特卡罗（MC）混合方法构建模糊的早期阶段。它允许纳米结构从原子级过程的相互作用中自然出现，从而提供了更物理真实的结构。生成的绒毛结构随后用于评估表面特性的变化，包括溅射和氢 (H) 渗透/保留。模拟结果表明，绒毛层一旦达到一定厚度就停止生长。进一步分析表明，绒毛结构的形成可以抑制He从表面到块体材料的扩散和积累。模拟结果还表明，较高的离子能量会导致较大的 He 保留，从而导致绒毛层的孔隙率增加。 He原子级联的模拟表明，虽然从He原子（&lt;100 eV）直接转移到W原子的能量低于溅射阈值能量（∼8.9 eV），但W表面改性和溅射仍然可以通过吸附原子的形成发生。与平坦的W表面相比，模糊表面倾向于重新捕获溅射的W原子，在相同的He辐照条件下表现出较低的净溅射产率。 He原子的轰击也可以促进绒毛结构的卷曲，w</w:t>
      </w:r>
    </w:p>
    <w:p>
      <w:pPr>
        <w:spacing w:before="0" w:after="200" w:lineRule="auto" w:line="276"/>
      </w:pPr>
      <w:r>
        <w:rPr>
          <w:b/>
        </w:rPr>
        <w:t xml:space="preserve">Abstract (EN): </w:t>
      </w:r>
      <w:r>
        <w:t>Tungsten (W) is considered the primary material for the divertor and first wall in future fusion reactors. Under the irradiation of helium (He) plasma, a porous layer named ‘fuzz’ forms on W surface, accompanied by changes in its physical properties. In this paper, the early stage of fuzz is constructed using a molecular dynamics (MD) and Monte Carlo (MC) hybrid method. It provides a more physically realistic structure by allowing the nanostructure to emerge naturally from the interplay of atomic-scale processes. The generated fuzz structures are subsequently employed to evaluate the changes in surface properties, including both sputtering and hydrogen (H) permeation/retention. Simulation results show that the fuzz layer ceases to grow once it reaches a certain thickness. Further analysis indicates that the formation of fuzz structure can suppress the diffusion and accumulation of He from the surface to bulk material. The simulation results also indicate that higher ion energy results in greater He retention, which consequently leads to an increase in the porosity of the fuzz layer. Simulations of He atoms cascades show that, although the energy directly transferred from He atoms (&lt;100 eV) to W atoms is lower than the sputtering threshold energy (∼8.9 eV), W surface modifications and sputtering can still occur via adatoms formation. Compared with flat W surface, fuzzy surface tends to recapture the sputtering W atoms, exhibiting lower net sputtering yield under the same He irradiation conditions. The bombardment by He atoms can also promote the curling of fuzz structures, which may subsequently influence W surface diffusion. Finally, the He–H hybrid simulations indicate that the formation of fuzz structure significantly suppresses the H permeation and retention in the W bulk area and enhances H retention on W surface.</w:t>
      </w:r>
    </w:p>
    <w:p>
      <w:pPr>
        <w:spacing w:before="120" w:after="120"/>
      </w:pPr>
      <w:r>
        <w:rPr>
          <w:sz w:val="18"/>
        </w:rPr>
        <w:t>——————————————————————————————————————————————————————————————————————</w:t>
      </w:r>
    </w:p>
    <w:p>
      <w:pPr>
        <w:spacing w:before="160" w:after="40" w:line="240" w:lineRule="auto"/>
      </w:pPr>
      <w:r>
        <w:rPr>
          <w:b/>
        </w:rPr>
        <w:t xml:space="preserve">[2] </w:t>
      </w:r>
      <w:hyperlink r:id="rId155">
        <w:r>
          <w:rPr>
            <w:color w:val="1155CC"/>
            <w:u w:val="single"/>
          </w:rPr>
          <w:t>偏滤器关闭对 TCV 负三角功率消耗的影响</w:t>
        </w:r>
      </w:hyperlink>
    </w:p>
    <w:p>
      <w:pPr>
        <w:spacing w:before="0" w:after="80"/>
      </w:pPr>
      <w:r>
        <w:rPr>
          <w:i/>
          <w:sz w:val="20"/>
        </w:rPr>
        <w:t>EN: Impact of divertor closure on power exhaust in negative triangularity in TCV</w:t>
      </w:r>
    </w:p>
    <w:p>
      <w:pPr>
        <w:spacing w:before="0" w:after="120"/>
      </w:pPr>
      <w:r>
        <w:rPr>
          <w:b/>
        </w:rPr>
        <w:t xml:space="preserve">Source: </w:t>
      </w:r>
      <w:r>
        <w:t>Nuclear Fusion - latest papers</w:t>
      </w:r>
      <w:r>
        <w:t xml:space="preserve">    </w:t>
      </w:r>
      <w:r>
        <w:rPr>
          <w:b/>
        </w:rPr>
        <w:t xml:space="preserve">Pub date: </w:t>
      </w:r>
      <w:r>
        <w:t>2026-06-15 23:00:00+00:00</w:t>
      </w:r>
      <w:r>
        <w:t xml:space="preserve">    </w:t>
      </w:r>
      <w:r>
        <w:rPr>
          <w:b/>
        </w:rPr>
        <w:t xml:space="preserve">DOI: </w:t>
      </w:r>
      <w:hyperlink r:id="rId156">
        <w:r>
          <w:rPr>
            <w:color w:val="1155CC"/>
            <w:u w:val="single"/>
          </w:rPr>
          <w:t>10.1088/1741-4326/ae7584</w:t>
        </w:r>
      </w:hyperlink>
    </w:p>
    <w:p>
      <w:pPr>
        <w:spacing w:before="0" w:after="120"/>
      </w:pPr>
      <w:r>
        <w:rPr>
          <w:b/>
        </w:rPr>
        <w:t xml:space="preserve">Notes: </w:t>
      </w:r>
      <w:r>
        <w:t>abstract_source=rss_description</w:t>
      </w:r>
    </w:p>
    <w:p>
      <w:pPr>
        <w:spacing w:before="0" w:after="80" w:lineRule="auto" w:line="276"/>
      </w:pPr>
      <w:r>
        <w:rPr>
          <w:b/>
        </w:rPr>
        <w:t xml:space="preserve">摘要（ZH）: </w:t>
      </w:r>
      <w:r>
        <w:t>负三角（NT）是未来聚变反应堆有前途的边缘局域无模式候选者。在本文中，在托卡马克构型变量（TCV）中评估了增加偏滤器闭合对 NT 中密度斜坡诱导脱离的影响。先前的 TCV 实验表明，在相似的线平均密度和偏滤器形状的情况下，NT 成形使得 L 模式中的脱离接近比正三角 (PT) 更困难，并导致偏滤器中性压力较低。在本文中，我们表明，与无挡板放电相比，借助 TCV 偏滤器气体挡板增加 NT 中的偏滤器中性压力可以冷却外部目标和外腿。然而，在与无挡板PT相当的偏滤器中性压力下、在相似的分界面密度和相似的偏滤器几何形状下，有挡板的NT放电仍然表现出较高的目标电子温度并且没有离子通量翻转，这表明偏滤器分离水平较低。使用往复式偏滤器探针阵列在偏滤器体积内进行朗缪尔探针测量，结果表明，在 PT 配置中典型的沿外腿变宽的刮除层在 NT 中没有观察到，表明偏滤器跨场传输水平较低。对于本研究中使用的偏滤器几何结构，进一步发现，使离子漂移从核心朝向 点定向有利于外部目标冷却和脱离开始，这与通过偏滤器漂移进行粒子重新分布的一般情况相反。然而，即使在这种情况下，在 NT 中，目标处也没有离子通量翻转，而仅</w:t>
      </w:r>
    </w:p>
    <w:p>
      <w:pPr>
        <w:spacing w:before="0" w:after="200" w:lineRule="auto" w:line="276"/>
      </w:pPr>
      <w:r>
        <w:rPr>
          <w:b/>
        </w:rPr>
        <w:t xml:space="preserve">Abstract (EN): </w:t>
      </w:r>
      <w:r>
        <w:t>Negative triangularity (NT) is a promising edge-localized mode-free candidate for future fusion reactors. In this paper, the impact of increased divertor closure on density-ramp induced detachment in NT is assessed in the Tokamak á configuration variable (TCV). Previous experiments in TCV have shown that at similar line-averaged density and divertor shape, NT shaping makes detachment access in L-mode more difficult than in positive triangularity (PT) and results in a lower divertor neutral pressure. In this paper we show that increasing the divertor neutral pressure in NT with the help of TCV’s divertor gas baffles cools the outer target and the outer leg compared to unbaffled discharges. However, baffled NT discharges, at a divertor neutral pressure comparable to unbaffled PT, at similar separatrix density and similar divertor geometry, still show higher target electron temperature and no ion flux rollover, suggesting lower level of divertor detachment. Langmuir probe measurements within the divertor volume, using a reciprocating divertor probe array, show that the scrape-off layer broadening along the outer leg, typical in PT configurations, is not observed in NT, indicating a lower level of divertor cross-field transport. For the divertor geometry used in this study, it is further found that having the ion -drift oriented from the core towards the -point is beneficial for outer target cooling and detachment onset, contrary to the general picture of particle redistribution via divertor drifts. However, even in this case, in NT, no ion flux rollover at the target and only partial cooling of the divertor volume are obtained. When core density is further increased, a collapse in separatrix density is observed.</w:t>
      </w:r>
    </w:p>
    <w:p>
      <w:pPr>
        <w:spacing w:before="120" w:after="120"/>
      </w:pPr>
      <w:r>
        <w:rPr>
          <w:sz w:val="18"/>
        </w:rPr>
        <w:t>——————————————————————————————————————————————————————————————————————</w:t>
      </w:r>
    </w:p>
    <w:p>
      <w:pPr>
        <w:spacing w:before="160" w:after="40" w:line="240" w:lineRule="auto"/>
      </w:pPr>
      <w:r>
        <w:rPr>
          <w:b/>
        </w:rPr>
        <w:t xml:space="preserve">[3] </w:t>
      </w:r>
      <w:hyperlink r:id="rId157">
        <w:r>
          <w:rPr>
            <w:color w:val="1155CC"/>
            <w:u w:val="single"/>
          </w:rPr>
          <w:t>钨中应变增强氦气泡成核和生长：原子级见解和长期动力学</w:t>
        </w:r>
      </w:hyperlink>
    </w:p>
    <w:p>
      <w:pPr>
        <w:spacing w:before="0" w:after="80"/>
      </w:pPr>
      <w:r>
        <w:rPr>
          <w:i/>
          <w:sz w:val="20"/>
        </w:rPr>
        <w:t>EN: Strain-enhanced helium bubble nucleation and growth in tungsten: atomic-level insights and long-term dynamics</w:t>
      </w:r>
    </w:p>
    <w:p>
      <w:pPr>
        <w:spacing w:before="0" w:after="120"/>
      </w:pPr>
      <w:r>
        <w:rPr>
          <w:b/>
        </w:rPr>
        <w:t xml:space="preserve">Source: </w:t>
      </w:r>
      <w:r>
        <w:t>Nuclear Fusion - latest papers</w:t>
      </w:r>
      <w:r>
        <w:t xml:space="preserve">    </w:t>
      </w:r>
      <w:r>
        <w:rPr>
          <w:b/>
        </w:rPr>
        <w:t xml:space="preserve">Pub date: </w:t>
      </w:r>
      <w:r>
        <w:t>2026-06-15 23:00:00+00:00</w:t>
      </w:r>
      <w:r>
        <w:t xml:space="preserve">    </w:t>
      </w:r>
      <w:r>
        <w:rPr>
          <w:b/>
        </w:rPr>
        <w:t xml:space="preserve">DOI: </w:t>
      </w:r>
      <w:hyperlink r:id="rId158">
        <w:r>
          <w:rPr>
            <w:color w:val="1155CC"/>
            <w:u w:val="single"/>
          </w:rPr>
          <w:t>10.1088/1741-4326/ae72a1</w:t>
        </w:r>
      </w:hyperlink>
    </w:p>
    <w:p>
      <w:pPr>
        <w:spacing w:before="0" w:after="120"/>
      </w:pPr>
      <w:r>
        <w:rPr>
          <w:b/>
        </w:rPr>
        <w:t xml:space="preserve">Notes: </w:t>
      </w:r>
      <w:r>
        <w:t>abstract_source=rss_description</w:t>
      </w:r>
    </w:p>
    <w:p>
      <w:pPr>
        <w:spacing w:before="0" w:after="80" w:lineRule="auto" w:line="276"/>
      </w:pPr>
      <w:r>
        <w:rPr>
          <w:b/>
        </w:rPr>
        <w:t xml:space="preserve">摘要（ZH）: </w:t>
      </w:r>
      <w:r>
        <w:t>氦 (He) 辐射引起的降解，特别是通过气泡的形成和生长，对钨等离子材料 (W-PFM) 提出了严峻的挑战。在使用过程中，这些材料经常因热循环和气泡积累而经历拉伸应变场，但外部应变对氦气泡从自陷、成核、生长到长期演化的基本过程的潜在物理机制仍不清楚。在这项工作中，我们使用多尺度模拟系统地研究了各向同性拉伸/压缩应变下的这些过程。我们发现，拉伸应变会引发一种违反直觉的行为：尽管在拉伸应变下 He 溶液能降低，但 He-He 结合能显着增强，这一趋势与在不同金属中观察到的正相关性相反。这源于应变和He的协同效应，导致电子结构的变化。此外，拉伸应变通过促进弗兰克尔对成核和陷阱突变来促进气泡成核和生长。将这些原子见解扩展到长期演化，我们证明了拉伸应变如何加速气泡合并、破裂和绒毛的早期形成，这与应变相关气泡演化的实验观察结果一致。至关重要的是，提出了整合这些发现的正反馈机制：致密气泡在 PFM 中引起表面下拉伸应变场，这反过来又进一步促进气泡成核和生长。所提出的应变增强机制</w:t>
      </w:r>
    </w:p>
    <w:p>
      <w:pPr>
        <w:spacing w:before="0" w:after="200" w:lineRule="auto" w:line="276"/>
      </w:pPr>
      <w:r>
        <w:rPr>
          <w:b/>
        </w:rPr>
        <w:t xml:space="preserve">Abstract (EN): </w:t>
      </w:r>
      <w:r>
        <w:t>Helium (He) irradiation-induced degradation, particularly through the formation and growth of bubbles, poses a critical challenge for tungsten plasma-facing materials (W-PFMs). In service, these materials often experience tensile strain fields due to thermal cycling and bubble accumulation, yet the underlying physical mechanisms of external strain on the fundamental processes of He bubbles, from self-trapping, nucleation, growth, to long-term evolution, remain unclear. In this work, we systematically investigate these processes under isotropic tensile/compressive strain using multiscale simulations. We reveal that tensile strain induces a counterintuitive behavior: although the He solution energy is lowered under tensile strain, the He–He binding energy is significantly enhanced, a trend opposite to the positive correlation observed across different metals. This originates from the synergistic effect of strain and He, causing the variation in the electronic structure. Furthermore, tensile strain promotes bubble nucleation and growth by facilitating Frenkel pair nucleation and trap mutation. Extending these atomic insights to long-term evolution, we demonstrate how tensile strain accelerates bubble coalescence, rupture, and the early-stage formation of fuzz, consistent with experimental observations of strain-dependent bubble evolution. Crucially, a positive feedback mechanism integrating these findings is suggested: dense bubbles induce a subsurface tensile strain field in PFMs, which in turn further promotes bubble nucleation and growth. The proposed strain-enhanced mechanism informs the development of predictive models for He-induced damage in PFMs under fusion-relevant conditions.</w:t>
      </w:r>
    </w:p>
    <w:p>
      <w:pPr>
        <w:spacing w:before="120" w:after="120"/>
      </w:pPr>
      <w:r>
        <w:rPr>
          <w:sz w:val="18"/>
        </w:rPr>
        <w:t>——————————————————————————————————————————————————————————————————————</w:t>
      </w:r>
    </w:p>
    <w:p>
      <w:pPr>
        <w:spacing w:before="160" w:after="40" w:line="240" w:lineRule="auto"/>
      </w:pPr>
      <w:r>
        <w:rPr>
          <w:b/>
        </w:rPr>
        <w:t xml:space="preserve">[4] </w:t>
      </w:r>
      <w:hyperlink r:id="rId159">
        <w:r>
          <w:rPr>
            <w:color w:val="1155CC"/>
            <w:u w:val="single"/>
          </w:rPr>
          <w:t>MCINO：聚变反应堆氚增殖层的多物理场耦合和智能中子优化代码</w:t>
        </w:r>
      </w:hyperlink>
    </w:p>
    <w:p>
      <w:pPr>
        <w:spacing w:before="0" w:after="80"/>
      </w:pPr>
      <w:r>
        <w:rPr>
          <w:i/>
          <w:sz w:val="20"/>
        </w:rPr>
        <w:t>EN: MCINO: a multi-physics coupling and intelligent neutronic optimization code for tritium breeding blanket of fusion reactors</w:t>
      </w:r>
    </w:p>
    <w:p>
      <w:pPr>
        <w:spacing w:before="0" w:after="120"/>
      </w:pPr>
      <w:r>
        <w:rPr>
          <w:b/>
        </w:rPr>
        <w:t xml:space="preserve">Source: </w:t>
      </w:r>
      <w:r>
        <w:t>Nuclear Fusion - latest papers</w:t>
      </w:r>
      <w:r>
        <w:t xml:space="preserve">    </w:t>
      </w:r>
      <w:r>
        <w:rPr>
          <w:b/>
        </w:rPr>
        <w:t xml:space="preserve">Pub date: </w:t>
      </w:r>
      <w:r>
        <w:t>2026-06-15 23:00:00+00:00</w:t>
      </w:r>
      <w:r>
        <w:t xml:space="preserve">    </w:t>
      </w:r>
      <w:r>
        <w:rPr>
          <w:b/>
        </w:rPr>
        <w:t xml:space="preserve">DOI: </w:t>
      </w:r>
      <w:hyperlink r:id="rId160">
        <w:r>
          <w:rPr>
            <w:color w:val="1155CC"/>
            <w:u w:val="single"/>
          </w:rPr>
          <w:t>10.1088/1741-4326/ae70a1</w:t>
        </w:r>
      </w:hyperlink>
    </w:p>
    <w:p>
      <w:pPr>
        <w:spacing w:before="0" w:after="120"/>
      </w:pPr>
      <w:r>
        <w:rPr>
          <w:b/>
        </w:rPr>
        <w:t xml:space="preserve">Notes: </w:t>
      </w:r>
      <w:r>
        <w:t>abstract_source=rss_description</w:t>
      </w:r>
    </w:p>
    <w:p>
      <w:pPr>
        <w:spacing w:before="0" w:after="80" w:lineRule="auto" w:line="276"/>
      </w:pPr>
      <w:r>
        <w:rPr>
          <w:b/>
        </w:rPr>
        <w:t xml:space="preserve">摘要（ZH）: </w:t>
      </w:r>
      <w:r>
        <w:t>氚自给自足是未来聚变反应堆的关键先决条件。氚增殖层作为负责容器内氚生成的组件，需要协调中子和工程优化，以最大化其可实现的氚增殖率（TBR）。在这项工作中，建立了配备氦冷陶瓷增殖器（HCCB）包层的中国聚变工程试验堆（CFETR）的高保真22.5°环形扇区中子学模型。在此基础上，我们开发了多物理耦合智能中子优化代码（MCINO），这是一个两阶段中子优化框架，将模拟退火的全局探索与随后的局部细化相结合。目标是通过优化增殖区 (Li4SiO4) 和中子倍增区 (Be) 的径向分布来最大化全局 TBR。优化后的设计将全局 TBR 提高到约 1.193，比初始配置提高了 8.36%。这一改进与增殖和增殖材料更有效的径向分配有关，从而增强了中子慢化、增殖和氚生产的使用。优化工作流程旨在减少昂贵的高保真传输重新计算的次数，从而提高相对于直接强力搜索的计算效率。最后，通过三维热工水力验证验证了优化设计的工程可行性，确认了代表性模块仍在设计范围内。</w:t>
      </w:r>
    </w:p>
    <w:p>
      <w:pPr>
        <w:spacing w:before="0" w:after="200" w:lineRule="auto" w:line="276"/>
      </w:pPr>
      <w:r>
        <w:rPr>
          <w:b/>
        </w:rPr>
        <w:t xml:space="preserve">Abstract (EN): </w:t>
      </w:r>
      <w:r>
        <w:t>Tritium self-sufficiency is a critical prerequisite for future fusion reactors. The tritium breeding blanket, as the component responsible for in-vessel tritium generation, requires coordinated neutronic and engineering optimization in order to maximize its achievable tritium breeding ratio (TBR). In this work, a high-fidelity 22.5° toroidal sector neutronics model of the China Fusion Engineering Test Reactor (CFETR) equipped with a Helium-Cooled Ceramic Breeder (HCCB) blanket was established. On this basis, we developed a Multi-physics Coupling Intelligent Neutronic Optimization code (MCINO), a two-stage neutronics optimization framework that combines global exploration by simulated annealing with subsequent local refinement. The objective was to maximize the global TBR by optimizing the radial distribution of breeder (Li4SiO4) and neutron multiplier (Be) zones. The optimized design increased the global TBR to approximately 1.193, corresponding to an 8.36% improvement over the initial configuration. The improvement is associated with a more effective radial allocation of breeding and multiplying materials, which enhances neutron moderation, multiplication, and use for tritium production. The optimization workflow was designed to reduce the number of expensive high-fidelity transport recalculations, thereby improving computational efficiency relative to direct brute-force search. Finally, the engineering feasibility of the optimized design was checked through three-dimensional thermal–hydraulic verification, which confirmed that the representative modules remained within their prescribed operating limits. The present work provides an efficient and physically transparent framework for integrated blanket neutronics design and optimization.</w:t>
      </w:r>
    </w:p>
    <w:p>
      <w:pPr>
        <w:spacing w:before="120" w:after="120"/>
      </w:pPr>
      <w:r>
        <w:rPr>
          <w:sz w:val="18"/>
        </w:rPr>
        <w:t>——————————————————————————————————————————————————————————————————————</w:t>
      </w:r>
    </w:p>
    <w:p>
      <w:pPr>
        <w:spacing w:before="160" w:after="40" w:line="240" w:lineRule="auto"/>
      </w:pPr>
      <w:r>
        <w:rPr>
          <w:b/>
        </w:rPr>
        <w:t xml:space="preserve">[5] </w:t>
      </w:r>
      <w:hyperlink r:id="rId161">
        <w:r>
          <w:rPr>
            <w:color w:val="1155CC"/>
            <w:u w:val="single"/>
          </w:rPr>
          <w:t>CFETR 中央电磁阀模型线圈在工作条件下的性能评估</w:t>
        </w:r>
      </w:hyperlink>
    </w:p>
    <w:p>
      <w:pPr>
        <w:spacing w:before="0" w:after="80"/>
      </w:pPr>
      <w:r>
        <w:rPr>
          <w:i/>
          <w:sz w:val="20"/>
        </w:rPr>
        <w:t>EN: Performance evaluation of the CFETR central solenoid model coil under operating conditions</w:t>
      </w:r>
    </w:p>
    <w:p>
      <w:pPr>
        <w:spacing w:before="0" w:after="120"/>
      </w:pPr>
      <w:r>
        <w:rPr>
          <w:b/>
        </w:rPr>
        <w:t xml:space="preserve">Source: </w:t>
      </w:r>
      <w:r>
        <w:t>Nuclear Fusion - latest papers</w:t>
      </w:r>
      <w:r>
        <w:t xml:space="preserve">    </w:t>
      </w:r>
      <w:r>
        <w:rPr>
          <w:b/>
        </w:rPr>
        <w:t xml:space="preserve">Pub date: </w:t>
      </w:r>
      <w:r>
        <w:t>2026-06-15 23:00:00+00:00</w:t>
      </w:r>
      <w:r>
        <w:t xml:space="preserve">    </w:t>
      </w:r>
      <w:r>
        <w:rPr>
          <w:b/>
        </w:rPr>
        <w:t xml:space="preserve">DOI: </w:t>
      </w:r>
      <w:hyperlink r:id="rId162">
        <w:r>
          <w:rPr>
            <w:color w:val="1155CC"/>
            <w:u w:val="single"/>
          </w:rPr>
          <w:t>10.1088/1741-4326/ae738c</w:t>
        </w:r>
      </w:hyperlink>
    </w:p>
    <w:p>
      <w:pPr>
        <w:spacing w:before="0" w:after="120"/>
      </w:pPr>
      <w:r>
        <w:rPr>
          <w:b/>
        </w:rPr>
        <w:t xml:space="preserve">Notes: </w:t>
      </w:r>
      <w:r>
        <w:t>abstract_source=rss_description</w:t>
      </w:r>
    </w:p>
    <w:p>
      <w:pPr>
        <w:spacing w:before="0" w:after="80" w:lineRule="auto" w:line="276"/>
      </w:pPr>
      <w:r>
        <w:rPr>
          <w:b/>
        </w:rPr>
        <w:t xml:space="preserve">摘要（ZH）: </w:t>
      </w:r>
      <w:r>
        <w:t>中央螺线管模型线圈（CSMC）是中国科学院等离子体物理研究所为满足中国聚变工程试验堆（CFETR）的工程要求而设计的。华润上华的测试设施于2023年建成，2024年线圈组装顺利完成，2024年12月29日进行第一轮测试，2025年9月10日顺利完成第二轮测试。目前已完成水力特性、绝缘性能测试，包括高压和帕邢测试、接头电阻、工作电流、快速放电、交流损耗和均流温度。进行这些测试是为了验证华润上华是否满足CFETR项目的设计和工程要求。测试过程中，模型线圈达到了48 kA的稳态工作电流，超过了设计值47.65 kA，并满足了1.5 T s−1的磁场斜坡率要求，进一步证明了线圈在大电流负载下的稳定性和可靠性。本文详细描述了 CSMC 线圈的测试设施、测试计划和执行过程，并对测试结果进行了分析，包括其对 CFETR 未来工程设计和应用的影响。测试数据和结果为工程项目的后续开发和优化提供了宝贵的实验支持。</w:t>
      </w:r>
    </w:p>
    <w:p>
      <w:pPr>
        <w:spacing w:before="0" w:after="200" w:lineRule="auto" w:line="276"/>
      </w:pPr>
      <w:r>
        <w:rPr>
          <w:b/>
        </w:rPr>
        <w:t xml:space="preserve">Abstract (EN): </w:t>
      </w:r>
      <w:r>
        <w:t>The central solenoid model coil (CSMC), developed by the Institute of Plasma Physics, Chinese Academy of Sciences, is designed to meet the engineering requirements of Chinese Fusion Engineering Testing Reactor (CFETR). The testing facility for the CSMC was established in 2023. Assembly of the coil was successfully completed in 2024, and the first round of testing was carried out on 29 December 2024. The second round of testing was successfully completed on 10 September 2025. To date, tests have been performed on hydraulic characteristics, insulation performance, including high-voltage and Paschen tests, joint resistance, operating current, fast discharge, AC loss, and current sharing temperature. These tests were conducted to verify whether the CSMC meets the design and engineering requirements for the CFETR project. During the testing, the model coil reached a steady-state operating current of 48 kA, exceeding the design value of 47.65 kA, and met the required magnetic-field ramp rate of 1.5 T s−1, further demonstrating the coil’s stability and reliability under high current loads. This paper provides a detailed description of the testing facility, testing plan and execution process for the CSMC coil, and presents an analysis of the results of tests, including their implications for the future engineering design and application of CFETR. The test data and results offer valuable experimental support for the subsequent development and optimization of the engineering project.</w:t>
      </w:r>
    </w:p>
    <w:p>
      <w:pPr>
        <w:spacing w:before="120" w:after="120"/>
      </w:pPr>
      <w:r>
        <w:rPr>
          <w:sz w:val="18"/>
        </w:rPr>
        <w:t>——————————————————————————————————————————————————————————————————————</w:t>
      </w:r>
    </w:p>
    <w:p>
      <w:pPr>
        <w:spacing w:before="160" w:after="40" w:line="240" w:lineRule="auto"/>
      </w:pPr>
      <w:r>
        <w:rPr>
          <w:b/>
        </w:rPr>
        <w:t xml:space="preserve">[6] </w:t>
      </w:r>
      <w:hyperlink r:id="rId163">
        <w:r>
          <w:rPr>
            <w:color w:val="1155CC"/>
            <w:u w:val="single"/>
          </w:rPr>
          <w:t>烧蚀弹丸以实现间接驱动惯性约束聚变目标设计中的面密度对称性控制</w:t>
        </w:r>
      </w:hyperlink>
    </w:p>
    <w:p>
      <w:pPr>
        <w:spacing w:before="0" w:after="80"/>
      </w:pPr>
      <w:r>
        <w:rPr>
          <w:i/>
          <w:sz w:val="20"/>
        </w:rPr>
        <w:t>EN: Ablating Pellets for Areal Density Symmetry Control in Indirectly Driven Inertial Confinement Fusion Target Designs</w:t>
      </w:r>
    </w:p>
    <w:p>
      <w:pPr>
        <w:spacing w:before="0" w:after="120"/>
      </w:pPr>
      <w:r>
        <w:rPr>
          <w:b/>
        </w:rPr>
        <w:t xml:space="preserve">Source: </w:t>
      </w:r>
      <w:r>
        <w:t>Recent Articles in Phys. Rev. Lett.</w:t>
      </w:r>
      <w:r>
        <w:t xml:space="preserve">    </w:t>
      </w:r>
      <w:r>
        <w:rPr>
          <w:b/>
        </w:rPr>
        <w:t xml:space="preserve">Pub date: </w:t>
      </w:r>
      <w:r>
        <w:t>2026-06-16 10:00:00+00:00</w:t>
      </w:r>
      <w:r>
        <w:t xml:space="preserve">    </w:t>
      </w:r>
      <w:r>
        <w:rPr>
          <w:b/>
        </w:rPr>
        <w:t xml:space="preserve">DOI: </w:t>
      </w:r>
      <w:hyperlink r:id="rId164">
        <w:r>
          <w:rPr>
            <w:color w:val="1155CC"/>
            <w:u w:val="single"/>
          </w:rPr>
          <w:t>10.1103/pvf9-6nrt</w:t>
        </w:r>
      </w:hyperlink>
    </w:p>
    <w:p>
      <w:pPr>
        <w:spacing w:before="0" w:after="120"/>
      </w:pPr>
      <w:r>
        <w:rPr>
          <w:b/>
        </w:rPr>
        <w:t xml:space="preserve">Notes: </w:t>
      </w:r>
      <w:r>
        <w:t>abstract_source=rss_description</w:t>
      </w:r>
    </w:p>
    <w:p>
      <w:pPr>
        <w:spacing w:before="0" w:after="80" w:lineRule="auto" w:line="276"/>
      </w:pPr>
      <w:r>
        <w:rPr>
          <w:b/>
        </w:rPr>
        <w:t xml:space="preserve">摘要（ZH）: </w:t>
      </w:r>
      <w:r>
        <w:t>作者：O. A. Hurricane、D. J. Strozzi、S. A. Maclaren 和 C. Weber 在惯性约束聚变 (ICF) 内爆中，压缩聚变燃料结构的不对称性（以面密度变化为特征）是已知的性能限制。虽然国家点火装置（NIF）已经实现了点火，但内爆对称性并不完美，……[物理。莱特牧师。 136, 245101] 2026 年 6 月 16 日星期二发布</w:t>
      </w:r>
    </w:p>
    <w:p>
      <w:pPr>
        <w:spacing w:before="0" w:after="200" w:lineRule="auto" w:line="276"/>
      </w:pPr>
      <w:r>
        <w:rPr>
          <w:b/>
        </w:rPr>
        <w:t xml:space="preserve">Abstract (EN): </w:t>
      </w:r>
      <w:r>
        <w:t>Author(s): O. A. Hurricane, D. J. Strozzi, S. A. Maclaren, and C. WeberAsymmetry of the compressed fusion fuel configuration, as characterized by a variation in areal density, in inertial confinement fusion (ICF) implosions is a known performance limitation. While ignition has been achieved on the National Ignition Facility (NIF), implosion symmetry was not perfect, an…[Phys. Rev. Lett. 136, 245101] Published Tue Jun 16, 2026</w:t>
      </w:r>
    </w:p>
    <w:p>
      <w:pPr>
        <w:spacing w:before="120" w:after="120"/>
      </w:pPr>
      <w:r>
        <w:rPr>
          <w:sz w:val="18"/>
        </w:rPr>
        <w:t>——————————————————————————————————————————————————————————————————————</w:t>
      </w:r>
    </w:p>
    <w:p>
      <w:pPr>
        <w:spacing w:before="160" w:after="40" w:line="240" w:lineRule="auto"/>
      </w:pPr>
      <w:r>
        <w:rPr>
          <w:b/>
        </w:rPr>
        <w:t xml:space="preserve">[7] </w:t>
      </w:r>
      <w:hyperlink r:id="rId165">
        <w:r>
          <w:rPr>
            <w:color w:val="1155CC"/>
            <w:u w:val="single"/>
          </w:rPr>
          <w:t>用于自由落体目标的 10 Hz 激光多光束转向和照明</w:t>
        </w:r>
      </w:hyperlink>
    </w:p>
    <w:p>
      <w:pPr>
        <w:spacing w:before="0" w:after="80"/>
      </w:pPr>
      <w:r>
        <w:rPr>
          <w:i/>
          <w:sz w:val="20"/>
        </w:rPr>
        <w:t>EN: 10-Hz laser multi-beam steering and illumination for free-falling targets</w:t>
      </w:r>
    </w:p>
    <w:p>
      <w:pPr>
        <w:spacing w:before="0" w:after="120"/>
      </w:pPr>
      <w:r>
        <w:rPr>
          <w:b/>
        </w:rPr>
        <w:t xml:space="preserve">Source: </w:t>
      </w:r>
      <w:r>
        <w:t>Nuclear Fusion - latest papers</w:t>
      </w:r>
      <w:r>
        <w:t xml:space="preserve">    </w:t>
      </w:r>
      <w:r>
        <w:rPr>
          <w:b/>
        </w:rPr>
        <w:t xml:space="preserve">Pub date: </w:t>
      </w:r>
      <w:r>
        <w:t>2026-06-16 23:00:00+00:00</w:t>
      </w:r>
      <w:r>
        <w:t xml:space="preserve">    </w:t>
      </w:r>
      <w:r>
        <w:rPr>
          <w:b/>
        </w:rPr>
        <w:t xml:space="preserve">DOI: </w:t>
      </w:r>
      <w:hyperlink r:id="rId166">
        <w:r>
          <w:rPr>
            <w:color w:val="1155CC"/>
            <w:u w:val="single"/>
          </w:rPr>
          <w:t>10.1088/1741-4326/ae7583</w:t>
        </w:r>
      </w:hyperlink>
    </w:p>
    <w:p>
      <w:pPr>
        <w:spacing w:before="0" w:after="120"/>
      </w:pPr>
      <w:r>
        <w:rPr>
          <w:b/>
        </w:rPr>
        <w:t xml:space="preserve">Notes: </w:t>
      </w:r>
      <w:r>
        <w:t>abstract_source=rss_description</w:t>
      </w:r>
    </w:p>
    <w:p>
      <w:pPr>
        <w:spacing w:before="0" w:after="80" w:lineRule="auto" w:line="276"/>
      </w:pPr>
      <w:r>
        <w:rPr>
          <w:b/>
        </w:rPr>
        <w:t xml:space="preserve">摘要（ZH）: </w:t>
      </w:r>
      <w:r>
        <w:t>高重复率靶注入和多激光束的精确控制对于实现激光驱动惯性聚变能（IFE）反应堆至关重要。 EX-Fusion Inc. 建立了一个设施来演示快速点火方案的这些功能，名为 EX-Fusion 连续操作激光反应堆 (XF-COLR)。使用多个纳秒和飞秒激光器以 10 Hz 频率对直径为 1 mm 的自由落体不锈钢球进行激光束跟踪和照明。该系统具有光束位置实时校正功能，可在环境条件下连续运行长达 12 小时，在真空下连续运行 2.5-3 分钟。跟踪性能以真空条件下 1500 次射击的标准偏差进行评估，水平方向达到 121-139 m，垂直方向达到 63-121 m。从传感器传播的交战点的预期不确定性约为 157 m。据我们所知，这是首次使用反射镜控制的 10 Hz 激光束动态跟踪注入目标，为未来 IFE 反应堆的发展提供了参考。</w:t>
      </w:r>
    </w:p>
    <w:p>
      <w:pPr>
        <w:spacing w:before="0" w:after="200" w:lineRule="auto" w:line="276"/>
      </w:pPr>
      <w:r>
        <w:rPr>
          <w:b/>
        </w:rPr>
        <w:t xml:space="preserve">Abstract (EN): </w:t>
      </w:r>
      <w:r>
        <w:t>High-repetition-rate target injection and precise steering of multiple laser beams are essential for realizing laser-driven inertial fusion energy (IFE) reactors. EX-Fusion Inc. has established a facility to demonstrate these capabilities for the Fast Ignition scheme named the EX-Fusion Continuous Operation Laser Reactor (XF-COLR). Laser beam tracking and illumination of a free-falling stainless steel ball with a diameter of 1 mm were carried out at 10 Hz using multiple nanosecond and femtosecond lasers. The system with real-time correction of beam positions continuously operated for up to 12 h under ambient conditions and for 2.5–3 min under vacuum. Tracking performance, evaluated as standard deviations for 1500 shots under vacuum conditions, reached 121–139 m in the horizontal direction and 63–121 m in the vertical direction. The expected uncertainty at the engagement point propagated from the sensors was approximately 157 m. To the best of our knowledge, this is the first demonstration of dynamic tracking of an injected target using multiple laser beams steered by mirrors at 10 Hz, providing a reference for the development of future IFE reactors.</w:t>
      </w:r>
    </w:p>
    <w:p>
      <w:pPr>
        <w:spacing w:before="120" w:after="120"/>
      </w:pPr>
      <w:r>
        <w:rPr>
          <w:sz w:val="18"/>
        </w:rPr>
        <w:t>——————————————————————————————————————————————————————————————————————</w:t>
      </w:r>
    </w:p>
    <w:p>
      <w:pPr>
        <w:spacing w:before="160" w:after="40" w:line="240" w:lineRule="auto"/>
      </w:pPr>
      <w:r>
        <w:rPr>
          <w:b/>
        </w:rPr>
        <w:t xml:space="preserve">[8] </w:t>
      </w:r>
      <w:hyperlink r:id="rId167">
        <w:r>
          <w:rPr>
            <w:color w:val="1155CC"/>
            <w:u w:val="single"/>
          </w:rPr>
          <w:t>大型螺旋装置中多种快离子种类和快离子输运驱动的阿尔文本征模的混合模拟</w:t>
        </w:r>
      </w:hyperlink>
    </w:p>
    <w:p>
      <w:pPr>
        <w:spacing w:before="0" w:after="80"/>
      </w:pPr>
      <w:r>
        <w:rPr>
          <w:i/>
          <w:sz w:val="20"/>
        </w:rPr>
        <w:t>EN: Hybrid simulation of Alfvén eigenmodes driven by multiple fast-ion species and fast-ion transport in the Large Helical Device</w:t>
      </w:r>
    </w:p>
    <w:p>
      <w:pPr>
        <w:spacing w:before="0" w:after="120"/>
      </w:pPr>
      <w:r>
        <w:rPr>
          <w:b/>
        </w:rPr>
        <w:t xml:space="preserve">Source: </w:t>
      </w:r>
      <w:r>
        <w:t>Nuclear Fusion - latest papers</w:t>
      </w:r>
      <w:r>
        <w:t xml:space="preserve">    </w:t>
      </w:r>
      <w:r>
        <w:rPr>
          <w:b/>
        </w:rPr>
        <w:t xml:space="preserve">Pub date: </w:t>
      </w:r>
      <w:r>
        <w:t>2026-06-16 23:00:00+00:00</w:t>
      </w:r>
      <w:r>
        <w:t xml:space="preserve">    </w:t>
      </w:r>
      <w:r>
        <w:rPr>
          <w:b/>
        </w:rPr>
        <w:t xml:space="preserve">DOI: </w:t>
      </w:r>
      <w:hyperlink r:id="rId168">
        <w:r>
          <w:rPr>
            <w:color w:val="1155CC"/>
            <w:u w:val="single"/>
          </w:rPr>
          <w:t>10.1088/1741-4326/ae7736</w:t>
        </w:r>
      </w:hyperlink>
    </w:p>
    <w:p>
      <w:pPr>
        <w:spacing w:before="0" w:after="120"/>
      </w:pPr>
      <w:r>
        <w:rPr>
          <w:b/>
        </w:rPr>
        <w:t xml:space="preserve">Notes: </w:t>
      </w:r>
      <w:r>
        <w:t>abstract_source=rss_description</w:t>
      </w:r>
    </w:p>
    <w:p>
      <w:pPr>
        <w:spacing w:before="0" w:after="80" w:lineRule="auto" w:line="276"/>
      </w:pPr>
      <w:r>
        <w:rPr>
          <w:b/>
        </w:rPr>
        <w:t xml:space="preserve">摘要（ZH）: </w:t>
      </w:r>
      <w:r>
        <w:t>在使用快质子和快氘核的大型螺旋装置 (LHD) 实验中，使用 MEGA 代码进行混合模拟，以研究多个快离子种类对不稳定性和快离子输运的协同效应，其中多个快离子与磁流体动力流体相互作用。在MEGA模拟中，快离子存储能量达到稳定状态后的阿尔芬本征模(AE)的突发幅度比稳定状态之前更大，导致快离子损失率显着增加。模拟中获得的主要 AE 频率与实验中观察到的频率非常一致。在多个快离子物质的情况下，会出现当仅单个快离子物质驱动AE时不存在的额外AE，并且这些模式是由多个快离子的重新分布引起的。因此，这些额外的AE导致快质子和快氘核的损失率增加。因此，多种快离子物质的协同效应被证明可以增强 LHD 中的快离子传输和损失。</w:t>
      </w:r>
    </w:p>
    <w:p>
      <w:pPr>
        <w:spacing w:before="0" w:after="200" w:lineRule="auto" w:line="276"/>
      </w:pPr>
      <w:r>
        <w:rPr>
          <w:b/>
        </w:rPr>
        <w:t xml:space="preserve">Abstract (EN): </w:t>
      </w:r>
      <w:r>
        <w:t>In the Large Helical Device (LHD) experiments using fast protons and fast deuterons, hybrid simulations were performed with the MEGA code to investigate the synergistic effects of multiple fast-ion species on instabilities and fast-ion transport, where multiple fast ions interact with the magnetohydrodynamic fluid. In the MEGA simulations, the burst amplitude of Alfvén eigenmodes (AEs) after the fast-ion stored energy reaches a steady state is larger than that before the steady state, leading to a significant increase in the fast-ion loss rate. The dominant AE frequencies obtained in the simulations are in good agreement with those observed in the experiments. In the case of multiple fast-ion species, additional AEs appear that are absent when only a single fast-ion species drives the AEs, and these modes are caused by the redistribution of multiple fast ions. Consequently, these additional AEs lead to increased loss rates of both fast protons and fast deuterons. The synergistic effect of multiple fast-ion species is thus shown to enhance fast-ion transport and losses in the LHD.</w:t>
      </w:r>
    </w:p>
    <w:p>
      <w:pPr>
        <w:spacing w:before="120" w:after="120"/>
      </w:pPr>
      <w:r>
        <w:rPr>
          <w:sz w:val="18"/>
        </w:rPr>
        <w:t>——————————————————————————————————————————————————————————————————————</w:t>
      </w:r>
    </w:p>
    <w:p>
      <w:pPr>
        <w:spacing w:before="160" w:after="40" w:line="240" w:lineRule="auto"/>
      </w:pPr>
      <w:r>
        <w:rPr>
          <w:b/>
        </w:rPr>
        <w:t xml:space="preserve">[9] </w:t>
      </w:r>
      <w:hyperlink r:id="rId169">
        <w:r>
          <w:rPr>
            <w:color w:val="1155CC"/>
            <w:u w:val="single"/>
          </w:rPr>
          <w:t>TGLF-WINN：融合中湍流传输建模的数据高效深度学习替代品</w:t>
        </w:r>
      </w:hyperlink>
    </w:p>
    <w:p>
      <w:pPr>
        <w:spacing w:before="0" w:after="80"/>
      </w:pPr>
      <w:r>
        <w:rPr>
          <w:i/>
          <w:sz w:val="20"/>
        </w:rPr>
        <w:t>EN: TGLF-WINN: data-efficient deep learning surrogate for turbulent transport modeling in fusion</w:t>
      </w:r>
    </w:p>
    <w:p>
      <w:pPr>
        <w:spacing w:before="0" w:after="120"/>
      </w:pPr>
      <w:r>
        <w:rPr>
          <w:b/>
        </w:rPr>
        <w:t xml:space="preserve">Source: </w:t>
      </w:r>
      <w:r>
        <w:t>Nuclear Fusion - latest papers</w:t>
      </w:r>
      <w:r>
        <w:t xml:space="preserve">    </w:t>
      </w:r>
      <w:r>
        <w:rPr>
          <w:b/>
        </w:rPr>
        <w:t xml:space="preserve">Pub date: </w:t>
      </w:r>
      <w:r>
        <w:t>2026-06-16 23:00:00+00:00</w:t>
      </w:r>
      <w:r>
        <w:t xml:space="preserve">    </w:t>
      </w:r>
      <w:r>
        <w:rPr>
          <w:b/>
        </w:rPr>
        <w:t xml:space="preserve">DOI: </w:t>
      </w:r>
      <w:hyperlink r:id="rId170">
        <w:r>
          <w:rPr>
            <w:color w:val="1155CC"/>
            <w:u w:val="single"/>
          </w:rPr>
          <w:t>10.1088/1741-4326/ae72a6</w:t>
        </w:r>
      </w:hyperlink>
    </w:p>
    <w:p>
      <w:pPr>
        <w:spacing w:before="0" w:after="120"/>
      </w:pPr>
      <w:r>
        <w:rPr>
          <w:b/>
        </w:rPr>
        <w:t xml:space="preserve">Notes: </w:t>
      </w:r>
      <w:r>
        <w:t>abstract_source=rss_description</w:t>
      </w:r>
    </w:p>
    <w:p>
      <w:pPr>
        <w:spacing w:before="0" w:after="80" w:lineRule="auto" w:line="276"/>
      </w:pPr>
      <w:r>
        <w:rPr>
          <w:b/>
        </w:rPr>
        <w:t xml:space="preserve">摘要（ZH）: </w:t>
      </w:r>
      <w:r>
        <w:t>俘获陀螺朗道流体 (TGLF) 模型可以快速、准确地预测托卡马克中的湍流传输，但需要数千次评估的整个设备模拟在计算上仍然昂贵。神经网络 (NN) 代理通过完全可微的近似提供加速推理，从而实现基于梯度的耦合，但通常需要大量训练数据集来捕获等离子体条件下的传输通量变化，从而造成巨大的训练负担并限制了昂贵的回旋运动模拟的适用性。我们提出TGLF-WINN（波数信息神经网络），具有三个关键创新：（1）有原则的特征工程，减少目标预测范围，简化学习任务； （2）物理引导的波数分辨正则化以提高稀疏数据下的泛化能力； （3）贝叶斯主动学习（BAL），根据模型不确定性战略性地选择训练样本，在保持准确性的同时减少数据需求。 TGLF-WINN 专为数据高效且强大的代理训练而设计。当在完整的数据集上进行训练时，特征调整和波数正则化共同使 TGLF-NN 的相对 RMSLE 降低了 12.5%；更重要的是，在稀疏、未过滤的训练条件下（大约整个数据集大小），这两种成分产生的 RMSLE 退化比 TGLF-NN 小一个数量级，这种鲁棒性归因于波数通知的正则化对每模通量贡献施加了物理引导的约束。在顶部添加 BAL，TGLF-WINN 与 TGLF-NN 的完整匹配</w:t>
      </w:r>
    </w:p>
    <w:p>
      <w:pPr>
        <w:spacing w:before="0" w:after="200" w:lineRule="auto" w:line="276"/>
      </w:pPr>
      <w:r>
        <w:rPr>
          <w:b/>
        </w:rPr>
        <w:t xml:space="preserve">Abstract (EN): </w:t>
      </w:r>
      <w:r>
        <w:t>The trapped Gyro-Landau Fluid (TGLF) model provides fast, accurate predictions of turbulent transport in tokamaks, but whole device simulations requiring thousands of evaluations remain computationally expensive. Neural network (NN) surrogates offer accelerated inference with fully differentiable approximations that enable gradient-based coupling but typically require large training datasets to capture transport flux variations across plasma conditions, creating significant training burden and limiting applicability to expensive gyrokinetic simulations. We propose TGLF-WINN (Wavenumber-Informed NN) with three key innovations: (1) principled feature engineering that reduces target prediction range, simplifying the learning task; (2) physics-guided wavenumber-resolved regularization to improve generalization under sparse data; and (3) Bayesian active learning (BAL) to strategically select training samples based on model uncertainty, reducing data requirements while maintaining accuracy. TGLF-WINN is engineered for data-efficient and robust surrogate training. Feature tuning and wavenumber regularization together deliver a 12.5% relative RMSLE reduction over TGLF-NN when trained on the complete dataset; more importantly, under sparse, unfiltered training conditions (approximately the full dataset size) these two ingredients yield an order-of-magnitude smaller RMSLE degradation than TGLF-NN, a robustness attributable to the wavenumber-informed regularization imposing a physics-guided constraint on per-mode flux contributions. Adding BAL on top, TGLF-WINN matches TGLF-NN’s full-data offline accuracy using only 25% of the training data, reaching RMSLE within 2.8% of TGLF-NN’s full-data baseline and within 4.3% of our own full-data result. We further demonstrate practicality in a downstream flux-matching workflow: the NN surrogate provides a 45 speedup over TGLF while maintaining comparable reconstruction accuracy.</w:t>
      </w:r>
    </w:p>
    <w:p>
      <w:pPr>
        <w:spacing w:before="120" w:after="120"/>
      </w:pPr>
      <w:r>
        <w:rPr>
          <w:sz w:val="18"/>
        </w:rPr>
        <w:t>——————————————————————————————————————————————————————————————————————</w:t>
      </w:r>
    </w:p>
    <w:p>
      <w:pPr>
        <w:spacing w:before="160" w:after="40" w:line="240" w:lineRule="auto"/>
      </w:pPr>
      <w:r>
        <w:rPr>
          <w:b/>
        </w:rPr>
        <w:t xml:space="preserve">[10] </w:t>
      </w:r>
      <w:hyperlink r:id="rId171">
        <w:r>
          <w:rPr>
            <w:color w:val="1155CC"/>
            <w:u w:val="single"/>
          </w:rPr>
          <w:t>ASDEX Upgrade 等离子体 3D 磁流体动力学建模中螺旋核的通量泵送和分叉弛豫</w:t>
        </w:r>
      </w:hyperlink>
    </w:p>
    <w:p>
      <w:pPr>
        <w:spacing w:before="0" w:after="80"/>
      </w:pPr>
      <w:r>
        <w:rPr>
          <w:i/>
          <w:sz w:val="20"/>
        </w:rPr>
        <w:t>EN: Flux pumping and bifurcated relaxations of helical core in 3D magnetohydrodynamic modelling of ASDEX Upgrade plasmas</w:t>
      </w:r>
    </w:p>
    <w:p>
      <w:pPr>
        <w:spacing w:before="0" w:after="120"/>
      </w:pPr>
      <w:r>
        <w:rPr>
          <w:b/>
        </w:rPr>
        <w:t xml:space="preserve">Source: </w:t>
      </w:r>
      <w:r>
        <w:t>Nuclear Fusion - latest papers</w:t>
      </w:r>
      <w:r>
        <w:t xml:space="preserve">    </w:t>
      </w:r>
      <w:r>
        <w:rPr>
          <w:b/>
        </w:rPr>
        <w:t xml:space="preserve">Pub date: </w:t>
      </w:r>
      <w:r>
        <w:t>2026-06-16 23:00:00+00:00</w:t>
      </w:r>
      <w:r>
        <w:t xml:space="preserve">    </w:t>
      </w:r>
      <w:r>
        <w:rPr>
          <w:b/>
        </w:rPr>
        <w:t xml:space="preserve">DOI: </w:t>
      </w:r>
      <w:hyperlink r:id="rId172">
        <w:r>
          <w:rPr>
            <w:color w:val="1155CC"/>
            <w:u w:val="single"/>
          </w:rPr>
          <w:t>10.1088/1741-4326/ae7613</w:t>
        </w:r>
      </w:hyperlink>
    </w:p>
    <w:p>
      <w:pPr>
        <w:spacing w:before="0" w:after="120"/>
      </w:pPr>
      <w:r>
        <w:rPr>
          <w:b/>
        </w:rPr>
        <w:t xml:space="preserve">Notes: </w:t>
      </w:r>
      <w:r>
        <w:t>abstract_source=rss_description</w:t>
      </w:r>
    </w:p>
    <w:p>
      <w:pPr>
        <w:spacing w:before="0" w:after="80" w:lineRule="auto" w:line="276"/>
      </w:pPr>
      <w:r>
        <w:rPr>
          <w:b/>
        </w:rPr>
        <w:t xml:space="preserve">摘要（ZH）: </w:t>
      </w:r>
      <w:r>
        <w:t>最近在 ASDEX Upgrade (AUG) 托卡马克的混合场景实验中实现了通量泵浦，其特点是无锯齿螺旋静止状态以及环形电流密度和极向磁通量的异常径向重新分布。在本文中，使用基于双温度、非线性、全磁流体动力学 (MHD) 模型的 JOREK 代码，在实际参数下研究了 AUG 核心等离子体在通量泵浦过程中的自调节机制。 AUG 通量泵浦建模的一个关键里程碑是通过定量再现等离子体核心中的钳位电流密度和安全系数曲线来实现的，证明了发电机效应在维持通量泵浦状态方面的有效性。特别令人感兴趣的发电机项主要是由压力梯度驱动 = 1/1 准互换式 MHD 不稳定性产生的。这项工作通过扫描耗散系数和等离子体β，从上述 AUG 基本情况系统地推断出通量泵浦的参数范围。模拟结果揭示了不同哈特曼数下的分叉等离子体行为，包括不同的状态，例如通量泵浦（具有平坦电流密度的螺旋核）、锯齿（周期性扭结循环）、单次碰撞（无后续循环）和准稳态磁岛（峰值电流密度）。观察并分析了长期模拟中从边际通量泵浦状态到锯齿状的转变。仔细分析了系统耗散、等离子体β和不同等离子体状态之间的关系。对于公关</w:t>
      </w:r>
    </w:p>
    <w:p>
      <w:pPr>
        <w:spacing w:before="0" w:after="200" w:lineRule="auto" w:line="276"/>
      </w:pPr>
      <w:r>
        <w:rPr>
          <w:b/>
        </w:rPr>
        <w:t xml:space="preserve">Abstract (EN): </w:t>
      </w:r>
      <w:r>
        <w:t>Flux pumping was achieved in recent hybrid scenario experiments in the ASDEX Upgrade (AUG) tokamak, which is characterized by a sawtooth-free helical quiescent state and the anomalous radial redistribution of toroidal current density and poloidal magnetic flux. In this article, the self-regulation mechanism of the AUG core plasma during flux pumping is investigated at realistic parameters using the JOREK code based on the two-temperature, nonlinear, full magnetohydrodynamic (MHD) model. A key milestone in AUG flux pumping modelling is achieved by quantitatively reproducing the clamped current density and safety factor profiles in the plasma core, demonstrating the effectiveness of the dynamo effect in sustaining the flux pumping state. The dynamo term, which is of particular interest, is primarily generated by the pressure-gradient-driven = 1/1 quasi-interchange-like MHD instability. The work systematically extrapolates the parameter regimes of flux pumping from the above AUG base case by scanning dissipation coefficients and plasma beta. The simulation results reveal bifurcated plasma behaviours at different Hartmann numbers, including distinct states such as flux pumping (helical core with a flat current density), sawteeth (periodic kink-cycling), single crash (without subsequent cycle), and quasi-stationary magnetic island (peaked current density). Transitions from marginal flux-pumping state to sawteeth in long-term simulations are observed and analysed. The relationships between system dissipation, plasma beta, and different plasma states are carefully analysed. For practical purposes, the potential operational window for flux pumping, as determined by plasma density and temperature, is estimated. The modelling efforts advance the understanding of flux pumping and facilitate the development of a fast surrogate model for efficient evaluation of flux pumping.</w:t>
      </w:r>
    </w:p>
    <w:p>
      <w:pPr>
        <w:spacing w:before="120" w:after="120"/>
      </w:pPr>
      <w:r>
        <w:rPr>
          <w:sz w:val="18"/>
        </w:rPr>
        <w:t>——————————————————————————————————————————————————————————————————————</w:t>
      </w:r>
    </w:p>
    <w:p>
      <w:pPr>
        <w:spacing w:before="160" w:after="40" w:line="240" w:lineRule="auto"/>
      </w:pPr>
      <w:r>
        <w:rPr>
          <w:b/>
        </w:rPr>
        <w:t xml:space="preserve">[11] </w:t>
      </w:r>
      <w:hyperlink r:id="rId173">
        <w:r>
          <w:rPr>
            <w:color w:val="1155CC"/>
            <w:u w:val="single"/>
          </w:rPr>
          <w:t>在与反注入等离子体团轴正交的镜场中自组织形成场反转高β等离子体团</w:t>
        </w:r>
      </w:hyperlink>
    </w:p>
    <w:p>
      <w:pPr>
        <w:spacing w:before="0" w:after="80"/>
      </w:pPr>
      <w:r>
        <w:rPr>
          <w:i/>
          <w:sz w:val="20"/>
        </w:rPr>
        <w:t>EN: Self-organized formation of a field-reversed high-β plasmoid in a mirror field orthogonal to the axis of counter-injected plasmoids</w:t>
      </w:r>
    </w:p>
    <w:p>
      <w:pPr>
        <w:spacing w:before="0" w:after="120"/>
      </w:pPr>
      <w:r>
        <w:rPr>
          <w:b/>
        </w:rPr>
        <w:t xml:space="preserve">Source: </w:t>
      </w:r>
      <w:r>
        <w:t>Nuclear Fusion - latest papers</w:t>
      </w:r>
      <w:r>
        <w:t xml:space="preserve">    </w:t>
      </w:r>
      <w:r>
        <w:rPr>
          <w:b/>
        </w:rPr>
        <w:t xml:space="preserve">Pub date: </w:t>
      </w:r>
      <w:r>
        <w:t>2026-06-16 23:00:00+00:00</w:t>
      </w:r>
      <w:r>
        <w:t xml:space="preserve">    </w:t>
      </w:r>
      <w:r>
        <w:rPr>
          <w:b/>
        </w:rPr>
        <w:t xml:space="preserve">DOI: </w:t>
      </w:r>
      <w:hyperlink r:id="rId174">
        <w:r>
          <w:rPr>
            <w:color w:val="1155CC"/>
            <w:u w:val="single"/>
          </w:rPr>
          <w:t>10.1088/1741-4326/ae7614</w:t>
        </w:r>
      </w:hyperlink>
    </w:p>
    <w:p>
      <w:pPr>
        <w:spacing w:before="0" w:after="120"/>
      </w:pPr>
      <w:r>
        <w:rPr>
          <w:b/>
        </w:rPr>
        <w:t xml:space="preserve">Notes: </w:t>
      </w:r>
      <w:r>
        <w:t>abstract_source=rss_description</w:t>
      </w:r>
    </w:p>
    <w:p>
      <w:pPr>
        <w:spacing w:before="0" w:after="80" w:lineRule="auto" w:line="276"/>
      </w:pPr>
      <w:r>
        <w:rPr>
          <w:b/>
        </w:rPr>
        <w:t xml:space="preserve">摘要（ZH）: </w:t>
      </w:r>
      <w:r>
        <w:t>我们报告了磁镜场内自组织形成类似场反转配置（FRC）的高β等离子体团的实验证据。当两个等离子体团沿着垂直于镜场轴的轴反注入时高速碰撞然后合并时形成等离子体团。这种“正交合并”几何形状与沿设备轴的传统轴对称 FRC 合并不同，原则上可以为偏滤器和直接能量转换级等反应堆相关组件保留镜子的两个轴向端。在通过平移碰撞合并的FRC放大装置中，两个线积分密度为(1–1.5)×1020 m−2的氘等离子体团被加速到∼150 km s−1，并以∼300 km s−1的相对速度合并，在镜内产生局部高密度区域。排除通量探针、内部磁探针、干涉测量和离子多普勒光谱揭示了（i）碰撞后和重组阶段早期的直接反向场特征，（ii）从顺磁旋转到抗磁旋转的转变，以及（iii）随后的旋转。代表性的中平面干涉测量表明，体等离子体密度在与排除通量信号的衰减相当的时间尺度上持续存在，而最长寿命的非侵入性排除通量迹线表明持续时间约为130μs，大大长于简单镜子中估计的经典扩散时间（&lt;70μs，镜像比为R∼2.9）。尽管全磁拓扑没有被重建为非i</w:t>
      </w:r>
    </w:p>
    <w:p>
      <w:pPr>
        <w:spacing w:before="0" w:after="200" w:lineRule="auto" w:line="276"/>
      </w:pPr>
      <w:r>
        <w:rPr>
          <w:b/>
        </w:rPr>
        <w:t xml:space="preserve">Abstract (EN): </w:t>
      </w:r>
      <w:r>
        <w:t>We report experimental evidence for the self‐organized formation of a field-reversed configuration (FRC)-like high‐β plasmoid inside a magnetic mirror field. The plasmoid forms when two plasmoids counter‐injected along an axis perpendicular to the mirror field axis collide at high speed and then merge. This ‘orthogonal merging’ geometry, which differs from conventional axisymmetric FRC merging along the device axis, can (in principle) preserve both axial ends of the mirror for reactor-relevant components such as divertors and direct energy-conversion stages. In the FRC Amplification via Translation–Collisional Merging device, two deuterium plasmoids with a line-integrated density of (1–1.5) × 1020 m−2 were accelerated to ∼150 km s−1 and merged at a relative speed of ∼300 km s−1, producing a localized high-density region within the mirror. Excluded-flux probes, internal magnetic probes, interferometry, and ion Doppler spectroscopy revealed (i) direct reversed-field signatures during the early post-collision and reformation phases, (ii) a transition from paramagnetic to diamagnetic rotation, and (iii) subsequent spin-up. Representative mid-plane interferometry measurements show that the bulk plasma density persists on a timescale comparable to the decay of the excluded-flux signal, while the longest-lived non-invasive excluded-flux traces indicate a persistence time of approximately 130 μs, substantially longer than the estimated classical diffusion time in a simple mirror (&lt;70 μs with a mirror ratio of R ∼ 2.9). Although the full magnetic topology was not reconstructed non-invasively, the combined observations are consistent with the formation of an FRC-like high-β state containing a closed-field component that reduces parallel losses relative to a simple mirror. These results indicate a feasible pathway toward mirror–FRC hybrid operation. They also broaden the options of FRC formation and high-speed fueling in linear systems while maintaining the availability of the axial ends for reactor-relevant hardware.</w:t>
      </w:r>
    </w:p>
    <w:p>
      <w:pPr>
        <w:spacing w:before="120" w:after="120"/>
      </w:pPr>
      <w:r>
        <w:rPr>
          <w:sz w:val="18"/>
        </w:rPr>
        <w:t>——————————————————————————————————————————————————————————————————————</w:t>
      </w:r>
    </w:p>
    <w:p>
      <w:pPr>
        <w:spacing w:before="160" w:after="40" w:line="240" w:lineRule="auto"/>
      </w:pPr>
      <w:r>
        <w:rPr>
          <w:b/>
        </w:rPr>
        <w:t xml:space="preserve">[12] </w:t>
      </w:r>
      <w:hyperlink r:id="rId175">
        <w:r>
          <w:rPr>
            <w:color w:val="1155CC"/>
            <w:u w:val="single"/>
          </w:rPr>
          <w:t>线性肤色使中子辐照铁素体钢具有前所未有的延展性</w:t>
        </w:r>
      </w:hyperlink>
    </w:p>
    <w:p>
      <w:pPr>
        <w:spacing w:before="0" w:after="80"/>
      </w:pPr>
      <w:r>
        <w:rPr>
          <w:i/>
          <w:sz w:val="20"/>
        </w:rPr>
        <w:t>EN: Linear complexions enable unprecedented ductility retention in neutron irradiated ferritic steel</w:t>
      </w:r>
    </w:p>
    <w:p>
      <w:pPr>
        <w:spacing w:before="0" w:after="120"/>
      </w:pPr>
      <w:r>
        <w:rPr>
          <w:b/>
        </w:rPr>
        <w:t xml:space="preserve">Source: </w:t>
      </w:r>
      <w:r>
        <w:t>Physical sciences : Nature Communications subject feeds</w:t>
      </w:r>
      <w:r>
        <w:t xml:space="preserve">    </w:t>
      </w:r>
      <w:r>
        <w:rPr>
          <w:b/>
        </w:rPr>
        <w:t xml:space="preserve">Pub date: </w:t>
      </w:r>
      <w:r>
        <w:t>2026-06-17 00:00:00+00:00</w:t>
      </w:r>
    </w:p>
    <w:p>
      <w:pPr>
        <w:spacing w:before="0" w:after="120"/>
      </w:pPr>
      <w:r>
        <w:rPr>
          <w:b/>
        </w:rPr>
        <w:t xml:space="preserve">Notes: </w:t>
      </w:r>
      <w:r>
        <w:t>abstract_source=nature_html</w:t>
      </w:r>
    </w:p>
    <w:p>
      <w:pPr>
        <w:spacing w:before="0" w:after="80" w:lineRule="auto" w:line="276"/>
      </w:pPr>
      <w:r>
        <w:rPr>
          <w:b/>
        </w:rPr>
        <w:t xml:space="preserve">摘要（ZH）: </w:t>
      </w:r>
      <w:r>
        <w:t>在此，中子辐照过程中富硅线性络合物的原位形成使 91 级铁素体钢能够克服强度-延展性权衡，这是核结构合金面临的最关键的寿命限制挑战之一。线性络色是位错处独特但受限的化学和结构状态，这在工程合金中很少有报道。铁素体钢是当前和未来核部件最普遍的工程合金之一，但它们容易受到辐射硬化和脆化的影响。在这里，使用粉末冶金热等静压 (PM-HIP) 合成的 Grade 91 获得了超过辐照前水平 90% 的优异延展性保留率。粉末加工伪影促进了螺位错阵列的高密度，在辐照过程中，由于 Si 偏析，在螺位错阵列上形成了 β-FeSi2 线性络合物。螺旋位错偶极子在线性表面上经历钉扎和脱钉，导致辐照后屈服延长和显着的延展性保留。这些发现代表了合金设计和制造工艺的重大进步，这些合金和制造工艺可以在辐照过程中自主地自我调节其微观结构弹性，从而实现卓越的延展性而不是脆化。</w:t>
      </w:r>
    </w:p>
    <w:p>
      <w:pPr>
        <w:spacing w:before="0" w:after="200" w:lineRule="auto" w:line="276"/>
      </w:pPr>
      <w:r>
        <w:rPr>
          <w:b/>
        </w:rPr>
        <w:t xml:space="preserve">Abstract (EN): </w:t>
      </w:r>
      <w:r>
        <w:t>Herein, the operando formation of Si-enriched linear complexions during neutron irradiation enables Grade 91 ferritic steel to overcome the strength–ductility tradeoff, one of the most critical life-limiting challenges facing nuclear structural alloys. Linear complexions are a distinct yet confined chemical and structural state at a dislocation, which are rarely reported in engineering alloys. Ferritic steels are amongst the most ubiquitous engineering alloys for current and future nuclear components, but they are susceptible to irradiation hardening and embrittlement. Here, exceptional ductility retention exceeding 90% of pre-irradiation levels is obtained in Grade 91 synthesized using powder metallurgy with hot isostatic pressing (PM-HIP). Powder processing artifacts promote a high density of screw dislocation arrays, on which β-FeSi2 linear complexions form due to Si segregation during irradiation. Screw dislocation dipoles undergo pinning and unpinning on linear complexions, resulting in extended yielding and significant ductility retention post-irradiation. These findings represent a significant advancement toward design of alloys and manufacturing processes that can autonomously self-regulate their microstructural resilience in-operando during irradiation, enabling exceptional ductility rather than embrittlement.</w:t>
      </w:r>
    </w:p>
    <w:p>
      <w:pPr>
        <w:spacing w:before="120" w:after="120"/>
      </w:pPr>
      <w:r>
        <w:rPr>
          <w:sz w:val="18"/>
        </w:rPr>
        <w:t>——————————————————————————————————————————————————————————————————————</w:t>
      </w:r>
    </w:p>
    <w:p>
      <w:pPr>
        <w:spacing w:before="160" w:after="40" w:line="240" w:lineRule="auto"/>
      </w:pPr>
      <w:r>
        <w:rPr>
          <w:b/>
        </w:rPr>
        <w:t xml:space="preserve">[13] </w:t>
      </w:r>
      <w:hyperlink r:id="rId176">
        <w:r>
          <w:rPr>
            <w:color w:val="1155CC"/>
            <w:u w:val="single"/>
          </w:rPr>
          <w:t>RFX-mod2 和 NEFERTARI 项目：用于研究聚变磁约束等离子体的分布式研究网络</w:t>
        </w:r>
      </w:hyperlink>
    </w:p>
    <w:p>
      <w:pPr>
        <w:spacing w:before="0" w:after="80"/>
      </w:pPr>
      <w:r>
        <w:rPr>
          <w:i/>
          <w:sz w:val="20"/>
        </w:rPr>
        <w:t>EN: RFX-mod2 and the NEFERTARI project: A distributed research network for the study of magnetically confined plasmas for fusion</w:t>
      </w:r>
    </w:p>
    <w:p>
      <w:pPr>
        <w:spacing w:before="0" w:after="120"/>
      </w:pPr>
      <w:r>
        <w:rPr>
          <w:b/>
        </w:rPr>
        <w:t xml:space="preserve">Source: </w:t>
      </w:r>
      <w:r>
        <w:t>Nuclear Fusion - latest papers</w:t>
      </w:r>
      <w:r>
        <w:t xml:space="preserve">    </w:t>
      </w:r>
      <w:r>
        <w:rPr>
          <w:b/>
        </w:rPr>
        <w:t xml:space="preserve">Pub date: </w:t>
      </w:r>
      <w:r>
        <w:t>2026-06-17 23:00:00+00:00</w:t>
      </w:r>
      <w:r>
        <w:t xml:space="preserve">    </w:t>
      </w:r>
      <w:r>
        <w:rPr>
          <w:b/>
        </w:rPr>
        <w:t xml:space="preserve">DOI: </w:t>
      </w:r>
      <w:hyperlink r:id="rId177">
        <w:r>
          <w:rPr>
            <w:color w:val="1155CC"/>
            <w:u w:val="single"/>
          </w:rPr>
          <w:t>10.1088/1741-4326/ae6f30</w:t>
        </w:r>
      </w:hyperlink>
    </w:p>
    <w:p>
      <w:pPr>
        <w:spacing w:before="0" w:after="120"/>
      </w:pPr>
      <w:r>
        <w:rPr>
          <w:b/>
        </w:rPr>
        <w:t xml:space="preserve">Notes: </w:t>
      </w:r>
      <w:r>
        <w:t>abstract_source=rss_description</w:t>
      </w:r>
    </w:p>
    <w:p>
      <w:pPr>
        <w:spacing w:before="0" w:after="80" w:lineRule="auto" w:line="276"/>
      </w:pPr>
      <w:r>
        <w:rPr>
          <w:b/>
        </w:rPr>
        <w:t xml:space="preserve">摘要（ZH）: </w:t>
      </w:r>
      <w:r>
        <w:t>本文介绍了 RFX-mod2 设备升级的实施状况，这是反向现场实验 (RFX) 的第二次重大修改。该机器的核心更新包括放置在真空容器内的薄铜稳定壳，以确保电阻壁模式 (RWM) 的长期稳定性，并实现快速旋转撕裂模式的状态。 NEFERTARI 项目（RFX 基础设施实验研究和技术进步的新设备）正在对该设施的技术设备和诊断进行全面现代化改造。 NEFERTARI 由下一代欧盟意大利国家复苏和复原计划 (NRRP) 资助，旨在加强 RFX 基础设施及其合作伙伴网络。工厂的重大升级包括：翻新主真空系统以及开发基于八个固定电极的新型辉光放电清洁（GDC）系统，以实现更均匀的壁调节；对控制和数据采集系统进行了重大改造，现在具有超过 1500 个通道的高分辨率多通道采集系统，无需模拟积分器；增强边缘等离子体表征和核心诊断，例如高重复率（高达 3 kHz）汤姆逊散射系统和扩展软 X 射线（SXR）断层扫描；升级现有的反射测量系统并安装新的反射测量系统；修复用于空间分辨离子温度测量的诊断中性束注入器 (DNBI)。此外，</w:t>
      </w:r>
    </w:p>
    <w:p>
      <w:pPr>
        <w:spacing w:before="0" w:after="200" w:lineRule="auto" w:line="276"/>
      </w:pPr>
      <w:r>
        <w:rPr>
          <w:b/>
        </w:rPr>
        <w:t xml:space="preserve">Abstract (EN): </w:t>
      </w:r>
      <w:r>
        <w:t>This paper describes the status of the implementation of the upgrades for the RFX-mod2 device, the second major modification of the Reversed Field eXperiment (RFX). The machine’s core update consists of a thin copper stabilizing shell placed inside the vacuum vessel to ensure long-term stability of resistive wall modes (RWM) and enable regimes with fast-rotating tearing modes. A comprehensive modernization of the facility’s technological plants and diagnostics is being carried out within the NEFERTARI project (New Equipment For the Experimental Research and Technological Advancement for the RFX Infrastructure). Funded by the Italian National Recovery and Resilience Plan (NRRP) under Next Generation EU, NEFERTARI aims to strengthen the RFX infrastructure and its network of partners. Significant plant upgrades include: the refurbishment of the main vacuum system and the development of a new glow discharge cleaning (GDC) system based on eight fixed electrodes for more uniform wall conditioning; a major overhaul of the control and data acquisition system, now featuring a high-resolution multichannel acquisition system with over 1500 channels that eliminates the need for analogue integrators; the enhancement edge plasma characterization and of core diagnostics, such as the high-repetition-rate (up to 3 kHz) Thomson Scattering system and the expanded soft x-ray (SXR) tomography; the upgrade of the existing and installation of new reflectometric system; the restoration of the Diagnostic Neutral Beam Injector (DNBI) for spatially resolved ion temperature measurements. Furthermore, the paper highlights the contributions of the Italian laboratory network, including the BiGyM infrastructure for testing innovative plasma-facing components; the ROMAN remote handling facility for in-vessel maintenance development; dedicated laboratories for the development of neutron detectors and for optical diagnostics for the characterization of surfaces, and for high-voltage electrical insulation testing.</w:t>
      </w:r>
    </w:p>
    <w:p>
      <w:pPr>
        <w:spacing w:before="120" w:after="120"/>
      </w:pPr>
      <w:r>
        <w:rPr>
          <w:sz w:val="18"/>
        </w:rPr>
        <w:t>——————————————————————————————————————————————————————————————————————</w:t>
      </w:r>
    </w:p>
    <w:p>
      <w:pPr>
        <w:spacing w:before="160" w:after="40" w:line="240" w:lineRule="auto"/>
      </w:pPr>
      <w:r>
        <w:rPr>
          <w:b/>
        </w:rPr>
        <w:t xml:space="preserve">[14] </w:t>
      </w:r>
      <w:hyperlink r:id="rId178">
        <w:r>
          <w:rPr>
            <w:color w:val="1155CC"/>
            <w:u w:val="single"/>
          </w:rPr>
          <w:t>基于深度学习的核电厂健康监测和预测：系统评价</w:t>
        </w:r>
      </w:hyperlink>
    </w:p>
    <w:p>
      <w:pPr>
        <w:spacing w:before="0" w:after="80"/>
      </w:pPr>
      <w:r>
        <w:rPr>
          <w:i/>
          <w:sz w:val="20"/>
        </w:rPr>
        <w:t>EN: Deep learning-based health monitoring and prognostics for nuclear power plants: a systematic review</w:t>
      </w:r>
    </w:p>
    <w:p>
      <w:pPr>
        <w:spacing w:before="0" w:after="120"/>
      </w:pPr>
      <w:r>
        <w:rPr>
          <w:b/>
        </w:rPr>
        <w:t xml:space="preserve">Source: </w:t>
      </w:r>
      <w:r>
        <w:t>ScienceDirect Publication: Applied Energy</w:t>
      </w:r>
      <w:r>
        <w:t xml:space="preserve">    </w:t>
      </w:r>
      <w:r>
        <w:rPr>
          <w:b/>
        </w:rPr>
        <w:t xml:space="preserve">Pub date: </w:t>
      </w:r>
      <w:r>
        <w:t>2026-06-18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【氢氨醇】</w:t>
      </w:r>
    </w:p>
    <w:p>
      <w:pPr>
        <w:spacing w:before="160" w:after="40" w:line="240" w:lineRule="auto"/>
      </w:pPr>
      <w:r>
        <w:rPr>
          <w:b/>
        </w:rPr>
        <w:t xml:space="preserve">[1] </w:t>
      </w:r>
      <w:hyperlink r:id="rId179">
        <w:r>
          <w:rPr>
            <w:color w:val="1155CC"/>
            <w:u w:val="single"/>
          </w:rPr>
          <w:t>PEM 支持下的 AI 训练数据中心的托管容量：两级优化方法</w:t>
        </w:r>
      </w:hyperlink>
    </w:p>
    <w:p>
      <w:pPr>
        <w:spacing w:before="0" w:after="80"/>
      </w:pPr>
      <w:r>
        <w:rPr>
          <w:i/>
          <w:sz w:val="20"/>
        </w:rPr>
        <w:t>EN: Hosting capacity of AI training data centers with PEM support: A two-level optimization approach</w:t>
      </w:r>
    </w:p>
    <w:p>
      <w:pPr>
        <w:spacing w:before="0" w:after="120"/>
      </w:pPr>
      <w:r>
        <w:rPr>
          <w:b/>
        </w:rPr>
        <w:t xml:space="preserve">Source: </w:t>
      </w:r>
      <w:r>
        <w:t>ScienceDirect Publication: Applied Energy</w:t>
      </w:r>
      <w:r>
        <w:t xml:space="preserve">    </w:t>
      </w:r>
      <w:r>
        <w:rPr>
          <w:b/>
        </w:rPr>
        <w:t xml:space="preserve">Pub date: </w:t>
      </w:r>
      <w:r>
        <w:t>2026-06-13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80">
        <w:r>
          <w:rPr>
            <w:color w:val="1155CC"/>
            <w:u w:val="single"/>
          </w:rPr>
          <w:t>生物转化和催化重整途径的系统级集成，用于从木质纤维素生物质可持续生产生物柴油、氢气和氨</w:t>
        </w:r>
      </w:hyperlink>
    </w:p>
    <w:p>
      <w:pPr>
        <w:spacing w:before="0" w:after="80"/>
      </w:pPr>
      <w:r>
        <w:rPr>
          <w:i/>
          <w:sz w:val="20"/>
        </w:rPr>
        <w:t>EN: System-level integration of bioconversion and catalytic reforming pathways for sustainable production of biodiesel, hydrogen, and ammonia from lignocellulosic biomass</w:t>
      </w:r>
    </w:p>
    <w:p>
      <w:pPr>
        <w:spacing w:before="0" w:after="120"/>
      </w:pPr>
      <w:r>
        <w:rPr>
          <w:b/>
        </w:rPr>
        <w:t xml:space="preserve">Source: </w:t>
      </w:r>
      <w:r>
        <w:t>ScienceDirect Publication: Applied Energy</w:t>
      </w:r>
      <w:r>
        <w:t xml:space="preserve">    </w:t>
      </w:r>
      <w:r>
        <w:rPr>
          <w:b/>
        </w:rPr>
        <w:t xml:space="preserve">Pub date: </w:t>
      </w:r>
      <w:r>
        <w:t>2026-06-13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81">
        <w:r>
          <w:rPr>
            <w:color w:val="1155CC"/>
            <w:u w:val="single"/>
          </w:rPr>
          <w:t>巴西亚马逊和塞拉多地区的乙醇繁荣和玉米价格上涨</w:t>
        </w:r>
      </w:hyperlink>
    </w:p>
    <w:p>
      <w:pPr>
        <w:spacing w:before="0" w:after="80"/>
      </w:pPr>
      <w:r>
        <w:rPr>
          <w:i/>
          <w:sz w:val="20"/>
        </w:rPr>
        <w:t>EN: An ethanol boom and booming corn prices in Brazil's Amazon and Cerrado Regions</w:t>
      </w:r>
    </w:p>
    <w:p>
      <w:pPr>
        <w:spacing w:before="0" w:after="120"/>
      </w:pPr>
      <w:r>
        <w:rPr>
          <w:b/>
        </w:rPr>
        <w:t xml:space="preserve">Source: </w:t>
      </w:r>
      <w:r>
        <w:t>ScienceDirect Publication: Energy Policy</w:t>
      </w:r>
      <w:r>
        <w:t xml:space="preserve">    </w:t>
      </w:r>
      <w:r>
        <w:rPr>
          <w:b/>
        </w:rPr>
        <w:t xml:space="preserve">Pub date: </w:t>
      </w:r>
      <w:r>
        <w:t>2026-06-13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15">
        <w:r>
          <w:rPr>
            <w:color w:val="1155CC"/>
            <w:u w:val="single"/>
          </w:rPr>
          <w:t>具有优化氢化动力学的 Pd 单原子掺杂 Cu3Co 量子点用于具有同步能量收集和废物增值的多功能硝酸铝原电池</w:t>
        </w:r>
      </w:hyperlink>
    </w:p>
    <w:p>
      <w:pPr>
        <w:spacing w:before="0" w:after="80"/>
      </w:pPr>
      <w:r>
        <w:rPr>
          <w:i/>
          <w:sz w:val="20"/>
        </w:rPr>
        <w:t>EN: Pd Single‐Atom‐Doped Cu3Co Quantum Dots With Optimized Hydrogenation Kinetics for Versatile Aluminum‐Nitrate Primary Battery With Synchronous Energy Harvesting and Waste Valorization</w:t>
      </w:r>
    </w:p>
    <w:p>
      <w:pPr>
        <w:spacing w:before="0" w:after="120"/>
      </w:pPr>
      <w:r>
        <w:rPr>
          <w:b/>
        </w:rPr>
        <w:t xml:space="preserve">Source: </w:t>
      </w:r>
      <w:r>
        <w:t>Wiley-Online-Library: Angewandte Chemie International Edition: Table of Contents</w:t>
      </w:r>
      <w:r>
        <w:t xml:space="preserve">    </w:t>
      </w:r>
      <w:r>
        <w:rPr>
          <w:b/>
        </w:rPr>
        <w:t xml:space="preserve">Pub date: </w:t>
      </w:r>
      <w:r>
        <w:t>2026-06-13 16:53:48+00:00</w:t>
      </w:r>
      <w:r>
        <w:t xml:space="preserve">    </w:t>
      </w:r>
      <w:r>
        <w:rPr>
          <w:b/>
        </w:rPr>
        <w:t xml:space="preserve">DOI: </w:t>
      </w:r>
      <w:hyperlink r:id="rId116">
        <w:r>
          <w:rPr>
            <w:color w:val="1155CC"/>
            <w:u w:val="single"/>
          </w:rPr>
          <w:t>10.1002/anie.8420715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能够同时发电和污染物降解的硝酸盐电池的合理设计是非常有前途的，但大多数报道的系统，如硝酸锌或醛基硝酸盐电池，都面临着关键的限制，包括缓慢的阴极硝酸盐还原动力学、高阳极材料成本、低价值的阳极反应产物、较差的开路电位（OCP）和有限的功率输出。优化催化剂活性和 NH</w:t>
      </w:r>
      <w:r>
        <w:rPr>
          <w:vertAlign w:val="subscript"/>
        </w:rPr>
        <w:t>3</w:t>
      </w:r>
      <w:r>
        <w:t>通过结构-活性关系的选择性对于提高此类电池的电输出效率至关重要。在此，我们报道了 Pd 单原子掺杂 Cu</w:t>
      </w:r>
      <w:r>
        <w:rPr>
          <w:vertAlign w:val="subscript"/>
        </w:rPr>
        <w:t>3</w:t>
      </w:r>
      <w:r>
        <w:t>钴量子点电催化剂（Pd</w:t>
      </w:r>
      <w:r>
        <w:t xml:space="preserve"> </w:t>
      </w:r>
      <w:r>
        <w:t>萨</w:t>
      </w:r>
      <w:r>
        <w:t xml:space="preserve"> </w:t>
      </w:r>
      <w:r>
        <w:t>‐铜</w:t>
      </w:r>
      <w:r>
        <w:rPr>
          <w:vertAlign w:val="subscript"/>
        </w:rPr>
        <w:t>3</w:t>
      </w:r>
      <w:r>
        <w:t>Co QDs），调节 H* 吸附以加速 NO 的关键氢化步骤</w:t>
      </w:r>
      <w:r>
        <w:rPr>
          <w:vertAlign w:val="subscript"/>
        </w:rPr>
        <w:t>3</w:t>
      </w:r>
      <w:r>
        <w:t>RR，NH 实现 +0.18 V 的正起始电压（相对于 RHE）和接近 100% 的法拉第效率 (FE)</w:t>
      </w:r>
      <w:r>
        <w:rPr>
          <w:vertAlign w:val="subscript"/>
        </w:rPr>
        <w:t>3</w:t>
      </w:r>
      <w:r>
        <w:t>−0.5 V（相对于 RHE）。一种新型Al-NO</w:t>
      </w:r>
      <w:r>
        <w:rPr>
          <w:vertAlign w:val="subscript"/>
        </w:rPr>
        <w:t>3</w:t>
      </w:r>
      <w:r>
        <w:t>-</w:t>
      </w:r>
      <w:r>
        <w:t>耦合阴极NO进一步构成原电池</w:t>
      </w:r>
      <w:r>
        <w:rPr>
          <w:vertAlign w:val="subscript"/>
        </w:rPr>
        <w:t>3</w:t>
      </w:r>
      <w:r>
        <w:t>RR 具有阳极铝氧化，可实现阴极 NH</w:t>
      </w:r>
      <w:r>
        <w:rPr>
          <w:vertAlign w:val="subscript"/>
        </w:rPr>
        <w:t>3</w:t>
      </w:r>
      <w:r>
        <w:t>废铝（例如用过的可乐罐）的生产和阳极转化为绿色 H</w:t>
      </w:r>
      <w:r>
        <w:rPr>
          <w:vertAlign w:val="subscript"/>
        </w:rPr>
        <w:t>2</w:t>
      </w:r>
      <w:r>
        <w:t>和高价值明矾</w:t>
      </w:r>
    </w:p>
    <w:p>
      <w:pPr>
        <w:spacing w:before="0" w:after="200" w:lineRule="auto" w:line="276"/>
      </w:pPr>
      <w:r>
        <w:rPr>
          <w:b/>
        </w:rPr>
        <w:t xml:space="preserve">Abstract (EN): </w:t>
      </w:r>
      <w:r>
        <w:t>The rational design of nitrate batteries enabling simultaneous electricity generation and pollutant degradation is highly promising, yet most reported systems, such as Zn‐nitrate or aldehyde‐nitrate batteries, face critical limitations, including sluggish cathodic nitrate reduction kinetics, high anode material cost, low‐value anode reaction products, inferior open‐circuit potential (OCP), and limited power output. Optimizing catalyst activity and NH</w:t>
      </w:r>
      <w:r>
        <w:rPr>
          <w:vertAlign w:val="subscript"/>
        </w:rPr>
        <w:t>3</w:t>
      </w:r>
      <w:r>
        <w:t>selectivity via structure‐activity relationships is pivotal to enhancing the electrical output efficiency of such batteries. Herein, we report a Pd single‐atom‐doped Cu</w:t>
      </w:r>
      <w:r>
        <w:rPr>
          <w:vertAlign w:val="subscript"/>
        </w:rPr>
        <w:t>3</w:t>
      </w:r>
      <w:r>
        <w:t>Co quantum dots electrocatalyst (Pd</w:t>
      </w:r>
      <w:r>
        <w:t xml:space="preserve"> </w:t>
      </w:r>
      <w:r>
        <w:t>sa</w:t>
      </w:r>
      <w:r>
        <w:t xml:space="preserve"> </w:t>
      </w:r>
      <w:r>
        <w:t>‐Cu</w:t>
      </w:r>
      <w:r>
        <w:rPr>
          <w:vertAlign w:val="subscript"/>
        </w:rPr>
        <w:t>3</w:t>
      </w:r>
      <w:r>
        <w:t>Co QDs), which modulates H* adsorption to accelerate the key hydrogenation steps of NO</w:t>
      </w:r>
      <w:r>
        <w:rPr>
          <w:vertAlign w:val="subscript"/>
        </w:rPr>
        <w:t>3</w:t>
      </w:r>
      <w:r>
        <w:t>RR, achieving a positive onset of +0.18 V (vs. RHE) and nearly 100% Faradaic efficiency (FE) for NH</w:t>
      </w:r>
      <w:r>
        <w:rPr>
          <w:vertAlign w:val="subscript"/>
        </w:rPr>
        <w:t>3</w:t>
      </w:r>
      <w:r>
        <w:t>at −0.5 V (vs. RHE). A novel Al‐NO</w:t>
      </w:r>
      <w:r>
        <w:rPr>
          <w:vertAlign w:val="subscript"/>
        </w:rPr>
        <w:t>3</w:t>
      </w:r>
      <w:r>
        <w:t>−</w:t>
      </w:r>
      <w:r>
        <w:t>primary battery is further constructed by coupling cathodic NO</w:t>
      </w:r>
      <w:r>
        <w:rPr>
          <w:vertAlign w:val="subscript"/>
        </w:rPr>
        <w:t>3</w:t>
      </w:r>
      <w:r>
        <w:t>RR with anodic aluminum oxidation, enabling cathodic NH</w:t>
      </w:r>
      <w:r>
        <w:rPr>
          <w:vertAlign w:val="subscript"/>
        </w:rPr>
        <w:t>3</w:t>
      </w:r>
      <w:r>
        <w:t>production and anodic conversion of waste aluminum (e.g., used Cola cans) to green H</w:t>
      </w:r>
      <w:r>
        <w:rPr>
          <w:vertAlign w:val="subscript"/>
        </w:rPr>
        <w:t>2</w:t>
      </w:r>
      <w:r>
        <w:t>and high‐value alums. This battery exhibits an OCP of 1.26 V, 8.85 mW cm</w:t>
      </w:r>
      <w:r>
        <w:t xml:space="preserve"> </w:t>
      </w:r>
      <w:r>
        <w:t>−2</w:t>
      </w:r>
      <w:r>
        <w:t xml:space="preserve"> </w:t>
      </w:r>
      <w:r>
        <w:t>peak power density, and an FE of 48.78% NH</w:t>
      </w:r>
      <w:r>
        <w:rPr>
          <w:vertAlign w:val="subscript"/>
        </w:rPr>
        <w:t>3</w:t>
      </w:r>
      <w:r>
        <w:t>, 56.88% H</w:t>
      </w:r>
      <w:r>
        <w:rPr>
          <w:vertAlign w:val="subscript"/>
        </w:rPr>
        <w:t>2</w:t>
      </w:r>
      <w:r>
        <w:t>, and yield 56.10% alum, significantly enhancing its economic viability and practical application.</w:t>
      </w:r>
    </w:p>
    <w:p>
      <w:pPr>
        <w:spacing w:before="120" w:after="120"/>
      </w:pPr>
      <w:r>
        <w:rPr>
          <w:sz w:val="18"/>
        </w:rPr>
        <w:t>——————————————————————————————————————————————————————————————————————</w:t>
      </w:r>
    </w:p>
    <w:p>
      <w:pPr>
        <w:spacing w:before="160" w:after="40" w:line="240" w:lineRule="auto"/>
      </w:pPr>
      <w:r>
        <w:rPr>
          <w:b/>
        </w:rPr>
        <w:t xml:space="preserve">[5] </w:t>
      </w:r>
      <w:hyperlink r:id="rId182">
        <w:r>
          <w:rPr>
            <w:color w:val="1155CC"/>
            <w:u w:val="single"/>
          </w:rPr>
          <w:t>通过串联等离子体电解系统从空气和水中可持续合成硝酸铵</w:t>
        </w:r>
      </w:hyperlink>
    </w:p>
    <w:p>
      <w:pPr>
        <w:spacing w:before="0" w:after="80"/>
      </w:pPr>
      <w:r>
        <w:rPr>
          <w:i/>
          <w:sz w:val="20"/>
        </w:rPr>
        <w:t>EN: Sustainable Synthesis of Ammonium Nitrate From Air and Water via Tandem Plasma‐Electrolyzer System</w:t>
      </w:r>
    </w:p>
    <w:p>
      <w:pPr>
        <w:spacing w:before="0" w:after="120"/>
      </w:pPr>
      <w:r>
        <w:rPr>
          <w:b/>
        </w:rPr>
        <w:t xml:space="preserve">Source: </w:t>
      </w:r>
      <w:r>
        <w:t>Wiley-Online-Library: Angewandte Chemie International Edition: Table of Contents</w:t>
      </w:r>
      <w:r>
        <w:t xml:space="preserve">    </w:t>
      </w:r>
      <w:r>
        <w:rPr>
          <w:b/>
        </w:rPr>
        <w:t xml:space="preserve">Pub date: </w:t>
      </w:r>
      <w:r>
        <w:t>2026-06-13 16:54:59+00:00</w:t>
      </w:r>
      <w:r>
        <w:t xml:space="preserve">    </w:t>
      </w:r>
      <w:r>
        <w:rPr>
          <w:b/>
        </w:rPr>
        <w:t xml:space="preserve">DOI: </w:t>
      </w:r>
      <w:hyperlink r:id="rId183">
        <w:r>
          <w:rPr>
            <w:color w:val="1155CC"/>
            <w:u w:val="single"/>
          </w:rPr>
          <w:t>10.1002/anie.3006166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硝酸铵 (NH</w:t>
      </w:r>
      <w:r>
        <w:rPr>
          <w:vertAlign w:val="subscript"/>
        </w:rPr>
        <w:t>4</w:t>
      </w:r>
      <w:r>
        <w:t>否</w:t>
      </w:r>
      <w:r>
        <w:rPr>
          <w:vertAlign w:val="subscript"/>
        </w:rPr>
        <w:t>3</w:t>
      </w:r>
      <w:r>
        <w:t>）是一种不可或缺的高氮肥料，但其通过能源密集型哈伯-博世和奥斯特瓦尔德工艺进行的传统工业生产在全球产生了巨大的碳足迹。在此，我们报告了一种直接合成 NH 的替代方法</w:t>
      </w:r>
      <w:r>
        <w:rPr>
          <w:vertAlign w:val="subscript"/>
        </w:rPr>
        <w:t>4</w:t>
      </w:r>
      <w:r>
        <w:t>否</w:t>
      </w:r>
      <w:r>
        <w:rPr>
          <w:vertAlign w:val="subscript"/>
        </w:rPr>
        <w:t>3</w:t>
      </w:r>
      <w:r>
        <w:t>通过将等离子体辅助氮氧化 (pNOR) 与配对电催化亚硝酸盐还原和氧化 (eNO</w:t>
      </w:r>
      <w:r>
        <w:rPr>
          <w:vertAlign w:val="subscript"/>
        </w:rPr>
        <w:t>2</w:t>
      </w:r>
      <w:r>
        <w:t>–</w:t>
      </w:r>
      <w:r>
        <w:t xml:space="preserve"> </w:t>
      </w:r>
      <w:r>
        <w:t>RR/eNO</w:t>
      </w:r>
      <w:r>
        <w:rPr>
          <w:vertAlign w:val="subscript"/>
        </w:rPr>
        <w:t>2</w:t>
      </w:r>
      <w:r>
        <w:t>–</w:t>
      </w:r>
      <w:r>
        <w:t xml:space="preserve"> </w:t>
      </w:r>
      <w:r>
        <w:t>或）在中性介质（0.5 M 磷酸盐缓冲溶液）中。这项技术的关键是Co的合理设计</w:t>
      </w:r>
      <w:r>
        <w:t xml:space="preserve"> </w:t>
      </w:r>
      <w:r>
        <w:t>3重量%</w:t>
      </w:r>
      <w:r>
        <w:t xml:space="preserve"> </w:t>
      </w:r>
      <w:r>
        <w:t>用于关键 eNO 的 Cu@C 阴极催化剂</w:t>
      </w:r>
      <w:r>
        <w:rPr>
          <w:vertAlign w:val="subscript"/>
        </w:rPr>
        <w:t>2</w:t>
      </w:r>
      <w:r>
        <w:t>–</w:t>
      </w:r>
      <w:r>
        <w:t xml:space="preserve"> </w:t>
      </w:r>
      <w:r>
        <w:t>RR 步骤，通过双活性位点机制运行：Cu 位点吸附并激活 NO</w:t>
      </w:r>
      <w:r>
        <w:rPr>
          <w:vertAlign w:val="subscript"/>
        </w:rPr>
        <w:t>2</w:t>
      </w:r>
      <w:r>
        <w:t>–</w:t>
      </w:r>
      <w:r>
        <w:t xml:space="preserve"> </w:t>
      </w:r>
      <w:r>
        <w:t>，而相邻的Co位点有效地解离水以产生活性氢物种(*H)。随后氢气从 Co 溢出到 Cu 位点，极大地加速了 NO</w:t>
      </w:r>
      <w:r>
        <w:rPr>
          <w:vertAlign w:val="subscript"/>
        </w:rPr>
        <w:t>2</w:t>
      </w:r>
      <w:r>
        <w:t>–</w:t>
      </w:r>
      <w:r>
        <w:t xml:space="preserve"> </w:t>
      </w:r>
      <w:r>
        <w:t>加氢生成NH</w:t>
      </w:r>
      <w:r>
        <w:rPr>
          <w:vertAlign w:val="subscript"/>
        </w:rPr>
        <w:t>4</w:t>
      </w:r>
      <w:r>
        <w:t>+</w:t>
      </w:r>
      <w:r>
        <w:t xml:space="preserve"> </w:t>
      </w:r>
      <w:r>
        <w:t>，对 NH 实现几乎 100% 的法拉第效率</w:t>
      </w:r>
    </w:p>
    <w:p>
      <w:pPr>
        <w:spacing w:before="0" w:after="200" w:lineRule="auto" w:line="276"/>
      </w:pPr>
      <w:r>
        <w:rPr>
          <w:b/>
        </w:rPr>
        <w:t xml:space="preserve">Abstract (EN): </w:t>
      </w:r>
      <w:r>
        <w:t>Ammonium nitrate (NH</w:t>
      </w:r>
      <w:r>
        <w:rPr>
          <w:vertAlign w:val="subscript"/>
        </w:rPr>
        <w:t>4</w:t>
      </w:r>
      <w:r>
        <w:t>NO</w:t>
      </w:r>
      <w:r>
        <w:rPr>
          <w:vertAlign w:val="subscript"/>
        </w:rPr>
        <w:t>3</w:t>
      </w:r>
      <w:r>
        <w:t>) is an indispensable high‐nitrogen fertilizer, yet its conventional industrial production via the energy‐intensive Haber–Bosch and Ostwald processes accounts for a significant global carbon footprint. Herein, we report an alternative method for directly synthesizing NH</w:t>
      </w:r>
      <w:r>
        <w:rPr>
          <w:vertAlign w:val="subscript"/>
        </w:rPr>
        <w:t>4</w:t>
      </w:r>
      <w:r>
        <w:t>NO</w:t>
      </w:r>
      <w:r>
        <w:rPr>
          <w:vertAlign w:val="subscript"/>
        </w:rPr>
        <w:t>3</w:t>
      </w:r>
      <w:r>
        <w:t>from air and water by integrating plasma‐assisted nitrogen oxidation (pNOR) with paired electrocatalytic nitrite reduction and oxidation (eNO</w:t>
      </w:r>
      <w:r>
        <w:rPr>
          <w:vertAlign w:val="subscript"/>
        </w:rPr>
        <w:t>2</w:t>
      </w:r>
      <w:r>
        <w:t>–</w:t>
      </w:r>
      <w:r>
        <w:t xml:space="preserve"> </w:t>
      </w:r>
      <w:r>
        <w:t>RR/eNO</w:t>
      </w:r>
      <w:r>
        <w:rPr>
          <w:vertAlign w:val="subscript"/>
        </w:rPr>
        <w:t>2</w:t>
      </w:r>
      <w:r>
        <w:t>–</w:t>
      </w:r>
      <w:r>
        <w:t xml:space="preserve"> </w:t>
      </w:r>
      <w:r>
        <w:t>OR) in a neutral medium (0.5 M phosphate buffer solution). Key to this technology is the rational design of a Co</w:t>
      </w:r>
      <w:r>
        <w:t xml:space="preserve"> </w:t>
      </w:r>
      <w:r>
        <w:t>3wt%</w:t>
      </w:r>
      <w:r>
        <w:t xml:space="preserve"> </w:t>
      </w:r>
      <w:r>
        <w:t>Cu@C cathode catalyst for the critical eNO</w:t>
      </w:r>
      <w:r>
        <w:rPr>
          <w:vertAlign w:val="subscript"/>
        </w:rPr>
        <w:t>2</w:t>
      </w:r>
      <w:r>
        <w:t>–</w:t>
      </w:r>
      <w:r>
        <w:t xml:space="preserve"> </w:t>
      </w:r>
      <w:r>
        <w:t>RR step, which operates via a dual‐active‐site mechanism: Cu sites adsorb and activate NO</w:t>
      </w:r>
      <w:r>
        <w:rPr>
          <w:vertAlign w:val="subscript"/>
        </w:rPr>
        <w:t>2</w:t>
      </w:r>
      <w:r>
        <w:t>–</w:t>
      </w:r>
      <w:r>
        <w:t xml:space="preserve"> </w:t>
      </w:r>
      <w:r>
        <w:t>, while adjacent Co sites efficiently dissociate water to generate reactive hydrogen species (*H). Subsequent hydrogen spillover from Co to Cu sites dramatically accelerates NO</w:t>
      </w:r>
      <w:r>
        <w:rPr>
          <w:vertAlign w:val="subscript"/>
        </w:rPr>
        <w:t>2</w:t>
      </w:r>
      <w:r>
        <w:t>–</w:t>
      </w:r>
      <w:r>
        <w:t xml:space="preserve"> </w:t>
      </w:r>
      <w:r>
        <w:t>hydrogenation to NH</w:t>
      </w:r>
      <w:r>
        <w:rPr>
          <w:vertAlign w:val="subscript"/>
        </w:rPr>
        <w:t>4</w:t>
      </w:r>
      <w:r>
        <w:t>+</w:t>
      </w:r>
      <w:r>
        <w:t xml:space="preserve"> </w:t>
      </w:r>
      <w:r>
        <w:t>, achieving almost 100% Faradaic efficiency toward NH</w:t>
      </w:r>
      <w:r>
        <w:rPr>
          <w:vertAlign w:val="subscript"/>
        </w:rPr>
        <w:t>3</w:t>
      </w:r>
      <w:r>
        <w:t>and a high NH</w:t>
      </w:r>
      <w:r>
        <w:rPr>
          <w:vertAlign w:val="subscript"/>
        </w:rPr>
        <w:t>4</w:t>
      </w:r>
      <w:r>
        <w:t>+</w:t>
      </w:r>
      <w:r>
        <w:t xml:space="preserve"> </w:t>
      </w:r>
      <w:r>
        <w:t>yield rate of 512 µmol cm</w:t>
      </w:r>
      <w:r>
        <w:t xml:space="preserve"> </w:t>
      </w:r>
      <w:r>
        <w:t>−2</w:t>
      </w:r>
      <w:r>
        <w:t xml:space="preserve"> </w:t>
      </w:r>
      <w:r>
        <w:t>h</w:t>
      </w:r>
      <w:r>
        <w:t xml:space="preserve"> </w:t>
      </w:r>
      <w:r>
        <w:t>−1</w:t>
      </w:r>
      <w:r>
        <w:t xml:space="preserve"> </w:t>
      </w:r>
      <w:r>
        <w:t>at a low potential of –0.5 V vs. RHE. The integrated pNOR‐eNO</w:t>
      </w:r>
      <w:r>
        <w:rPr>
          <w:vertAlign w:val="subscript"/>
        </w:rPr>
        <w:t>2</w:t>
      </w:r>
      <w:r>
        <w:t>–</w:t>
      </w:r>
      <w:r>
        <w:t xml:space="preserve"> </w:t>
      </w:r>
      <w:r>
        <w:t>RR/eNO</w:t>
      </w:r>
      <w:r>
        <w:rPr>
          <w:vertAlign w:val="subscript"/>
        </w:rPr>
        <w:t>2</w:t>
      </w:r>
      <w:r>
        <w:t>–</w:t>
      </w:r>
      <w:r>
        <w:t xml:space="preserve"> </w:t>
      </w:r>
      <w:r>
        <w:t>OR system operates stably over 210 h (affording 8.5 mmol h</w:t>
      </w:r>
      <w:r>
        <w:t xml:space="preserve"> </w:t>
      </w:r>
      <w:r>
        <w:t>−1</w:t>
      </w:r>
      <w:r>
        <w:t xml:space="preserve"> </w:t>
      </w:r>
      <w:r>
        <w:t>NH</w:t>
      </w:r>
      <w:r>
        <w:rPr>
          <w:vertAlign w:val="subscript"/>
        </w:rPr>
        <w:t>4</w:t>
      </w:r>
      <w:r>
        <w:t>NO</w:t>
      </w:r>
      <w:r>
        <w:rPr>
          <w:vertAlign w:val="subscript"/>
        </w:rPr>
        <w:t>3</w:t>
      </w:r>
      <w:r>
        <w:t>) with significant techno‐economic advantages. Further, the obtained NH</w:t>
      </w:r>
      <w:r>
        <w:rPr>
          <w:vertAlign w:val="subscript"/>
        </w:rPr>
        <w:t>4</w:t>
      </w:r>
      <w:r>
        <w:t>NO</w:t>
      </w:r>
      <w:r>
        <w:rPr>
          <w:vertAlign w:val="subscript"/>
        </w:rPr>
        <w:t>3</w:t>
      </w:r>
      <w:r>
        <w:t>solutions can serve as N‐P‐K fertilizer for plant growth, offering a route to on‐demand, on‐site fertilizer synthesis from air and water for smart agriculture.</w:t>
      </w:r>
    </w:p>
    <w:p>
      <w:pPr>
        <w:spacing w:before="120" w:after="120"/>
      </w:pPr>
      <w:r>
        <w:rPr>
          <w:sz w:val="18"/>
        </w:rPr>
        <w:t>——————————————————————————————————————————————————————————————————————</w:t>
      </w:r>
    </w:p>
    <w:p>
      <w:pPr>
        <w:spacing w:before="160" w:after="40" w:line="240" w:lineRule="auto"/>
      </w:pPr>
      <w:r>
        <w:rPr>
          <w:b/>
        </w:rPr>
        <w:t xml:space="preserve">[6] </w:t>
      </w:r>
      <w:hyperlink r:id="rId184">
        <w:r>
          <w:rPr>
            <w:color w:val="1155CC"/>
            <w:u w:val="single"/>
          </w:rPr>
          <w:t>界面TiOx纳米域实现电荷引导光热甲烷干重整</w:t>
        </w:r>
      </w:hyperlink>
    </w:p>
    <w:p>
      <w:pPr>
        <w:spacing w:before="0" w:after="80"/>
      </w:pPr>
      <w:r>
        <w:rPr>
          <w:i/>
          <w:sz w:val="20"/>
        </w:rPr>
        <w:t>EN: Charge‐Directed Photothermal Methane Dry Reforming Enabled by Interfacial TiOx Nanodomains</w:t>
      </w:r>
    </w:p>
    <w:p>
      <w:pPr>
        <w:spacing w:before="0" w:after="120"/>
      </w:pPr>
      <w:r>
        <w:rPr>
          <w:b/>
        </w:rPr>
        <w:t xml:space="preserve">Source: </w:t>
      </w:r>
      <w:r>
        <w:t>Wiley-Online-Library: Angewandte Chemie International Edition: Table of Contents</w:t>
      </w:r>
      <w:r>
        <w:t xml:space="preserve">    </w:t>
      </w:r>
      <w:r>
        <w:rPr>
          <w:b/>
        </w:rPr>
        <w:t xml:space="preserve">Pub date: </w:t>
      </w:r>
      <w:r>
        <w:t>2026-06-13 16:59:45+00:00</w:t>
      </w:r>
      <w:r>
        <w:t xml:space="preserve">    </w:t>
      </w:r>
      <w:r>
        <w:rPr>
          <w:b/>
        </w:rPr>
        <w:t xml:space="preserve">DOI: </w:t>
      </w:r>
      <w:hyperlink r:id="rId185">
        <w:r>
          <w:rPr>
            <w:color w:val="1155CC"/>
            <w:u w:val="single"/>
          </w:rPr>
          <w:t>10.1002/anie.4126002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甲烷光热干重整 (DRM) 使太阳能驱动的甲烷升级成为可能</w:t>
      </w:r>
      <w:r>
        <w:rPr>
          <w:vertAlign w:val="subscript"/>
        </w:rPr>
        <w:t>4</w:t>
      </w:r>
      <w:r>
        <w:t>和二氧化碳</w:t>
      </w:r>
      <w:r>
        <w:rPr>
          <w:vertAlign w:val="subscript"/>
        </w:rPr>
        <w:t>2</w:t>
      </w:r>
      <w:r>
        <w:t>，但其效率和耐久性受到碳沉积和光化学贡献定义不明确的阻碍。在这里，我们展示了一种由 TiO2 负载的 Rh 纳米颗粒组成的电荷导向光热 DRM 催化剂</w:t>
      </w:r>
      <w:r>
        <w:t xml:space="preserve"> </w:t>
      </w:r>
      <w:r>
        <w:t>x</w:t>
      </w:r>
      <w:r>
        <w:t xml:space="preserve"> </w:t>
      </w:r>
      <w:r>
        <w:t>‐功能化 TiC，其中界面 TiO</w:t>
      </w:r>
      <w:r>
        <w:t xml:space="preserve"> </w:t>
      </w:r>
      <w:r>
        <w:t>x</w:t>
      </w:r>
      <w:r>
        <w:t xml:space="preserve"> </w:t>
      </w:r>
      <w:r>
        <w:t>通过将定向光载流子流与自适应氧化学耦合，域发挥着关键作用。光照后，金属 TiC 产生电荷载流子，将电子转移到 Rh 位点，同时将空穴引导到 TiO</w:t>
      </w:r>
      <w:r>
        <w:t xml:space="preserve"> </w:t>
      </w:r>
      <w:r>
        <w:t>x</w:t>
      </w:r>
      <w:r>
        <w:t xml:space="preserve"> </w:t>
      </w:r>
      <w:r>
        <w:t>表面氧。这种电荷导向的界面化学选择性降低了 *OCH 的势垒</w:t>
      </w:r>
      <w:r>
        <w:rPr>
          <w:vertAlign w:val="subscript"/>
        </w:rPr>
        <w:t>3</w:t>
      </w:r>
      <w:r>
        <w:t>形成，潜在的决定步骤，从而抑制 *CH</w:t>
      </w:r>
      <w:r>
        <w:rPr>
          <w:vertAlign w:val="subscript"/>
        </w:rPr>
        <w:t>3</w:t>
      </w:r>
      <w:r>
        <w:t>过度脱氢并减少碳的形成。同时，CO</w:t>
      </w:r>
      <w:r>
        <w:rPr>
          <w:vertAlign w:val="subscript"/>
        </w:rPr>
        <w:t>2</w:t>
      </w:r>
      <w:r>
        <w:t>TiO 内氧空位的活化</w:t>
      </w:r>
      <w:r>
        <w:t xml:space="preserve"> </w:t>
      </w:r>
      <w:r>
        <w:t>x</w:t>
      </w:r>
      <w:r>
        <w:t xml:space="preserve"> </w:t>
      </w:r>
      <w:r>
        <w:t>区域重新储存表面氧气，关闭再生光热火星-范克雷维伦循环。因此，催化剂可提供高 s</w:t>
      </w:r>
    </w:p>
    <w:p>
      <w:pPr>
        <w:spacing w:before="0" w:after="200" w:lineRule="auto" w:line="276"/>
      </w:pPr>
      <w:r>
        <w:rPr>
          <w:b/>
        </w:rPr>
        <w:t xml:space="preserve">Abstract (EN): </w:t>
      </w:r>
      <w:r>
        <w:t>Photothermal dry reforming of methane (DRM) enables solar‐driven upgrading of CH</w:t>
      </w:r>
      <w:r>
        <w:rPr>
          <w:vertAlign w:val="subscript"/>
        </w:rPr>
        <w:t>4</w:t>
      </w:r>
      <w:r>
        <w:t>and CO</w:t>
      </w:r>
      <w:r>
        <w:rPr>
          <w:vertAlign w:val="subscript"/>
        </w:rPr>
        <w:t>2</w:t>
      </w:r>
      <w:r>
        <w:t>, yet its efficiency and durability are hindered by carbon deposition and poorly defined photochemical contributions. Here, we demonstrate a charge‐directed photothermal DRM catalyst composed of Rh nanoparticles supported on TiO</w:t>
      </w:r>
      <w:r>
        <w:t xml:space="preserve"> </w:t>
      </w:r>
      <w:r>
        <w:t>x</w:t>
      </w:r>
      <w:r>
        <w:t xml:space="preserve"> </w:t>
      </w:r>
      <w:r>
        <w:t>‐functionalized TiC, where interfacial TiO</w:t>
      </w:r>
      <w:r>
        <w:t xml:space="preserve"> </w:t>
      </w:r>
      <w:r>
        <w:t>x</w:t>
      </w:r>
      <w:r>
        <w:t xml:space="preserve"> </w:t>
      </w:r>
      <w:r>
        <w:t>domains play a critical role by coupling directional photocarrier flow with adaptive oxygen chemistry. Upon illumination, metallic TiC generates charge carriers that transfer electrons to Rh sites while steering holes to TiO</w:t>
      </w:r>
      <w:r>
        <w:t xml:space="preserve"> </w:t>
      </w:r>
      <w:r>
        <w:t>x</w:t>
      </w:r>
      <w:r>
        <w:t xml:space="preserve"> </w:t>
      </w:r>
      <w:r>
        <w:t>surface oxygens. This charge‐directed interfacial chemistry selectively lowers the barrier for *OCH</w:t>
      </w:r>
      <w:r>
        <w:rPr>
          <w:vertAlign w:val="subscript"/>
        </w:rPr>
        <w:t>3</w:t>
      </w:r>
      <w:r>
        <w:t>formation, the potential‐determining step, thus suppressing *CH</w:t>
      </w:r>
      <w:r>
        <w:rPr>
          <w:vertAlign w:val="subscript"/>
        </w:rPr>
        <w:t>3</w:t>
      </w:r>
      <w:r>
        <w:t>over‐dehydrogenation and mitigating carbon formation. Concurrently, CO</w:t>
      </w:r>
      <w:r>
        <w:rPr>
          <w:vertAlign w:val="subscript"/>
        </w:rPr>
        <w:t>2</w:t>
      </w:r>
      <w:r>
        <w:t>activation at oxygen vacancies within TiO</w:t>
      </w:r>
      <w:r>
        <w:t xml:space="preserve"> </w:t>
      </w:r>
      <w:r>
        <w:t>x</w:t>
      </w:r>
      <w:r>
        <w:t xml:space="preserve"> </w:t>
      </w:r>
      <w:r>
        <w:t>regions restocks surface oxygens, closing a regenerative photothermal Mars–van Krevelen cycle. As a result, the catalyst delivers high syngas production rates (CO: 17.5 mol g</w:t>
      </w:r>
      <w:r>
        <w:t xml:space="preserve"> </w:t>
      </w:r>
      <w:r>
        <w:t>Rh</w:t>
      </w:r>
      <w:r>
        <w:t xml:space="preserve"> </w:t>
      </w:r>
      <w:r>
        <w:t>−1</w:t>
      </w:r>
      <w:r>
        <w:t xml:space="preserve"> </w:t>
      </w:r>
      <w:r>
        <w:t>h</w:t>
      </w:r>
      <w:r>
        <w:t xml:space="preserve"> </w:t>
      </w:r>
      <w:r>
        <w:t>−1</w:t>
      </w:r>
      <w:r>
        <w:t xml:space="preserve"> </w:t>
      </w:r>
      <w:r>
        <w:t>, H</w:t>
      </w:r>
      <w:r>
        <w:rPr>
          <w:vertAlign w:val="subscript"/>
        </w:rPr>
        <w:t>2</w:t>
      </w:r>
      <w:r>
        <w:t>: 10.5 mol g</w:t>
      </w:r>
      <w:r>
        <w:t xml:space="preserve"> </w:t>
      </w:r>
      <w:r>
        <w:t>Rh</w:t>
      </w:r>
      <w:r>
        <w:t xml:space="preserve"> </w:t>
      </w:r>
      <w:r>
        <w:t>−1</w:t>
      </w:r>
      <w:r>
        <w:t xml:space="preserve"> </w:t>
      </w:r>
      <w:r>
        <w:t>h</w:t>
      </w:r>
      <w:r>
        <w:t xml:space="preserve"> </w:t>
      </w:r>
      <w:r>
        <w:t>−1</w:t>
      </w:r>
      <w:r>
        <w:t xml:space="preserve"> </w:t>
      </w:r>
      <w:r>
        <w:t>), attains a light‐to‐chemical energy efficiency of 29%, and operates stably for over 100 h without coking. This work highlights the mechanistic importance of amorphous TiO</w:t>
      </w:r>
      <w:r>
        <w:t xml:space="preserve"> </w:t>
      </w:r>
      <w:r>
        <w:t>x</w:t>
      </w:r>
      <w:r>
        <w:t xml:space="preserve"> </w:t>
      </w:r>
      <w:r>
        <w:t>interface in charge‐directed photothermal DRM and provides design insights for developing coking‐resistant reforming catalysts.</w:t>
      </w:r>
    </w:p>
    <w:p>
      <w:pPr>
        <w:spacing w:before="120" w:after="120"/>
      </w:pPr>
      <w:r>
        <w:rPr>
          <w:sz w:val="18"/>
        </w:rPr>
        <w:t>——————————————————————————————————————————————————————————————————————</w:t>
      </w:r>
    </w:p>
    <w:p>
      <w:pPr>
        <w:spacing w:before="160" w:after="40" w:line="240" w:lineRule="auto"/>
      </w:pPr>
      <w:r>
        <w:rPr>
          <w:b/>
        </w:rPr>
        <w:t xml:space="preserve">[7] </w:t>
      </w:r>
      <w:hyperlink r:id="rId186">
        <w:r>
          <w:rPr>
            <w:color w:val="1155CC"/>
            <w:u w:val="single"/>
          </w:rPr>
          <w:t>通过模型纳米线平台解耦氧还原催化剂中的电子效应</w:t>
        </w:r>
      </w:hyperlink>
    </w:p>
    <w:p>
      <w:pPr>
        <w:spacing w:before="0" w:after="80"/>
      </w:pPr>
      <w:r>
        <w:rPr>
          <w:i/>
          <w:sz w:val="20"/>
        </w:rPr>
        <w:t>EN: Decoupling Electronic Effects in Oxygen Reduction Catalysts via a Model Nanowire Platform</w:t>
      </w:r>
    </w:p>
    <w:p>
      <w:pPr>
        <w:spacing w:before="0" w:after="120"/>
      </w:pPr>
      <w:r>
        <w:rPr>
          <w:b/>
        </w:rPr>
        <w:t xml:space="preserve">Source: </w:t>
      </w:r>
      <w:r>
        <w:t>Wiley-Online-Library: Angewandte Chemie International Edition: Table of Contents</w:t>
      </w:r>
      <w:r>
        <w:t xml:space="preserve">    </w:t>
      </w:r>
      <w:r>
        <w:rPr>
          <w:b/>
        </w:rPr>
        <w:t xml:space="preserve">Pub date: </w:t>
      </w:r>
      <w:r>
        <w:t>2026-06-13 17:00:24+00:00</w:t>
      </w:r>
      <w:r>
        <w:t xml:space="preserve">    </w:t>
      </w:r>
      <w:r>
        <w:rPr>
          <w:b/>
        </w:rPr>
        <w:t xml:space="preserve">DOI: </w:t>
      </w:r>
      <w:hyperlink r:id="rId187">
        <w:r>
          <w:rPr>
            <w:color w:val="1155CC"/>
            <w:u w:val="single"/>
          </w:rPr>
          <w:t>10.1002/anie.7341900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由于传统合金体系中电子、应变和系综效应的内在耦合，了解电子结构在控制 Pt 基催化剂上氧还原反应 (ORR) 活性中的内在作用仍然是一个长期存在的挑战。在这里，我们建立了一个明确定义的基于 Pt 的纳米线 (NW) 模型平台，该平台能够将电子效应与结构贡献严格解耦。通过选择性地将给电子铼 (PtRe) 或吸电子金 (PtAu) 掺入 Pt 纳米线中，同时保持相同的形态、表面结构和配位环境，对 ORR 的电子贡献被隔离，应变和系综效应的干扰最小。从固有的 ORR 活性到器件级膜电极组件性能，观察到一致的活性趋势 (PtRe &gt; Pt &gt; PtAu)。至关重要的是，在电子结构、中间吸附行为和内在活性之间建立了相关性。同时，高活性 PtRe NW 催化剂还具有强大的耐用性，经过 30,000 次循环测试后，质量活性下降了 11.8%，电压损失为 12 mV。原位光谱和理论计算结果共同证实，Re掺杂剂向Pt提供电子，产生富电子的Pt表面，降低氧中间体的吸附能并增强ORR活性，而Au掺杂剂则产生相反的效果。</w:t>
      </w:r>
    </w:p>
    <w:p>
      <w:pPr>
        <w:spacing w:before="0" w:after="200" w:lineRule="auto" w:line="276"/>
      </w:pPr>
      <w:r>
        <w:rPr>
          <w:b/>
        </w:rPr>
        <w:t xml:space="preserve">Abstract (EN): </w:t>
      </w:r>
      <w:r>
        <w:t>Understanding the intrinsic role of electronic structure in governing oxygen reduction reaction (ORR) activity on Pt‐based catalysts remains a long‐standing challenge due to the intrinsic coupling of electronic, strain, and ensemble effects in conventional alloy systems. Here, we establish a well‐defined Pt‐based nanowire (NW) model platform that enables the rigorous decoupling of electronic effects from structural contributions. By selectively incorporating electron‐donating Re (PtRe) or electron‐withdrawing Au (PtAu) into Pt NWs while maintaining identical morphology, surface structure, and coordination environment, the electronic contribution to ORR is isolated with minimal interference of strain and ensemble effects. A consistent activity trend (PtRe &amp;gt; Pt &amp;gt; PtAu) is observed from intrinsic ORR activity to device‐level membrane electrode assembly performance. Crucially, a correlation is established between the electronic structure, intermediate adsorption behavior, and intrinsic activity. Meanwhile, the high‐activity PtRe NW catalyst also delivers a robust durability with mass activity decline of 11.8% and voltage loss of 12 mV after 30,000‐cycle tests. In situ spectroscopy and theoretical calculations results collectively confirm that Re dopants donate electrons to Pt, generating an electron‐rich Pt surface that lowers the adsorption energy of oxygen intermediates and enhances ORR activity, while the Au dopant generates an opposite effect.</w:t>
      </w:r>
    </w:p>
    <w:p>
      <w:pPr>
        <w:spacing w:before="120" w:after="120"/>
      </w:pPr>
      <w:r>
        <w:rPr>
          <w:sz w:val="18"/>
        </w:rPr>
        <w:t>——————————————————————————————————————————————————————————————————————</w:t>
      </w:r>
    </w:p>
    <w:p>
      <w:pPr>
        <w:spacing w:before="160" w:after="40" w:line="240" w:lineRule="auto"/>
      </w:pPr>
      <w:r>
        <w:rPr>
          <w:b/>
        </w:rPr>
        <w:t xml:space="preserve">[8] </w:t>
      </w:r>
      <w:hyperlink r:id="rId188">
        <w:r>
          <w:rPr>
            <w:color w:val="1155CC"/>
            <w:u w:val="single"/>
          </w:rPr>
          <w:t>可再生能源与制氢系统耦合优化策略：基于VSEL框架的综述</w:t>
        </w:r>
      </w:hyperlink>
    </w:p>
    <w:p>
      <w:pPr>
        <w:spacing w:before="0" w:after="80"/>
      </w:pPr>
      <w:r>
        <w:rPr>
          <w:i/>
          <w:sz w:val="20"/>
        </w:rPr>
        <w:t>EN: Coupling optimization strategies for renewable energy and hydrogen production systems: A review based on the VSEL framework</w:t>
      </w:r>
    </w:p>
    <w:p>
      <w:pPr>
        <w:spacing w:before="0" w:after="120"/>
      </w:pPr>
      <w:r>
        <w:rPr>
          <w:b/>
        </w:rPr>
        <w:t xml:space="preserve">Source: </w:t>
      </w:r>
      <w:r>
        <w:t>ScienceDirect Publication: Applied Energy</w:t>
      </w:r>
      <w:r>
        <w:t xml:space="preserve">    </w:t>
      </w:r>
      <w:r>
        <w:rPr>
          <w:b/>
        </w:rPr>
        <w:t xml:space="preserve">Pub date: </w:t>
      </w:r>
      <w:r>
        <w:t>2026-06-14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189">
        <w:r>
          <w:rPr>
            <w:color w:val="1155CC"/>
            <w:u w:val="single"/>
          </w:rPr>
          <w:t>基于物理通知变压器的 5 MW 碱性电解槽多种运行条件下的动态温度预测模型</w:t>
        </w:r>
      </w:hyperlink>
    </w:p>
    <w:p>
      <w:pPr>
        <w:spacing w:before="0" w:after="80"/>
      </w:pPr>
      <w:r>
        <w:rPr>
          <w:i/>
          <w:sz w:val="20"/>
        </w:rPr>
        <w:t>EN: Dynamic temperature prediction model under multiple operating conditions for a 5 MW alkaline electrolyzer based on a physics-informed transformer</w:t>
      </w:r>
    </w:p>
    <w:p>
      <w:pPr>
        <w:spacing w:before="0" w:after="120"/>
      </w:pPr>
      <w:r>
        <w:rPr>
          <w:b/>
        </w:rPr>
        <w:t xml:space="preserve">Source: </w:t>
      </w:r>
      <w:r>
        <w:t>ScienceDirect Publication: Applied Energy</w:t>
      </w:r>
      <w:r>
        <w:t xml:space="preserve">    </w:t>
      </w:r>
      <w:r>
        <w:rPr>
          <w:b/>
        </w:rPr>
        <w:t xml:space="preserve">Pub date: </w:t>
      </w:r>
      <w:r>
        <w:t>2026-06-14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 </w:t>
      </w:r>
      <w:hyperlink r:id="rId190">
        <w:r>
          <w:rPr>
            <w:color w:val="1155CC"/>
            <w:u w:val="single"/>
          </w:rPr>
          <w:t>多晶-单晶岛界面的有序晶格用于固体氧化物电解池中高效 CO2/H2O 共电解</w:t>
        </w:r>
      </w:hyperlink>
    </w:p>
    <w:p>
      <w:pPr>
        <w:spacing w:before="0" w:after="80"/>
      </w:pPr>
      <w:r>
        <w:rPr>
          <w:i/>
          <w:sz w:val="20"/>
        </w:rPr>
        <w:t>EN: Ordered Lattice at Polycrystalline‐Single Crystal Island Interfaces for Efficient CO2/H2O Co‐Electrolysis in Solid Oxide Electrolysis Cells</w:t>
      </w:r>
    </w:p>
    <w:p>
      <w:pPr>
        <w:spacing w:before="0" w:after="120"/>
      </w:pPr>
      <w:r>
        <w:rPr>
          <w:b/>
        </w:rPr>
        <w:t xml:space="preserve">Source: </w:t>
      </w:r>
      <w:r>
        <w:t>Wiley: Advanced Energy Materials: Table of Contents</w:t>
      </w:r>
      <w:r>
        <w:t xml:space="preserve">    </w:t>
      </w:r>
      <w:r>
        <w:rPr>
          <w:b/>
        </w:rPr>
        <w:t xml:space="preserve">Pub date: </w:t>
      </w:r>
      <w:r>
        <w:t>2026-06-14 12:59:16+00:00</w:t>
      </w:r>
      <w:r>
        <w:t xml:space="preserve">    </w:t>
      </w:r>
      <w:r>
        <w:rPr>
          <w:b/>
        </w:rPr>
        <w:t xml:space="preserve">DOI: </w:t>
      </w:r>
      <w:hyperlink r:id="rId191">
        <w:r>
          <w:rPr>
            <w:color w:val="1155CC"/>
            <w:u w:val="single"/>
          </w:rPr>
          <w:t>10.1002/aenm.71182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固体氧化物电解池（SOEC）有望大规模共电解 CO</w:t>
      </w:r>
      <w:r>
        <w:rPr>
          <w:vertAlign w:val="subscript"/>
        </w:rPr>
        <w:t>2</w:t>
      </w:r>
      <w:r>
        <w:t>和H</w:t>
      </w:r>
      <w:r>
        <w:rPr>
          <w:vertAlign w:val="subscript"/>
        </w:rPr>
        <w:t>2</w:t>
      </w:r>
      <w:r>
        <w:t>O 产生合成气 (CO/H</w:t>
      </w:r>
      <w:r>
        <w:rPr>
          <w:vertAlign w:val="subscript"/>
        </w:rPr>
        <w:t>2</w:t>
      </w:r>
      <w:r>
        <w:t>），这是实现可持续燃料生产的关键一步。然而，该过程的效率通常受到缓慢的电极动力学和低效的界面电荷转移的限制。在这里，我们通过外延生长构建多晶-单晶岛同质结来克服这些限制。在此架构中，单晶 BaFeO</w:t>
      </w:r>
      <w:r>
        <w:rPr>
          <w:vertAlign w:val="subscript"/>
        </w:rPr>
        <w:t>3</w:t>
      </w:r>
      <w:r>
        <w:t>和钴酸锂</w:t>
      </w:r>
      <w:r>
        <w:t xml:space="preserve"> </w:t>
      </w:r>
      <w:r>
        <w:t>x</w:t>
      </w:r>
      <w:r>
        <w:t xml:space="preserve"> </w:t>
      </w:r>
      <w:r>
        <w:t>铁</w:t>
      </w:r>
      <w:r>
        <w:t xml:space="preserve"> </w:t>
      </w:r>
      <w:r>
        <w:t>1-x</w:t>
      </w:r>
      <w:r>
        <w:t xml:space="preserve"> </w:t>
      </w:r>
      <w:r>
        <w:t>氧</w:t>
      </w:r>
      <w:r>
        <w:rPr>
          <w:vertAlign w:val="subscript"/>
        </w:rPr>
        <w:t>3</w:t>
      </w:r>
      <w:r>
        <w:t>岛屿生长在多晶Ba上</w:t>
      </w:r>
      <w:r>
        <w:t xml:space="preserve"> </w:t>
      </w:r>
      <w:r>
        <w:t>0.7</w:t>
      </w:r>
      <w:r>
        <w:t xml:space="preserve"> </w:t>
      </w:r>
      <w:r>
        <w:t>钆</w:t>
      </w:r>
      <w:r>
        <w:t xml:space="preserve"> </w:t>
      </w:r>
      <w:r>
        <w:t>0.3</w:t>
      </w:r>
      <w:r>
        <w:t xml:space="preserve"> </w:t>
      </w:r>
      <w:r>
        <w:t>氧化亚铁</w:t>
      </w:r>
      <w:r>
        <w:rPr>
          <w:vertAlign w:val="subscript"/>
        </w:rPr>
        <w:t>3</w:t>
      </w:r>
      <w:r>
        <w:t>(110)基材。由此产生的结构实现了两个主要功能：它在空间上分离二氧化碳</w:t>
      </w:r>
      <w:r>
        <w:rPr>
          <w:vertAlign w:val="subscript"/>
        </w:rPr>
        <w:t>2</w:t>
      </w:r>
      <w:r>
        <w:t>和H</w:t>
      </w:r>
      <w:r>
        <w:rPr>
          <w:vertAlign w:val="subscript"/>
        </w:rPr>
        <w:t>2</w:t>
      </w:r>
      <w:r>
        <w:t>O 吸附位点，而高度有序的多晶-单晶界面，没有悬挂键，显着增强了电荷转移动力学。巴科</w:t>
      </w:r>
      <w:r>
        <w:t xml:space="preserve"> </w:t>
      </w:r>
      <w:r>
        <w:t>0.1</w:t>
      </w:r>
      <w:r>
        <w:t xml:space="preserve"> </w:t>
      </w:r>
      <w:r>
        <w:t>铁</w:t>
      </w:r>
      <w:r>
        <w:t xml:space="preserve"> </w:t>
      </w:r>
      <w:r>
        <w:t>0.9</w:t>
      </w:r>
      <w:r>
        <w:t xml:space="preserve"> </w:t>
      </w:r>
      <w:r>
        <w:t>氧</w:t>
      </w:r>
      <w:r>
        <w:rPr>
          <w:vertAlign w:val="subscript"/>
        </w:rPr>
        <w:t>3</w:t>
      </w:r>
      <w:r>
        <w:t>/巴</w:t>
      </w:r>
      <w:r>
        <w:t xml:space="preserve"> </w:t>
      </w:r>
      <w:r>
        <w:t>0.7</w:t>
      </w:r>
      <w:r>
        <w:t xml:space="preserve"> </w:t>
      </w:r>
      <w:r>
        <w:t>钆</w:t>
      </w:r>
      <w:r>
        <w:t xml:space="preserve"> </w:t>
      </w:r>
      <w:r>
        <w:t>0.3</w:t>
      </w:r>
      <w:r>
        <w:t xml:space="preserve"> </w:t>
      </w:r>
      <w:r>
        <w:t>氧化亚铁</w:t>
      </w:r>
    </w:p>
    <w:p>
      <w:pPr>
        <w:spacing w:before="0" w:after="200" w:lineRule="auto" w:line="276"/>
      </w:pPr>
      <w:r>
        <w:rPr>
          <w:b/>
        </w:rPr>
        <w:t xml:space="preserve">Abstract (EN): </w:t>
      </w:r>
      <w:r>
        <w:t>Solid oxide electrolysis cells (SOECs) hold promise for large‐scale co‐electrolysis of CO</w:t>
      </w:r>
      <w:r>
        <w:rPr>
          <w:vertAlign w:val="subscript"/>
        </w:rPr>
        <w:t>2</w:t>
      </w:r>
      <w:r>
        <w:t>and H</w:t>
      </w:r>
      <w:r>
        <w:rPr>
          <w:vertAlign w:val="subscript"/>
        </w:rPr>
        <w:t>2</w:t>
      </w:r>
      <w:r>
        <w:t>O to produce syngas (CO/H</w:t>
      </w:r>
      <w:r>
        <w:rPr>
          <w:vertAlign w:val="subscript"/>
        </w:rPr>
        <w:t>2</w:t>
      </w:r>
      <w:r>
        <w:t>), a key step toward sustainable fuel production. However, the efficiency of this process is often limited by sluggish electrode kinetics and inefficient interfacial charge transfer. Here, we construct a polycrystalline‐single crystal island homojunction via epitaxial growth to overcome these limitations. In this architecture, single‐crystal BaFeO</w:t>
      </w:r>
      <w:r>
        <w:rPr>
          <w:vertAlign w:val="subscript"/>
        </w:rPr>
        <w:t>3</w:t>
      </w:r>
      <w:r>
        <w:t>and BaCo</w:t>
      </w:r>
      <w:r>
        <w:t xml:space="preserve"> </w:t>
      </w:r>
      <w:r>
        <w:t>x</w:t>
      </w:r>
      <w:r>
        <w:t xml:space="preserve"> </w:t>
      </w:r>
      <w:r>
        <w:t>Fe</w:t>
      </w:r>
      <w:r>
        <w:t xml:space="preserve"> </w:t>
      </w:r>
      <w:r>
        <w:t>1‐x</w:t>
      </w:r>
      <w:r>
        <w:t xml:space="preserve"> </w:t>
      </w:r>
      <w:r>
        <w:t>O</w:t>
      </w:r>
      <w:r>
        <w:rPr>
          <w:vertAlign w:val="subscript"/>
        </w:rPr>
        <w:t>3</w:t>
      </w:r>
      <w:r>
        <w:t>islands are grown on a polycrystalline Ba</w:t>
      </w:r>
      <w:r>
        <w:t xml:space="preserve"> </w:t>
      </w:r>
      <w:r>
        <w:t>0.7</w:t>
      </w:r>
      <w:r>
        <w:t xml:space="preserve"> </w:t>
      </w:r>
      <w:r>
        <w:t>Gd</w:t>
      </w:r>
      <w:r>
        <w:t xml:space="preserve"> </w:t>
      </w:r>
      <w:r>
        <w:t>0.3</w:t>
      </w:r>
      <w:r>
        <w:t xml:space="preserve"> </w:t>
      </w:r>
      <w:r>
        <w:t>FeO</w:t>
      </w:r>
      <w:r>
        <w:rPr>
          <w:vertAlign w:val="subscript"/>
        </w:rPr>
        <w:t>3</w:t>
      </w:r>
      <w:r>
        <w:t>(110) substrate. The resulting structure achieves two major functions: it spatially separates CO</w:t>
      </w:r>
      <w:r>
        <w:rPr>
          <w:vertAlign w:val="subscript"/>
        </w:rPr>
        <w:t>2</w:t>
      </w:r>
      <w:r>
        <w:t>and H</w:t>
      </w:r>
      <w:r>
        <w:rPr>
          <w:vertAlign w:val="subscript"/>
        </w:rPr>
        <w:t>2</w:t>
      </w:r>
      <w:r>
        <w:t>O adsorption sites, while the highly ordered polycrystalline‐single crystal interface, free from dangling bonds, significantly enhances charge transfer kinetics. The BaCo</w:t>
      </w:r>
      <w:r>
        <w:t xml:space="preserve"> </w:t>
      </w:r>
      <w:r>
        <w:t>0.1</w:t>
      </w:r>
      <w:r>
        <w:t xml:space="preserve"> </w:t>
      </w:r>
      <w:r>
        <w:t>Fe</w:t>
      </w:r>
      <w:r>
        <w:t xml:space="preserve"> </w:t>
      </w:r>
      <w:r>
        <w:t>0.9</w:t>
      </w:r>
      <w:r>
        <w:t xml:space="preserve"> </w:t>
      </w:r>
      <w:r>
        <w:t>O</w:t>
      </w:r>
      <w:r>
        <w:rPr>
          <w:vertAlign w:val="subscript"/>
        </w:rPr>
        <w:t>3</w:t>
      </w:r>
      <w:r>
        <w:t>/Ba</w:t>
      </w:r>
      <w:r>
        <w:t xml:space="preserve"> </w:t>
      </w:r>
      <w:r>
        <w:t>0.7</w:t>
      </w:r>
      <w:r>
        <w:t xml:space="preserve"> </w:t>
      </w:r>
      <w:r>
        <w:t>Gd</w:t>
      </w:r>
      <w:r>
        <w:t xml:space="preserve"> </w:t>
      </w:r>
      <w:r>
        <w:t>0.3</w:t>
      </w:r>
      <w:r>
        <w:t xml:space="preserve"> </w:t>
      </w:r>
      <w:r>
        <w:t>FeO</w:t>
      </w:r>
      <w:r>
        <w:rPr>
          <w:vertAlign w:val="subscript"/>
        </w:rPr>
        <w:t>3</w:t>
      </w:r>
      <w:r>
        <w:t>composite electrode delivers a faradaic efficiency of 95.9% for CO</w:t>
      </w:r>
      <w:r>
        <w:rPr>
          <w:vertAlign w:val="subscript"/>
        </w:rPr>
        <w:t>2</w:t>
      </w:r>
      <w:r>
        <w:t>reduction and shows no notable degradation over 300 h of continuous operation. Moreover, directional doping of Co into the BaFeO</w:t>
      </w:r>
      <w:r>
        <w:rPr>
          <w:vertAlign w:val="subscript"/>
        </w:rPr>
        <w:t>3</w:t>
      </w:r>
      <w:r>
        <w:t>single‐crystal islands precisely modulates the adsorption behavior toward CO</w:t>
      </w:r>
      <w:r>
        <w:rPr>
          <w:vertAlign w:val="subscript"/>
        </w:rPr>
        <w:t>2</w:t>
      </w:r>
      <w:r>
        <w:t>and H</w:t>
      </w:r>
      <w:r>
        <w:rPr>
          <w:vertAlign w:val="subscript"/>
        </w:rPr>
        <w:t>2</w:t>
      </w:r>
      <w:r>
        <w:t>O, allowing a broadly adjustable syngas ratio (CO:H</w:t>
      </w:r>
      <w:r>
        <w:rPr>
          <w:vertAlign w:val="subscript"/>
        </w:rPr>
        <w:t>2</w:t>
      </w:r>
      <w:r>
        <w:t>= 1:1.1 to 1:5.8). This ordered ‘polycrystalline‐single crystal’ structure establishes a materials design strategy in which ordered interfaces and spatially separated active sites converge to overcome the kinetic and transport limitations that have long hindered high‐efficiency co‐electrolysis in SOECs.</w:t>
      </w:r>
    </w:p>
    <w:p>
      <w:pPr>
        <w:spacing w:before="120" w:after="120"/>
      </w:pPr>
      <w:r>
        <w:rPr>
          <w:sz w:val="18"/>
        </w:rPr>
        <w:t>——————————————————————————————————————————————————————————————————————</w:t>
      </w:r>
    </w:p>
    <w:p>
      <w:pPr>
        <w:spacing w:before="160" w:after="40" w:line="240" w:lineRule="auto"/>
      </w:pPr>
      <w:r>
        <w:rPr>
          <w:b/>
        </w:rPr>
        <w:t xml:space="preserve">[11] </w:t>
      </w:r>
      <w:hyperlink r:id="rId192">
        <w:r>
          <w:rPr>
            <w:color w:val="1155CC"/>
            <w:u w:val="single"/>
          </w:rPr>
          <w:t>具有频率支持能力的兆瓦级氢电解厂建模</w:t>
        </w:r>
      </w:hyperlink>
    </w:p>
    <w:p>
      <w:pPr>
        <w:spacing w:before="0" w:after="80"/>
      </w:pPr>
      <w:r>
        <w:rPr>
          <w:i/>
          <w:sz w:val="20"/>
        </w:rPr>
        <w:t>EN: Modeling megawatt-scale hydrogen electrolysis plants with frequency support capability</w:t>
      </w:r>
    </w:p>
    <w:p>
      <w:pPr>
        <w:spacing w:before="0" w:after="120"/>
      </w:pPr>
      <w:r>
        <w:rPr>
          <w:b/>
        </w:rPr>
        <w:t xml:space="preserve">Source: </w:t>
      </w:r>
      <w:r>
        <w:t>ScienceDirect Publication: Applied Energy</w:t>
      </w:r>
      <w:r>
        <w:t xml:space="preserve">    </w:t>
      </w:r>
      <w:r>
        <w:rPr>
          <w:b/>
        </w:rPr>
        <w:t xml:space="preserve">Pub date: </w:t>
      </w:r>
      <w:r>
        <w:t>2026-06-15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 </w:t>
      </w:r>
      <w:hyperlink r:id="rId193">
        <w:r>
          <w:rPr>
            <w:color w:val="1155CC"/>
            <w:u w:val="single"/>
          </w:rPr>
          <w:t>活性氮介导的二氧化钌选择性迁移用于高压氨分解</w:t>
        </w:r>
      </w:hyperlink>
    </w:p>
    <w:p>
      <w:pPr>
        <w:spacing w:before="0" w:after="80"/>
      </w:pPr>
      <w:r>
        <w:rPr>
          <w:i/>
          <w:sz w:val="20"/>
        </w:rPr>
        <w:t>EN: Active nitrogen mediated selective ruthenium migration on ceria for high pressure ammonia decomposition</w:t>
      </w:r>
    </w:p>
    <w:p>
      <w:pPr>
        <w:spacing w:before="0" w:after="120"/>
      </w:pPr>
      <w:r>
        <w:rPr>
          <w:b/>
        </w:rPr>
        <w:t xml:space="preserve">Source: </w:t>
      </w:r>
      <w:r>
        <w:t>Physical sciences : Nature Communications subject feeds</w:t>
      </w:r>
      <w:r>
        <w:t xml:space="preserve">    </w:t>
      </w:r>
      <w:r>
        <w:rPr>
          <w:b/>
        </w:rPr>
        <w:t xml:space="preserve">Pub date: </w:t>
      </w:r>
      <w:r>
        <w:t>2026-06-15 00:00:00+00:00</w:t>
      </w:r>
    </w:p>
    <w:p>
      <w:pPr>
        <w:spacing w:before="0" w:after="120"/>
      </w:pPr>
      <w:r>
        <w:rPr>
          <w:b/>
        </w:rPr>
        <w:t xml:space="preserve">Notes: </w:t>
      </w:r>
      <w:r>
        <w:t>abstract_source=nature_html</w:t>
      </w:r>
    </w:p>
    <w:p>
      <w:pPr>
        <w:spacing w:before="0" w:after="80" w:lineRule="auto" w:line="276"/>
      </w:pPr>
      <w:r>
        <w:rPr>
          <w:b/>
        </w:rPr>
        <w:t xml:space="preserve">摘要（ZH）: </w:t>
      </w:r>
      <w:r>
        <w:t>反应环境下原子结构的精确稳定仍然是多相催化的核心挑战。在这里，我们证明氨（NH3）作为化学活性氮源，使钌（Ru）原子选择性迁移到二氧化铈（CeO2）域上，形成持久的原子分散结构。在氨分解过程中，含氮中间体促进 Ru 的原子重新分布，并将原子选择性地锚定在 CeO2 上，产生稳定的 Ru-二氧化铈界面。所得催化剂在高压氨分解制氢中表现出高活性，这归因于其较低的活化能和减轻的氢中毒。此外，在长期高压操作过程中，催化性能和原子Ru结构均得以保留，证实了所设计配置的卓越结构稳定性。这项研究将活性氮驱动的迁移作为构建坚固且反应友好的催化剂表面的有效策略。</w:t>
      </w:r>
    </w:p>
    <w:p>
      <w:pPr>
        <w:spacing w:before="0" w:after="200" w:lineRule="auto" w:line="276"/>
      </w:pPr>
      <w:r>
        <w:rPr>
          <w:b/>
        </w:rPr>
        <w:t xml:space="preserve">Abstract (EN): </w:t>
      </w:r>
      <w:r>
        <w:t>Precise stabilization of atomic structures under reaction environments remains a central challenge in heterogeneous catalysis. Here, we demonstrate that ammonia (NH3) serves as a chemically active nitrogen source to derive the selective migration of ruthenium (Ru) atoms onto ceria (CeO2) domains, forming a durable atomically dispersed structure. During ammonia decomposition, nitrogen-containing intermediates promote atomic redistribution of Ru and anchor the atoms selectively at CeO2, yielding stable Ru-ceria interfaces. The resulting catalyst exhibits high activity in high-pressure ammonia decomposition for hydrogen production, attributed to its lowered activation energy and mitigated hydrogen poisoning. Furthermore, both the catalytic performance and the atomic Ru structure are preserved during long-term high-pressure operation, confirming the exceptional structural stability of the designed configuration. This study establishes active-nitrogen-driven migration as an effective strategy for constructing robust and reaction-friendly catalyst surface.</w:t>
      </w:r>
    </w:p>
    <w:p>
      <w:pPr>
        <w:spacing w:before="120" w:after="120"/>
      </w:pPr>
      <w:r>
        <w:rPr>
          <w:sz w:val="18"/>
        </w:rPr>
        <w:t>——————————————————————————————————————————————————————————————————————</w:t>
      </w:r>
    </w:p>
    <w:p>
      <w:pPr>
        <w:spacing w:before="160" w:after="40" w:line="240" w:lineRule="auto"/>
      </w:pPr>
      <w:r>
        <w:rPr>
          <w:b/>
        </w:rPr>
        <w:t xml:space="preserve">[13] </w:t>
      </w:r>
      <w:hyperlink r:id="rId194">
        <w:r>
          <w:rPr>
            <w:color w:val="1155CC"/>
            <w:u w:val="single"/>
          </w:rPr>
          <w:t>地质储氢、可再生能源发电和清洁电力路径需求预测的系统级评估：英国案例研究</w:t>
        </w:r>
      </w:hyperlink>
    </w:p>
    <w:p>
      <w:pPr>
        <w:spacing w:before="0" w:after="80"/>
      </w:pPr>
      <w:r>
        <w:rPr>
          <w:i/>
          <w:sz w:val="20"/>
        </w:rPr>
        <w:t>EN: A system-level assessment of geological hydrogen storage, renewable generation and demand prediction for clean electricity pathways: A Great Britain case study</w:t>
      </w:r>
    </w:p>
    <w:p>
      <w:pPr>
        <w:spacing w:before="0" w:after="120"/>
      </w:pPr>
      <w:r>
        <w:rPr>
          <w:b/>
        </w:rPr>
        <w:t xml:space="preserve">Source: </w:t>
      </w:r>
      <w:r>
        <w:t>ScienceDirect Publication: Applied Energy</w:t>
      </w:r>
      <w:r>
        <w:t xml:space="preserve">    </w:t>
      </w:r>
      <w:r>
        <w:rPr>
          <w:b/>
        </w:rPr>
        <w:t xml:space="preserve">Pub date: </w:t>
      </w:r>
      <w:r>
        <w:t>2026-06-15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 </w:t>
      </w:r>
      <w:hyperlink r:id="rId195">
        <w:r>
          <w:rPr>
            <w:color w:val="1155CC"/>
            <w:u w:val="single"/>
          </w:rPr>
          <w:t>触发用于硝酸盐还原的铜基电催化剂的三步继电器机制</w:t>
        </w:r>
      </w:hyperlink>
    </w:p>
    <w:p>
      <w:pPr>
        <w:spacing w:before="0" w:after="80"/>
      </w:pPr>
      <w:r>
        <w:rPr>
          <w:i/>
          <w:sz w:val="20"/>
        </w:rPr>
        <w:t>EN: Triggering three-step relay mechanism over Cu-based electrocatalysts for nitrate reduction</w:t>
      </w:r>
    </w:p>
    <w:p>
      <w:pPr>
        <w:spacing w:before="0" w:after="120"/>
      </w:pPr>
      <w:r>
        <w:rPr>
          <w:b/>
        </w:rPr>
        <w:t xml:space="preserve">Source: </w:t>
      </w:r>
      <w:r>
        <w:t>Proceedings of the National Academy of Sciences: Keyword search for query</w:t>
      </w:r>
      <w:r>
        <w:t xml:space="preserve">    </w:t>
      </w:r>
      <w:r>
        <w:rPr>
          <w:b/>
        </w:rPr>
        <w:t xml:space="preserve">Pub date: </w:t>
      </w:r>
      <w:r>
        <w:t>2026-06-15 07:00:00+00:00</w:t>
      </w:r>
      <w:r>
        <w:t xml:space="preserve">    </w:t>
      </w:r>
      <w:r>
        <w:rPr>
          <w:b/>
        </w:rPr>
        <w:t xml:space="preserve">DOI: </w:t>
      </w:r>
      <w:hyperlink r:id="rId196">
        <w:r>
          <w:rPr>
            <w:color w:val="1155CC"/>
            <w:u w:val="single"/>
          </w:rPr>
          <w:t>10.1073/pnas.2531408123</w:t>
        </w:r>
      </w:hyperlink>
    </w:p>
    <w:p>
      <w:pPr>
        <w:spacing w:before="0" w:after="120"/>
      </w:pPr>
      <w:r>
        <w:rPr>
          <w:b/>
        </w:rPr>
        <w:t xml:space="preserve">Notes: </w:t>
      </w:r>
      <w:r>
        <w:t>abstract_source=crossref</w:t>
      </w:r>
    </w:p>
    <w:p>
      <w:pPr>
        <w:spacing w:before="0" w:after="80" w:lineRule="auto" w:line="276"/>
      </w:pPr>
      <w:r>
        <w:rPr>
          <w:b/>
        </w:rPr>
        <w:t xml:space="preserve">摘要（ZH）: </w:t>
      </w:r>
      <w:r>
        <w:t>电催化硝酸盐还原反应（NO</w:t>
      </w:r>
      <w:r>
        <w:rPr>
          <w:vertAlign w:val="subscript"/>
        </w:rPr>
        <w:t>3</w:t>
      </w:r>
      <w:r>
        <w:t>RR）是一种很有前景的污染物评估方法。铜基催化剂由于其对硝酸盐良好的吸附作用而受到广泛关注。目前，连续加氢被认为是NO的单一反应机理。</w:t>
      </w:r>
      <w:r>
        <w:rPr>
          <w:vertAlign w:val="subscript"/>
        </w:rPr>
        <w:t>3</w:t>
      </w:r>
      <w:r>
        <w:t>RR 超过 Cu，其中 NO 的高能垒</w:t>
      </w:r>
      <w:r>
        <w:rPr>
          <w:vertAlign w:val="subscript"/>
        </w:rPr>
        <w:t>3</w:t>
      </w:r>
      <w:r>
        <w:t>-</w:t>
      </w:r>
      <w:r>
        <w:t>-至-NO</w:t>
      </w:r>
      <w:r>
        <w:rPr>
          <w:vertAlign w:val="subscript"/>
        </w:rPr>
        <w:t>2</w:t>
      </w:r>
      <w:r>
        <w:t>-</w:t>
      </w:r>
      <w:r>
        <w:t>转化和活性氢（*H）供应不足导致高起始电位和低法拉第效率。三步继电器（TSR）机制可以解决这些问题，但由于Cu和NO之间自发氧化还原反应的驱动力较低而受到阻碍</w:t>
      </w:r>
      <w:r>
        <w:rPr>
          <w:vertAlign w:val="subscript"/>
        </w:rPr>
        <w:t>3</w:t>
      </w:r>
      <w:r>
        <w:t>-</w:t>
      </w:r>
      <w:r>
        <w:t>。在此，我们设计了 P 掺杂的 Cu 簇催化剂来触发和增强 TSR。 NH的起始电位和法拉第效率</w:t>
      </w:r>
      <w:r>
        <w:rPr>
          <w:vertAlign w:val="subscript"/>
        </w:rPr>
        <w:t>3</w:t>
      </w:r>
      <w:r>
        <w:t>与 P 掺杂的 Cu 团簇相比，其性能为 -0.15 V（相对于可逆氢电极）和 99.17%，优于报道的铜基催化剂。电化学原位表征、同位素标记实验和理论计算证明簇中低配位的Cu促进了自发氧化还原反应的速率，并且P掺杂提供了足够的*H，可以触发和增强NO的TSR途径</w:t>
      </w:r>
      <w:r>
        <w:rPr>
          <w:vertAlign w:val="subscript"/>
        </w:rPr>
        <w:t>3</w:t>
      </w:r>
      <w:r>
        <w:t>RR，取得优异的NO</w:t>
      </w:r>
      <w:r>
        <w:rPr>
          <w:vertAlign w:val="subscript"/>
        </w:rPr>
        <w:t>3</w:t>
      </w:r>
    </w:p>
    <w:p>
      <w:pPr>
        <w:spacing w:before="0" w:after="200" w:lineRule="auto" w:line="276"/>
      </w:pPr>
      <w:r>
        <w:rPr>
          <w:b/>
        </w:rPr>
        <w:t xml:space="preserve">Abstract (EN): </w:t>
      </w:r>
      <w:r>
        <w:t>Electrocatalytic nitrate reduction reaction (NO</w:t>
      </w:r>
      <w:r>
        <w:rPr>
          <w:vertAlign w:val="subscript"/>
        </w:rPr>
        <w:t>3</w:t>
      </w:r>
      <w:r>
        <w:t>RR) is a promising approach for pollutant appreciation. Cu-based catalysts have attracted extensive attention due to their favorable adsorption with nitrate. At present, the continuous hydrogenation is considered as a single reaction mechanism for NO</w:t>
      </w:r>
      <w:r>
        <w:rPr>
          <w:vertAlign w:val="subscript"/>
        </w:rPr>
        <w:t>3</w:t>
      </w:r>
      <w:r>
        <w:t>RR over Cu, in which the high energy barrier of NO</w:t>
      </w:r>
      <w:r>
        <w:rPr>
          <w:vertAlign w:val="subscript"/>
        </w:rPr>
        <w:t>3</w:t>
      </w:r>
      <w:r>
        <w:t>−</w:t>
      </w:r>
      <w:r>
        <w:t>-to-NO</w:t>
      </w:r>
      <w:r>
        <w:rPr>
          <w:vertAlign w:val="subscript"/>
        </w:rPr>
        <w:t>2</w:t>
      </w:r>
      <w:r>
        <w:t>−</w:t>
      </w:r>
      <w:r>
        <w:t>conversion and insufficient active hydrogen (*H) supply lead to high onset potential and low faradaic efficiency. The three-step relay (TSR) mechanism can solve these issues, but it is retarded by the low driving force of spontaneous redox reaction between Cu and NO</w:t>
      </w:r>
      <w:r>
        <w:rPr>
          <w:vertAlign w:val="subscript"/>
        </w:rPr>
        <w:t>3</w:t>
      </w:r>
      <w:r>
        <w:t>−</w:t>
      </w:r>
      <w:r>
        <w:t>. Herein, we design P-doped Cu cluster catalyst to trigger and enhance TSR. The onset potential and faradaic efficiency of NH</w:t>
      </w:r>
      <w:r>
        <w:rPr>
          <w:vertAlign w:val="subscript"/>
        </w:rPr>
        <w:t>3</w:t>
      </w:r>
      <w:r>
        <w:t>are −0.15 V (vs. reversible hydrogen electrode) and 99.17% over P-doped Cu cluster, outperforming the reported Cu-based catalysts. The electrochemical in situ characterizations, isotope-labeling experiments and theoretical calculations prove that the low-coordinated Cu in cluster promotes the rate of spontaneous redox reaction as well as P doping provides sufficient *H, which can trigger and enhance TSR pathway for NO</w:t>
      </w:r>
      <w:r>
        <w:rPr>
          <w:vertAlign w:val="subscript"/>
        </w:rPr>
        <w:t>3</w:t>
      </w:r>
      <w:r>
        <w:t>RR, achieving excellent NO</w:t>
      </w:r>
      <w:r>
        <w:rPr>
          <w:vertAlign w:val="subscript"/>
        </w:rPr>
        <w:t>3</w:t>
      </w:r>
      <w:r>
        <w:t>RR performance.</w:t>
      </w:r>
    </w:p>
    <w:p>
      <w:pPr>
        <w:spacing w:before="120" w:after="120"/>
      </w:pPr>
      <w:r>
        <w:rPr>
          <w:sz w:val="18"/>
        </w:rPr>
        <w:t>——————————————————————————————————————————————————————————————————————</w:t>
      </w:r>
    </w:p>
    <w:p>
      <w:pPr>
        <w:spacing w:before="160" w:after="40" w:line="240" w:lineRule="auto"/>
      </w:pPr>
      <w:r>
        <w:rPr>
          <w:b/>
        </w:rPr>
        <w:t xml:space="preserve">[15] </w:t>
      </w:r>
      <w:hyperlink r:id="rId197">
        <w:r>
          <w:rPr>
            <w:color w:val="1155CC"/>
            <w:u w:val="single"/>
          </w:rPr>
          <w:t>对 Lollar 和 Warr 的修正，大陆氢气储层的十年记录揭示了地下微生物生命和天然氢气勘探的潜力</w:t>
        </w:r>
      </w:hyperlink>
    </w:p>
    <w:p>
      <w:pPr>
        <w:spacing w:before="0" w:after="80"/>
      </w:pPr>
      <w:r>
        <w:rPr>
          <w:i/>
          <w:sz w:val="20"/>
        </w:rPr>
        <w:t>EN: Correction for Lollar and Warr, Decadal record of continental H2 reservoirs reveals potential for subsurface microbial life and natural H2 exploration</w:t>
      </w:r>
    </w:p>
    <w:p>
      <w:pPr>
        <w:spacing w:before="0" w:after="120"/>
      </w:pPr>
      <w:r>
        <w:rPr>
          <w:b/>
        </w:rPr>
        <w:t xml:space="preserve">Source: </w:t>
      </w:r>
      <w:r>
        <w:t>Proceedings of the National Academy of Sciences: Keyword search for query</w:t>
      </w:r>
      <w:r>
        <w:t xml:space="preserve">    </w:t>
      </w:r>
      <w:r>
        <w:rPr>
          <w:b/>
        </w:rPr>
        <w:t xml:space="preserve">Pub date: </w:t>
      </w:r>
      <w:r>
        <w:t>2026-06-15 07:00:00+00:00</w:t>
      </w:r>
      <w:r>
        <w:t xml:space="preserve">    </w:t>
      </w:r>
      <w:r>
        <w:rPr>
          <w:b/>
        </w:rPr>
        <w:t xml:space="preserve">DOI: </w:t>
      </w:r>
      <w:hyperlink r:id="rId198">
        <w:r>
          <w:rPr>
            <w:color w:val="1155CC"/>
            <w:u w:val="single"/>
          </w:rPr>
          <w:t>10.1073/pnas.2619149123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 </w:t>
      </w:r>
      <w:hyperlink r:id="rId199">
        <w:r>
          <w:rPr>
            <w:color w:val="1155CC"/>
            <w:u w:val="single"/>
          </w:rPr>
          <w:t>磷酰基工程 MOF 促进界面重构，实现高效海水乙醇电氧化</w:t>
        </w:r>
      </w:hyperlink>
    </w:p>
    <w:p>
      <w:pPr>
        <w:spacing w:before="0" w:after="80"/>
      </w:pPr>
      <w:r>
        <w:rPr>
          <w:i/>
          <w:sz w:val="20"/>
        </w:rPr>
        <w:t>EN: Phosphoryl‐Engineered MOFs Promote Interfacial Reconstruction for Efficient Seawater Ethanol Electrooxidation</w:t>
      </w:r>
    </w:p>
    <w:p>
      <w:pPr>
        <w:spacing w:before="0" w:after="120"/>
      </w:pPr>
      <w:r>
        <w:rPr>
          <w:b/>
        </w:rPr>
        <w:t xml:space="preserve">Source: </w:t>
      </w:r>
      <w:r>
        <w:t>Wiley: Angewandte Chemie International Edition: Table of Contents</w:t>
      </w:r>
      <w:r>
        <w:t xml:space="preserve">    </w:t>
      </w:r>
      <w:r>
        <w:rPr>
          <w:b/>
        </w:rPr>
        <w:t xml:space="preserve">Pub date: </w:t>
      </w:r>
      <w:r>
        <w:t>2026-06-15 11:07:02+00:00</w:t>
      </w:r>
      <w:r>
        <w:t xml:space="preserve">    </w:t>
      </w:r>
      <w:r>
        <w:rPr>
          <w:b/>
        </w:rPr>
        <w:t xml:space="preserve">DOI: </w:t>
      </w:r>
      <w:hyperlink r:id="rId200">
        <w:r>
          <w:rPr>
            <w:color w:val="1155CC"/>
            <w:u w:val="single"/>
          </w:rPr>
          <w:t>10.1002/anie.8462106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混合海水电解装置的制氢效率取决于高性能催化材料在碱性海水条件下具有优异的活性和耐氯腐蚀性。然而，可控调节催化剂结构以构建有效的抗氯保护层，同时增强耐氯腐蚀性和阳极氧化反应活性，仍然是一项艰巨的挑战。在此，我们报告了一种膦酰基配体工程策略，该策略在碱性海水乙醇氧化反应（EOR）过程中促进金属有机骨架（MOF）转化为含有氧阴离子的金属羟基氧化物，具有增强的活性和Cl</w:t>
      </w:r>
      <w:r>
        <w:t xml:space="preserve"> </w:t>
      </w:r>
      <w:r>
        <w:t>–</w:t>
      </w:r>
      <w:r>
        <w:t xml:space="preserve"> </w:t>
      </w:r>
      <w:r>
        <w:t>耐腐蚀性。利用 MOF 中有机配体的可调性质，为原位形成具有强大耐氯腐蚀性的氧阴离子层提供了一个多功能平台。含磷MOF（P</w:t>
      </w:r>
      <w:r>
        <w:t xml:space="preserve"> </w:t>
      </w:r>
      <w:r>
        <w:t>一个</w:t>
      </w:r>
      <w:r>
        <w:t xml:space="preserve"> </w:t>
      </w:r>
      <w:r>
        <w:t>-Ni-TPA）是通过用 4-膦酰基苯甲酸（P）部分取代对苯二甲酸（TPA）合成的</w:t>
      </w:r>
      <w:r>
        <w:t xml:space="preserve"> </w:t>
      </w:r>
      <w:r>
        <w:t>一个</w:t>
      </w:r>
      <w:r>
        <w:t xml:space="preserve"> </w:t>
      </w:r>
      <w:r>
        <w:t>）。与传统的 MOF (Ni-TPA) 相比，P 中原位生成的金属羟基氧化物</w:t>
      </w:r>
      <w:r>
        <w:t xml:space="preserve"> </w:t>
      </w:r>
      <w:r>
        <w:t>一个</w:t>
      </w:r>
      <w:r>
        <w:t xml:space="preserve"> </w:t>
      </w:r>
      <w:r>
        <w:t>‐Ni-TPA 结合 PO</w:t>
      </w:r>
      <w:r>
        <w:rPr>
          <w:vertAlign w:val="subscript"/>
        </w:rPr>
        <w:t>4</w:t>
      </w:r>
      <w:r>
        <w:t>3–</w:t>
      </w:r>
      <w:r>
        <w:t xml:space="preserve"> </w:t>
      </w:r>
      <w:r>
        <w:t>。采购订单</w:t>
      </w:r>
      <w:r>
        <w:rPr>
          <w:vertAlign w:val="subscript"/>
        </w:rPr>
        <w:t>4</w:t>
      </w:r>
      <w:r>
        <w:t>3–</w:t>
      </w:r>
      <w:r>
        <w:t xml:space="preserve"> </w:t>
      </w:r>
      <w:r>
        <w:t>促进乙醇及其中间体的吸附</w:t>
      </w:r>
    </w:p>
    <w:p>
      <w:pPr>
        <w:spacing w:before="0" w:after="200" w:lineRule="auto" w:line="276"/>
      </w:pPr>
      <w:r>
        <w:rPr>
          <w:b/>
        </w:rPr>
        <w:t xml:space="preserve">Abstract (EN): </w:t>
      </w:r>
      <w:r>
        <w:t>The hydrogen production efficiency of hybrid seawater electrolysis devices hinges on high‐performance catalytic materials with superior activity and chlorine corrosion resistance under the alkaline seawater conditions. However, the controllable modulation of catalyst structures to construct an effective anti‐chlorine protective layer, one that simultaneously enhances both Cl corrosion resistance and anodic oxidation reaction activity, remains a formidable challenge. Herein, we report a phosphonyl‐ligand engineering strategy that promotes the transformation of metal–organic frameworks (MOFs) into metal oxyhydroxides containing oxygen‐anions during alkaline seawater ethanol oxidation reaction (EOR) with enhanced activity and Cl</w:t>
      </w:r>
      <w:r>
        <w:t xml:space="preserve"> </w:t>
      </w:r>
      <w:r>
        <w:t>–</w:t>
      </w:r>
      <w:r>
        <w:t xml:space="preserve"> </w:t>
      </w:r>
      <w:r>
        <w:t>corrosion resistance. Leveraging the tunable nature of organic ligands in MOFs provides a versatile platform for the in situ formation of oxygen anion layers with robust chlorine corrosion resistance. A phosphorus‐containing MOF (P</w:t>
      </w:r>
      <w:r>
        <w:t xml:space="preserve"> </w:t>
      </w:r>
      <w:r>
        <w:t>a</w:t>
      </w:r>
      <w:r>
        <w:t xml:space="preserve"> </w:t>
      </w:r>
      <w:r>
        <w:t>‐Ni‐TPA) was synthesized by partially substituting terephthalic acid (TPA) with 4‐phosphonobenzoic acid (P</w:t>
      </w:r>
      <w:r>
        <w:t xml:space="preserve"> </w:t>
      </w:r>
      <w:r>
        <w:t>a</w:t>
      </w:r>
      <w:r>
        <w:t xml:space="preserve"> </w:t>
      </w:r>
      <w:r>
        <w:t>). In contrast to the conventional MOF (Ni‐TPA), the in situ generated metal oxyhydroxide from P</w:t>
      </w:r>
      <w:r>
        <w:t xml:space="preserve"> </w:t>
      </w:r>
      <w:r>
        <w:t>a</w:t>
      </w:r>
      <w:r>
        <w:t xml:space="preserve"> </w:t>
      </w:r>
      <w:r>
        <w:t>‐Ni‐TPA incorporates PO</w:t>
      </w:r>
      <w:r>
        <w:rPr>
          <w:vertAlign w:val="subscript"/>
        </w:rPr>
        <w:t>4</w:t>
      </w:r>
      <w:r>
        <w:t>3–</w:t>
      </w:r>
      <w:r>
        <w:t xml:space="preserve"> </w:t>
      </w:r>
      <w:r>
        <w:t>. PO</w:t>
      </w:r>
      <w:r>
        <w:rPr>
          <w:vertAlign w:val="subscript"/>
        </w:rPr>
        <w:t>4</w:t>
      </w:r>
      <w:r>
        <w:t>3–</w:t>
      </w:r>
      <w:r>
        <w:t xml:space="preserve"> </w:t>
      </w:r>
      <w:r>
        <w:t>promotes the adsorption of ethanol and its intermediates onto nickel centers while inhibiting Cl adsorption, thereby significantly boosting both EOR activity and Cl corrosion resistance. These findings establish a detailed structure‐performance correlation between MOF structural evolution and both catalytic activity toward alkaline seawater EOR and resistance to chlorine corrosion.</w:t>
      </w:r>
    </w:p>
    <w:p>
      <w:pPr>
        <w:spacing w:before="120" w:after="120"/>
      </w:pPr>
      <w:r>
        <w:rPr>
          <w:sz w:val="18"/>
        </w:rPr>
        <w:t>——————————————————————————————————————————————————————————————————————</w:t>
      </w:r>
    </w:p>
    <w:p>
      <w:pPr>
        <w:spacing w:before="160" w:after="40" w:line="240" w:lineRule="auto"/>
      </w:pPr>
      <w:r>
        <w:rPr>
          <w:b/>
        </w:rPr>
        <w:t xml:space="preserve">[17] </w:t>
      </w:r>
      <w:hyperlink r:id="rId201">
        <w:r>
          <w:rPr>
            <w:color w:val="1155CC"/>
            <w:u w:val="single"/>
          </w:rPr>
          <w:t>固体氧化物电化学反应器的动态运行和反应网络耦合</w:t>
        </w:r>
      </w:hyperlink>
    </w:p>
    <w:p>
      <w:pPr>
        <w:spacing w:before="0" w:after="80"/>
      </w:pPr>
      <w:r>
        <w:rPr>
          <w:i/>
          <w:sz w:val="20"/>
        </w:rPr>
        <w:t>EN: Dynamic operation and reaction network coupling in solid oxide electrochemical reactors</w:t>
      </w:r>
    </w:p>
    <w:p>
      <w:pPr>
        <w:spacing w:before="0" w:after="120"/>
      </w:pPr>
      <w:r>
        <w:rPr>
          <w:b/>
        </w:rPr>
        <w:t xml:space="preserve">Source: </w:t>
      </w:r>
      <w:r>
        <w:t>Nature Chemical Engineering</w:t>
      </w:r>
      <w:r>
        <w:t xml:space="preserve">    </w:t>
      </w:r>
      <w:r>
        <w:rPr>
          <w:b/>
        </w:rPr>
        <w:t xml:space="preserve">Pub date: </w:t>
      </w:r>
      <w:r>
        <w:t>2026-06-16 00:00:00+00:00</w:t>
      </w:r>
      <w:r>
        <w:t xml:space="preserve">    </w:t>
      </w:r>
      <w:r>
        <w:rPr>
          <w:b/>
        </w:rPr>
        <w:t xml:space="preserve">DOI: </w:t>
      </w:r>
      <w:hyperlink r:id="rId202">
        <w:r>
          <w:rPr>
            <w:color w:val="1155CC"/>
            <w:u w:val="single"/>
          </w:rPr>
          <w:t>10.1038/s44286-026-00407-x</w:t>
        </w:r>
      </w:hyperlink>
    </w:p>
    <w:p>
      <w:pPr>
        <w:spacing w:before="0" w:after="120"/>
      </w:pPr>
      <w:r>
        <w:rPr>
          <w:b/>
        </w:rPr>
        <w:t xml:space="preserve">Notes: </w:t>
      </w:r>
      <w:r>
        <w:t>abstract_source=nature_html</w:t>
      </w:r>
    </w:p>
    <w:p>
      <w:pPr>
        <w:spacing w:before="0" w:after="80" w:lineRule="auto" w:line="276"/>
      </w:pPr>
      <w:r>
        <w:rPr>
          <w:b/>
        </w:rPr>
        <w:t xml:space="preserve">摘要（ZH）: </w:t>
      </w:r>
      <w:r>
        <w:t>固体氧化物电池传统上仅限于作为独立电解槽或燃料电池运行，研究主要集中在材料性能上。本评论强调了在这些电化学膜反应器中利用集成法拉第和非法拉第反应以及动态操作来最大限度地提高能源利用率和扩大产品范围的机会。</w:t>
      </w:r>
    </w:p>
    <w:p>
      <w:pPr>
        <w:spacing w:before="0" w:after="200" w:lineRule="auto" w:line="276"/>
      </w:pPr>
      <w:r>
        <w:rPr>
          <w:b/>
        </w:rPr>
        <w:t xml:space="preserve">Abstract (EN): </w:t>
      </w:r>
      <w:r>
        <w:t>Solid oxide cells have traditionally been confined to operation as standalone electrolyzers or fuel cells, with research predominantly focused on materials performance. This Comment highlights opportunities to leverage integrated faradaic and non-faradaic reactions alongside dynamic operation in these electrochemical membrane reactors to maximize energy utilization and expand product scope.</w:t>
      </w:r>
    </w:p>
    <w:p>
      <w:pPr>
        <w:spacing w:before="120" w:after="120"/>
      </w:pPr>
      <w:r>
        <w:rPr>
          <w:sz w:val="18"/>
        </w:rPr>
        <w:t>——————————————————————————————————————————————————————————————————————</w:t>
      </w:r>
    </w:p>
    <w:p>
      <w:pPr>
        <w:spacing w:before="160" w:after="40" w:line="240" w:lineRule="auto"/>
      </w:pPr>
      <w:r>
        <w:rPr>
          <w:b/>
        </w:rPr>
        <w:t xml:space="preserve">[18] </w:t>
      </w:r>
      <w:hyperlink r:id="rId203">
        <w:r>
          <w:rPr>
            <w:color w:val="1155CC"/>
            <w:u w:val="single"/>
          </w:rPr>
          <w:t>具有协同 Ir-Ir 对的超高密度 Ir 单原子催化剂可有效析出酸性氧气</w:t>
        </w:r>
      </w:hyperlink>
    </w:p>
    <w:p>
      <w:pPr>
        <w:spacing w:before="0" w:after="80"/>
      </w:pPr>
      <w:r>
        <w:rPr>
          <w:i/>
          <w:sz w:val="20"/>
        </w:rPr>
        <w:t>EN: Ultrahigh Density Ir Single‐Atom Catalysts With Synergistic Ir‐Ir Pairs for Efficient Acidic Oxygen Evolution</w:t>
      </w:r>
    </w:p>
    <w:p>
      <w:pPr>
        <w:spacing w:before="0" w:after="120"/>
      </w:pPr>
      <w:r>
        <w:rPr>
          <w:b/>
        </w:rPr>
        <w:t xml:space="preserve">Source: </w:t>
      </w:r>
      <w:r>
        <w:t>Wiley: Angewandte Chemie International Edition: Table of Contents</w:t>
      </w:r>
      <w:r>
        <w:t xml:space="preserve">    </w:t>
      </w:r>
      <w:r>
        <w:rPr>
          <w:b/>
        </w:rPr>
        <w:t xml:space="preserve">Pub date: </w:t>
      </w:r>
      <w:r>
        <w:t>2026-06-16 07:09:18+00:00</w:t>
      </w:r>
      <w:r>
        <w:t xml:space="preserve">    </w:t>
      </w:r>
      <w:r>
        <w:rPr>
          <w:b/>
        </w:rPr>
        <w:t xml:space="preserve">DOI: </w:t>
      </w:r>
      <w:hyperlink r:id="rId204">
        <w:r>
          <w:rPr>
            <w:color w:val="1155CC"/>
            <w:u w:val="single"/>
          </w:rPr>
          <w:t>10.1002/anie.4980930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在单原子催化剂（SAC）中构建相邻的活性位点为增强酸性析氧反应（OER）性能提供了一种新策略。然而，此类系统的 OER 活性对其结构配置高度敏感。由于单原子的密度通常较低，大多数协同效应源自单原子与载体之间的相互作用，而相邻单原子之间的广泛协同作用仍然很少。在这项工作中，我们将超高密度 Ir 单原子引入到 Co 上</w:t>
      </w:r>
      <w:r>
        <w:rPr>
          <w:vertAlign w:val="subscript"/>
        </w:rPr>
        <w:t>3</w:t>
      </w:r>
      <w:r>
        <w:t>氧</w:t>
      </w:r>
      <w:r>
        <w:rPr>
          <w:vertAlign w:val="subscript"/>
        </w:rPr>
        <w:t>4</w:t>
      </w:r>
      <w:r>
        <w:t>支持构建大量 Ir-Ir 对以增强酸性 OER 性能。电化学测量表明，SAC 在 10 mA cm 的电流密度下仅实现 250 mV 的过电势</w:t>
      </w:r>
      <w:r>
        <w:t xml:space="preserve"> </w:t>
      </w:r>
      <w:r>
        <w:t>−2</w:t>
      </w:r>
      <w:r>
        <w:t xml:space="preserve"> </w:t>
      </w:r>
      <w:r>
        <w:t>，比低密度 SAC 低 90 mV，并在 50 mA cm 的电流密度下保持稳定性超过 3000 小时</w:t>
      </w:r>
      <w:r>
        <w:t xml:space="preserve"> </w:t>
      </w:r>
      <w:r>
        <w:t>−2</w:t>
      </w:r>
      <w:r>
        <w:t xml:space="preserve"> </w:t>
      </w:r>
      <w:r>
        <w:t>。在质子交换膜水电解槽中，该催化剂仅需要 1.69 V 即可实现 1.0 A cm 的电流密度</w:t>
      </w:r>
      <w:r>
        <w:t xml:space="preserve"> </w:t>
      </w:r>
      <w:r>
        <w:t>−2</w:t>
      </w:r>
      <w:r>
        <w:t xml:space="preserve"> </w:t>
      </w:r>
      <w:r>
        <w:t>并稳定运行700小时。原位光谱表征和密度泛函理论计算证实低密度SAC中的Ir-Co对表现出过强的中间吸附，而超高密度SAC中形成的Ir-Ir对优化了吸附强度，从而提高了协同效率</w:t>
      </w:r>
    </w:p>
    <w:p>
      <w:pPr>
        <w:spacing w:before="0" w:after="200" w:lineRule="auto" w:line="276"/>
      </w:pPr>
      <w:r>
        <w:rPr>
          <w:b/>
        </w:rPr>
        <w:t xml:space="preserve">Abstract (EN): </w:t>
      </w:r>
      <w:r>
        <w:t>Constructing neighboring active sites in single‐atom catalysts (SACs) provides a new strategy for enhancing acidic oxygen evolution reaction (OER) performance. However, the OER activity of such systems is highly sensitive to their structural configuration. Due to the typically low density of single atoms, most synergistic effects originate from interactions between single atoms and the supports, while extensive synergy between neighboring single atoms remains scarce. In this work, we introduced ultrahigh density Ir single atoms onto Co</w:t>
      </w:r>
      <w:r>
        <w:rPr>
          <w:vertAlign w:val="subscript"/>
        </w:rPr>
        <w:t>3</w:t>
      </w:r>
      <w:r>
        <w:t>O</w:t>
      </w:r>
      <w:r>
        <w:rPr>
          <w:vertAlign w:val="subscript"/>
        </w:rPr>
        <w:t>4</w:t>
      </w:r>
      <w:r>
        <w:t>support to construct numerous Ir‐Ir pairs for enhanced acidic OER performance. Electrochemical measurements revealed that the SACs achieved an overpotential of only 250 mV at a current density of 10 mA cm</w:t>
      </w:r>
      <w:r>
        <w:t xml:space="preserve"> </w:t>
      </w:r>
      <w:r>
        <w:t>−2</w:t>
      </w:r>
      <w:r>
        <w:t xml:space="preserve"> </w:t>
      </w:r>
      <w:r>
        <w:t>, 90 mV lower than that of the lower density SACs, and maintained stability over 3000 h at a current density of 50 mA cm</w:t>
      </w:r>
      <w:r>
        <w:t xml:space="preserve"> </w:t>
      </w:r>
      <w:r>
        <w:t>−2</w:t>
      </w:r>
      <w:r>
        <w:t xml:space="preserve"> </w:t>
      </w:r>
      <w:r>
        <w:t>. In a proton exchange membrane water electrolyzer, this catalyst required only 1.69 V to achieve a current densit of 1.0 A cm</w:t>
      </w:r>
      <w:r>
        <w:t xml:space="preserve"> </w:t>
      </w:r>
      <w:r>
        <w:t>−2</w:t>
      </w:r>
      <w:r>
        <w:t xml:space="preserve"> </w:t>
      </w:r>
      <w:r>
        <w:t>and operated stably for 700 h. In situ spectroscopic characterization and density functional theory calculations confirmed Ir‐Co pairs in low‐density SACs exhibited excessively strong intermediate adsorption, whereas the Ir‐Ir pairs formed in ultrahigh density SACs optimized the adsorption strength, thus enhancing the synergistic efficiency of neighboring sites.</w:t>
      </w:r>
    </w:p>
    <w:p>
      <w:pPr>
        <w:spacing w:before="120" w:after="120"/>
      </w:pPr>
      <w:r>
        <w:rPr>
          <w:sz w:val="18"/>
        </w:rPr>
        <w:t>——————————————————————————————————————————————————————————————————————</w:t>
      </w:r>
    </w:p>
    <w:p>
      <w:pPr>
        <w:spacing w:before="160" w:after="40" w:line="240" w:lineRule="auto"/>
      </w:pPr>
      <w:r>
        <w:rPr>
          <w:b/>
        </w:rPr>
        <w:t xml:space="preserve">[19] </w:t>
      </w:r>
      <w:hyperlink r:id="rId205">
        <w:r>
          <w:rPr>
            <w:color w:val="1155CC"/>
            <w:u w:val="single"/>
          </w:rPr>
          <w:t>动态羟基介导的电荷缓冲稳定酸性水氧化的高价钌边缘位点</w:t>
        </w:r>
      </w:hyperlink>
    </w:p>
    <w:p>
      <w:pPr>
        <w:spacing w:before="0" w:after="80"/>
      </w:pPr>
      <w:r>
        <w:rPr>
          <w:i/>
          <w:sz w:val="20"/>
        </w:rPr>
        <w:t>EN: Dynamic hydroxyl mediated charge buffering stabilizes high valence ruthenium edge sites for acidic water oxidation</w:t>
      </w:r>
    </w:p>
    <w:p>
      <w:pPr>
        <w:spacing w:before="0" w:after="120"/>
      </w:pPr>
      <w:r>
        <w:rPr>
          <w:b/>
        </w:rPr>
        <w:t xml:space="preserve">Source: </w:t>
      </w:r>
      <w:r>
        <w:t>Physical sciences : Nature Communications subject feeds</w:t>
      </w:r>
      <w:r>
        <w:t xml:space="preserve">    </w:t>
      </w:r>
      <w:r>
        <w:rPr>
          <w:b/>
        </w:rPr>
        <w:t xml:space="preserve">Pub date: </w:t>
      </w:r>
      <w:r>
        <w:t>2026-06-17 00:00:00+00:00</w:t>
      </w:r>
    </w:p>
    <w:p>
      <w:pPr>
        <w:spacing w:before="0" w:after="120"/>
      </w:pPr>
      <w:r>
        <w:rPr>
          <w:b/>
        </w:rPr>
        <w:t xml:space="preserve">Notes: </w:t>
      </w:r>
      <w:r>
        <w:t>abstract_source=nature_html</w:t>
      </w:r>
    </w:p>
    <w:p>
      <w:pPr>
        <w:spacing w:before="0" w:after="80" w:lineRule="auto" w:line="276"/>
      </w:pPr>
      <w:r>
        <w:rPr>
          <w:b/>
        </w:rPr>
        <w:t xml:space="preserve">摘要（ZH）: </w:t>
      </w:r>
      <w:r>
        <w:t>高价金属物质对于驱动电催化酸性水氧化至关重要，但其存在固有的热力学不稳定性。这种活性-稳定性悖论对于钌基催化剂尤其严重，其中高活性的 Ru(&gt;IV) 物质也是快速溶解的前体。在这里，我们展示了一种合作的主客体架构通过动态、羟基介导的电荷缓冲来规避这种权衡。通过将孤立的钌原子锚定在 β-MnO2 边缘位点，我们证明了主体衍生的表面羟基控制着动力学和鲁棒性。这些羟基优化中间体结合，促进理想的 O-O 偶联，加速反应。同时，特定的配位环境允许锰主体可逆地容纳过量的氧化电荷，防止不可逆的结构降解和钌溶解。所得Ru0.03Mn0.97O2催化剂的质量活性比RuO2高223倍，稳定性数提高了三个数量级。作为质子交换膜电解槽的阳极，可维持1 A cm−2工业级电流密度超过1000小时，与IrO2相比毫不逊色，同时可减少80%的贵金属使用量。</w:t>
      </w:r>
    </w:p>
    <w:p>
      <w:pPr>
        <w:spacing w:before="0" w:after="200" w:lineRule="auto" w:line="276"/>
      </w:pPr>
      <w:r>
        <w:rPr>
          <w:b/>
        </w:rPr>
        <w:t xml:space="preserve">Abstract (EN): </w:t>
      </w:r>
      <w:r>
        <w:t>High valence metal species are essential for driving electrocatalytic acidic water oxidation, but suffer from intrinsic thermodynamic instability. This activity-stability paradox is particularly severe for ruthenium-based catalysts, where highly active Ru(&gt;IV) species are also precursors for rapid dissolution. Here we show that a cooperative host-guest architecture circumvents this trade-off through dynamic, hydroxyl-mediated charge buffering. By anchoring isolated ruthenium atoms at β-MnO2 edge sites, we demonstrate that host-derived surface hydroxyls govern both kinetics and robustness. These hydroxyls optimize intermediate binding to facilitate ideal O-O coupling, accelerating the reaction. Concurrently, the specific coordination environment allows the manganese host to reversibly accommodate excess oxidative charge, preventing irreversible structural degradation and ruthenium dissolution. The resulting Ru0.03Mn0.97O2 catalyst achieves a mass activity 223-fold higher than RuO2 and increases the stability number by three orders of magnitude. As an anode in a proton exchange membrane electrolyzer, it sustains an industrial-level current density of 1 A cm−2 for over 1000 h, comparing favorably to IrO2 while reducing precious metal usage by 80%.</w:t>
      </w:r>
    </w:p>
    <w:p>
      <w:pPr>
        <w:spacing w:before="120" w:after="120"/>
      </w:pPr>
      <w:r>
        <w:rPr>
          <w:sz w:val="18"/>
        </w:rPr>
        <w:t>——————————————————————————————————————————————————————————————————————</w:t>
      </w:r>
    </w:p>
    <w:p>
      <w:pPr>
        <w:spacing w:before="160" w:after="40" w:line="240" w:lineRule="auto"/>
      </w:pPr>
      <w:r>
        <w:rPr>
          <w:b/>
        </w:rPr>
        <w:t xml:space="preserve">[20] </w:t>
      </w:r>
      <w:hyperlink r:id="rId206">
        <w:r>
          <w:rPr>
            <w:color w:val="1155CC"/>
            <w:u w:val="single"/>
          </w:rPr>
          <w:t>PEM 水电解中氢交叉预测和高压外推的硬约束物理残差网络</w:t>
        </w:r>
      </w:hyperlink>
    </w:p>
    <w:p>
      <w:pPr>
        <w:spacing w:before="0" w:after="80"/>
      </w:pPr>
      <w:r>
        <w:rPr>
          <w:i/>
          <w:sz w:val="20"/>
        </w:rPr>
        <w:t>EN: Hard-constraint physics-residual networks for hydrogen crossover prediction and high-pressure extrapolation in PEM water electrolysis</w:t>
      </w:r>
    </w:p>
    <w:p>
      <w:pPr>
        <w:spacing w:before="0" w:after="120"/>
      </w:pPr>
      <w:r>
        <w:rPr>
          <w:b/>
        </w:rPr>
        <w:t xml:space="preserve">Source: </w:t>
      </w:r>
      <w:r>
        <w:t>ScienceDirect Publication: Applied Energy</w:t>
      </w:r>
      <w:r>
        <w:t xml:space="preserve">    </w:t>
      </w:r>
      <w:r>
        <w:rPr>
          <w:b/>
        </w:rPr>
        <w:t xml:space="preserve">Pub date: </w:t>
      </w:r>
      <w:r>
        <w:t>2026-06-17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 </w:t>
      </w:r>
      <w:hyperlink r:id="rId207">
        <w:r>
          <w:rPr>
            <w:color w:val="1155CC"/>
            <w:u w:val="single"/>
          </w:rPr>
          <w:t>考虑退化的微电网中基于代理模型的 SOFC 实时调度优化</w:t>
        </w:r>
      </w:hyperlink>
    </w:p>
    <w:p>
      <w:pPr>
        <w:spacing w:before="0" w:after="80"/>
      </w:pPr>
      <w:r>
        <w:rPr>
          <w:i/>
          <w:sz w:val="20"/>
        </w:rPr>
        <w:t>EN: Surrogate-model-based real-time dispatch optimization of SOFCs in microgrids considering degradation</w:t>
      </w:r>
    </w:p>
    <w:p>
      <w:pPr>
        <w:spacing w:before="0" w:after="120"/>
      </w:pPr>
      <w:r>
        <w:rPr>
          <w:b/>
        </w:rPr>
        <w:t xml:space="preserve">Source: </w:t>
      </w:r>
      <w:r>
        <w:t>ScienceDirect Publication: Applied Energy</w:t>
      </w:r>
      <w:r>
        <w:t xml:space="preserve">    </w:t>
      </w:r>
      <w:r>
        <w:rPr>
          <w:b/>
        </w:rPr>
        <w:t xml:space="preserve">Pub date: </w:t>
      </w:r>
      <w:r>
        <w:t>2026-06-17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 </w:t>
      </w:r>
      <w:hyperlink r:id="rId208">
        <w:r>
          <w:rPr>
            <w:color w:val="1155CC"/>
            <w:u w:val="single"/>
          </w:rPr>
          <w:t>机器学习力场和核磁共振谱揭示了质子离子液体中质子传输的协同 Zundel-Eigen 机制</w:t>
        </w:r>
      </w:hyperlink>
    </w:p>
    <w:p>
      <w:pPr>
        <w:spacing w:before="0" w:after="80"/>
      </w:pPr>
      <w:r>
        <w:rPr>
          <w:i/>
          <w:sz w:val="20"/>
        </w:rPr>
        <w:t>EN: Synergistic Zundel–Eigen mechanism for proton transport in protic ionic liquids unraveled by machine learning force fields and NMR spectra</w:t>
      </w:r>
    </w:p>
    <w:p>
      <w:pPr>
        <w:spacing w:before="0" w:after="120"/>
      </w:pPr>
      <w:r>
        <w:rPr>
          <w:b/>
        </w:rPr>
        <w:t xml:space="preserve">Source: </w:t>
      </w:r>
      <w:r>
        <w:t>National Science Review Advance Access</w:t>
      </w:r>
      <w:r>
        <w:t xml:space="preserve">    </w:t>
      </w:r>
      <w:r>
        <w:rPr>
          <w:b/>
        </w:rPr>
        <w:t xml:space="preserve">Pub date: </w:t>
      </w:r>
      <w:r>
        <w:t>2026-06-17 00:00:00+00:00</w:t>
      </w:r>
      <w:r>
        <w:t xml:space="preserve">    </w:t>
      </w:r>
      <w:r>
        <w:rPr>
          <w:b/>
        </w:rPr>
        <w:t xml:space="preserve">DOI: </w:t>
      </w:r>
      <w:hyperlink r:id="rId209">
        <w:r>
          <w:rPr>
            <w:color w:val="1155CC"/>
            <w:u w:val="single"/>
          </w:rPr>
          <w:t>10.1093/nsr/nwag375</w:t>
        </w:r>
      </w:hyperlink>
    </w:p>
    <w:p>
      <w:pPr>
        <w:spacing w:before="0" w:after="120"/>
      </w:pPr>
      <w:r>
        <w:rPr>
          <w:b/>
        </w:rPr>
        <w:t xml:space="preserve">Notes: </w:t>
      </w:r>
      <w:r>
        <w:t>abstract_source=rss_oup</w:t>
      </w:r>
    </w:p>
    <w:p>
      <w:pPr>
        <w:spacing w:before="0" w:after="80" w:lineRule="auto" w:line="276"/>
      </w:pPr>
      <w:r>
        <w:rPr>
          <w:b/>
        </w:rPr>
        <w:t xml:space="preserve">摘要（ZH）: </w:t>
      </w:r>
      <w:r>
        <w:t>阐明非水介质中的质子转移对于先进化学过程和能源材料的合理设计至关重要，但其分子机制仍知之甚少。在这里，我们结合机器学习势（MLP）分子动力学、路径积分模拟、元动力学和 1H NMR 光谱来研究胆碱氨基酸质子离子液体中的质子转移动力学。我们表明，质子迁移发生在一系列瞬时溶剂化基序中，包括本征型、Zundel 型和中间构型，其中中间态占主导地位。与本征和 Zundel 基序通常相当多的水系统相比，这些离子液体表现出比本征样单体明显更高的 Zundel 样质子共享二聚体数量，揭示了非水离子环境中独特的过量质子溶剂化景观。自由能分析表明，分子灵活性和空间位阻共同控制质子转移势垒，从而解释了不同氨基酸阴离子之间明显的结构-性质关系。升高的温度通过加速氢键网络重组来促进质子交换，而核量子效应通过质子离域和零点运动减少有效的自由能势垒，从而促进室温质子转移。 1H NMR 测量为快速可交换质子动力学提供了定性实验证据，与模拟的局部质子交换趋势一致。综合起来，这些结果</w:t>
      </w:r>
    </w:p>
    <w:p>
      <w:pPr>
        <w:spacing w:before="0" w:after="200" w:lineRule="auto" w:line="276"/>
      </w:pPr>
      <w:r>
        <w:rPr>
          <w:b/>
        </w:rPr>
        <w:t xml:space="preserve">Abstract (EN): </w:t>
      </w:r>
      <w:r>
        <w:t>Elucidating proton transfer in nonaqueous media is essential for the rational design of advanced chemical processes and energy materials, yet its molecular mechanism remains poorly understood. Here, we combine machine-learning potentials (MLPs) molecular dynamics, path-integral simulations, metadynamics, and ¹H NMR spectroscopy to investigate proton-transfer dynamics in choline-amino acid protic ionic liquids. We show that proton migration occurs across a continuum of transient solvation motifs, including Eigen-like, Zundel-like, and intermediate configurations, with intermediate states being predominant. In contrast to aqueous systems, where Eigen and Zundel motifs are often comparably populated, these ionic liquids exhibit a markedly higher population of Zundel-like proton-sharing dimers than Eigen-like monomers, revealing a unique excess-proton solvation landscape in nonaqueous ionic environments. Free-energy analyses establish that molecular flexibility and steric hindrance cooperatively govern proton-transfer barriers, thereby explaining the pronounced structure-property relationships across different amino acid anions. Elevated temperature promotes proton exchange by accelerating hydrogen-bond-network reorganization, whereas nuclear quantum effects reduce the effective free-energy barrier through proton delocalization and zero-point motion, facilitating room-temperature proton transfer. 1H NMR measurements provide qualitative experimental evidence for rapid exchangeable-proton dynamics, consistent with the simulated local proton-exchange trends. Together, these results establish a molecular framework linking local proton solvation, ionic-liquid architecture, and proton-exchange dynamics, extending the concept of Grotthuss-like proton relay beyond water and offering design principles for high-performance proton-conducting ionic liquids.</w:t>
      </w:r>
    </w:p>
    <w:p>
      <w:pPr>
        <w:spacing w:before="120" w:after="120"/>
      </w:pPr>
      <w:r>
        <w:rPr>
          <w:sz w:val="18"/>
        </w:rPr>
        <w:t>——————————————————————————————————————————————————————————————————————</w:t>
      </w:r>
    </w:p>
    <w:p>
      <w:pPr>
        <w:spacing w:before="160" w:after="40" w:line="240" w:lineRule="auto"/>
      </w:pPr>
      <w:r>
        <w:rPr>
          <w:b/>
        </w:rPr>
        <w:t xml:space="preserve">[23] </w:t>
      </w:r>
      <w:hyperlink r:id="rId210">
        <w:r>
          <w:rPr>
            <w:color w:val="1155CC"/>
            <w:u w:val="single"/>
          </w:rPr>
          <w:t>大气集水和质子陶瓷电解耦合使干旱地区能够自我维持绿色氢气生产</w:t>
        </w:r>
      </w:hyperlink>
    </w:p>
    <w:p>
      <w:pPr>
        <w:spacing w:before="0" w:after="80"/>
      </w:pPr>
      <w:r>
        <w:rPr>
          <w:i/>
          <w:sz w:val="20"/>
        </w:rPr>
        <w:t>EN: Coupled Atmospheric Water Harvesting and Protonic Ceramic Electrolysis Enabling Self‐Sustained Green Hydrogen Production in Arid Regions</w:t>
      </w:r>
    </w:p>
    <w:p>
      <w:pPr>
        <w:spacing w:before="0" w:after="120"/>
      </w:pPr>
      <w:r>
        <w:rPr>
          <w:b/>
        </w:rPr>
        <w:t xml:space="preserve">Source: </w:t>
      </w:r>
      <w:r>
        <w:t>Wiley: Advanced Energy Materials: Table of Contents</w:t>
      </w:r>
      <w:r>
        <w:t xml:space="preserve">    </w:t>
      </w:r>
      <w:r>
        <w:rPr>
          <w:b/>
        </w:rPr>
        <w:t xml:space="preserve">Pub date: </w:t>
      </w:r>
      <w:r>
        <w:t>2026-06-17 10:38:43+00:00</w:t>
      </w:r>
      <w:r>
        <w:t xml:space="preserve">    </w:t>
      </w:r>
      <w:r>
        <w:rPr>
          <w:b/>
        </w:rPr>
        <w:t xml:space="preserve">DOI: </w:t>
      </w:r>
      <w:hyperlink r:id="rId211">
        <w:r>
          <w:rPr>
            <w:color w:val="1155CC"/>
            <w:u w:val="single"/>
          </w:rPr>
          <w:t>10.1002/aenm.71199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丰富的可再生能源和严重的水资源短缺之间的地理不匹配，干旱地区的绿色氢生产面临着重大挑战。为了克服这个问题，提出了一种将基于吸附的大气水收集（AWH）模块与质子陶瓷电解池（PCEC）模块耦合的系统。 AWH 模块具有双吸附剂单元，可捕获空气中的水并通过回收的废热将其释放，从而产生连续的热蒸汽流，用于 PCEC 模块中的电解，从而实现近乎自给自足的连续制氢。为了满足 PCEC 严格的操作要求，通过乳液模板法开发了一种新型 AWH 吸附剂、吸湿性聚丙烯酰胺 (HPAM) 珠，该珠具有高度互连的大孔结构和优异的低相对湿度吸湿效率。基于 HPAM 的 AWH-PCEC 系统展示了连续、长期的氢气生产能力，容量高达 2.12 mL/min</w:t>
      </w:r>
      <w:r>
        <w:t xml:space="preserve"> </w:t>
      </w:r>
      <w:r>
        <w:t>−1</w:t>
      </w:r>
      <w:r>
        <w:t xml:space="preserve"> </w:t>
      </w:r>
      <w:r>
        <w:t>厘米</w:t>
      </w:r>
      <w:r>
        <w:t xml:space="preserve"> </w:t>
      </w:r>
      <w:r>
        <w:t>−2</w:t>
      </w:r>
      <w:r>
        <w:t xml:space="preserve"> </w:t>
      </w:r>
      <w:r>
        <w:t>在30%RH空气环境下。独特的是，这种制氢过程无需液态水，操作不受地理或气候限制，并且用于获取水所需的额外能量输入可以忽略不计。因此，所提出的 AWH-PCEC 系统为可靠、经济高效、连续和高产的绿色氢气生产提供了一条有前途的途径，在干旱地区的应用特别有潜力。</w:t>
      </w:r>
    </w:p>
    <w:p>
      <w:pPr>
        <w:spacing w:before="0" w:after="200" w:lineRule="auto" w:line="276"/>
      </w:pPr>
      <w:r>
        <w:rPr>
          <w:b/>
        </w:rPr>
        <w:t xml:space="preserve">Abstract (EN): </w:t>
      </w:r>
      <w:r>
        <w:t>Green hydrogen production in arid regions faces significant challenges due to the geographical mismatch between abundant renewable energy and severe water scarcity. To overcome this, a system coupling a sorption‐based atmospheric water harvesting (AWH) module with a protonic ceramic electrolysis cell (PCEC) module is presented. The AWH module, featuring dual sorbent units, capture airborne water and release it via recycled waste heat to generate continuous hot vapor streams for electrolysis in the PCEC module, thereby enabling nearly self‐sustained and continuous hydrogen production. To meet stringent operational requirement of PCEC, a novel AWH sorbent, hygroscopic polyacrylamide (HPAM) beads with highly interconnected macroporous architectures and superior low‐relative‐humidity moisture adsorption efficiency, has been developed through an emulsion‐templating method. An HPAM‐based AWH‐PCEC system demonstrates continuous, long‐term hydrogen production with an outstanding capacity of 2.12 mL min</w:t>
      </w:r>
      <w:r>
        <w:t xml:space="preserve"> </w:t>
      </w:r>
      <w:r>
        <w:t>−1</w:t>
      </w:r>
      <w:r>
        <w:t xml:space="preserve"> </w:t>
      </w:r>
      <w:r>
        <w:t>cm</w:t>
      </w:r>
      <w:r>
        <w:t xml:space="preserve"> </w:t>
      </w:r>
      <w:r>
        <w:t>−2</w:t>
      </w:r>
      <w:r>
        <w:t xml:space="preserve"> </w:t>
      </w:r>
      <w:r>
        <w:t>at 30% RH air environment. Distinctively, this hydrogen production process is liquid water‐free, operable without geographic or climatic constraints, and requires negligible additional energy input for water acquisition. The presented AWH‐PCEC system therefore offers a promising pathway for reliable, cost‐effective, continuous, and high‐yield green hydrogen production, with particular potential for applications in arid regions.</w:t>
      </w:r>
    </w:p>
    <w:p>
      <w:pPr>
        <w:spacing w:before="120" w:after="120"/>
      </w:pPr>
      <w:r>
        <w:rPr>
          <w:sz w:val="18"/>
        </w:rPr>
        <w:t>——————————————————————————————————————————————————————————————————————</w:t>
      </w:r>
    </w:p>
    <w:p>
      <w:pPr>
        <w:spacing w:before="160" w:after="40" w:line="240" w:lineRule="auto"/>
      </w:pPr>
      <w:r>
        <w:rPr>
          <w:b/>
        </w:rPr>
        <w:t xml:space="preserve">[24] </w:t>
      </w:r>
      <w:hyperlink r:id="rId212">
        <w:r>
          <w:rPr>
            <w:color w:val="1155CC"/>
            <w:u w:val="single"/>
          </w:rPr>
          <w:t>Au25 团簇的量子校正等离子体效应调节吸附行为，以增强光催化整体水分解</w:t>
        </w:r>
      </w:hyperlink>
    </w:p>
    <w:p>
      <w:pPr>
        <w:spacing w:before="0" w:after="80"/>
      </w:pPr>
      <w:r>
        <w:rPr>
          <w:i/>
          <w:sz w:val="20"/>
        </w:rPr>
        <w:t>EN: Quantum‐Corrected Plasmonic Effect of Au25 Clusters Regulates Adsorption Behaviors for Boosted Photocatalytic Overall Water Splitting</w:t>
      </w:r>
    </w:p>
    <w:p>
      <w:pPr>
        <w:spacing w:before="0" w:after="120"/>
      </w:pPr>
      <w:r>
        <w:rPr>
          <w:b/>
        </w:rPr>
        <w:t xml:space="preserve">Source: </w:t>
      </w:r>
      <w:r>
        <w:t>Wiley: Advanced Materials: Table of Contents</w:t>
      </w:r>
      <w:r>
        <w:t xml:space="preserve">    </w:t>
      </w:r>
      <w:r>
        <w:rPr>
          <w:b/>
        </w:rPr>
        <w:t xml:space="preserve">Pub date: </w:t>
      </w:r>
      <w:r>
        <w:t>2026-06-17 14:13:27+00:00</w:t>
      </w:r>
      <w:r>
        <w:t xml:space="preserve">    </w:t>
      </w:r>
      <w:r>
        <w:rPr>
          <w:b/>
        </w:rPr>
        <w:t xml:space="preserve">DOI: </w:t>
      </w:r>
      <w:hyperlink r:id="rId213">
        <w:r>
          <w:rPr>
            <w:color w:val="1155CC"/>
            <w:u w:val="single"/>
          </w:rPr>
          <w:t>10.1002/adma.73778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等离子体辅助太阳能驱动的光催化水分解制氢代表了绿色能源发电的可持续战略。然而，通过光诱导电子注入水分子的传统等离子体增强面临着一个关键的限制：弱界面 H</w:t>
      </w:r>
      <w:r>
        <w:rPr>
          <w:vertAlign w:val="subscript"/>
        </w:rPr>
        <w:t>2</w:t>
      </w:r>
      <w:r>
        <w:t>O吸附的特点是仅局限于氢原子介导的相互作用，这严重限制了反应动力学。同时，新颖的量子校正等离子体效应可以改善光电器件中的电子模型；然而，在光催化水分解领域，这种效应的实验验证仍然相对较少。在这里，我们通过 Au 利用量子校正等离子体效应</w:t>
      </w:r>
      <w:r>
        <w:rPr>
          <w:vertAlign w:val="subscript"/>
        </w:rPr>
        <w:t>25</w:t>
      </w:r>
      <w:r>
        <w:t>纳米团簇掺入实现并增强光催化整体水分解性能，通过缺电子金调节表面吸附行为来促进</w:t>
      </w:r>
      <w:r>
        <w:t xml:space="preserve"> </w:t>
      </w:r>
      <w:r>
        <w:t>δ+</w:t>
      </w:r>
      <w:r>
        <w:t xml:space="preserve"> </w:t>
      </w:r>
      <w:r>
        <w:t>活性位点源于尺寸效应和带间跃迁。在这种情况下，金</w:t>
      </w:r>
      <w:r>
        <w:t xml:space="preserve"> </w:t>
      </w:r>
      <w:r>
        <w:t>δ+</w:t>
      </w:r>
      <w:r>
        <w:t xml:space="preserve"> </w:t>
      </w:r>
      <w:r>
        <w:t>活性位点增强了所吸附的 Au-O 物种的反键轨道占据，加速了多路径电子注入和水分子的活化过程，最终促进了 H─O 键的断裂。因此，它实现了H</w:t>
      </w:r>
      <w:r>
        <w:rPr>
          <w:vertAlign w:val="subscript"/>
        </w:rPr>
        <w:t>2</w:t>
      </w:r>
      <w:r>
        <w:t>和O</w:t>
      </w:r>
      <w:r>
        <w:rPr>
          <w:vertAlign w:val="subscript"/>
        </w:rPr>
        <w:t>2</w:t>
      </w:r>
      <w:r>
        <w:t>演化率为 1.07 a</w:t>
      </w:r>
    </w:p>
    <w:p>
      <w:pPr>
        <w:spacing w:before="0" w:after="200" w:lineRule="auto" w:line="276"/>
      </w:pPr>
      <w:r>
        <w:rPr>
          <w:b/>
        </w:rPr>
        <w:t xml:space="preserve">Abstract (EN): </w:t>
      </w:r>
      <w:r>
        <w:t>Plasmonic‐assisted solar‐driven photocatalytic water splitting for hydrogen production represents a sustainable strategy for green energy generation. However, conventional plasmonic enhancement via photo‐induced electron injection into water molecules faces a key limitation: weak interfacial H</w:t>
      </w:r>
      <w:r>
        <w:rPr>
          <w:vertAlign w:val="subscript"/>
        </w:rPr>
        <w:t>2</w:t>
      </w:r>
      <w:r>
        <w:t>O adsorption characterized by restriction solely to H‐atom‐mediated interactions, which severely constrains reaction kinetics. Simultaneously, the novel quantum‐corrected plasmonic effect could improve the electron models in optoelectronic device; however, within the domain of photocatalytic water splitting, experimental validations of this effect remain relatively scarce. Here, we harness the quantum‐corrected plasmonic effect via Au</w:t>
      </w:r>
      <w:r>
        <w:rPr>
          <w:vertAlign w:val="subscript"/>
        </w:rPr>
        <w:t>25</w:t>
      </w:r>
      <w:r>
        <w:t>nanocluster incorporation to realize and enhance photocatalytic overall water splitting performance, facilitated by modulated surface adsorption behavior through electron‐deficient Au</w:t>
      </w:r>
      <w:r>
        <w:t xml:space="preserve"> </w:t>
      </w:r>
      <w:r>
        <w:t>δ+</w:t>
      </w:r>
      <w:r>
        <w:t xml:space="preserve"> </w:t>
      </w:r>
      <w:r>
        <w:t>active sites originating from the size effect and interband transitions. In this case, the Au</w:t>
      </w:r>
      <w:r>
        <w:t xml:space="preserve"> </w:t>
      </w:r>
      <w:r>
        <w:t>δ+</w:t>
      </w:r>
      <w:r>
        <w:t xml:space="preserve"> </w:t>
      </w:r>
      <w:r>
        <w:t>active sites enhance the antibonding‐orbital occupancy of adsorbed Au‐O species, accelerating both multipath electron injection and the activation process of water molecules, ultimately facilitating the cleavage of H─O bonds. Consequently, it achieves H</w:t>
      </w:r>
      <w:r>
        <w:rPr>
          <w:vertAlign w:val="subscript"/>
        </w:rPr>
        <w:t>2</w:t>
      </w:r>
      <w:r>
        <w:t>and O</w:t>
      </w:r>
      <w:r>
        <w:rPr>
          <w:vertAlign w:val="subscript"/>
        </w:rPr>
        <w:t>2</w:t>
      </w:r>
      <w:r>
        <w:t>evolution rates of 1.07 and 0.54 mmol h</w:t>
      </w:r>
      <w:r>
        <w:t xml:space="preserve"> </w:t>
      </w:r>
      <w:r>
        <w:t>−1</w:t>
      </w:r>
      <w:r>
        <w:t xml:space="preserve"> </w:t>
      </w:r>
      <w:r>
        <w:t>under light irradiation with catalyst ZnIn</w:t>
      </w:r>
      <w:r>
        <w:rPr>
          <w:vertAlign w:val="subscript"/>
        </w:rPr>
        <w:t>2</w:t>
      </w:r>
      <w:r>
        <w:t>S</w:t>
      </w:r>
      <w:r>
        <w:rPr>
          <w:vertAlign w:val="subscript"/>
        </w:rPr>
        <w:t>4</w:t>
      </w:r>
      <w:r>
        <w:t>‐Au</w:t>
      </w:r>
      <w:r>
        <w:rPr>
          <w:vertAlign w:val="subscript"/>
        </w:rPr>
        <w:t>25</w:t>
      </w:r>
      <w:r>
        <w:t>, resolving the long‐standing challenge of incomplete overall water splitting for sole Au nanoparticle‐decorated photocatalysts, providing a promising strategy for photocatalytic overall water splitting and new insights into designing nanocluster‐based photocatalysts.</w:t>
      </w:r>
    </w:p>
    <w:p>
      <w:pPr>
        <w:spacing w:before="120" w:after="120"/>
      </w:pPr>
      <w:r>
        <w:rPr>
          <w:sz w:val="18"/>
        </w:rPr>
        <w:t>——————————————————————————————————————————————————————————————————————</w:t>
      </w:r>
    </w:p>
    <w:p>
      <w:pPr>
        <w:spacing w:before="160" w:after="40" w:line="240" w:lineRule="auto"/>
      </w:pPr>
      <w:r>
        <w:rPr>
          <w:b/>
        </w:rPr>
        <w:t xml:space="preserve">[25] </w:t>
      </w:r>
      <w:hyperlink r:id="rId214">
        <w:r>
          <w:rPr>
            <w:color w:val="1155CC"/>
            <w:u w:val="single"/>
          </w:rPr>
          <w:t>通过自发质子供应打破氨合成的性能权衡</w:t>
        </w:r>
      </w:hyperlink>
    </w:p>
    <w:p>
      <w:pPr>
        <w:spacing w:before="0" w:after="80"/>
      </w:pPr>
      <w:r>
        <w:rPr>
          <w:i/>
          <w:sz w:val="20"/>
        </w:rPr>
        <w:t>EN: Breaking the Performance Trade-offs in Ammonia Synthesis via Spontaneous Proton Supply</w:t>
      </w:r>
    </w:p>
    <w:p>
      <w:pPr>
        <w:spacing w:before="0" w:after="120"/>
      </w:pPr>
      <w:r>
        <w:rPr>
          <w:b/>
        </w:rPr>
        <w:t xml:space="preserve">Source: </w:t>
      </w:r>
      <w:r>
        <w:t>RSC - Energy Environ. Sci. latest articles</w:t>
      </w:r>
      <w:r>
        <w:t xml:space="preserve">    </w:t>
      </w:r>
      <w:r>
        <w:rPr>
          <w:b/>
        </w:rPr>
        <w:t xml:space="preserve">Pub date: </w:t>
      </w:r>
      <w:r>
        <w:t>2026-06-17 23:00:00+00:00</w:t>
      </w:r>
    </w:p>
    <w:p>
      <w:pPr>
        <w:spacing w:before="0" w:after="120"/>
      </w:pPr>
      <w:r>
        <w:rPr>
          <w:b/>
        </w:rPr>
        <w:t xml:space="preserve">Notes: </w:t>
      </w:r>
      <w:r>
        <w:t>abstract_source=rsc_html</w:t>
      </w:r>
    </w:p>
    <w:p>
      <w:pPr>
        <w:spacing w:before="0" w:after="80" w:lineRule="auto" w:line="276"/>
      </w:pPr>
      <w:r>
        <w:rPr>
          <w:b/>
        </w:rPr>
        <w:t xml:space="preserve">摘要（ZH）: </w:t>
      </w:r>
      <w:r>
        <w:t>等离子体和光催化驱动的氮氧化的最新进展重新引起了人们对可持续 N2 → NO3− → NH3 途径的兴趣。然而，由于活性、选择性和稳定性之间的性能权衡，电催化NO3−to-NH3通常局限于狭窄的电势窗口，阻碍了可再生电力输入波动下的节能运行。为了克服这些限制，我们报告了一种过渡金属氧化物的阳极活化策略，其中晶格破坏和表面重组产生高活性、自维持的氢氧化物界面。界面羟基平衡活性质子供应与含氮中间体的逐步还原，从而加速硝酸盐还原反应（NO3RR）的加氢动力学，同时抑制竞争性析氢反应（HER）。与可逆氢电极（RHE）相比，活化的催化剂在-0.2 V下的法拉第效率为93.79%，能源效率为35.42%，NH3产率为17230.56 µg h−1 mgcat−1，在相当的条件下优于先前报道的NO3RR电催化剂。值得注意的是，与 RHE 相比，在 -0.2 V 至 -0.6 V 的宽电位窗口内保持了出色的活性和选择性，从而在动态可再生能源运行下实现高效、稳健的硝酸盐到氨的转化。</w:t>
      </w:r>
    </w:p>
    <w:p>
      <w:pPr>
        <w:spacing w:before="0" w:after="200" w:lineRule="auto" w:line="276"/>
      </w:pPr>
      <w:r>
        <w:rPr>
          <w:b/>
        </w:rPr>
        <w:t xml:space="preserve">Abstract (EN): </w:t>
      </w:r>
      <w:r>
        <w:t>Recent advances in plasma- and photocatalysis-driven nitrogen oxidation have renewed interest in sustainable N2 → NO3− → NH3 pathways. However, electrocatalytic NO3−-to-NH3 is typically confined to narrow potential windows attributed to the performance trade-offs between activity, selectivity, and stability, hindering energy-efficient operation under fluctuating renewable electricity inputs. To overcome these constraints, we report an anodic activation strategy for transition metal oxides in which lattice disruption and surface reorganization generate a highly active, self-sustaining hydroxide interface. Interfacial hydroxyl groups balance the active proton supply with the stepwise reduction of nitrogenous intermediates, thereby accelerating the hydrogenation kinetics of nitrate reduction reaction (NO3RR) while simultaneously suppressing the competing hydrogen evolution reaction (HER). The activated catalyst delivers a Faradaic efficiency of 93.79%, an energy efficiency of 35.42% and an NH3 yield rate of 17230.56 µg h−1 mgcat−1 at −0.2 V vs. the reversible hydrogen electrode (RHE), outperforming previously reported NO3RR electrocatalysts under comparable conditions. Notably, the exceptional activity and selectivity are maintained over a broad potential window from −0.2 V to −0.6 V vs. RHE, enabling efficient and robust nitrate-to-ammonia conversion under dynamic renewable-power operation.</w:t>
      </w:r>
    </w:p>
    <w:p>
      <w:pPr>
        <w:spacing w:before="120" w:after="120"/>
      </w:pPr>
      <w:r>
        <w:rPr>
          <w:sz w:val="18"/>
        </w:rPr>
        <w:t>——————————————————————————————————————————————————————————————————————</w:t>
      </w:r>
    </w:p>
    <w:p>
      <w:pPr>
        <w:spacing w:before="160" w:after="40" w:line="240" w:lineRule="auto"/>
      </w:pPr>
      <w:r>
        <w:rPr>
          <w:b/>
        </w:rPr>
        <w:t xml:space="preserve">[26] </w:t>
      </w:r>
      <w:hyperlink r:id="rId215">
        <w:r>
          <w:rPr>
            <w:color w:val="1155CC"/>
            <w:u w:val="single"/>
          </w:rPr>
          <w:t>使用金属二吡唑框架储存甲烷</w:t>
        </w:r>
      </w:hyperlink>
    </w:p>
    <w:p>
      <w:pPr>
        <w:spacing w:before="0" w:after="80"/>
      </w:pPr>
      <w:r>
        <w:rPr>
          <w:i/>
          <w:sz w:val="20"/>
        </w:rPr>
        <w:t>EN: Methane storage using metal–dipyrazolate frameworks</w:t>
      </w:r>
    </w:p>
    <w:p>
      <w:pPr>
        <w:spacing w:before="0" w:after="120"/>
      </w:pPr>
      <w:r>
        <w:rPr>
          <w:b/>
        </w:rPr>
        <w:t xml:space="preserve">Source: </w:t>
      </w:r>
      <w:r>
        <w:t>Nature Materials</w:t>
      </w:r>
      <w:r>
        <w:t xml:space="preserve">    </w:t>
      </w:r>
      <w:r>
        <w:rPr>
          <w:b/>
        </w:rPr>
        <w:t xml:space="preserve">Pub date: </w:t>
      </w:r>
      <w:r>
        <w:t>2026-06-18 00:00:00+00:00</w:t>
      </w:r>
      <w:r>
        <w:t xml:space="preserve">    </w:t>
      </w:r>
      <w:r>
        <w:rPr>
          <w:b/>
        </w:rPr>
        <w:t xml:space="preserve">DOI: </w:t>
      </w:r>
      <w:hyperlink r:id="rId216">
        <w:r>
          <w:rPr>
            <w:color w:val="1155CC"/>
            <w:u w:val="single"/>
          </w:rPr>
          <w:t>10.1038/s41563-026-02621-7</w:t>
        </w:r>
      </w:hyperlink>
    </w:p>
    <w:p>
      <w:pPr>
        <w:spacing w:before="0" w:after="120"/>
      </w:pPr>
      <w:r>
        <w:rPr>
          <w:b/>
        </w:rPr>
        <w:t xml:space="preserve">Notes: </w:t>
      </w:r>
      <w:r>
        <w:t>abstract_source=nature_html</w:t>
      </w:r>
    </w:p>
    <w:p>
      <w:pPr>
        <w:spacing w:before="0" w:after="80" w:lineRule="auto" w:line="276"/>
      </w:pPr>
      <w:r>
        <w:rPr>
          <w:b/>
        </w:rPr>
        <w:t xml:space="preserve">摘要（ZH）: </w:t>
      </w:r>
      <w:r>
        <w:t>在环境温度和相对低压下使用多孔材料的吸附式天然气储存有望解决传统天然气储存技术（液化和压缩）的安全和成本问题，但其实用性因可输送能力较低而受到阻碍。金属有机框架等柔性多孔材料可以表现出等温线，并有可能提高可输送能力。然而，原型柔性吸附天然气吸附剂，例如金属有机骨架苯二吡唑钴Co(bdp)，存在水解不稳定性，不适合造粒。在这里，我们报道了一系列金属联吡唑盐框架，包括疏水性吸附剂、Zn(dpt)和Co(dpt)（H2dpt = 2,5-二（1H-吡唑-4-基）噻吩），它们表现出甲烷诱导的窄孔和大孔相之间的可逆转变。 Zn(dpt) 在 5-35 和 5-65 bar 下表现出极高的甲烷输送能力，即分别为 173 cm3 (STP) cm−3 和 225 cm3 (STP) cm−3，但与 Co(bdp) 不同，Zn(dpt) 具有水解稳定性。原位结构表征、高压气体吸附和建模提供了对窄孔-大孔转变的深入了解，而使用 250 毫升储罐进行的测试表明 Zn(dpt) 在多个循环中仍保持高可输送能力。我们通过通常适用于柔性吸附剂的配方方法展示了造粒的实用替代方案。</w:t>
      </w:r>
    </w:p>
    <w:p>
      <w:pPr>
        <w:spacing w:before="0" w:after="200" w:lineRule="auto" w:line="276"/>
      </w:pPr>
      <w:r>
        <w:rPr>
          <w:b/>
        </w:rPr>
        <w:t xml:space="preserve">Abstract (EN): </w:t>
      </w:r>
      <w:r>
        <w:t>Adsorbed natural gas storage using porous materials at ambient temperature and relatively low pressure promises to address safety and cost concerns of conventional natural gas storage technologies (liquefaction and compression), but its utility is hindered by low deliverable capacity. Flexible porous materials such as metal–organic frameworks can exhibit isotherms with the potential to afford enhanced deliverable capacity. However, prototypal flexible adsorbed natural gas sorbents, exemplified by the metal–organic framework cobalt benzenedipyrazolate, Co(bdp), suffer from hydrolytic instability and are unsuitable for pelletization. Here we report a family of metal–bipyrazolate frameworks, including hydrophobic sorbents, Zn(dpt) and Co(dpt) (H2dpt = 2,5-di(1H-pyrazol-4-yl)thiophene), that exhibit methane-induced reversible transformations between narrow-pore and large-pore phases. Zn(dpt) shows exceptionally high methane deliverable capacities for 5–35 and 5–65 bar, that is, 173 cm3 (STP) cm−3 and 225 cm3 (STP) cm−3, respectively, but, unlike Co(bdp), is hydrolytically stable. In situ structural characterization, high-pressure gas sorption and modelling provide an insight into the narrow-pore–large-pore transformations, whereas testing with 250-ml tanks reveals that Zn(dpt) retains high deliverable capacity over multiple cycles. We demonstrate a practical alternative to pelletization through a formulation approach that is probably generally suitable for flexible sorbents.</w:t>
      </w:r>
    </w:p>
    <w:p>
      <w:pPr>
        <w:spacing w:before="120" w:after="120"/>
      </w:pPr>
      <w:r>
        <w:rPr>
          <w:sz w:val="18"/>
        </w:rPr>
        <w:t>——————————————————————————————————————————————————————————————————————</w:t>
      </w:r>
    </w:p>
    <w:p>
      <w:pPr>
        <w:spacing w:before="160" w:after="40" w:line="240" w:lineRule="auto"/>
      </w:pPr>
      <w:r>
        <w:rPr>
          <w:b/>
        </w:rPr>
        <w:t xml:space="preserve">[27] </w:t>
      </w:r>
      <w:hyperlink r:id="rId217">
        <w:r>
          <w:rPr>
            <w:color w:val="1155CC"/>
            <w:u w:val="single"/>
          </w:rPr>
          <w:t>集成多尺度建模和协调工厂平衡优化，以最大限度地提高重型燃料电池电动汽车的车辆系统效率</w:t>
        </w:r>
      </w:hyperlink>
    </w:p>
    <w:p>
      <w:pPr>
        <w:spacing w:before="0" w:after="80"/>
      </w:pPr>
      <w:r>
        <w:rPr>
          <w:i/>
          <w:sz w:val="20"/>
        </w:rPr>
        <w:t>EN: Integrated multiscale modeling and coordinated balance-of-plant optimization to maximize vehicle system efficiency in a heavy-duty fuel cell electric vehicle</w:t>
      </w:r>
    </w:p>
    <w:p>
      <w:pPr>
        <w:spacing w:before="0" w:after="120"/>
      </w:pPr>
      <w:r>
        <w:rPr>
          <w:b/>
        </w:rPr>
        <w:t xml:space="preserve">Source: </w:t>
      </w:r>
      <w:r>
        <w:t>ScienceDirect Publication: Applied Energy</w:t>
      </w:r>
      <w:r>
        <w:t xml:space="preserve">    </w:t>
      </w:r>
      <w:r>
        <w:rPr>
          <w:b/>
        </w:rPr>
        <w:t xml:space="preserve">Pub date: </w:t>
      </w:r>
      <w:r>
        <w:t>2026-06-18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 </w:t>
      </w:r>
      <w:hyperlink r:id="rId218">
        <w:r>
          <w:rPr>
            <w:color w:val="1155CC"/>
            <w:u w:val="single"/>
          </w:rPr>
          <w:t>连接器设计的二聚体受体通过定制的纳米形态实现高效的有机光催化析氢，以实现长寿命的电荷积累</w:t>
        </w:r>
      </w:hyperlink>
    </w:p>
    <w:p>
      <w:pPr>
        <w:spacing w:before="0" w:after="80"/>
      </w:pPr>
      <w:r>
        <w:rPr>
          <w:i/>
          <w:sz w:val="20"/>
        </w:rPr>
        <w:t>EN: Linker‐Engineered Dimeric Acceptors Afford Efficient Organic Photocatalytic Hydrogen Evolution via Tailored Nanomorphology for Long‐Lived Charge Accumulation</w:t>
      </w:r>
    </w:p>
    <w:p>
      <w:pPr>
        <w:spacing w:before="0" w:after="120"/>
      </w:pPr>
      <w:r>
        <w:rPr>
          <w:b/>
        </w:rPr>
        <w:t xml:space="preserve">Source: </w:t>
      </w:r>
      <w:r>
        <w:t>Wiley: Advanced Materials: Table of Contents</w:t>
      </w:r>
      <w:r>
        <w:t xml:space="preserve">    </w:t>
      </w:r>
      <w:r>
        <w:rPr>
          <w:b/>
        </w:rPr>
        <w:t xml:space="preserve">Pub date: </w:t>
      </w:r>
      <w:r>
        <w:t>2026-06-18 06:37:48+00:00</w:t>
      </w:r>
      <w:r>
        <w:t xml:space="preserve">    </w:t>
      </w:r>
      <w:r>
        <w:rPr>
          <w:b/>
        </w:rPr>
        <w:t xml:space="preserve">DOI: </w:t>
      </w:r>
      <w:hyperlink r:id="rId219">
        <w:r>
          <w:rPr>
            <w:color w:val="1155CC"/>
            <w:u w:val="single"/>
          </w:rPr>
          <w:t>10.1002/adma.73648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有机本体异质结（BHJ）纳米粒子是太阳能-氢转化的有希望的候选者。虽然有机光催化剂（OPC）的发展利用了有机光伏（OPV）的进步，但针对光催化的分子设计规则仍然不发达。在这里，我们引入了连接器设计的二聚体受体，它可以调节自组装，从而控制 BHJ 纳米颗粒形态，从而实现高性能 OPC。两个二聚体受体 DY1（未融合连接体）和 DY2（融合连接体）由单体类似物 (MY) 合成，建立了 MY &gt; DY2 &gt; DY1 的自组装趋势。 MY 较强的分子间组装与准核壳形态一致，减少了催化可及的供体-受体界面，而 DY1 较弱的分子间组装与更多的混合形态和增加的重组损失相关。相比之下，DY2 表现出的形态与改善的路径连续性和颗粒表面充分的供体/受体暴露一致，支持长寿命、表面稳定电荷的增强积累。因此，PM6:DY2 OPC 的析氢速率为 25.3 µmol h</w:t>
      </w:r>
      <w:r>
        <w:t xml:space="preserve"> </w:t>
      </w:r>
      <w:r>
        <w:t>−1</w:t>
      </w:r>
      <w:r>
        <w:t xml:space="preserve"> </w:t>
      </w:r>
      <w:r>
        <w:t>厘米</w:t>
      </w:r>
      <w:r>
        <w:t xml:space="preserve"> </w:t>
      </w:r>
      <w:r>
        <w:t>−2</w:t>
      </w:r>
      <w:r>
        <w:t xml:space="preserve"> </w:t>
      </w:r>
      <w:r>
        <w:t>，优于 PM6:MY（1.9 µmol h</w:t>
      </w:r>
      <w:r>
        <w:t xml:space="preserve"> </w:t>
      </w:r>
      <w:r>
        <w:t>−1</w:t>
      </w:r>
      <w:r>
        <w:t xml:space="preserve"> </w:t>
      </w:r>
      <w:r>
        <w:t>厘米</w:t>
      </w:r>
      <w:r>
        <w:t xml:space="preserve"> </w:t>
      </w:r>
      <w:r>
        <w:t>−2</w:t>
      </w:r>
      <w:r>
        <w:t xml:space="preserve"> </w:t>
      </w:r>
      <w:r>
        <w:t>) 和 PM6:DY1 (11.9 µmol h</w:t>
      </w:r>
      <w:r>
        <w:t xml:space="preserve"> </w:t>
      </w:r>
      <w:r>
        <w:t>−1</w:t>
      </w:r>
      <w:r>
        <w:t xml:space="preserve"> </w:t>
      </w:r>
      <w:r>
        <w:t>厘米</w:t>
      </w:r>
      <w:r>
        <w:t xml:space="preserve"> </w:t>
      </w:r>
      <w:r>
        <w:t>−2</w:t>
      </w:r>
      <w:r>
        <w:t xml:space="preserve"> </w:t>
      </w:r>
      <w:r>
        <w:t>）。尤其，</w:t>
      </w:r>
    </w:p>
    <w:p>
      <w:pPr>
        <w:spacing w:before="0" w:after="200" w:lineRule="auto" w:line="276"/>
      </w:pPr>
      <w:r>
        <w:rPr>
          <w:b/>
        </w:rPr>
        <w:t xml:space="preserve">Abstract (EN): </w:t>
      </w:r>
      <w:r>
        <w:t>Organic bulk‐heterojunction (BHJ) nanoparticles are promising candidates for solar‐to‐hydrogen conversion. While the development of organic photocatalysts (OPCs) has leveraged advances in organic photovoltaics (OPVs), molecular design rules tailored to photocatalysis remain underdeveloped. Here we introduce linker‐engineered dimeric acceptors that tune self‐assembly and thereby control BHJ nanoparticle morphology, enabling high‐performance OPCs. Two dimer acceptors, DY1 (unfused linker) and DY2 (fused linker), are synthesised from a monomer analogue (MY), establishing a self‐assembly trend of MY &amp;gt; DY2 &amp;gt; DY1. The stronger intermolecular assembly of MY is consistent with a quasi‐core–shell morphology that reduces catalytically accessible donor–acceptor interfaces, whereas the weaker intermolecular assembly of DY1 is associated with a more intermixed morphology and increased recombination losses. In contrast, DY2 exhibits a morphology consistent with improved pathway continuity and sufficient donor/acceptor exposure at the particle surface, supporting enhanced accumulation of long‐lived, surface‐stabilised charges. Consequently, PM6:DY2 OPCs deliver a hydrogen evolution rate of 25.3 µmol h</w:t>
      </w:r>
      <w:r>
        <w:t xml:space="preserve"> </w:t>
      </w:r>
      <w:r>
        <w:t>−1</w:t>
      </w:r>
      <w:r>
        <w:t xml:space="preserve"> </w:t>
      </w:r>
      <w:r>
        <w:t>cm</w:t>
      </w:r>
      <w:r>
        <w:t xml:space="preserve"> </w:t>
      </w:r>
      <w:r>
        <w:t>−2</w:t>
      </w:r>
      <w:r>
        <w:t xml:space="preserve"> </w:t>
      </w:r>
      <w:r>
        <w:t>, outperforming PM6:MY (1.9 µmol h</w:t>
      </w:r>
      <w:r>
        <w:t xml:space="preserve"> </w:t>
      </w:r>
      <w:r>
        <w:t>−1</w:t>
      </w:r>
      <w:r>
        <w:t xml:space="preserve"> </w:t>
      </w:r>
      <w:r>
        <w:t>cm</w:t>
      </w:r>
      <w:r>
        <w:t xml:space="preserve"> </w:t>
      </w:r>
      <w:r>
        <w:t>−2</w:t>
      </w:r>
      <w:r>
        <w:t xml:space="preserve"> </w:t>
      </w:r>
      <w:r>
        <w:t>) and PM6:DY1 (11.9 µmol h</w:t>
      </w:r>
      <w:r>
        <w:t xml:space="preserve"> </w:t>
      </w:r>
      <w:r>
        <w:t>−1</w:t>
      </w:r>
      <w:r>
        <w:t xml:space="preserve"> </w:t>
      </w:r>
      <w:r>
        <w:t>cm</w:t>
      </w:r>
      <w:r>
        <w:t xml:space="preserve"> </w:t>
      </w:r>
      <w:r>
        <w:t>−2</w:t>
      </w:r>
      <w:r>
        <w:t xml:space="preserve"> </w:t>
      </w:r>
      <w:r>
        <w:t>). Notably, this performance trend contrasts with that of the corresponding OPVs, suggesting that photovoltaic design principles do not necessarily translate directly to photocatalysts.</w:t>
      </w:r>
    </w:p>
    <w:p>
      <w:pPr>
        <w:spacing w:before="120" w:after="120"/>
      </w:pPr>
      <w:r>
        <w:rPr>
          <w:sz w:val="18"/>
        </w:rPr>
        <w:t>——————————————————————————————————————————————————————————————————————</w:t>
      </w:r>
    </w:p>
    <w:p>
      <w:pPr>
        <w:spacing w:before="160" w:after="40" w:line="240" w:lineRule="auto"/>
      </w:pPr>
      <w:r>
        <w:rPr>
          <w:b/>
        </w:rPr>
        <w:t xml:space="preserve">[29] </w:t>
      </w:r>
      <w:hyperlink r:id="rId220">
        <w:r>
          <w:rPr>
            <w:color w:val="1155CC"/>
            <w:u w:val="single"/>
          </w:rPr>
          <w:t>主链离子对聚苯并咪唑膜可实现低温 HT-PEMFC 运行（低至 120°C）（Adv. Energy Mater. 23/2026）</w:t>
        </w:r>
      </w:hyperlink>
    </w:p>
    <w:p>
      <w:pPr>
        <w:spacing w:before="0" w:after="80"/>
      </w:pPr>
      <w:r>
        <w:rPr>
          <w:i/>
          <w:sz w:val="20"/>
        </w:rPr>
        <w:t>EN: Main‐Chain Ion‐Pair Polybenzimidazole Membranes Enabling Reduced‐Temperature HT‐PEMFC Operation (Down to 120°C) (Adv. Energy Mater. 23/2026)</w:t>
      </w:r>
    </w:p>
    <w:p>
      <w:pPr>
        <w:spacing w:before="0" w:after="120"/>
      </w:pPr>
      <w:r>
        <w:rPr>
          <w:b/>
        </w:rPr>
        <w:t xml:space="preserve">Source: </w:t>
      </w:r>
      <w:r>
        <w:t>Wiley: Advanced Energy Materials: Table of Contents</w:t>
      </w:r>
      <w:r>
        <w:t xml:space="preserve">    </w:t>
      </w:r>
      <w:r>
        <w:rPr>
          <w:b/>
        </w:rPr>
        <w:t xml:space="preserve">Pub date: </w:t>
      </w:r>
      <w:r>
        <w:t>2026-06-18 08:52:58+00:00</w:t>
      </w:r>
      <w:r>
        <w:t xml:space="preserve">    </w:t>
      </w:r>
      <w:r>
        <w:rPr>
          <w:b/>
        </w:rPr>
        <w:t xml:space="preserve">DOI: </w:t>
      </w:r>
      <w:hyperlink r:id="rId221">
        <w:r>
          <w:rPr>
            <w:color w:val="1155CC"/>
            <w:u w:val="single"/>
          </w:rPr>
          <w:t>10.1002/aenm.70998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 </w:t>
      </w:r>
      <w:hyperlink r:id="rId222">
        <w:r>
          <w:rPr>
            <w:color w:val="1155CC"/>
            <w:u w:val="single"/>
          </w:rPr>
          <w:t>溴化物介导的低能 RuIV═O 稳定水氧化途径</w:t>
        </w:r>
      </w:hyperlink>
    </w:p>
    <w:p>
      <w:pPr>
        <w:spacing w:before="0" w:after="80"/>
      </w:pPr>
      <w:r>
        <w:rPr>
          <w:i/>
          <w:sz w:val="20"/>
        </w:rPr>
        <w:t>EN: Bromide‐Mediated Low‐Energy RuIV═O Pathway of Stable Water Oxidation</w:t>
      </w:r>
    </w:p>
    <w:p>
      <w:pPr>
        <w:spacing w:before="0" w:after="120"/>
      </w:pPr>
      <w:r>
        <w:rPr>
          <w:b/>
        </w:rPr>
        <w:t xml:space="preserve">Source: </w:t>
      </w:r>
      <w:r>
        <w:t>Wiley: Angewandte Chemie International Edition: Table of Contents</w:t>
      </w:r>
      <w:r>
        <w:t xml:space="preserve">    </w:t>
      </w:r>
      <w:r>
        <w:rPr>
          <w:b/>
        </w:rPr>
        <w:t xml:space="preserve">Pub date: </w:t>
      </w:r>
      <w:r>
        <w:t>2026-06-18 17:04:12+00:00</w:t>
      </w:r>
      <w:r>
        <w:t xml:space="preserve">    </w:t>
      </w:r>
      <w:r>
        <w:rPr>
          <w:b/>
        </w:rPr>
        <w:t xml:space="preserve">DOI: </w:t>
      </w:r>
      <w:hyperlink r:id="rId223">
        <w:r>
          <w:rPr>
            <w:color w:val="1155CC"/>
            <w:u w:val="single"/>
          </w:rPr>
          <w:t>10.1002/anie.2026858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模仿自然光合作用将水分解为氧气和氢气代表了从化石燃料向可持续能源未来过渡的一条有前途的途径。复制光合作用II将水氧化成O的高效而优雅的析氧复合体极具挑战性</w:t>
      </w:r>
      <w:r>
        <w:rPr>
          <w:vertAlign w:val="subscript"/>
        </w:rPr>
        <w:t>2</w:t>
      </w:r>
      <w:r>
        <w:t>被认为是水分解的瓶颈。具有低过电势的尖端人造分子水氧化催化剂（WOC）对于有效的水氧化来说是非常理想的。在这里，我们报告了分子水氧化催化剂（WOC）的设计</w:t>
      </w:r>
      <w:r>
        <w:t xml:space="preserve"> </w:t>
      </w:r>
      <w:r>
        <w:t>鲁N5</w:t>
      </w:r>
      <w:r>
        <w:t xml:space="preserve"> </w:t>
      </w:r>
      <w:r>
        <w:t>(Ru(N5)(图)</w:t>
      </w:r>
      <w:r>
        <w:rPr>
          <w:vertAlign w:val="subscript"/>
        </w:rPr>
        <w:t>2</w:t>
      </w:r>
      <w:r>
        <w:t>; N5 = 4-叔丁基-2,6-二(1′,8′-萘啶-2′-基)吡啶，pic = 4-甲基吡啶)。经过电化学活化和溴化物介导后，</w:t>
      </w:r>
      <w:r>
        <w:t xml:space="preserve"> </w:t>
      </w:r>
      <w:r>
        <w:t>鲁N5</w:t>
      </w:r>
      <w:r>
        <w:t xml:space="preserve"> </w:t>
      </w:r>
      <w:r>
        <w:t>达到 2604 秒的高周转频率</w:t>
      </w:r>
      <w:r>
        <w:t xml:space="preserve"> </w:t>
      </w:r>
      <w:r>
        <w:t>−1</w:t>
      </w:r>
      <w:r>
        <w:t xml:space="preserve"> </w:t>
      </w:r>
      <w:r>
        <w:t>pH 7 时具有 363 mV 的低过电势。催化剂高度稳定，可保持 1.8 mA cm 的稳定电流密度</w:t>
      </w:r>
      <w:r>
        <w:t xml:space="preserve"> </w:t>
      </w:r>
      <w:r>
        <w:t>−2</w:t>
      </w:r>
      <w:r>
        <w:t xml:space="preserve"> </w:t>
      </w:r>
      <w:r>
        <w:t>超过 200 小时。机理研究表明，活化和溴化物介导通过配体氧化促进 O-O 键形成</w:t>
      </w:r>
      <w:r>
        <w:t xml:space="preserve"> </w:t>
      </w:r>
      <w:r>
        <w:t>[汝</w:t>
      </w:r>
      <w:r>
        <w:t xml:space="preserve"> </w:t>
      </w:r>
      <w:r>
        <w:t>四号</w:t>
      </w:r>
      <w:r>
        <w:t xml:space="preserve"> </w:t>
      </w:r>
      <w:r>
        <w:t>═</w:t>
      </w:r>
      <w:r>
        <w:t xml:space="preserve"> </w:t>
      </w:r>
      <w:r>
        <w:t>欧]</w:t>
      </w:r>
      <w:r>
        <w:t xml:space="preserve"> </w:t>
      </w:r>
      <w:r>
        <w:t>2+</w:t>
      </w:r>
      <w:r>
        <w:t xml:space="preserve"> </w:t>
      </w:r>
      <w:r>
        <w:t>通过低能量拍中间</w:t>
      </w:r>
    </w:p>
    <w:p>
      <w:pPr>
        <w:spacing w:before="0" w:after="200" w:lineRule="auto" w:line="276"/>
      </w:pPr>
      <w:r>
        <w:rPr>
          <w:b/>
        </w:rPr>
        <w:t xml:space="preserve">Abstract (EN): </w:t>
      </w:r>
      <w:r>
        <w:t>Mimicking natural photosynthesis to split water into oxygen and hydrogen represents a promising pathway for transitioning from fossil fuels to a sustainable energy future. It is extremely challenging to duplicate the efficient and elegant oxygen evolution complex of photosynthesis II of oxidizing water to O</w:t>
      </w:r>
      <w:r>
        <w:rPr>
          <w:vertAlign w:val="subscript"/>
        </w:rPr>
        <w:t>2</w:t>
      </w:r>
      <w:r>
        <w:t>being regarded as the bottleneck of water splitting. Cutting‐edge artificial molecular water oxidation catalysts (WOCs) with low overpotentials are highly desirable for efficient water oxidation. Here we report the design of a molecular water oxidation catalyst (WOC)</w:t>
      </w:r>
      <w:r>
        <w:t xml:space="preserve"> </w:t>
      </w:r>
      <w:r>
        <w:t>RuN5</w:t>
      </w:r>
      <w:r>
        <w:t xml:space="preserve"> </w:t>
      </w:r>
      <w:r>
        <w:t>(Ru(N5)(pic)</w:t>
      </w:r>
      <w:r>
        <w:rPr>
          <w:vertAlign w:val="subscript"/>
        </w:rPr>
        <w:t>2</w:t>
      </w:r>
      <w:r>
        <w:t>; N5 = 4‐tert‐butyl‐2,6‐di(1′,8′‐naphthyrid‐2′‐yl)pyridine, pic = 4‐picoline). Following electrochemical activation and bromide mediation,</w:t>
      </w:r>
      <w:r>
        <w:t xml:space="preserve"> </w:t>
      </w:r>
      <w:r>
        <w:t>RuN5</w:t>
      </w:r>
      <w:r>
        <w:t xml:space="preserve"> </w:t>
      </w:r>
      <w:r>
        <w:t>achieves a high turnover frequency of 2604 s</w:t>
      </w:r>
      <w:r>
        <w:t xml:space="preserve"> </w:t>
      </w:r>
      <w:r>
        <w:t>−1</w:t>
      </w:r>
      <w:r>
        <w:t xml:space="preserve"> </w:t>
      </w:r>
      <w:r>
        <w:t>with a low overpotential of 363 mV at pH 7. The catalyst is highly stable, maintaining a steady current density of 1.8 mA cm</w:t>
      </w:r>
      <w:r>
        <w:t xml:space="preserve"> </w:t>
      </w:r>
      <w:r>
        <w:t>−2</w:t>
      </w:r>
      <w:r>
        <w:t xml:space="preserve"> </w:t>
      </w:r>
      <w:r>
        <w:t>over 200 h. Mechanistic studies reveal that activation and bromide mediation facilitate O–O bond formation via a ligand‐oxidized</w:t>
      </w:r>
      <w:r>
        <w:t xml:space="preserve"> </w:t>
      </w:r>
      <w:r>
        <w:t>[Ru</w:t>
      </w:r>
      <w:r>
        <w:t xml:space="preserve"> </w:t>
      </w:r>
      <w:r>
        <w:t>IV</w:t>
      </w:r>
      <w:r>
        <w:t xml:space="preserve"> </w:t>
      </w:r>
      <w:r>
        <w:t>═</w:t>
      </w:r>
      <w:r>
        <w:t xml:space="preserve"> </w:t>
      </w:r>
      <w:r>
        <w:t>O]</w:t>
      </w:r>
      <w:r>
        <w:t xml:space="preserve"> </w:t>
      </w:r>
      <w:r>
        <w:t>2+</w:t>
      </w:r>
      <w:r>
        <w:t xml:space="preserve"> </w:t>
      </w:r>
      <w:r>
        <w:t>intermediate through a low energy pathway, distinct from the classical</w:t>
      </w:r>
      <w:r>
        <w:t xml:space="preserve"> </w:t>
      </w:r>
      <w:r>
        <w:t>[Ru</w:t>
      </w:r>
      <w:r>
        <w:t xml:space="preserve"> </w:t>
      </w:r>
      <w:r>
        <w:t>V</w:t>
      </w:r>
      <w:r>
        <w:t xml:space="preserve"> </w:t>
      </w:r>
      <w:r>
        <w:t>(O)]</w:t>
      </w:r>
      <w:r>
        <w:t xml:space="preserve"> </w:t>
      </w:r>
      <w:r>
        <w:t>3+</w:t>
      </w:r>
      <w:r>
        <w:t xml:space="preserve"> </w:t>
      </w:r>
      <w:r>
        <w:t>route. This work opens a new avenue for developing efficient molecular WOCs and advancing artificial photosynthesis.</w:t>
      </w:r>
    </w:p>
    <w:p>
      <w:pPr>
        <w:spacing w:before="120" w:after="120"/>
      </w:pPr>
      <w:r>
        <w:rPr>
          <w:sz w:val="18"/>
        </w:rPr>
        <w:t>——————————————————————————————————————————————————————————————————————</w:t>
      </w:r>
    </w:p>
    <w:p>
      <w:pPr>
        <w:spacing w:before="160" w:after="40" w:line="240" w:lineRule="auto"/>
      </w:pPr>
      <w:r>
        <w:rPr>
          <w:b/>
        </w:rPr>
        <w:t xml:space="preserve">[31] </w:t>
      </w:r>
      <w:hyperlink r:id="rId224">
        <w:r>
          <w:rPr>
            <w:color w:val="1155CC"/>
            <w:u w:val="single"/>
          </w:rPr>
          <w:t>通过 W-O-Ru 界面耦合进行应变工程抑制晶格氧活化以实现稳定的酸性水电解</w:t>
        </w:r>
      </w:hyperlink>
    </w:p>
    <w:p>
      <w:pPr>
        <w:spacing w:before="0" w:after="80"/>
      </w:pPr>
      <w:r>
        <w:rPr>
          <w:i/>
          <w:sz w:val="20"/>
        </w:rPr>
        <w:t>EN: Strain Engineering via W–O–Ru Interfacial Coupling to Suppress Lattice Oxygen Activation for Stable Acidic Water Electrolysis</w:t>
      </w:r>
    </w:p>
    <w:p>
      <w:pPr>
        <w:spacing w:before="0" w:after="120"/>
      </w:pPr>
      <w:r>
        <w:rPr>
          <w:b/>
        </w:rPr>
        <w:t xml:space="preserve">Source: </w:t>
      </w:r>
      <w:r>
        <w:t>Wiley: Angewandte Chemie International Edition: Table of Contents</w:t>
      </w:r>
      <w:r>
        <w:t xml:space="preserve">    </w:t>
      </w:r>
      <w:r>
        <w:rPr>
          <w:b/>
        </w:rPr>
        <w:t xml:space="preserve">Pub date: </w:t>
      </w:r>
      <w:r>
        <w:t>2026-06-18 17:22:03+00:00</w:t>
      </w:r>
      <w:r>
        <w:t xml:space="preserve">    </w:t>
      </w:r>
      <w:r>
        <w:rPr>
          <w:b/>
        </w:rPr>
        <w:t xml:space="preserve">DOI: </w:t>
      </w:r>
      <w:hyperlink r:id="rId225">
        <w:r>
          <w:rPr>
            <w:color w:val="1155CC"/>
            <w:u w:val="single"/>
          </w:rPr>
          <w:t>10.1002/anie.7876559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开发高活性和耐用的酸性析氧反应（OER）电催化剂仍然是质子交换膜水电解（PEMWE）的核心挑战。在这里，我们结合了理论指导设计、原子层工程和</w:t>
      </w:r>
      <w:r>
        <w:t xml:space="preserve"> </w:t>
      </w:r>
      <w:r>
        <w:t>操作</w:t>
      </w:r>
      <w:r>
        <w:t xml:space="preserve"> </w:t>
      </w:r>
      <w:r>
        <w:t>光谱来创建结构坚固、机械调谐的钌基催化剂。密度泛函理论揭示沉积 W</w:t>
      </w:r>
      <w:r>
        <w:rPr>
          <w:vertAlign w:val="subscript"/>
        </w:rPr>
        <w:t>1</w:t>
      </w:r>
      <w:r>
        <w:t>氧</w:t>
      </w:r>
      <w:r>
        <w:rPr>
          <w:vertAlign w:val="subscript"/>
        </w:rPr>
        <w:t>3</w:t>
      </w:r>
      <w:r>
        <w:t>到钌O上</w:t>
      </w:r>
      <w:r>
        <w:rPr>
          <w:vertAlign w:val="subscript"/>
        </w:rPr>
        <w:t>2</w:t>
      </w:r>
      <w:r>
        <w:t>最大限度地提高 Ru 和 O 空位形成能，优于其他经过测试的过渡金属。在此指导下，我们采用原子层沉积在RuO上构建原子耦合的W-O-Ru界面单元</w:t>
      </w:r>
      <w:r>
        <w:rPr>
          <w:vertAlign w:val="subscript"/>
        </w:rPr>
        <w:t>2</w:t>
      </w:r>
      <w:r>
        <w:t>(W-O-RuO</w:t>
      </w:r>
      <w:r>
        <w:rPr>
          <w:vertAlign w:val="subscript"/>
        </w:rPr>
        <w:t>2</w:t>
      </w:r>
      <w:r>
        <w:t>），产生拉应力表面，同时保留金红石核。综合原位光谱和质谱分析表明，这种结构有效地抑制了晶格-氧活化，将反应从晶格-氧机制转变为更可逆的吸附质演化机制。</w:t>
      </w:r>
      <w:r>
        <w:t xml:space="preserve"> </w:t>
      </w:r>
      <w:r>
        <w:t>操作</w:t>
      </w:r>
      <w:r>
        <w:t xml:space="preserve"> </w:t>
      </w:r>
      <w:r>
        <w:t>X 射线吸收光谱证实了 OER 过程中 W-O-Ru 界面的动态稳定性，该界面会演变成有弹性的轻度压缩 (1%) 状态而不会降解。因此，W-O-RuO</w:t>
      </w:r>
      <w:r>
        <w:rPr>
          <w:vertAlign w:val="subscript"/>
        </w:rPr>
        <w:t>2</w:t>
      </w:r>
      <w:r>
        <w:t>在 10 mA cm 电流下仅需要 168 mV 过电势</w:t>
      </w:r>
    </w:p>
    <w:p>
      <w:pPr>
        <w:spacing w:before="0" w:after="200" w:lineRule="auto" w:line="276"/>
      </w:pPr>
      <w:r>
        <w:rPr>
          <w:b/>
        </w:rPr>
        <w:t xml:space="preserve">Abstract (EN): </w:t>
      </w:r>
      <w:r>
        <w:t>Developing highly active and durable acidic oxygen evolution reaction (OER) electrocatalysts remains a central challenge for proton‐exchange membrane water electrolysis (PEMWE). Here, we combine theory‐guided design, atomic‐layer engineering, and</w:t>
      </w:r>
      <w:r>
        <w:t xml:space="preserve"> </w:t>
      </w:r>
      <w:r>
        <w:t>operando</w:t>
      </w:r>
      <w:r>
        <w:t xml:space="preserve"> </w:t>
      </w:r>
      <w:r>
        <w:t>spectroscopy to create a structurally robust, mechanistically tuned Ru‐based catalyst. Density functional theory reveals that depositing W</w:t>
      </w:r>
      <w:r>
        <w:rPr>
          <w:vertAlign w:val="subscript"/>
        </w:rPr>
        <w:t>1</w:t>
      </w:r>
      <w:r>
        <w:t>O</w:t>
      </w:r>
      <w:r>
        <w:rPr>
          <w:vertAlign w:val="subscript"/>
        </w:rPr>
        <w:t>3</w:t>
      </w:r>
      <w:r>
        <w:t>onto RuO</w:t>
      </w:r>
      <w:r>
        <w:rPr>
          <w:vertAlign w:val="subscript"/>
        </w:rPr>
        <w:t>2</w:t>
      </w:r>
      <w:r>
        <w:t>maximizes Ru and O vacancy formation energies, outperforming other tested transition metals. Guided by this, we employ atomic layer deposition to construct atomically coupled W–O–Ru interfacial units on RuO</w:t>
      </w:r>
      <w:r>
        <w:rPr>
          <w:vertAlign w:val="subscript"/>
        </w:rPr>
        <w:t>2</w:t>
      </w:r>
      <w:r>
        <w:t>(W–O–RuO</w:t>
      </w:r>
      <w:r>
        <w:rPr>
          <w:vertAlign w:val="subscript"/>
        </w:rPr>
        <w:t>2</w:t>
      </w:r>
      <w:r>
        <w:t>), generating a tensile‐stressed surface while preserving the rutile core. Comprehensive in situ spectroscopy and mass spectrometry demonstrate that this architecture effectively suppresses lattice–oxygen activation, shifting the reaction from a lattice–oxygen mechanism to a more reversible adsorbate evolution mechanism.</w:t>
      </w:r>
      <w:r>
        <w:t xml:space="preserve"> </w:t>
      </w:r>
      <w:r>
        <w:t>Operando</w:t>
      </w:r>
      <w:r>
        <w:t xml:space="preserve"> </w:t>
      </w:r>
      <w:r>
        <w:t>x‐ray absorption spectroscopy confirms the dynamic stability of the W–O–Ru interface during OER, which evolves into a resilient, mildly compressive (1%) state without degrading. Consequently, W–O–RuO</w:t>
      </w:r>
      <w:r>
        <w:rPr>
          <w:vertAlign w:val="subscript"/>
        </w:rPr>
        <w:t>2</w:t>
      </w:r>
      <w:r>
        <w:t>demands a mere 168 mV overpotential at 10 mA cm</w:t>
      </w:r>
      <w:r>
        <w:t xml:space="preserve"> </w:t>
      </w:r>
      <w:r>
        <w:t>−</w:t>
      </w:r>
      <w:r>
        <w:rPr>
          <w:vertAlign w:val="subscript"/>
        </w:rPr>
        <w:t>2</w:t>
      </w:r>
      <w:r>
        <w:t>and sustains 1 A cm</w:t>
      </w:r>
      <w:r>
        <w:t xml:space="preserve"> </w:t>
      </w:r>
      <w:r>
        <w:t>−</w:t>
      </w:r>
      <w:r>
        <w:rPr>
          <w:vertAlign w:val="subscript"/>
        </w:rPr>
        <w:t>2</w:t>
      </w:r>
      <w:r>
        <w:t>in a PEMWE device for 1000 h with an ultra‐low degradation rate of 63.3 µV/h. This work establishes interfacial unit engineering as a generalizable blueprint for designing exceptionally stable acidic OER catalysts.</w:t>
      </w:r>
    </w:p>
    <w:p>
      <w:pPr>
        <w:spacing w:before="120" w:after="120"/>
      </w:pPr>
      <w:r>
        <w:rPr>
          <w:sz w:val="18"/>
        </w:rPr>
        <w:t>——————————————————————————————————————————————————————————————————————</w:t>
      </w:r>
    </w:p>
    <w:p>
      <w:pPr>
        <w:spacing w:before="160" w:after="40" w:line="240" w:lineRule="auto"/>
      </w:pPr>
      <w:r>
        <w:rPr>
          <w:b/>
        </w:rPr>
        <w:t xml:space="preserve">[32] </w:t>
      </w:r>
      <w:hyperlink r:id="rId226">
        <w:r>
          <w:rPr>
            <w:color w:val="1155CC"/>
            <w:u w:val="single"/>
          </w:rPr>
          <w:t>间隙碳对 IrO2 中电子态的强调节用于高活性酸性水氧化</w:t>
        </w:r>
      </w:hyperlink>
    </w:p>
    <w:p>
      <w:pPr>
        <w:spacing w:before="0" w:after="80"/>
      </w:pPr>
      <w:r>
        <w:rPr>
          <w:i/>
          <w:sz w:val="20"/>
        </w:rPr>
        <w:t>EN: Strong Modulation of Electronic States in IrO2 by Interstitial Carbon for Highly Active Acidic Water Oxidation</w:t>
      </w:r>
    </w:p>
    <w:p>
      <w:pPr>
        <w:spacing w:before="0" w:after="120"/>
      </w:pPr>
      <w:r>
        <w:rPr>
          <w:b/>
        </w:rPr>
        <w:t xml:space="preserve">Source: </w:t>
      </w:r>
      <w:r>
        <w:t>Wiley: Angewandte Chemie International Edition: Table of Contents</w:t>
      </w:r>
      <w:r>
        <w:t xml:space="preserve">    </w:t>
      </w:r>
      <w:r>
        <w:rPr>
          <w:b/>
        </w:rPr>
        <w:t xml:space="preserve">Pub date: </w:t>
      </w:r>
      <w:r>
        <w:t>2026-06-18 17:24:16+00:00</w:t>
      </w:r>
      <w:r>
        <w:t xml:space="preserve">    </w:t>
      </w:r>
      <w:r>
        <w:rPr>
          <w:b/>
        </w:rPr>
        <w:t xml:space="preserve">DOI: </w:t>
      </w:r>
      <w:hyperlink r:id="rId227">
        <w:r>
          <w:rPr>
            <w:color w:val="1155CC"/>
            <w:u w:val="single"/>
          </w:rPr>
          <w:t>10.1002/anie.4793272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氧化铁</w:t>
      </w:r>
      <w:r>
        <w:rPr>
          <w:vertAlign w:val="subscript"/>
        </w:rPr>
        <w:t>2</w:t>
      </w:r>
      <w:r>
        <w:t>作为酸性析氧反应（OER）最稳定的电催化剂，其活性低且在地壳中的丰度有限。掺杂是增强 IrO 的 OER 活性和稳定性的有前途的策略之一</w:t>
      </w:r>
      <w:r>
        <w:rPr>
          <w:vertAlign w:val="subscript"/>
        </w:rPr>
        <w:t>2</w:t>
      </w:r>
      <w:r>
        <w:t>。在此，间隙碳掺杂的 IrO</w:t>
      </w:r>
      <w:r>
        <w:rPr>
          <w:vertAlign w:val="subscript"/>
        </w:rPr>
        <w:t>2</w:t>
      </w:r>
      <w:r>
        <w:t>（C</w:t>
      </w:r>
      <w:r>
        <w:t xml:space="preserve"> </w:t>
      </w:r>
      <w:r>
        <w:t>在</w:t>
      </w:r>
      <w:r>
        <w:t xml:space="preserve"> </w:t>
      </w:r>
      <w:r>
        <w:t>‐氧化铁</w:t>
      </w:r>
      <w:r>
        <w:rPr>
          <w:vertAlign w:val="subscript"/>
        </w:rPr>
        <w:t>2</w:t>
      </w:r>
      <w:r>
        <w:t>) 制备酸性OER催化剂。 C</w:t>
      </w:r>
      <w:r>
        <w:t xml:space="preserve"> </w:t>
      </w:r>
      <w:r>
        <w:t>在</w:t>
      </w:r>
      <w:r>
        <w:t xml:space="preserve"> </w:t>
      </w:r>
      <w:r>
        <w:t>‐氧化铁</w:t>
      </w:r>
      <w:r>
        <w:rPr>
          <w:vertAlign w:val="subscript"/>
        </w:rPr>
        <w:t>2</w:t>
      </w:r>
      <w:r>
        <w:t>显示 10 mA cm 时的 OER 过电势为 227 mV</w:t>
      </w:r>
      <w:r>
        <w:t xml:space="preserve"> </w:t>
      </w:r>
      <w:r>
        <w:t>−2</w:t>
      </w:r>
      <w:r>
        <w:t xml:space="preserve"> </w:t>
      </w:r>
      <w:r>
        <w:t>，质量活度 565.1 A g</w:t>
      </w:r>
      <w:r>
        <w:t xml:space="preserve"> </w:t>
      </w:r>
      <w:r>
        <w:t>红外线</w:t>
      </w:r>
      <w:r>
        <w:t xml:space="preserve"> </w:t>
      </w:r>
      <w:r>
        <w:t>−1</w:t>
      </w:r>
      <w:r>
        <w:t xml:space="preserve"> </w:t>
      </w:r>
      <w:r>
        <w:t>电压为 1.53 V，稳定性为 2000 小时，降解率为 0.04 mV h</w:t>
      </w:r>
      <w:r>
        <w:t xml:space="preserve"> </w:t>
      </w:r>
      <w:r>
        <w:t>−1</w:t>
      </w:r>
      <w:r>
        <w:t xml:space="preserve"> </w:t>
      </w:r>
      <w:r>
        <w:t>。增强的 OER 活性和稳定性源于 C 中 C─Ir 键的形成</w:t>
      </w:r>
      <w:r>
        <w:t xml:space="preserve"> </w:t>
      </w:r>
      <w:r>
        <w:t>在</w:t>
      </w:r>
      <w:r>
        <w:t xml:space="preserve"> </w:t>
      </w:r>
      <w:r>
        <w:t>‐氧化铁</w:t>
      </w:r>
      <w:r>
        <w:rPr>
          <w:vertAlign w:val="subscript"/>
        </w:rPr>
        <w:t>2</w:t>
      </w:r>
      <w:r>
        <w:t>，这导致 Ir 显着下移</w:t>
      </w:r>
      <w:r>
        <w:t xml:space="preserve"> </w:t>
      </w:r>
      <w:r>
        <w:t>d</w:t>
      </w:r>
      <w:r>
        <w:t xml:space="preserve"> </w:t>
      </w:r>
      <w:r>
        <w:t>‐能带中心和 O 的上移</w:t>
      </w:r>
      <w:r>
        <w:t xml:space="preserve"> </w:t>
      </w:r>
      <w:r>
        <w:t>p</w:t>
      </w:r>
      <w:r>
        <w:t xml:space="preserve"> </w:t>
      </w:r>
      <w:r>
        <w:t>‐带中心。这种电子态的变化不仅优化了OER中间体的吸附，而且增加了Ir─O键的共价键。 C</w:t>
      </w:r>
    </w:p>
    <w:p>
      <w:pPr>
        <w:spacing w:before="0" w:after="200" w:lineRule="auto" w:line="276"/>
      </w:pPr>
      <w:r>
        <w:rPr>
          <w:b/>
        </w:rPr>
        <w:t xml:space="preserve">Abstract (EN): </w:t>
      </w:r>
      <w:r>
        <w:t>IrO</w:t>
      </w:r>
      <w:r>
        <w:rPr>
          <w:vertAlign w:val="subscript"/>
        </w:rPr>
        <w:t>2</w:t>
      </w:r>
      <w:r>
        <w:t>as the most stable electrocatalyst for acidic oxygen evolution reaction (OER) suffers from its low activity and the limited abundance in earth crust. Doping is one of promising strategies to enhance the OER activity and stability of IrO</w:t>
      </w:r>
      <w:r>
        <w:rPr>
          <w:vertAlign w:val="subscript"/>
        </w:rPr>
        <w:t>2</w:t>
      </w:r>
      <w:r>
        <w:t>. Herein, an interstitial carbon‐doped IrO</w:t>
      </w:r>
      <w:r>
        <w:rPr>
          <w:vertAlign w:val="subscript"/>
        </w:rPr>
        <w:t>2</w:t>
      </w:r>
      <w:r>
        <w:t>(C</w:t>
      </w:r>
      <w:r>
        <w:t xml:space="preserve"> </w:t>
      </w:r>
      <w:r>
        <w:t>in</w:t>
      </w:r>
      <w:r>
        <w:t xml:space="preserve"> </w:t>
      </w:r>
      <w:r>
        <w:t>‐IrO</w:t>
      </w:r>
      <w:r>
        <w:rPr>
          <w:vertAlign w:val="subscript"/>
        </w:rPr>
        <w:t>2</w:t>
      </w:r>
      <w:r>
        <w:t>) catalyst is prepared for acidic OER. The C</w:t>
      </w:r>
      <w:r>
        <w:t xml:space="preserve"> </w:t>
      </w:r>
      <w:r>
        <w:t>in</w:t>
      </w:r>
      <w:r>
        <w:t xml:space="preserve"> </w:t>
      </w:r>
      <w:r>
        <w:t>‐IrO</w:t>
      </w:r>
      <w:r>
        <w:rPr>
          <w:vertAlign w:val="subscript"/>
        </w:rPr>
        <w:t>2</w:t>
      </w:r>
      <w:r>
        <w:t>shows an OER overpotential of 227 mV at 10 mA cm</w:t>
      </w:r>
      <w:r>
        <w:t xml:space="preserve"> </w:t>
      </w:r>
      <w:r>
        <w:t>−2</w:t>
      </w:r>
      <w:r>
        <w:t xml:space="preserve"> </w:t>
      </w:r>
      <w:r>
        <w:t>, a mass activity of 565.1 A g</w:t>
      </w:r>
      <w:r>
        <w:t xml:space="preserve"> </w:t>
      </w:r>
      <w:r>
        <w:t>Ir</w:t>
      </w:r>
      <w:r>
        <w:t xml:space="preserve"> </w:t>
      </w:r>
      <w:r>
        <w:t>−1</w:t>
      </w:r>
      <w:r>
        <w:t xml:space="preserve"> </w:t>
      </w:r>
      <w:r>
        <w:t>at 1.53 V, and a 2000‐h stability with a degradation rate of 0.04 mV h</w:t>
      </w:r>
      <w:r>
        <w:t xml:space="preserve"> </w:t>
      </w:r>
      <w:r>
        <w:t>−1</w:t>
      </w:r>
      <w:r>
        <w:t xml:space="preserve"> </w:t>
      </w:r>
      <w:r>
        <w:t>. The enhanced OER activity and stability originate from the formation of C─Ir bonds in the C</w:t>
      </w:r>
      <w:r>
        <w:t xml:space="preserve"> </w:t>
      </w:r>
      <w:r>
        <w:t>in</w:t>
      </w:r>
      <w:r>
        <w:t xml:space="preserve"> </w:t>
      </w:r>
      <w:r>
        <w:t>‐IrO</w:t>
      </w:r>
      <w:r>
        <w:rPr>
          <w:vertAlign w:val="subscript"/>
        </w:rPr>
        <w:t>2</w:t>
      </w:r>
      <w:r>
        <w:t>, which results in a prominent down‐shift of Ir</w:t>
      </w:r>
      <w:r>
        <w:t xml:space="preserve"> </w:t>
      </w:r>
      <w:r>
        <w:t>d</w:t>
      </w:r>
      <w:r>
        <w:t xml:space="preserve"> </w:t>
      </w:r>
      <w:r>
        <w:t>‐band center and the up‐shift of O</w:t>
      </w:r>
      <w:r>
        <w:t xml:space="preserve"> </w:t>
      </w:r>
      <w:r>
        <w:t>p</w:t>
      </w:r>
      <w:r>
        <w:t xml:space="preserve"> </w:t>
      </w:r>
      <w:r>
        <w:t>‐band center. Such variations of electronic states not only optimize the adsorption of OER intermediates but also increases the covalence of Ir─O bond. The C</w:t>
      </w:r>
      <w:r>
        <w:t xml:space="preserve"> </w:t>
      </w:r>
      <w:r>
        <w:t>in</w:t>
      </w:r>
      <w:r>
        <w:t xml:space="preserve"> </w:t>
      </w:r>
      <w:r>
        <w:t>‐IrO</w:t>
      </w:r>
      <w:r>
        <w:rPr>
          <w:vertAlign w:val="subscript"/>
        </w:rPr>
        <w:t>2</w:t>
      </w:r>
      <w:r>
        <w:t>also enables an intra‐surface hydrogen abstraction from *OOH to produce *OO, which also enhances the OER activity. The C</w:t>
      </w:r>
      <w:r>
        <w:t xml:space="preserve"> </w:t>
      </w:r>
      <w:r>
        <w:t>in</w:t>
      </w:r>
      <w:r>
        <w:t xml:space="preserve"> </w:t>
      </w:r>
      <w:r>
        <w:t>‐IrO</w:t>
      </w:r>
      <w:r>
        <w:rPr>
          <w:vertAlign w:val="subscript"/>
        </w:rPr>
        <w:t>2</w:t>
      </w:r>
      <w:r>
        <w:t>‐based proton exchange membrane (PEM) water electrolyzer delivers a ultrasmall cell voltages of 1.51 V at 1 A cm</w:t>
      </w:r>
      <w:r>
        <w:t xml:space="preserve"> </w:t>
      </w:r>
      <w:r>
        <w:t>−2</w:t>
      </w:r>
      <w:r>
        <w:t xml:space="preserve"> </w:t>
      </w:r>
      <w:r>
        <w:t>and 1.96 V at 3 A cm</w:t>
      </w:r>
      <w:r>
        <w:t xml:space="preserve"> </w:t>
      </w:r>
      <w:r>
        <w:t>−2</w:t>
      </w:r>
      <w:r>
        <w:t xml:space="preserve"> </w:t>
      </w:r>
      <w:r>
        <w:t>. Our findings demonstrate a new method for enhancing the acidic OER performance of IrO</w:t>
      </w:r>
      <w:r>
        <w:rPr>
          <w:vertAlign w:val="subscript"/>
        </w:rPr>
        <w:t>2</w:t>
      </w:r>
      <w:r>
        <w:t>.</w:t>
      </w:r>
    </w:p>
    <w:p>
      <w:pPr>
        <w:spacing w:before="120" w:after="120"/>
      </w:pPr>
      <w:r>
        <w:rPr>
          <w:sz w:val="18"/>
        </w:rPr>
        <w:t>——————————————————————————————————————————————————————————————————————</w:t>
      </w:r>
    </w:p>
    <w:p>
      <w:pPr>
        <w:spacing w:before="160" w:after="40" w:line="240" w:lineRule="auto"/>
      </w:pPr>
      <w:r>
        <w:rPr>
          <w:b/>
        </w:rPr>
        <w:t xml:space="preserve">[33] </w:t>
      </w:r>
      <w:hyperlink r:id="rId228">
        <w:r>
          <w:rPr>
            <w:color w:val="1155CC"/>
            <w:u w:val="single"/>
          </w:rPr>
          <w:t>Janus 电子态 Ni 使燃料电池对粗氢原料具有高水平的 CO 耐受性</w:t>
        </w:r>
      </w:hyperlink>
    </w:p>
    <w:p>
      <w:pPr>
        <w:spacing w:before="0" w:after="80"/>
      </w:pPr>
      <w:r>
        <w:rPr>
          <w:i/>
          <w:sz w:val="20"/>
        </w:rPr>
        <w:t>EN: Janus Electronic State Ni Enable High‐Level CO‐Tolerance in Fuel Cells Toward Crude‐Hydrogen Feeds</w:t>
      </w:r>
    </w:p>
    <w:p>
      <w:pPr>
        <w:spacing w:before="0" w:after="120"/>
      </w:pPr>
      <w:r>
        <w:rPr>
          <w:b/>
        </w:rPr>
        <w:t xml:space="preserve">Source: </w:t>
      </w:r>
      <w:r>
        <w:t>Wiley: Angewandte Chemie International Edition: Table of Contents</w:t>
      </w:r>
      <w:r>
        <w:t xml:space="preserve">    </w:t>
      </w:r>
      <w:r>
        <w:rPr>
          <w:b/>
        </w:rPr>
        <w:t xml:space="preserve">Pub date: </w:t>
      </w:r>
      <w:r>
        <w:t>2026-06-18 17:34:03+00:00</w:t>
      </w:r>
      <w:r>
        <w:t xml:space="preserve">    </w:t>
      </w:r>
      <w:r>
        <w:rPr>
          <w:b/>
        </w:rPr>
        <w:t xml:space="preserve">DOI: </w:t>
      </w:r>
      <w:hyperlink r:id="rId229">
        <w:r>
          <w:rPr>
            <w:color w:val="1155CC"/>
            <w:u w:val="single"/>
          </w:rPr>
          <w:t>10.1002/anie.5545844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最大限度地提高表面活性原子的利用效率对于提高氢氧化反应（HOR）催化剂的一氧化碳（CO）耐受性至关重要。然而，传统的活性位点再生策略存在可及性差和效率低的问题，阻碍了阴离子交换膜燃料电池（AEMFC）在高CO浓度条件下的有效运行。在这里，我们展示了独特的 YbO</w:t>
      </w:r>
      <w:r>
        <w:t xml:space="preserve"> </w:t>
      </w:r>
      <w:r>
        <w:t>x</w:t>
      </w:r>
      <w:r>
        <w:t xml:space="preserve"> </w:t>
      </w:r>
      <w:r>
        <w:t>具有Janus异质结构的/Ni/C催化剂可以通过选择性吸附CO并促进其定向消除来显着提高游离活性原子的利用效率。原子分辨率电子能量损失谱（EELS）分析表明，Janus 异质结构中的梯度电子态是在 YbO 界面之间产生的</w:t>
      </w:r>
      <w:r>
        <w:t xml:space="preserve"> </w:t>
      </w:r>
      <w:r>
        <w:t>x</w:t>
      </w:r>
      <w:r>
        <w:t xml:space="preserve"> </w:t>
      </w:r>
      <w:r>
        <w:t>/Ni和Ni/C。密度泛函理论（DFT）计算和从头算分子动力学（AIMD）模拟进一步揭示了Ni/YbO附近的富电子Ni原子</w:t>
      </w:r>
      <w:r>
        <w:t xml:space="preserve"> </w:t>
      </w:r>
      <w:r>
        <w:t>x</w:t>
      </w:r>
      <w:r>
        <w:t xml:space="preserve"> </w:t>
      </w:r>
      <w:r>
        <w:t>界面作为有效去除CO的活性位点。相反，位于Ni/C界面附近的缺电子Ni原子有利于有效的HOR。采用这种阳极催化剂的 AEMFC 实现了令人印象深刻的 702.0 mW cm-2 峰值功率密度 (PPD)</w:t>
      </w:r>
      <w:r>
        <w:t xml:space="preserve"> </w:t>
      </w:r>
      <w:r>
        <w:t>−2</w:t>
      </w:r>
      <w:r>
        <w:t xml:space="preserve"> </w:t>
      </w:r>
      <w:r>
        <w:t>在H</w:t>
      </w:r>
    </w:p>
    <w:p>
      <w:pPr>
        <w:spacing w:before="0" w:after="200" w:lineRule="auto" w:line="276"/>
      </w:pPr>
      <w:r>
        <w:rPr>
          <w:b/>
        </w:rPr>
        <w:t xml:space="preserve">Abstract (EN): </w:t>
      </w:r>
      <w:r>
        <w:t>Maximizing the utilization efficiency of surface‐active atoms is essential for improving carbon monoxide (CO) tolerance of hydrogen oxidation reaction (HOR) catalysts. However, conventional active‐site regeneration strategies suffer from poor accessibility and low efficiency, hindering effective anion exchange membrane fuel cells (AEMFCs) operation under high‐CO‐concentration conditions. Here, we show a unique YbO</w:t>
      </w:r>
      <w:r>
        <w:t xml:space="preserve"> </w:t>
      </w:r>
      <w:r>
        <w:t>x</w:t>
      </w:r>
      <w:r>
        <w:t xml:space="preserve"> </w:t>
      </w:r>
      <w:r>
        <w:t>/Ni/C catalyst with Janus heterostructures that can significantly enhance the utilization efficiency of free active atoms by selectively adsorbing CO and promoting their directional elimination. Atomic resolution electron energy‐loss spectroscopy (EELS) analysis reveals that the gradient electronic states in Janus heterostructures are generated between the interfaces of YbO</w:t>
      </w:r>
      <w:r>
        <w:t xml:space="preserve"> </w:t>
      </w:r>
      <w:r>
        <w:t>x</w:t>
      </w:r>
      <w:r>
        <w:t xml:space="preserve"> </w:t>
      </w:r>
      <w:r>
        <w:t>/Ni and Ni/C. Density functional theory (DFT) calculations and ab initio molecular dynamics (AIMD) simulations further reveal that electron‐rich Ni atoms near the Ni/YbO</w:t>
      </w:r>
      <w:r>
        <w:t xml:space="preserve"> </w:t>
      </w:r>
      <w:r>
        <w:t>x</w:t>
      </w:r>
      <w:r>
        <w:t xml:space="preserve"> </w:t>
      </w:r>
      <w:r>
        <w:t>interface serves as active sites for efficient removal of CO. In contrast, electron‐deficient Ni atoms situated near the Ni/C interface facilitate the efficient HOR. The AEMFC with this anode catalyst achieves an impressive peak power density (PPD) of 702.0 mW cm</w:t>
      </w:r>
      <w:r>
        <w:t xml:space="preserve"> </w:t>
      </w:r>
      <w:r>
        <w:t>−2</w:t>
      </w:r>
      <w:r>
        <w:t xml:space="preserve"> </w:t>
      </w:r>
      <w:r>
        <w:t>in H</w:t>
      </w:r>
      <w:r>
        <w:rPr>
          <w:vertAlign w:val="subscript"/>
        </w:rPr>
        <w:t>2</w:t>
      </w:r>
      <w:r>
        <w:t>–O</w:t>
      </w:r>
      <w:r>
        <w:rPr>
          <w:vertAlign w:val="subscript"/>
        </w:rPr>
        <w:t>2</w:t>
      </w:r>
      <w:r>
        <w:t>, maintains a PPD of 304.3 mW cm</w:t>
      </w:r>
      <w:r>
        <w:t xml:space="preserve"> </w:t>
      </w:r>
      <w:r>
        <w:t>−2</w:t>
      </w:r>
      <w:r>
        <w:t xml:space="preserve"> </w:t>
      </w:r>
      <w:r>
        <w:t>even in 1000 ppm CO/H</w:t>
      </w:r>
      <w:r>
        <w:rPr>
          <w:vertAlign w:val="subscript"/>
        </w:rPr>
        <w:t>2</w:t>
      </w:r>
      <w:r>
        <w:t>‐CO</w:t>
      </w:r>
      <w:r>
        <w:rPr>
          <w:vertAlign w:val="subscript"/>
        </w:rPr>
        <w:t>2</w:t>
      </w:r>
      <w:r>
        <w:t>‐free air and continues to operate under harsh conditions with 10000 ppm CO, first showing the possibility to use crude hydrogen in AEMFCs.</w:t>
      </w:r>
    </w:p>
    <w:p>
      <w:pPr>
        <w:spacing w:before="120" w:after="120"/>
      </w:pPr>
      <w:r>
        <w:rPr>
          <w:sz w:val="18"/>
        </w:rPr>
        <w:t>——————————————————————————————————————————————————————————————————————</w:t>
      </w:r>
    </w:p>
    <w:p>
      <w:pPr>
        <w:spacing w:before="160" w:after="120"/>
      </w:pPr>
      <w:r>
        <w:rPr>
          <w:b/>
          <w:sz w:val="28"/>
        </w:rPr>
        <w:t>【产业降碳】</w:t>
      </w:r>
    </w:p>
    <w:p>
      <w:pPr>
        <w:spacing w:before="160" w:after="40" w:line="240" w:lineRule="auto"/>
      </w:pPr>
      <w:r>
        <w:rPr>
          <w:b/>
        </w:rPr>
        <w:t xml:space="preserve">[1] </w:t>
      </w:r>
      <w:hyperlink r:id="rId230">
        <w:r>
          <w:rPr>
            <w:color w:val="1155CC"/>
            <w:u w:val="single"/>
          </w:rPr>
          <w:t>用于 eVTOL 规模化的城市能源和三维移动集成</w:t>
        </w:r>
      </w:hyperlink>
    </w:p>
    <w:p>
      <w:pPr>
        <w:spacing w:before="0" w:after="80"/>
      </w:pPr>
      <w:r>
        <w:rPr>
          <w:i/>
          <w:sz w:val="20"/>
        </w:rPr>
        <w:t>EN: Urban energy and three-dimensional mobility integration for eVTOL scale-up</w:t>
      </w:r>
    </w:p>
    <w:p>
      <w:pPr>
        <w:spacing w:before="0" w:after="120"/>
      </w:pPr>
      <w:r>
        <w:rPr>
          <w:b/>
        </w:rPr>
        <w:t xml:space="preserve">Source: </w:t>
      </w:r>
      <w:r>
        <w:t>ScienceDirect Publication: Applied Energy</w:t>
      </w:r>
      <w:r>
        <w:t xml:space="preserve">    </w:t>
      </w:r>
      <w:r>
        <w:rPr>
          <w:b/>
        </w:rPr>
        <w:t xml:space="preserve">Pub date: </w:t>
      </w:r>
      <w:r>
        <w:t>2026-06-13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231">
        <w:r>
          <w:rPr>
            <w:color w:val="1155CC"/>
            <w:u w:val="single"/>
          </w:rPr>
          <w:t>通过园区级配电网络的拓扑灵活性主动缓解电压波动</w:t>
        </w:r>
      </w:hyperlink>
    </w:p>
    <w:p>
      <w:pPr>
        <w:spacing w:before="0" w:after="80"/>
      </w:pPr>
      <w:r>
        <w:rPr>
          <w:i/>
          <w:sz w:val="20"/>
        </w:rPr>
        <w:t>EN: Proactive mitigation of voltage volatility via topological flexibility in park-level distribution networks</w:t>
      </w:r>
    </w:p>
    <w:p>
      <w:pPr>
        <w:spacing w:before="0" w:after="120"/>
      </w:pPr>
      <w:r>
        <w:rPr>
          <w:b/>
        </w:rPr>
        <w:t xml:space="preserve">Source: </w:t>
      </w:r>
      <w:r>
        <w:t>ScienceDirect Publication: Applied Energy</w:t>
      </w:r>
      <w:r>
        <w:t xml:space="preserve">    </w:t>
      </w:r>
      <w:r>
        <w:rPr>
          <w:b/>
        </w:rPr>
        <w:t xml:space="preserve">Pub date: </w:t>
      </w:r>
      <w:r>
        <w:t>2026-06-13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232">
        <w:r>
          <w:rPr>
            <w:color w:val="1155CC"/>
            <w:u w:val="single"/>
          </w:rPr>
          <w:t>可持续能源系统的帕累托最优路径</w:t>
        </w:r>
      </w:hyperlink>
    </w:p>
    <w:p>
      <w:pPr>
        <w:spacing w:before="0" w:after="80"/>
      </w:pPr>
      <w:r>
        <w:rPr>
          <w:i/>
          <w:sz w:val="20"/>
        </w:rPr>
        <w:t>EN: Pareto-optimal pathways to sustainable energy systems</w:t>
      </w:r>
    </w:p>
    <w:p>
      <w:pPr>
        <w:spacing w:before="0" w:after="120"/>
      </w:pPr>
      <w:r>
        <w:rPr>
          <w:b/>
        </w:rPr>
        <w:t xml:space="preserve">Source: </w:t>
      </w:r>
      <w:r>
        <w:t>ScienceDirect Publication: Applied Energy</w:t>
      </w:r>
      <w:r>
        <w:t xml:space="preserve">    </w:t>
      </w:r>
      <w:r>
        <w:rPr>
          <w:b/>
        </w:rPr>
        <w:t xml:space="preserve">Pub date: </w:t>
      </w:r>
      <w:r>
        <w:t>2026-06-13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79">
        <w:r>
          <w:rPr>
            <w:color w:val="1155CC"/>
            <w:u w:val="single"/>
          </w:rPr>
          <w:t>PEM 支持下的 AI 训练数据中心的托管容量：两级优化方法</w:t>
        </w:r>
      </w:hyperlink>
    </w:p>
    <w:p>
      <w:pPr>
        <w:spacing w:before="0" w:after="80"/>
      </w:pPr>
      <w:r>
        <w:rPr>
          <w:i/>
          <w:sz w:val="20"/>
        </w:rPr>
        <w:t>EN: Hosting capacity of AI training data centers with PEM support: A two-level optimization approach</w:t>
      </w:r>
    </w:p>
    <w:p>
      <w:pPr>
        <w:spacing w:before="0" w:after="120"/>
      </w:pPr>
      <w:r>
        <w:rPr>
          <w:b/>
        </w:rPr>
        <w:t xml:space="preserve">Source: </w:t>
      </w:r>
      <w:r>
        <w:t>ScienceDirect Publication: Applied Energy</w:t>
      </w:r>
      <w:r>
        <w:t xml:space="preserve">    </w:t>
      </w:r>
      <w:r>
        <w:rPr>
          <w:b/>
        </w:rPr>
        <w:t xml:space="preserve">Pub date: </w:t>
      </w:r>
      <w:r>
        <w:t>2026-06-13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233">
        <w:r>
          <w:rPr>
            <w:color w:val="1155CC"/>
            <w:u w:val="single"/>
          </w:rPr>
          <w:t>用于非侵入式负载监控的卷积神经网络：关键分析和未来方向</w:t>
        </w:r>
      </w:hyperlink>
    </w:p>
    <w:p>
      <w:pPr>
        <w:spacing w:before="0" w:after="80"/>
      </w:pPr>
      <w:r>
        <w:rPr>
          <w:i/>
          <w:sz w:val="20"/>
        </w:rPr>
        <w:t>EN: Convolutional neural networks for non-intrusive load monitoring: a critical analysis and future directions</w:t>
      </w:r>
    </w:p>
    <w:p>
      <w:pPr>
        <w:spacing w:before="0" w:after="120"/>
      </w:pPr>
      <w:r>
        <w:rPr>
          <w:b/>
        </w:rPr>
        <w:t xml:space="preserve">Source: </w:t>
      </w:r>
      <w:r>
        <w:t>ScienceDirect Publication: Applied Energy</w:t>
      </w:r>
      <w:r>
        <w:t xml:space="preserve">    </w:t>
      </w:r>
      <w:r>
        <w:rPr>
          <w:b/>
        </w:rPr>
        <w:t xml:space="preserve">Pub date: </w:t>
      </w:r>
      <w:r>
        <w:t>2026-06-13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234">
        <w:r>
          <w:rPr>
            <w:color w:val="1155CC"/>
            <w:u w:val="single"/>
          </w:rPr>
          <w:t>能源与环境政策在碳减排中的成本效益协同：来自中国钢铁行业的证据</w:t>
        </w:r>
      </w:hyperlink>
    </w:p>
    <w:p>
      <w:pPr>
        <w:spacing w:before="0" w:after="80"/>
      </w:pPr>
      <w:r>
        <w:rPr>
          <w:i/>
          <w:sz w:val="20"/>
        </w:rPr>
        <w:t>EN: Cost-effective synergy of energy and environmental policies in carbon emission reduction: Evidence from China's iron and steel industry</w:t>
      </w:r>
    </w:p>
    <w:p>
      <w:pPr>
        <w:spacing w:before="0" w:after="120"/>
      </w:pPr>
      <w:r>
        <w:rPr>
          <w:b/>
        </w:rPr>
        <w:t xml:space="preserve">Source: </w:t>
      </w:r>
      <w:r>
        <w:t>ScienceDirect Publication: Energy Policy</w:t>
      </w:r>
      <w:r>
        <w:t xml:space="preserve">    </w:t>
      </w:r>
      <w:r>
        <w:rPr>
          <w:b/>
        </w:rPr>
        <w:t xml:space="preserve">Pub date: </w:t>
      </w:r>
      <w:r>
        <w:t>2026-06-13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235">
        <w:r>
          <w:rPr>
            <w:color w:val="1155CC"/>
            <w:u w:val="single"/>
          </w:rPr>
          <w:t>用于电动汽车采用场景的社区级分类的概率预测框架</w:t>
        </w:r>
      </w:hyperlink>
    </w:p>
    <w:p>
      <w:pPr>
        <w:spacing w:before="0" w:after="80"/>
      </w:pPr>
      <w:r>
        <w:rPr>
          <w:i/>
          <w:sz w:val="20"/>
        </w:rPr>
        <w:t>EN: A probabilistic forecasting framework for neighbourhood-level disaggregation of electric vehicle adoption scenarios</w:t>
      </w:r>
    </w:p>
    <w:p>
      <w:pPr>
        <w:spacing w:before="0" w:after="120"/>
      </w:pPr>
      <w:r>
        <w:rPr>
          <w:b/>
        </w:rPr>
        <w:t xml:space="preserve">Source: </w:t>
      </w:r>
      <w:r>
        <w:t>Scientific community and society : Nature Communications subject feeds</w:t>
      </w:r>
      <w:r>
        <w:t xml:space="preserve">    </w:t>
      </w:r>
      <w:r>
        <w:rPr>
          <w:b/>
        </w:rPr>
        <w:t xml:space="preserve">Pub date: </w:t>
      </w:r>
      <w:r>
        <w:t>2026-06-13 00:00:00+00:00</w:t>
      </w:r>
    </w:p>
    <w:p>
      <w:pPr>
        <w:spacing w:before="0" w:after="120"/>
      </w:pPr>
      <w:r>
        <w:rPr>
          <w:b/>
        </w:rPr>
        <w:t xml:space="preserve">Notes: </w:t>
      </w:r>
      <w:r>
        <w:t>abstract_source=nature_html</w:t>
      </w:r>
    </w:p>
    <w:p>
      <w:pPr>
        <w:spacing w:before="0" w:after="80" w:lineRule="auto" w:line="276"/>
      </w:pPr>
      <w:r>
        <w:rPr>
          <w:b/>
        </w:rPr>
        <w:t xml:space="preserve">摘要（ZH）: </w:t>
      </w:r>
      <w:r>
        <w:t>电动汽车 (EV) 普及的快速增长给电网带来了重大挑战，特别是在低压水平下，集中的社区需求可能导致基础设施超载。现有的基于场景的规划方法通常假设一个区域内各个社区的电动汽车使用量是统一的，无法捕捉历史电动汽车登记数据中的异质性。尽管很难在精细的空间尺度上预测未来的采用，但它们提供了有限的不确定性量化。本文介绍了一种基于高斯过程（GP）的预测框架，该框架将精细的历史电动汽车登记数据与自上而下的区域场景相结合，以生成概率邻域级预测。 GP 捕捉本地采用率如何偏离区域趋势，并编码在 GP 的平均函数中，确保与更广泛的场景保持一致，同时考虑本地变化和不确定性。我们使用英格兰和威尔士的 10 个代表性地方当局区（覆盖 1,294 个社区）验证了该框架。与基线方法（缩放情景、逻辑增长、线性外推法）相比，该框架在归一化平均绝对误差方面表现出更好的性能，并且在三年及更长的时间内具有统计上的显着改进。它还提供经过良好校准的预测区间，提供可靠的不确定性估计。该框架为网络运营商、政策制定者和规划者提供了一个实用工具，以支持有针对性的决策和投资。</w:t>
      </w:r>
    </w:p>
    <w:p>
      <w:pPr>
        <w:spacing w:before="0" w:after="200" w:lineRule="auto" w:line="276"/>
      </w:pPr>
      <w:r>
        <w:rPr>
          <w:b/>
        </w:rPr>
        <w:t xml:space="preserve">Abstract (EN): </w:t>
      </w:r>
      <w:r>
        <w:t>The rapid growth of electric vehicle (EV) adoption presents significant challenges for electricity networks, particularly at the low-voltage level, where clustered neighbourhood demand risks overloading infrastructure. Existing scenario-based planning approaches typically assume uniform EV uptake across neighbourhoods within a region, failing to capture the heterogeneity in historical EV registration data. They provide limited uncertainty quantification, despite the difficulty of predicting future adoption at fine spatial scales. This paper introduces a Gaussian process (GP)-based forecasting framework that combines granular historical EV registration data with top-down regional scenarios to generate probabilistic neighbourhood-level forecasts. The GP captures how local adoption deviates from regional trends, encoded in the GP’s mean function, ensuring consistency with broader scenarios while accounting for local variation and uncertainty. We validate the framework using ten representative local authority districts in England and Wales, covering 1,294 neighbourhoods. The framework demonstrates improved performance compared to baseline methods (scaled scenario, logistic growth, linear extrapolation) in normalised mean absolute error, with statistically significant improvements at horizons of three years and beyond. It also delivers well-calibrated prediction intervals, providing reliable uncertainty estimates. This framework offers a practical tool for network operators, policymakers, and planners to support targeted decision-making and investment.</w:t>
      </w:r>
    </w:p>
    <w:p>
      <w:pPr>
        <w:spacing w:before="120" w:after="120"/>
      </w:pPr>
      <w:r>
        <w:rPr>
          <w:sz w:val="18"/>
        </w:rPr>
        <w:t>——————————————————————————————————————————————————————————————————————</w:t>
      </w:r>
    </w:p>
    <w:p>
      <w:pPr>
        <w:spacing w:before="160" w:after="40" w:line="240" w:lineRule="auto"/>
      </w:pPr>
      <w:r>
        <w:rPr>
          <w:b/>
        </w:rPr>
        <w:t xml:space="preserve">[8] </w:t>
      </w:r>
      <w:hyperlink r:id="rId236">
        <w:r>
          <w:rPr>
            <w:color w:val="1155CC"/>
            <w:u w:val="single"/>
          </w:rPr>
          <w:t>用于可持续废物生物质增值和土壤修复的电化学人工腐殖化</w:t>
        </w:r>
      </w:hyperlink>
    </w:p>
    <w:p>
      <w:pPr>
        <w:spacing w:before="0" w:after="80"/>
      </w:pPr>
      <w:r>
        <w:rPr>
          <w:i/>
          <w:sz w:val="20"/>
        </w:rPr>
        <w:t>EN: Electrochemical artificial humification for sustainable waste biomass valorization and soil remediation</w:t>
      </w:r>
    </w:p>
    <w:p>
      <w:pPr>
        <w:spacing w:before="0" w:after="120"/>
      </w:pPr>
      <w:r>
        <w:rPr>
          <w:b/>
        </w:rPr>
        <w:t xml:space="preserve">Source: </w:t>
      </w:r>
      <w:r>
        <w:t>Earth and environmental sciences : Nature Communications subject feeds</w:t>
      </w:r>
      <w:r>
        <w:t xml:space="preserve">    </w:t>
      </w:r>
      <w:r>
        <w:rPr>
          <w:b/>
        </w:rPr>
        <w:t xml:space="preserve">Pub date: </w:t>
      </w:r>
      <w:r>
        <w:t>2026-06-13 00:00:00+00:00</w:t>
      </w:r>
    </w:p>
    <w:p>
      <w:pPr>
        <w:spacing w:before="0" w:after="120"/>
      </w:pPr>
      <w:r>
        <w:rPr>
          <w:b/>
        </w:rPr>
        <w:t xml:space="preserve">Notes: </w:t>
      </w:r>
      <w:r>
        <w:t>abstract_source=nature_html</w:t>
      </w:r>
    </w:p>
    <w:p>
      <w:pPr>
        <w:spacing w:before="0" w:after="80" w:lineRule="auto" w:line="276"/>
      </w:pPr>
      <w:r>
        <w:rPr>
          <w:b/>
        </w:rPr>
        <w:t xml:space="preserve">摘要（ZH）: </w:t>
      </w:r>
      <w:r>
        <w:t>废弃生物质的增值对于可持续发展至关重要。在自然界中，生物质通过腐殖化作用转化为腐殖质，这是全球生物地球化学循环的关键组成部分。在这里，作者开发了一种快速电化学人工腐殖化 (EAH) 方法：与需要数天到数年的自然和微生物介导的腐殖化不同，EAH 在 60 分钟内成熟。从机理上讲，生物质降解，阳极产生类醌自由基，阴极产生H*，驱动伯胺形成，这些中间体经过聚合形成大分子人工腐殖质物质（AHLS），其分子、元素和物理化学特性类似于天然腐殖质（NHS）。 AHLS 显示出作为缓释肥料和氧化剂的潜力，可用于盐碱土壤修复、污染物去除和养分缓释。技术经济分析强调了EAH在土地利用效率和短距离运输方面的优势，使其特别适合土地稀缺的特大城市，而生命周期评估表明，它在减轻温室效应和酸化方面优于垃圾填埋和堆肥。这项工作推进了废物资源化技术，提供了土壤肥力和环境策略，并满足了可扩展、循环可持续解决方案的核心需求。</w:t>
      </w:r>
    </w:p>
    <w:p>
      <w:pPr>
        <w:spacing w:before="0" w:after="200" w:lineRule="auto" w:line="276"/>
      </w:pPr>
      <w:r>
        <w:rPr>
          <w:b/>
        </w:rPr>
        <w:t xml:space="preserve">Abstract (EN): </w:t>
      </w:r>
      <w:r>
        <w:t>Waste biomass valorization is critical for sustainability. In nature, biomass is converted into humic substances via humification, a key component of global biogeochemical cycles. Here, authors develop a rapid electrochemical artificial humification (EAH) method: unlike natural and microbially mediated humification which take days to years, EAH matures in 60 minutes. Mechanistically, biomass degrades, with quinone-like radicals generated at the anode and H* at the cathode driving primary amine formation, and these intermediates undergo polymerization to form macromolecular artificial humic-like substances (AHLS) whose molecular, elemental and physicochemical traits resemble natural humic substances (NHS). AHLS shows potential as slow-release fertilizers and oxidizing agents, with uses in saline-alkali soil remediation, pollutant removal and nutrient slow release. Techno-economic analysis highlights EAH’s advantages in land use efficiency and short-distance transportation which makes it particularly suitable for land-scarce megacities, while life cycle assessment shows it outperforms landfilling and composting in mitigating greenhouse effects and acidification. This work advances waste-to-resource tech, offers soil fertility and environmental strategies, and meets the core need for scalable, circular sustainability solutions.</w:t>
      </w:r>
    </w:p>
    <w:p>
      <w:pPr>
        <w:spacing w:before="120" w:after="120"/>
      </w:pPr>
      <w:r>
        <w:rPr>
          <w:sz w:val="18"/>
        </w:rPr>
        <w:t>——————————————————————————————————————————————————————————————————————</w:t>
      </w:r>
    </w:p>
    <w:p>
      <w:pPr>
        <w:spacing w:before="160" w:after="40" w:line="240" w:lineRule="auto"/>
      </w:pPr>
      <w:r>
        <w:rPr>
          <w:b/>
        </w:rPr>
        <w:t xml:space="preserve">[9] </w:t>
      </w:r>
      <w:hyperlink r:id="rId135">
        <w:r>
          <w:rPr>
            <w:color w:val="1155CC"/>
            <w:u w:val="single"/>
          </w:rPr>
          <w:t>可涂漆的仿生分层表皮解决了全天候建筑改造的冷却与电力权衡问题</w:t>
        </w:r>
      </w:hyperlink>
    </w:p>
    <w:p>
      <w:pPr>
        <w:spacing w:before="0" w:after="80"/>
      </w:pPr>
      <w:r>
        <w:rPr>
          <w:i/>
          <w:sz w:val="20"/>
        </w:rPr>
        <w:t>EN: A Paintable Bioinspired Stratified Skin Resolving the Cooling‐Electricity Trade‐Off for All‐Weather Building Retrofits</w:t>
      </w:r>
    </w:p>
    <w:p>
      <w:pPr>
        <w:spacing w:before="0" w:after="120"/>
      </w:pPr>
      <w:r>
        <w:rPr>
          <w:b/>
        </w:rPr>
        <w:t xml:space="preserve">Source: </w:t>
      </w:r>
      <w:r>
        <w:t>Wiley-Online-Library: Advanced Materials: Table of Contents</w:t>
      </w:r>
      <w:r>
        <w:t xml:space="preserve">    </w:t>
      </w:r>
      <w:r>
        <w:rPr>
          <w:b/>
        </w:rPr>
        <w:t xml:space="preserve">Pub date: </w:t>
      </w:r>
      <w:r>
        <w:t>2026-06-13 13:45:37+00:00</w:t>
      </w:r>
      <w:r>
        <w:t xml:space="preserve">    </w:t>
      </w:r>
      <w:r>
        <w:rPr>
          <w:b/>
        </w:rPr>
        <w:t xml:space="preserve">DOI: </w:t>
      </w:r>
      <w:hyperlink r:id="rId136">
        <w:r>
          <w:rPr>
            <w:color w:val="1155CC"/>
            <w:u w:val="single"/>
          </w:rPr>
          <w:t>10.1002/adma.73697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被动日间辐射冷却（PDRC）可以通过将热量散发到寒冷的外层空间来缓解热应激，但其好处会受到降雨和高纬度地区过冷的抑制。为了抵消这些限制，可以通过液滴发电机（DEG）利用全球分布的降雨进行补充发电。然而，将 DEG 与 PDRC 集成，同时保持冷却和电气性能仍然具有挑战性。受铁兰毛状体的启发，我们报告了一种可涂漆的双功能皮肤，它通过分层组织和功能重用解决了这种权衡。氟化顶层能够实现可重复的液滴带电和​​自清洁，同时保留强中红外发射，而基于纳米颗粒的层同时提供宽带太阳散射和介电电荷存储。在蒙特卡罗模拟的指导下，该表皮具有 96.2% 的太阳反射率和 96.5% 的热发射率，可提供 104 W m 的峰值净冷却功率</w:t>
      </w:r>
      <w:r>
        <w:t xml:space="preserve"> </w:t>
      </w:r>
      <w:r>
        <w:t>−2</w:t>
      </w:r>
      <w:r>
        <w:t xml:space="preserve"> </w:t>
      </w:r>
      <w:r>
        <w:t>，并能在室外低于环境温度 9.5°C 的情况下维持六个月以上。降雨期间，峰值电力密度达到 357 W m</w:t>
      </w:r>
      <w:r>
        <w:t xml:space="preserve"> </w:t>
      </w:r>
      <w:r>
        <w:t>−2</w:t>
      </w:r>
      <w:r>
        <w:t xml:space="preserve"> </w:t>
      </w:r>
      <w:r>
        <w:t>。覆盖 1803 个城市的全球模型预测，相对于独立的 PDRC，净正年度效益的纬度跨度将扩大 33.9%，从而为全天候、高纬度的建筑改造提供了一条可扩展的路线。</w:t>
      </w:r>
    </w:p>
    <w:p>
      <w:pPr>
        <w:spacing w:before="0" w:after="200" w:lineRule="auto" w:line="276"/>
      </w:pPr>
      <w:r>
        <w:rPr>
          <w:b/>
        </w:rPr>
        <w:t xml:space="preserve">Abstract (EN): </w:t>
      </w:r>
      <w:r>
        <w:t>Passive daytime radiative cooling (PDRC) can mitigate heat stress by dissipating heat into cold outer space, yet its benefit is suppressed by rainfall and by overcooling at higher latitudes. To offset these limitations, globally distributed rainfall can be harnessed for complementary electricity generation via a droplet electricity generator (DEG). However, integrating DEG with PDRC while preserving both cooling and electrical performance remains challenging. Inspired by Tillandsia trichomes, we report a paintable bifunctional skin that resolves this trade‐off through stratified organization and functional reuse. A fluorinated top layer enables repeatable droplet electrification and self‐cleaning while preserving strong mid‐infrared emission, whereas nanoparticle‐based layers simultaneously provide broadband solar scattering and dielectric charge storage. Guided by Monte Carlo simulations, this skin exhibits 96.2% solar reflectance and 96.5% thermal emissivity, delivers a peak net cooling power of 104 W m</w:t>
      </w:r>
      <w:r>
        <w:t xml:space="preserve"> </w:t>
      </w:r>
      <w:r>
        <w:t>−2</w:t>
      </w:r>
      <w:r>
        <w:t xml:space="preserve"> </w:t>
      </w:r>
      <w:r>
        <w:t>, and sustains outdoor sub‐ambient cooling of up to 9.5°C for more than six months. During rainfall, it reaches a peak electrical power density of 357 W m</w:t>
      </w:r>
      <w:r>
        <w:t xml:space="preserve"> </w:t>
      </w:r>
      <w:r>
        <w:t>−2</w:t>
      </w:r>
      <w:r>
        <w:t xml:space="preserve"> </w:t>
      </w:r>
      <w:r>
        <w:t>. Global modeling across 1803 cities predicts a 33.9% expansion in the latitude span of net‐positive annual benefit relative to standalone PDRC, offering a scalable route toward all‐weather, latitude‐robust building retrofits.</w:t>
      </w:r>
    </w:p>
    <w:p>
      <w:pPr>
        <w:spacing w:before="120" w:after="120"/>
      </w:pPr>
      <w:r>
        <w:rPr>
          <w:sz w:val="18"/>
        </w:rPr>
        <w:t>——————————————————————————————————————————————————————————————————————</w:t>
      </w:r>
    </w:p>
    <w:p>
      <w:pPr>
        <w:spacing w:before="160" w:after="40" w:line="240" w:lineRule="auto"/>
      </w:pPr>
      <w:r>
        <w:rPr>
          <w:b/>
        </w:rPr>
        <w:t xml:space="preserve">[10] </w:t>
      </w:r>
      <w:hyperlink r:id="rId237">
        <w:r>
          <w:rPr>
            <w:color w:val="1155CC"/>
            <w:u w:val="single"/>
          </w:rPr>
          <w:t>改写铜加工</w:t>
        </w:r>
      </w:hyperlink>
    </w:p>
    <w:p>
      <w:pPr>
        <w:spacing w:before="0" w:after="80"/>
      </w:pPr>
      <w:r>
        <w:rPr>
          <w:i/>
          <w:sz w:val="20"/>
        </w:rPr>
        <w:t>EN: Rewriting copper processing</w:t>
      </w:r>
    </w:p>
    <w:p>
      <w:pPr>
        <w:spacing w:before="0" w:after="120"/>
      </w:pPr>
      <w:r>
        <w:rPr>
          <w:b/>
        </w:rPr>
        <w:t xml:space="preserve">Source: </w:t>
      </w:r>
      <w:r>
        <w:t>Nature Chemical Engineering</w:t>
      </w:r>
      <w:r>
        <w:t xml:space="preserve">    </w:t>
      </w:r>
      <w:r>
        <w:rPr>
          <w:b/>
        </w:rPr>
        <w:t xml:space="preserve">Pub date: </w:t>
      </w:r>
      <w:r>
        <w:t>2026-06-15 00:00:00+00:00</w:t>
      </w:r>
      <w:r>
        <w:t xml:space="preserve">    </w:t>
      </w:r>
      <w:r>
        <w:rPr>
          <w:b/>
        </w:rPr>
        <w:t xml:space="preserve">DOI: </w:t>
      </w:r>
      <w:hyperlink r:id="rId238">
        <w:r>
          <w:rPr>
            <w:color w:val="1155CC"/>
            <w:u w:val="single"/>
          </w:rPr>
          <w:t>10.1038/s44286-026-00410-2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17">
        <w:r>
          <w:rPr>
            <w:color w:val="1155CC"/>
            <w:u w:val="single"/>
          </w:rPr>
          <w:t>屋顶光伏电动汽车充电加速脱碳</w:t>
        </w:r>
      </w:hyperlink>
    </w:p>
    <w:p>
      <w:pPr>
        <w:spacing w:before="0" w:after="80"/>
      </w:pPr>
      <w:r>
        <w:rPr>
          <w:i/>
          <w:sz w:val="20"/>
        </w:rPr>
        <w:t>EN: Rooftop photovoltaic-powered electric vehicle charging for accelerated decarbonization</w:t>
      </w:r>
    </w:p>
    <w:p>
      <w:pPr>
        <w:spacing w:before="0" w:after="120"/>
      </w:pPr>
      <w:r>
        <w:rPr>
          <w:b/>
        </w:rPr>
        <w:t xml:space="preserve">Source: </w:t>
      </w:r>
      <w:r>
        <w:t>Nature Sustainability</w:t>
      </w:r>
      <w:r>
        <w:t xml:space="preserve">    </w:t>
      </w:r>
      <w:r>
        <w:rPr>
          <w:b/>
        </w:rPr>
        <w:t xml:space="preserve">Pub date: </w:t>
      </w:r>
      <w:r>
        <w:t>2026-06-15 00:00:00+00:00</w:t>
      </w:r>
      <w:r>
        <w:t xml:space="preserve">    </w:t>
      </w:r>
      <w:r>
        <w:rPr>
          <w:b/>
        </w:rPr>
        <w:t xml:space="preserve">DOI: </w:t>
      </w:r>
      <w:hyperlink r:id="rId18">
        <w:r>
          <w:rPr>
            <w:color w:val="1155CC"/>
            <w:u w:val="single"/>
          </w:rPr>
          <w:t>10.1038/s41893-026-01854-3</w:t>
        </w:r>
      </w:hyperlink>
    </w:p>
    <w:p>
      <w:pPr>
        <w:spacing w:before="0" w:after="120"/>
      </w:pPr>
      <w:r>
        <w:rPr>
          <w:b/>
        </w:rPr>
        <w:t xml:space="preserve">Notes: </w:t>
      </w:r>
      <w:r>
        <w:t>abstract_source=nature_html</w:t>
      </w:r>
    </w:p>
    <w:p>
      <w:pPr>
        <w:spacing w:before="0" w:after="80" w:lineRule="auto" w:line="276"/>
      </w:pPr>
      <w:r>
        <w:rPr>
          <w:b/>
        </w:rPr>
        <w:t xml:space="preserve">摘要（ZH）: </w:t>
      </w:r>
      <w:r>
        <w:t>利用屋顶光伏（RPV）发电为电动汽车（EV）提供动力可以大大加速可再生能源转型和碳减排。然而，电动汽车的快速普及加剧了发电与充电需求之间的不匹配，给充电能力、经济可行性和脱碳潜力带来了巨大的不确定性。在这里，我们评估了全球 40 个城市的光伏电动汽车充电的时空可扩展性，分析了 22,000 个充电桩的 33.8 亿条充电记录。在三种充电策略下，影响不同规模城市微电网每日充电容量（发电需求比）的影响因素始终遵循指数缩放规律。到 2050 年，在与共享社会经济路径相一致的屋顶面积扩张的支持下，每个城市的 RPV 发电量预计将翻一番（1.6–434.7 TWh yr−1），而充电需求将增长 4–1,759 倍（1.5–10,451.7 GWh yr−1），而国际能源署情景下电动汽车采用率的增加则推动了这一增长。在这些不断变化的条件下，每个城市的年充电能力有所下降，但仍足以满足2050年的充电需求。从 2025 年到 2050 年，所有城市的总收入预计为 3,173.2 (±99.5) 亿美元，累计碳减排量为 11.9(±0.4) Gt。这些结果表明，RPV 驱动的电动汽车充电在经济上仍然可行，足以满足到 2050 年不同城市环境不断增长的需求。</w:t>
      </w:r>
    </w:p>
    <w:p>
      <w:pPr>
        <w:spacing w:before="0" w:after="200" w:lineRule="auto" w:line="276"/>
      </w:pPr>
      <w:r>
        <w:rPr>
          <w:b/>
        </w:rPr>
        <w:t xml:space="preserve">Abstract (EN): </w:t>
      </w:r>
      <w:r>
        <w:t>Harnessing rooftop photovoltaic (RPV) generation to power electric vehicles (EVs) can substantially accelerate the renewable energy transition and carbon mitigation. Yet, the mismatch between electricity generation and charging demand, exacerbated by rapid EV adoption, introduces large uncertainties in charging capacity, economic feasibility and decarbonization potential. Here we assess the spatiotemporal scalability of PV-powered EV charging across 40 global cities, analysing 3.38 billion charging records from 22,000 charging piles. Under three charging strategies, influential factors affecting daily charging capacity (generation-to-demand ratio) across all urban microgrids of varying sizes consistently followed an exponential scaling law. By 2050, RPV generation is projected to double in each city (1.6–434.7 TWh yr−1), supported by rooftop area expansions aligned with the shared socioeconomic pathways and charging demand will rise 4–1,759-fold (1.5–10,451.7 GWh yr−1), driven by increased EV adoption under International Energy Agency scenarios. Under these evolving conditions, the annual charging capacity of each city declines but remains sufficient to meet 2050 charging demands. Across all cities, total revenue is projected at US$3,173.2 (±99.5) billion with accumulative carbon mitigation of 11.9(±0.4) Gt from 2025 to 2050. These results suggest that RPV-powered EV charging can remain economically viable and sufficient to meet growing demand across diverse urban settings through 2050.</w:t>
      </w:r>
    </w:p>
    <w:p>
      <w:pPr>
        <w:spacing w:before="120" w:after="120"/>
      </w:pPr>
      <w:r>
        <w:rPr>
          <w:sz w:val="18"/>
        </w:rPr>
        <w:t>——————————————————————————————————————————————————————————————————————</w:t>
      </w:r>
    </w:p>
    <w:p>
      <w:pPr>
        <w:spacing w:before="160" w:after="40" w:line="240" w:lineRule="auto"/>
      </w:pPr>
      <w:r>
        <w:rPr>
          <w:b/>
        </w:rPr>
        <w:t xml:space="preserve">[12] </w:t>
      </w:r>
      <w:hyperlink r:id="rId239">
        <w:r>
          <w:rPr>
            <w:color w:val="1155CC"/>
            <w:u w:val="single"/>
          </w:rPr>
          <w:t>碳共形制造：造纸厂能源系统中共形预测引导的碳排放优化</w:t>
        </w:r>
      </w:hyperlink>
    </w:p>
    <w:p>
      <w:pPr>
        <w:spacing w:before="0" w:after="80"/>
      </w:pPr>
      <w:r>
        <w:rPr>
          <w:i/>
          <w:sz w:val="20"/>
        </w:rPr>
        <w:t>EN: Carbon-conformal manufacturing: Conformal prediction-guided carbon emission optimization in paper-mill energy systems</w:t>
      </w:r>
    </w:p>
    <w:p>
      <w:pPr>
        <w:spacing w:before="0" w:after="120"/>
      </w:pPr>
      <w:r>
        <w:rPr>
          <w:b/>
        </w:rPr>
        <w:t xml:space="preserve">Source: </w:t>
      </w:r>
      <w:r>
        <w:t>ScienceDirect Publication: Applied Energy</w:t>
      </w:r>
      <w:r>
        <w:t xml:space="preserve">    </w:t>
      </w:r>
      <w:r>
        <w:rPr>
          <w:b/>
        </w:rPr>
        <w:t xml:space="preserve">Pub date: </w:t>
      </w:r>
      <w:r>
        <w:t>2026-06-15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 </w:t>
      </w:r>
      <w:hyperlink r:id="rId240">
        <w:r>
          <w:rPr>
            <w:color w:val="1155CC"/>
            <w:u w:val="single"/>
          </w:rPr>
          <w:t>金属有机框架中分子转子增强的孔隙空间分配促进乙烯一步纯化</w:t>
        </w:r>
      </w:hyperlink>
    </w:p>
    <w:p>
      <w:pPr>
        <w:spacing w:before="0" w:after="80"/>
      </w:pPr>
      <w:r>
        <w:rPr>
          <w:i/>
          <w:sz w:val="20"/>
        </w:rPr>
        <w:t>EN: Molecular‐Rotor‐Enhanced Pore‐Space Partition in Metal–Organic Frameworks for Boosting One‐Step Ethylene Purification</w:t>
      </w:r>
    </w:p>
    <w:p>
      <w:pPr>
        <w:spacing w:before="0" w:after="120"/>
      </w:pPr>
      <w:r>
        <w:rPr>
          <w:b/>
        </w:rPr>
        <w:t xml:space="preserve">Source: </w:t>
      </w:r>
      <w:r>
        <w:t>Wiley: Angewandte Chemie International Edition: Table of Contents</w:t>
      </w:r>
      <w:r>
        <w:t xml:space="preserve">    </w:t>
      </w:r>
      <w:r>
        <w:rPr>
          <w:b/>
        </w:rPr>
        <w:t xml:space="preserve">Pub date: </w:t>
      </w:r>
      <w:r>
        <w:t>2026-06-16 07:05:56+00:00</w:t>
      </w:r>
      <w:r>
        <w:t xml:space="preserve">    </w:t>
      </w:r>
      <w:r>
        <w:rPr>
          <w:b/>
        </w:rPr>
        <w:t xml:space="preserve">DOI: </w:t>
      </w:r>
      <w:hyperlink r:id="rId241">
        <w:r>
          <w:rPr>
            <w:color w:val="1155CC"/>
            <w:u w:val="single"/>
          </w:rPr>
          <w:t>10.1002/anie.7624038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从三元乙炔/乙烷/乙烯（C</w:t>
      </w:r>
      <w:r>
        <w:rPr>
          <w:vertAlign w:val="subscript"/>
        </w:rPr>
        <w:t>2</w:t>
      </w:r>
      <w:r>
        <w:t>H</w:t>
      </w:r>
      <w:r>
        <w:rPr>
          <w:vertAlign w:val="subscript"/>
        </w:rPr>
        <w:t>2</w:t>
      </w:r>
      <w:r>
        <w:t>/C</w:t>
      </w:r>
      <w:r>
        <w:rPr>
          <w:vertAlign w:val="subscript"/>
        </w:rPr>
        <w:t>2</w:t>
      </w:r>
      <w:r>
        <w:t>H</w:t>
      </w:r>
      <w:r>
        <w:rPr>
          <w:vertAlign w:val="subscript"/>
        </w:rPr>
        <w:t>6</w:t>
      </w:r>
      <w:r>
        <w:t>/C</w:t>
      </w:r>
      <w:r>
        <w:rPr>
          <w:vertAlign w:val="subscript"/>
        </w:rPr>
        <w:t>2</w:t>
      </w:r>
      <w:r>
        <w:t>H</w:t>
      </w:r>
      <w:r>
        <w:rPr>
          <w:vertAlign w:val="subscript"/>
        </w:rPr>
        <w:t>4</w:t>
      </w:r>
      <w:r>
        <w:t>）混合物是工业石化过程中一个关键但尚未解决的挑战。在此，提出了一种分子转子增强孔隙空间分配（MR增强PSP）策略，成功实现了金属有机框架中孔隙环境的协同优化，以促进乙烯的一步分离。在典型的MIL-88框架中通过开放金属位点插入孔分隔物可以精确调节局部孔径，而芳香分子转子则逐步调节孔窗并逐渐丰富与气体分子的π-π和C-H⋯π相互作用。优化的 SNNU-636 吸附剂实现了 C</w:t>
      </w:r>
      <w:r>
        <w:rPr>
          <w:vertAlign w:val="subscript"/>
        </w:rPr>
        <w:t>2</w:t>
      </w:r>
      <w:r>
        <w:t>H</w:t>
      </w:r>
      <w:r>
        <w:rPr>
          <w:vertAlign w:val="subscript"/>
        </w:rPr>
        <w:t>2</w:t>
      </w:r>
      <w:r>
        <w:t>/C</w:t>
      </w:r>
      <w:r>
        <w:rPr>
          <w:vertAlign w:val="subscript"/>
        </w:rPr>
        <w:t>2</w:t>
      </w:r>
      <w:r>
        <w:t>H</w:t>
      </w:r>
      <w:r>
        <w:rPr>
          <w:vertAlign w:val="subscript"/>
        </w:rPr>
        <w:t>4</w:t>
      </w:r>
      <w:r>
        <w:t>选择性为 4.17，优于没有分子转子的同类产品（SNNU-630：1.78、SNNU-631：3.29、SNNU-632：1.42），并且还表现出优先吸附 C</w:t>
      </w:r>
      <w:r>
        <w:rPr>
          <w:vertAlign w:val="subscript"/>
        </w:rPr>
        <w:t>2</w:t>
      </w:r>
      <w:r>
        <w:t>H</w:t>
      </w:r>
      <w:r>
        <w:rPr>
          <w:vertAlign w:val="subscript"/>
        </w:rPr>
        <w:t>6</w:t>
      </w:r>
      <w:r>
        <w:t>超过C</w:t>
      </w:r>
      <w:r>
        <w:rPr>
          <w:vertAlign w:val="subscript"/>
        </w:rPr>
        <w:t>2</w:t>
      </w:r>
      <w:r>
        <w:t>H</w:t>
      </w:r>
      <w:r>
        <w:rPr>
          <w:vertAlign w:val="subscript"/>
        </w:rPr>
        <w:t>4</w:t>
      </w:r>
      <w:r>
        <w:t>。固定床突破</w:t>
      </w:r>
    </w:p>
    <w:p>
      <w:pPr>
        <w:spacing w:before="0" w:after="200" w:lineRule="auto" w:line="276"/>
      </w:pPr>
      <w:r>
        <w:rPr>
          <w:b/>
        </w:rPr>
        <w:t xml:space="preserve">Abstract (EN): </w:t>
      </w:r>
      <w:r>
        <w:t>One‐step ethylene purification from the ternary acetylene/ethane/ethylene (C</w:t>
      </w:r>
      <w:r>
        <w:rPr>
          <w:vertAlign w:val="subscript"/>
        </w:rPr>
        <w:t>2</w:t>
      </w:r>
      <w:r>
        <w:t>H</w:t>
      </w:r>
      <w:r>
        <w:rPr>
          <w:vertAlign w:val="subscript"/>
        </w:rPr>
        <w:t>2</w:t>
      </w:r>
      <w:r>
        <w:t>/C</w:t>
      </w:r>
      <w:r>
        <w:rPr>
          <w:vertAlign w:val="subscript"/>
        </w:rPr>
        <w:t>2</w:t>
      </w:r>
      <w:r>
        <w:t>H</w:t>
      </w:r>
      <w:r>
        <w:rPr>
          <w:vertAlign w:val="subscript"/>
        </w:rPr>
        <w:t>6</w:t>
      </w:r>
      <w:r>
        <w:t>/C</w:t>
      </w:r>
      <w:r>
        <w:rPr>
          <w:vertAlign w:val="subscript"/>
        </w:rPr>
        <w:t>2</w:t>
      </w:r>
      <w:r>
        <w:t>H</w:t>
      </w:r>
      <w:r>
        <w:rPr>
          <w:vertAlign w:val="subscript"/>
        </w:rPr>
        <w:t>4</w:t>
      </w:r>
      <w:r>
        <w:t>) mixture is a pivotal yet unresolved challenge in industrial petrochemical processes. Herein, a molecular‐rotor‐enhanced pore‐space partition (MR‐enhanced PSP) strategy is proposed, which successfully achieves synergistic optimization of pore environments in metal–organic frameworks for boosting one‐step ethylene separation. The insertion of pore partitioners through open metal sites in typical MIL‐88 framework precisely tunes the local pore apertures, while aromatic molecular rotors step‐by‐step regulate the pore windows and progressively enriches the π–π and C–H⋯π interactions with gas molecules. Optimized SNNU‐636 adsorbent achieves a C</w:t>
      </w:r>
      <w:r>
        <w:rPr>
          <w:vertAlign w:val="subscript"/>
        </w:rPr>
        <w:t>2</w:t>
      </w:r>
      <w:r>
        <w:t>H</w:t>
      </w:r>
      <w:r>
        <w:rPr>
          <w:vertAlign w:val="subscript"/>
        </w:rPr>
        <w:t>2</w:t>
      </w:r>
      <w:r>
        <w:t>/C</w:t>
      </w:r>
      <w:r>
        <w:rPr>
          <w:vertAlign w:val="subscript"/>
        </w:rPr>
        <w:t>2</w:t>
      </w:r>
      <w:r>
        <w:t>H</w:t>
      </w:r>
      <w:r>
        <w:rPr>
          <w:vertAlign w:val="subscript"/>
        </w:rPr>
        <w:t>4</w:t>
      </w:r>
      <w:r>
        <w:t>selectivity of 4.17, outperforming its counterparts without molecular rotors (SNNU‐630: 1.78, SNNU‐631: 3.29, SNNU‐632: 1.42) and additionally exhibiting preferential adsorption of C</w:t>
      </w:r>
      <w:r>
        <w:rPr>
          <w:vertAlign w:val="subscript"/>
        </w:rPr>
        <w:t>2</w:t>
      </w:r>
      <w:r>
        <w:t>H</w:t>
      </w:r>
      <w:r>
        <w:rPr>
          <w:vertAlign w:val="subscript"/>
        </w:rPr>
        <w:t>6</w:t>
      </w:r>
      <w:r>
        <w:t>over C</w:t>
      </w:r>
      <w:r>
        <w:rPr>
          <w:vertAlign w:val="subscript"/>
        </w:rPr>
        <w:t>2</w:t>
      </w:r>
      <w:r>
        <w:t>H</w:t>
      </w:r>
      <w:r>
        <w:rPr>
          <w:vertAlign w:val="subscript"/>
        </w:rPr>
        <w:t>4</w:t>
      </w:r>
      <w:r>
        <w:t>. Fixed‐bed breakthrough experiments confirm that SNNU‐636 enables one‐step production of ultrahigh‐purity C</w:t>
      </w:r>
      <w:r>
        <w:rPr>
          <w:vertAlign w:val="subscript"/>
        </w:rPr>
        <w:t>2</w:t>
      </w:r>
      <w:r>
        <w:t>H</w:t>
      </w:r>
      <w:r>
        <w:rPr>
          <w:vertAlign w:val="subscript"/>
        </w:rPr>
        <w:t>4</w:t>
      </w:r>
      <w:r>
        <w:t>(&amp;gt; 99.9999%) from the ternary mixture with a record‐high yield of 7.8 mmol·g</w:t>
      </w:r>
      <w:r>
        <w:t xml:space="preserve"> </w:t>
      </w:r>
      <w:r>
        <w:t>−1</w:t>
      </w:r>
      <w:r>
        <w:t xml:space="preserve"> </w:t>
      </w:r>
      <w:r>
        <w:t>, surpassing all benchmark adsorbents under similar conditions. Mechanistic studies further validate this MR‐enhanced PSP strategy, revealing that C</w:t>
      </w:r>
      <w:r>
        <w:rPr>
          <w:vertAlign w:val="subscript"/>
        </w:rPr>
        <w:t>2</w:t>
      </w:r>
      <w:r>
        <w:t>H</w:t>
      </w:r>
      <w:r>
        <w:rPr>
          <w:vertAlign w:val="subscript"/>
        </w:rPr>
        <w:t>2</w:t>
      </w:r>
      <w:r>
        <w:t>and C</w:t>
      </w:r>
      <w:r>
        <w:rPr>
          <w:vertAlign w:val="subscript"/>
        </w:rPr>
        <w:t>2</w:t>
      </w:r>
      <w:r>
        <w:t>H</w:t>
      </w:r>
      <w:r>
        <w:rPr>
          <w:vertAlign w:val="subscript"/>
        </w:rPr>
        <w:t>6</w:t>
      </w:r>
      <w:r>
        <w:t>are stabilized via multiple π⋯π and C–H⋯π interactions, underpinning the state‐of‐the‐art one‐step C</w:t>
      </w:r>
      <w:r>
        <w:rPr>
          <w:vertAlign w:val="subscript"/>
        </w:rPr>
        <w:t>2</w:t>
      </w:r>
      <w:r>
        <w:t>H</w:t>
      </w:r>
      <w:r>
        <w:rPr>
          <w:vertAlign w:val="subscript"/>
        </w:rPr>
        <w:t>4</w:t>
      </w:r>
      <w:r>
        <w:t>purification performance.</w:t>
      </w:r>
    </w:p>
    <w:p>
      <w:pPr>
        <w:spacing w:before="120" w:after="120"/>
      </w:pPr>
      <w:r>
        <w:rPr>
          <w:sz w:val="18"/>
        </w:rPr>
        <w:t>——————————————————————————————————————————————————————————————————————</w:t>
      </w:r>
    </w:p>
    <w:p>
      <w:pPr>
        <w:spacing w:before="160" w:after="40" w:line="240" w:lineRule="auto"/>
      </w:pPr>
      <w:r>
        <w:rPr>
          <w:b/>
        </w:rPr>
        <w:t xml:space="preserve">[14] </w:t>
      </w:r>
      <w:hyperlink r:id="rId242">
        <w:r>
          <w:rPr>
            <w:color w:val="1155CC"/>
            <w:u w:val="single"/>
          </w:rPr>
          <w:t>设计强大且自主的生物漏斗，以有效实现木质素相关芳烃的价值</w:t>
        </w:r>
      </w:hyperlink>
    </w:p>
    <w:p>
      <w:pPr>
        <w:spacing w:before="0" w:after="80"/>
      </w:pPr>
      <w:r>
        <w:rPr>
          <w:i/>
          <w:sz w:val="20"/>
        </w:rPr>
        <w:t>EN: Engineering a robust and autonomous biological funneling for efficient valorization of lignin-related aromatics</w:t>
      </w:r>
    </w:p>
    <w:p>
      <w:pPr>
        <w:spacing w:before="0" w:after="120"/>
      </w:pPr>
      <w:r>
        <w:rPr>
          <w:b/>
        </w:rPr>
        <w:t xml:space="preserve">Source: </w:t>
      </w:r>
      <w:r>
        <w:t>Biological sciences : Nature Communications subject feeds</w:t>
      </w:r>
      <w:r>
        <w:t xml:space="preserve">    </w:t>
      </w:r>
      <w:r>
        <w:rPr>
          <w:b/>
        </w:rPr>
        <w:t xml:space="preserve">Pub date: </w:t>
      </w:r>
      <w:r>
        <w:t>2026-06-17 00:00:00+00:00</w:t>
      </w:r>
    </w:p>
    <w:p>
      <w:pPr>
        <w:spacing w:before="0" w:after="120"/>
      </w:pPr>
      <w:r>
        <w:rPr>
          <w:b/>
        </w:rPr>
        <w:t xml:space="preserve">Notes: </w:t>
      </w:r>
      <w:r>
        <w:t>abstract_source=nature_html</w:t>
      </w:r>
    </w:p>
    <w:p>
      <w:pPr>
        <w:spacing w:before="0" w:after="80" w:lineRule="auto" w:line="276"/>
      </w:pPr>
      <w:r>
        <w:rPr>
          <w:b/>
        </w:rPr>
        <w:t xml:space="preserve">摘要（ZH）: </w:t>
      </w:r>
      <w:r>
        <w:t>木质素相关芳烃是有前途的可再生原料，但它们向有用化合物的微生物转化从根本上受到底物毒性和代谢通量不平衡的限制。在这里，我们报告了谷氨酸棒杆菌中的自主微生物系统，它将进化工程与多重动态控制相结合以克服这些限制。该系统具有坚固、进化的底盘，具有增强的细胞防御和升级的芳香流出机制。我们设计了一个分层、多输入的调控网络，能够对代谢途径进行实时、底物响应和精确控制。该系统将多种木质素相关芳香族化合物转化为原儿茶酸，转化率为 99.89%，随后滴度达到 53.40 g L-1。这进一步支持了增值下游化学品的高滴度生产，包括滴度分别为 51.90 g L-1 和 38.33 g L-1 的顺式，顺式粘康酸和 β-酮己二酸。这项工作为将木质素原料自主生物加工成可持续的增值产品建立了一个多功能且可扩展的范例。</w:t>
      </w:r>
    </w:p>
    <w:p>
      <w:pPr>
        <w:spacing w:before="0" w:after="200" w:lineRule="auto" w:line="276"/>
      </w:pPr>
      <w:r>
        <w:rPr>
          <w:b/>
        </w:rPr>
        <w:t xml:space="preserve">Abstract (EN): </w:t>
      </w:r>
      <w:r>
        <w:t>Lignin-related aromatics are promising renewable feedstocks, but their microbial conversion into useful compounds is fundamentally constrained by substrate toxicity and metabolic flux imbalance. Here, we report an autonomous microbial system in Corynebacterium glutamicum, which integrates evolutionary engineering with multiplexed dynamic control to overcome these constraints. This system features a robust, evolved chassis with reinforced cellular defenses and upgraded aromatic efflux machinery. We engineer a layered, multi-input regulatory network that enables real-time, substrate-responsive and precise control of metabolic pathways. This system achieves 99.89% conversion of diverse lignin-related aromatics to protocatechuic acid and subsequently achieves a titer of 53.40 g L⁻¹. This further supports high-titer production of value-added downstream chemicals, including cis,cis-muconic acid and β-ketoadipic acid with titers of 51.90 g L⁻¹ and 38.33 g L⁻¹, respectively. This work establishes a versatile and scalable paradigm for the autonomous bioprocessing of lignin feedstocks into sustainable value-added products.</w:t>
      </w:r>
    </w:p>
    <w:p>
      <w:pPr>
        <w:spacing w:before="120" w:after="120"/>
      </w:pPr>
      <w:r>
        <w:rPr>
          <w:sz w:val="18"/>
        </w:rPr>
        <w:t>——————————————————————————————————————————————————————————————————————</w:t>
      </w:r>
    </w:p>
    <w:p>
      <w:pPr>
        <w:spacing w:before="160" w:after="40" w:line="240" w:lineRule="auto"/>
      </w:pPr>
      <w:r>
        <w:rPr>
          <w:b/>
        </w:rPr>
        <w:t xml:space="preserve">[15] </w:t>
      </w:r>
      <w:hyperlink r:id="rId243">
        <w:r>
          <w:rPr>
            <w:color w:val="1155CC"/>
            <w:u w:val="single"/>
          </w:rPr>
          <w:t>邻里设计以及郊区化的环境和社会成本</w:t>
        </w:r>
      </w:hyperlink>
    </w:p>
    <w:p>
      <w:pPr>
        <w:spacing w:before="0" w:after="80"/>
      </w:pPr>
      <w:r>
        <w:rPr>
          <w:i/>
          <w:sz w:val="20"/>
        </w:rPr>
        <w:t>EN: Neighbourhood design and the environmental and social costs of suburbanization</w:t>
      </w:r>
    </w:p>
    <w:p>
      <w:pPr>
        <w:spacing w:before="0" w:after="120"/>
      </w:pPr>
      <w:r>
        <w:rPr>
          <w:b/>
        </w:rPr>
        <w:t xml:space="preserve">Source: </w:t>
      </w:r>
      <w:r>
        <w:t>Nature Sustainability</w:t>
      </w:r>
      <w:r>
        <w:t xml:space="preserve">    </w:t>
      </w:r>
      <w:r>
        <w:rPr>
          <w:b/>
        </w:rPr>
        <w:t xml:space="preserve">Pub date: </w:t>
      </w:r>
      <w:r>
        <w:t>2026-06-17 00:00:00+00:00</w:t>
      </w:r>
      <w:r>
        <w:t xml:space="preserve">    </w:t>
      </w:r>
      <w:r>
        <w:rPr>
          <w:b/>
        </w:rPr>
        <w:t xml:space="preserve">DOI: </w:t>
      </w:r>
      <w:hyperlink r:id="rId244">
        <w:r>
          <w:rPr>
            <w:color w:val="1155CC"/>
            <w:u w:val="single"/>
          </w:rPr>
          <w:t>10.1038/s41893-026-01842-7</w:t>
        </w:r>
      </w:hyperlink>
    </w:p>
    <w:p>
      <w:pPr>
        <w:spacing w:before="0" w:after="120"/>
      </w:pPr>
      <w:r>
        <w:rPr>
          <w:b/>
        </w:rPr>
        <w:t xml:space="preserve">Notes: </w:t>
      </w:r>
      <w:r>
        <w:t>abstract_source=nature_html</w:t>
      </w:r>
    </w:p>
    <w:p>
      <w:pPr>
        <w:spacing w:before="0" w:after="80" w:lineRule="auto" w:line="276"/>
      </w:pPr>
      <w:r>
        <w:rPr>
          <w:b/>
        </w:rPr>
        <w:t xml:space="preserve">摘要（ZH）: </w:t>
      </w:r>
      <w:r>
        <w:t>郊区化的社会和环境成本是郊区所在位置或其设计方式的结果吗？本文通过研究花园城市设计（GCD）的作用来理清两者的关系，花园城市设计是二十世纪美国郊区占主导地位的郊区规划范式，其特点是蜿蜒的街道、死胡同和分层的道路网络。我根据 60,000 多个社区的街道布局和街区配置构建了 GCD 的综合衡量标准。然后，我使用普通最小二乘法、倾向得分匹配和利用 GCD 采用历史浪潮的工具变量策略来估计它对温室气体排放、社会孤立和久坐行为的影响。 GCD 大大恶化了所有三种结果。社区设计占通常归因于郊区化的可持续成本的 25-41%，这表明郊区的设计方式与郊区的位置无关。</w:t>
      </w:r>
    </w:p>
    <w:p>
      <w:pPr>
        <w:spacing w:before="0" w:after="200" w:lineRule="auto" w:line="276"/>
      </w:pPr>
      <w:r>
        <w:rPr>
          <w:b/>
        </w:rPr>
        <w:t xml:space="preserve">Abstract (EN): </w:t>
      </w:r>
      <w:r>
        <w:t>Are the social and environmental costs of suburbanization a consequence of where suburbs are located or of how they are designed? This paper disentangles the two by examining the role of garden city design (GCD), the dominant suburban planning paradigm for US suburbs in the twentieth century, characterized by winding streets, cul-de-sacs and hierarchical road networks. I construct a composite measure of GCD from street layouts and block configurations for over 60,000 neighbourhoods. I then estimate its effects on greenhouse gas emissions, social isolation and sedentary behaviour using ordinary least squares, propensity score matching and an instrumental-variable strategy that exploits historical waves in GCD adoption. GCD substantially worsens all three outcomes. Neighbourhood design accounts for 25–41% of the sustainability costs typically attributed to suburbanization, indicating that how suburbs are designed matters independently of where they are located.</w:t>
      </w:r>
    </w:p>
    <w:p>
      <w:pPr>
        <w:spacing w:before="120" w:after="120"/>
      </w:pPr>
      <w:r>
        <w:rPr>
          <w:sz w:val="18"/>
        </w:rPr>
        <w:t>——————————————————————————————————————————————————————————————————————</w:t>
      </w:r>
    </w:p>
    <w:p>
      <w:pPr>
        <w:spacing w:before="160" w:after="40" w:line="240" w:lineRule="auto"/>
      </w:pPr>
      <w:r>
        <w:rPr>
          <w:b/>
        </w:rPr>
        <w:t xml:space="preserve">[16] </w:t>
      </w:r>
      <w:hyperlink r:id="rId245">
        <w:r>
          <w:rPr>
            <w:color w:val="1155CC"/>
            <w:u w:val="single"/>
          </w:rPr>
          <w:t>人工智能代理自动进行生命周期评估</w:t>
        </w:r>
      </w:hyperlink>
    </w:p>
    <w:p>
      <w:pPr>
        <w:spacing w:before="0" w:after="80"/>
      </w:pPr>
      <w:r>
        <w:rPr>
          <w:i/>
          <w:sz w:val="20"/>
        </w:rPr>
        <w:t>EN: Artificial intelligence agents automate life-cycle assessment</w:t>
      </w:r>
    </w:p>
    <w:p>
      <w:pPr>
        <w:spacing w:before="0" w:after="120"/>
      </w:pPr>
      <w:r>
        <w:rPr>
          <w:b/>
        </w:rPr>
        <w:t xml:space="preserve">Source: </w:t>
      </w:r>
      <w:r>
        <w:t>Nature Electronics</w:t>
      </w:r>
      <w:r>
        <w:t xml:space="preserve">    </w:t>
      </w:r>
      <w:r>
        <w:rPr>
          <w:b/>
        </w:rPr>
        <w:t xml:space="preserve">Pub date: </w:t>
      </w:r>
      <w:r>
        <w:t>2026-06-17 00:00:00+00:00</w:t>
      </w:r>
      <w:r>
        <w:t xml:space="preserve">    </w:t>
      </w:r>
      <w:r>
        <w:rPr>
          <w:b/>
        </w:rPr>
        <w:t xml:space="preserve">DOI: </w:t>
      </w:r>
      <w:hyperlink r:id="rId246">
        <w:r>
          <w:rPr>
            <w:color w:val="1155CC"/>
            <w:u w:val="single"/>
          </w:rPr>
          <w:t>10.1038/s41928-026-01652-x</w:t>
        </w:r>
      </w:hyperlink>
    </w:p>
    <w:p>
      <w:pPr>
        <w:spacing w:before="0" w:after="120"/>
      </w:pPr>
      <w:r>
        <w:rPr>
          <w:b/>
        </w:rPr>
        <w:t xml:space="preserve">Notes: </w:t>
      </w:r>
      <w:r>
        <w:t>abstract_source=nature_html</w:t>
      </w:r>
    </w:p>
    <w:p>
      <w:pPr>
        <w:spacing w:before="0" w:after="80" w:lineRule="auto" w:line="276"/>
      </w:pPr>
      <w:r>
        <w:rPr>
          <w:b/>
        </w:rPr>
        <w:t xml:space="preserve">摘要（ZH）: </w:t>
      </w:r>
      <w:r>
        <w:t>评估电子设备从原材料提取到处置的碳排放需要对每个组件进行耗时的数据收集。现在，人工智能代理可以在一分钟内自动生成电子设备的生命周期清单，并估算碳排放量，与专家评估的偏差不到 19%。</w:t>
      </w:r>
    </w:p>
    <w:p>
      <w:pPr>
        <w:spacing w:before="0" w:after="200" w:lineRule="auto" w:line="276"/>
      </w:pPr>
      <w:r>
        <w:rPr>
          <w:b/>
        </w:rPr>
        <w:t xml:space="preserve">Abstract (EN): </w:t>
      </w:r>
      <w:r>
        <w:t>Assessing the carbon emissions of an electronic device from raw material extraction to disposal requires time-intensive data collection for each component. Now, artificial intelligence agents autonomously generate life-cycle inventories for electronic devices in under a minute and estimate carbon emissions with less than 19% deviation from expert assessments.</w:t>
      </w:r>
    </w:p>
    <w:p>
      <w:pPr>
        <w:spacing w:before="120" w:after="120"/>
      </w:pPr>
      <w:r>
        <w:rPr>
          <w:sz w:val="18"/>
        </w:rPr>
        <w:t>——————————————————————————————————————————————————————————————————————</w:t>
      </w:r>
    </w:p>
    <w:p>
      <w:pPr>
        <w:spacing w:before="160" w:after="40" w:line="240" w:lineRule="auto"/>
      </w:pPr>
      <w:r>
        <w:rPr>
          <w:b/>
        </w:rPr>
        <w:t xml:space="preserve">[17] </w:t>
      </w:r>
      <w:hyperlink r:id="rId247">
        <w:r>
          <w:rPr>
            <w:color w:val="1155CC"/>
            <w:u w:val="single"/>
          </w:rPr>
          <w:t>用于烃分馏的具有锁定固有微孔的超薄聚合物膜</w:t>
        </w:r>
      </w:hyperlink>
    </w:p>
    <w:p>
      <w:pPr>
        <w:spacing w:before="0" w:after="80"/>
      </w:pPr>
      <w:r>
        <w:rPr>
          <w:i/>
          <w:sz w:val="20"/>
        </w:rPr>
        <w:t>EN: Ultrathin polymer membranes with locked intrinsic microporosity for hydrocarbon fractionation</w:t>
      </w:r>
    </w:p>
    <w:p>
      <w:pPr>
        <w:spacing w:before="0" w:after="120"/>
      </w:pPr>
      <w:r>
        <w:rPr>
          <w:b/>
        </w:rPr>
        <w:t xml:space="preserve">Source: </w:t>
      </w:r>
      <w:r>
        <w:t>AAAS: Science: Table of Contents</w:t>
      </w:r>
      <w:r>
        <w:t xml:space="preserve">    </w:t>
      </w:r>
      <w:r>
        <w:rPr>
          <w:b/>
        </w:rPr>
        <w:t xml:space="preserve">Pub date: </w:t>
      </w:r>
      <w:r>
        <w:t>2026-06-18 06:00:17+00:00</w:t>
      </w:r>
      <w:r>
        <w:t xml:space="preserve">    </w:t>
      </w:r>
      <w:r>
        <w:rPr>
          <w:b/>
        </w:rPr>
        <w:t xml:space="preserve">DOI: </w:t>
      </w:r>
      <w:hyperlink r:id="rId248">
        <w:r>
          <w:rPr>
            <w:color w:val="1155CC"/>
            <w:u w:val="single"/>
          </w:rPr>
          <w:t>10.1126/science.aed1111</w:t>
        </w:r>
      </w:hyperlink>
    </w:p>
    <w:p>
      <w:pPr>
        <w:spacing w:before="0" w:after="120"/>
      </w:pPr>
      <w:r>
        <w:rPr>
          <w:b/>
        </w:rPr>
        <w:t xml:space="preserve">Notes: </w:t>
      </w:r>
      <w:r>
        <w:t>abstract_source=crossref</w:t>
      </w:r>
    </w:p>
    <w:p>
      <w:pPr>
        <w:spacing w:before="0" w:after="80" w:lineRule="auto" w:line="276"/>
      </w:pPr>
      <w:r>
        <w:rPr>
          <w:b/>
        </w:rPr>
        <w:t xml:space="preserve">摘要（ZH）: </w:t>
      </w:r>
      <w:r>
        <w:t>膜技术为碳氢化合物分馏的传统蒸馏提供了一种节能的替代方案，但它们面临着快速液体传输和高分子选择性之间的权衡。我们报告了一种可扩展的方法，通过锁定其固有的微孔性来制造具有稳定互连通道的聚合物膜。这种锁定策略减少了聚合物膨胀并保留了烃类液体中的亚纳米孔隙结构，与目前最先进的膜相比，合成原油的渗透率提高了 10 倍。当应用于阿拉伯超轻原油时，这些膜实现了出色的基于尺寸和类别的分离，去除了 99.8% 的含有 &gt;15 个碳原子的碳氢化合物和 93% 的含硫成分。这些可扩展的膜支撑着提供快速和选择性碳氢化合物分离的过程，从而为原油精炼提供了更可持续的途径。</w:t>
      </w:r>
    </w:p>
    <w:p>
      <w:pPr>
        <w:spacing w:before="0" w:after="200" w:lineRule="auto" w:line="276"/>
      </w:pPr>
      <w:r>
        <w:rPr>
          <w:b/>
        </w:rPr>
        <w:t xml:space="preserve">Abstract (EN): </w:t>
      </w:r>
      <w:r>
        <w:t>Membrane technologies offer an energy-efficient alternative to conventional distillation for hydrocarbon fractionation, but they suffer from a trade-off between fast liquid transport and high molecular selectivity. We report a scalable approach to fabricate polymer membranes with stable interconnected pathways by locking in their intrinsic microporosity. This locking strategy reduces polymer swelling and preserves the subnanometer pore structure in hydrocarbon liquids, resulting in 10-fold higher permeance for synthetic crude oil compared with current state-of-the-art membranes. When applied to Arabian Extra Light crude oil, these membranes achieved excellent size- and class-based separation, removing 99.8% of hydrocarbons containing &amp;gt;15 carbon atoms and 93% of sulfur-containing components. These scalable membranes underpin processes providing rapid and selective hydrocarbon separation, enabling a more sustainable pathway toward crude oil refining.</w:t>
      </w:r>
    </w:p>
    <w:p>
      <w:pPr>
        <w:spacing w:before="120" w:after="120"/>
      </w:pPr>
      <w:r>
        <w:rPr>
          <w:sz w:val="18"/>
        </w:rPr>
        <w:t>——————————————————————————————————————————————————————————————————————</w:t>
      </w:r>
    </w:p>
    <w:p>
      <w:pPr>
        <w:spacing w:before="160" w:after="40" w:line="240" w:lineRule="auto"/>
      </w:pPr>
      <w:r>
        <w:rPr>
          <w:b/>
        </w:rPr>
        <w:t xml:space="preserve">[18] </w:t>
      </w:r>
      <w:hyperlink r:id="rId249">
        <w:r>
          <w:rPr>
            <w:color w:val="1155CC"/>
            <w:u w:val="single"/>
          </w:rPr>
          <w:t>用于原油脂肪族/芳香族分离的 COF 膜的可扩展制造</w:t>
        </w:r>
      </w:hyperlink>
    </w:p>
    <w:p>
      <w:pPr>
        <w:spacing w:before="0" w:after="80"/>
      </w:pPr>
      <w:r>
        <w:rPr>
          <w:i/>
          <w:sz w:val="20"/>
        </w:rPr>
        <w:t>EN: Scalable fabrication of COF membranes for aliphatic/aromatic separation of crude oil</w:t>
      </w:r>
    </w:p>
    <w:p>
      <w:pPr>
        <w:spacing w:before="0" w:after="120"/>
      </w:pPr>
      <w:r>
        <w:rPr>
          <w:b/>
        </w:rPr>
        <w:t xml:space="preserve">Source: </w:t>
      </w:r>
      <w:r>
        <w:t>AAAS: Science: Table of Contents</w:t>
      </w:r>
      <w:r>
        <w:t xml:space="preserve">    </w:t>
      </w:r>
      <w:r>
        <w:rPr>
          <w:b/>
        </w:rPr>
        <w:t xml:space="preserve">Pub date: </w:t>
      </w:r>
      <w:r>
        <w:t>2026-06-18 06:00:17+00:00</w:t>
      </w:r>
      <w:r>
        <w:t xml:space="preserve">    </w:t>
      </w:r>
      <w:r>
        <w:rPr>
          <w:b/>
        </w:rPr>
        <w:t xml:space="preserve">DOI: </w:t>
      </w:r>
      <w:hyperlink r:id="rId250">
        <w:r>
          <w:rPr>
            <w:color w:val="1155CC"/>
            <w:u w:val="single"/>
          </w:rPr>
          <w:t>10.1126/science.aea0869</w:t>
        </w:r>
      </w:hyperlink>
    </w:p>
    <w:p>
      <w:pPr>
        <w:spacing w:before="0" w:after="120"/>
      </w:pPr>
      <w:r>
        <w:rPr>
          <w:b/>
        </w:rPr>
        <w:t xml:space="preserve">Notes: </w:t>
      </w:r>
      <w:r>
        <w:t>abstract_source=crossref</w:t>
      </w:r>
    </w:p>
    <w:p>
      <w:pPr>
        <w:spacing w:before="0" w:after="80" w:lineRule="auto" w:line="276"/>
      </w:pPr>
      <w:r>
        <w:rPr>
          <w:b/>
        </w:rPr>
        <w:t xml:space="preserve">摘要（ZH）: </w:t>
      </w:r>
      <w:r>
        <w:t>一个多世纪以来，蒸馏一直是原油精炼的基石，依靠沸点差异进行分馏。虽然有效，但它是高度能源密集型的，并且缺乏分离特定碳氢化合物类别的精度。我们报道了具有明确微孔和烷基官能化框架的结晶共价有机框架（COF）膜，该膜将分子筛与优先亲和力相结合以富集脂肪族化合物。电场辅助的卷对卷工艺实现了连续膜的可扩展制造。这些 COF 膜将脂肪族化合物富集至 95% 以上，并且在阿拉伯轻质原油中的渗透率比无定形聚合物高出几个数量级。原油渗透率为 0.34 升米</w:t>
      </w:r>
      <w:r>
        <w:t xml:space="preserve"> </w:t>
      </w:r>
      <w:r>
        <w:t>−2</w:t>
      </w:r>
      <w:r>
        <w:t xml:space="preserve"> </w:t>
      </w:r>
      <w:r>
        <w:t>小时</w:t>
      </w:r>
      <w:r>
        <w:t xml:space="preserve"> </w:t>
      </w:r>
      <w:r>
        <w:t>−1</w:t>
      </w:r>
      <w:r>
        <w:t xml:space="preserve"> </w:t>
      </w:r>
      <w:r>
        <w:t>酒吧</w:t>
      </w:r>
      <w:r>
        <w:t xml:space="preserve"> </w:t>
      </w:r>
      <w:r>
        <w:t>−1</w:t>
      </w:r>
      <w:r>
        <w:t xml:space="preserve"> </w:t>
      </w:r>
      <w:r>
        <w:t>使用工业标准 1812 膜组件实现了 &gt;90% 的脂肪族富集，表明比蒸馏更低的能源需求。</w:t>
      </w:r>
    </w:p>
    <w:p>
      <w:pPr>
        <w:spacing w:before="0" w:after="200" w:lineRule="auto" w:line="276"/>
      </w:pPr>
      <w:r>
        <w:rPr>
          <w:b/>
        </w:rPr>
        <w:t xml:space="preserve">Abstract (EN): </w:t>
      </w:r>
      <w:r>
        <w:t>Distillation has been the cornerstone of crude oil refining for more than a century, relying on boiling point differences for fractionation. Although effective, it is highly energy-intensive and lacks the precision to separate specific hydrocarbon classes. We report crystalline covalent organic framework (COF) membranes with well-defined micropores and alkyl-functionalized frameworks that combine molecular sieving with preferential affinity to enrich aliphatics. An electric field–assisted roll-to-roll process enabled scalable fabrication of continuous membranes. These COF membranes enriched aliphatics to &amp;gt;95% and delivered permeance orders of magnitude higher than amorphous polymers in Arabian Light crude oil. A crude oil permeance of 0.34 liters m</w:t>
      </w:r>
      <w:r>
        <w:t xml:space="preserve"> </w:t>
      </w:r>
      <w:r>
        <w:t>−2</w:t>
      </w:r>
      <w:r>
        <w:t xml:space="preserve"> </w:t>
      </w:r>
      <w:r>
        <w:t>hours</w:t>
      </w:r>
      <w:r>
        <w:t xml:space="preserve"> </w:t>
      </w:r>
      <w:r>
        <w:t>−1</w:t>
      </w:r>
      <w:r>
        <w:t xml:space="preserve"> </w:t>
      </w:r>
      <w:r>
        <w:t>bar</w:t>
      </w:r>
      <w:r>
        <w:t xml:space="preserve"> </w:t>
      </w:r>
      <w:r>
        <w:t>−1</w:t>
      </w:r>
      <w:r>
        <w:t xml:space="preserve"> </w:t>
      </w:r>
      <w:r>
        <w:t>with &amp;gt;90% aliphatics enrichment was achieved using industrial-standard 1812 membrane modules, demonstrating a lower energy demand than distillation.</w:t>
      </w:r>
    </w:p>
    <w:p>
      <w:pPr>
        <w:spacing w:before="120" w:after="120"/>
      </w:pPr>
      <w:r>
        <w:rPr>
          <w:sz w:val="18"/>
        </w:rPr>
        <w:t>——————————————————————————————————————————————————————————————————————</w:t>
      </w:r>
    </w:p>
    <w:p>
      <w:pPr>
        <w:spacing w:before="160" w:after="120"/>
      </w:pPr>
      <w:r>
        <w:rPr>
          <w:b/>
          <w:sz w:val="28"/>
        </w:rPr>
        <w:t>【CCUS】</w:t>
      </w:r>
    </w:p>
    <w:p>
      <w:pPr>
        <w:spacing w:before="160" w:after="40" w:line="240" w:lineRule="auto"/>
      </w:pPr>
      <w:r>
        <w:rPr>
          <w:b/>
        </w:rPr>
        <w:t xml:space="preserve">[1] </w:t>
      </w:r>
      <w:hyperlink r:id="rId251">
        <w:r>
          <w:rPr>
            <w:color w:val="1155CC"/>
            <w:u w:val="single"/>
          </w:rPr>
          <w:t>质子阱辅助 S/O 异构化驱动的阳离子开环聚合制备 CO2 衍生的可降解聚硫酯粘合剂</w:t>
        </w:r>
      </w:hyperlink>
    </w:p>
    <w:p>
      <w:pPr>
        <w:spacing w:before="0" w:after="80"/>
      </w:pPr>
      <w:r>
        <w:rPr>
          <w:i/>
          <w:sz w:val="20"/>
        </w:rPr>
        <w:t>EN: CO2‐Derived Degradable Polythioester Adhesives From Proton‐Trap‐Assisted S/O Isomerization‐Driven Cationic Ring‐Opening Polymerization</w:t>
      </w:r>
    </w:p>
    <w:p>
      <w:pPr>
        <w:spacing w:before="0" w:after="120"/>
      </w:pPr>
      <w:r>
        <w:rPr>
          <w:b/>
        </w:rPr>
        <w:t xml:space="preserve">Source: </w:t>
      </w:r>
      <w:r>
        <w:t>Wiley-Online-Library: Angewandte Chemie International Edition: Table of Contents</w:t>
      </w:r>
      <w:r>
        <w:t xml:space="preserve">    </w:t>
      </w:r>
      <w:r>
        <w:rPr>
          <w:b/>
        </w:rPr>
        <w:t xml:space="preserve">Pub date: </w:t>
      </w:r>
      <w:r>
        <w:t>2026-06-13 16:40:16+00:00</w:t>
      </w:r>
      <w:r>
        <w:t xml:space="preserve">    </w:t>
      </w:r>
      <w:r>
        <w:rPr>
          <w:b/>
        </w:rPr>
        <w:t xml:space="preserve">DOI: </w:t>
      </w:r>
      <w:hyperlink r:id="rId252">
        <w:r>
          <w:rPr>
            <w:color w:val="1155CC"/>
            <w:u w:val="single"/>
          </w:rPr>
          <w:t>10.1002/anie.8723325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可降解压敏粘合剂（PSA）的开发为含粘合剂材料的回收利用带来了巨大希望。然而，现有的可降解压敏胶通常受到粘合强度不足或中等、对化石原料的依赖和/或不完全降解的限制。应对这些挑战需要开发新的聚合策略和材料设计。在此，我们报道了质子阱辅助的S/O异构化驱动的CO阳离子开环聚合</w:t>
      </w:r>
      <w:r>
        <w:rPr>
          <w:vertAlign w:val="subscript"/>
        </w:rPr>
        <w:t>2</w:t>
      </w:r>
      <w:r>
        <w:t>衍生的硫醇内酯3,6-二乙基四氢-2H-吡喃-2-硫酮，可以很好地控制高分子量CO的合成</w:t>
      </w:r>
      <w:r>
        <w:rPr>
          <w:vertAlign w:val="subscript"/>
        </w:rPr>
        <w:t>2</w:t>
      </w:r>
      <w:r>
        <w:t>‐基（共）聚硫酯。所得材料具有独特的高且可调节的剥离强度（高达 16.43 N/cm）、优异的光学透明度（超过 96% 的透光率、低雾度和低黄度指数）以及在温和条件下经历完全降解或定量解聚的能力的组合，提供了基于聚硫酯的压敏粘合剂的第一个实际例子。这项研究为 PSA 设计建立了一个可持续的平台，将稳健的性能与全生命周期管理相结合，从而促进二氧化碳的利用</w:t>
      </w:r>
      <w:r>
        <w:rPr>
          <w:vertAlign w:val="subscript"/>
        </w:rPr>
        <w:t>2</w:t>
      </w:r>
      <w:r>
        <w:t>衍生材料和圆形聚合物设计。</w:t>
      </w:r>
    </w:p>
    <w:p>
      <w:pPr>
        <w:spacing w:before="0" w:after="200" w:lineRule="auto" w:line="276"/>
      </w:pPr>
      <w:r>
        <w:rPr>
          <w:b/>
        </w:rPr>
        <w:t xml:space="preserve">Abstract (EN): </w:t>
      </w:r>
      <w:r>
        <w:t>The development of degradable pressure‐sensitive adhesives (PSAs) holds great promise for enabling the recycling of adhesive‐containing materials. However, existing degradable PSAs are often constrained by insufficient or moderate adhesion strength, reliance on fossil‐based feedstocks, and/or incomplete degradation. Addressing these challenges requires the development of new polymerization strategies and material designs. Herein, we report a proton‐trap‐assisted S/O isomerization‐driven cationic ring‐opening polymerization of the CO</w:t>
      </w:r>
      <w:r>
        <w:rPr>
          <w:vertAlign w:val="subscript"/>
        </w:rPr>
        <w:t>2</w:t>
      </w:r>
      <w:r>
        <w:t>‐derived thionolactone 3,6‐diethyltetrahydro‐2H‐pyran‐2‐thione, which enables the well‐controlled synthesis of high‐molecular‐weight CO</w:t>
      </w:r>
      <w:r>
        <w:rPr>
          <w:vertAlign w:val="subscript"/>
        </w:rPr>
        <w:t>2</w:t>
      </w:r>
      <w:r>
        <w:t>‐based (co)polythioesters. The resulting materials exhibit a unique combination of high and tunable peel strength (up to 16.43 N/cm), excellent optical clarity (over 96% transmittance, low haze and low yellowness index), and the ability to undergo either complete degradation or quantitative depolymerization under mild conditions, delivering the first practical example of polythioester‐based PSAs. This study establishes a sustainable platform for PSA design that integrates robust performance with full life‐cycle management, thereby advancing the utilization of CO</w:t>
      </w:r>
      <w:r>
        <w:rPr>
          <w:vertAlign w:val="subscript"/>
        </w:rPr>
        <w:t>2</w:t>
      </w:r>
      <w:r>
        <w:t>‐derived materials and circular polymer design.</w:t>
      </w:r>
    </w:p>
    <w:p>
      <w:pPr>
        <w:spacing w:before="120" w:after="120"/>
      </w:pPr>
      <w:r>
        <w:rPr>
          <w:sz w:val="18"/>
        </w:rPr>
        <w:t>——————————————————————————————————————————————————————————————————————</w:t>
      </w:r>
    </w:p>
    <w:p>
      <w:pPr>
        <w:spacing w:before="160" w:after="40" w:line="240" w:lineRule="auto"/>
      </w:pPr>
      <w:r>
        <w:rPr>
          <w:b/>
        </w:rPr>
        <w:t xml:space="preserve">[2] </w:t>
      </w:r>
      <w:hyperlink r:id="rId253">
        <w:r>
          <w:rPr>
            <w:color w:val="1155CC"/>
            <w:u w:val="single"/>
          </w:rPr>
          <w:t>电极表面附近的界面质子有序化引导羰基电还原为亚甲基</w:t>
        </w:r>
      </w:hyperlink>
    </w:p>
    <w:p>
      <w:pPr>
        <w:spacing w:before="0" w:after="80"/>
      </w:pPr>
      <w:r>
        <w:rPr>
          <w:i/>
          <w:sz w:val="20"/>
        </w:rPr>
        <w:t>EN: Interfacial Proton Ordering Near the Electrode Surface Directs Carbonyl Electroreduction to Methylene</w:t>
      </w:r>
    </w:p>
    <w:p>
      <w:pPr>
        <w:spacing w:before="0" w:after="120"/>
      </w:pPr>
      <w:r>
        <w:rPr>
          <w:b/>
        </w:rPr>
        <w:t xml:space="preserve">Source: </w:t>
      </w:r>
      <w:r>
        <w:t>Wiley-Online-Library: Angewandte Chemie International Edition: Table of Contents</w:t>
      </w:r>
      <w:r>
        <w:t xml:space="preserve">    </w:t>
      </w:r>
      <w:r>
        <w:rPr>
          <w:b/>
        </w:rPr>
        <w:t xml:space="preserve">Pub date: </w:t>
      </w:r>
      <w:r>
        <w:t>2026-06-13 16:47:57+00:00</w:t>
      </w:r>
      <w:r>
        <w:t xml:space="preserve">    </w:t>
      </w:r>
      <w:r>
        <w:rPr>
          <w:b/>
        </w:rPr>
        <w:t xml:space="preserve">DOI: </w:t>
      </w:r>
      <w:hyperlink r:id="rId254">
        <w:r>
          <w:rPr>
            <w:color w:val="1155CC"/>
            <w:u w:val="single"/>
          </w:rPr>
          <w:t>10.1002/anie.7784249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羰基脱氧为亚甲基脱氧是有机合成中的基本转变，但传统的克莱门森和沃尔夫-基什纳-黄还原需要苛刻的酸性或碱性条件。电化学还原提供了一种更温和的替代方案，但通常在醇阶段停止，因为最初形成的醇中间体在进一步的 C─O 键激活之前从电极上解吸。在这里，我们报告了一种用于水性电化学羰基到亚甲基转化的-Gly界面催化系统。在该系统中，富钯电极和甘氨酸介导的界面调节相配合，将醇中间体保留在带电界面上，并促进它们随后脱氧为亚甲基产物。时间依赖性反应分析支持逐步途径，涉及初始羰基氢化成醇中间体，然后进一步脱氧。机理和结构研究表明，Pd 位点提供表面 H*，通过 Ni─Pd 配位产生的缺电子 Ni 相关位点有助于醇中间体保留，甘氨酸调节界面区域的局部质子可用性和 H* 覆盖率。这项工作强调了 ‐Gly 系统作为一种有效的界面平台，可在温和的水性条件下引导羰基电还原超出酒精终点。</w:t>
      </w:r>
    </w:p>
    <w:p>
      <w:pPr>
        <w:spacing w:before="0" w:after="200" w:lineRule="auto" w:line="276"/>
      </w:pPr>
      <w:r>
        <w:rPr>
          <w:b/>
        </w:rPr>
        <w:t xml:space="preserve">Abstract (EN): </w:t>
      </w:r>
      <w:r>
        <w:t>Carbonyl‐to‐methylene deoxygenation is a fundamental transformation in organic synthesis, but conventional Clemmensen and Wolff–Kishner–Huang reductions require harsh acidic or basic conditions. Electrochemical reduction offers a milder alternative, yet commonly stops at the alcohol stage because the initially formed alcohol intermediate desorbs from the electrode before further C─O bond activation. Here, we report a ‐Gly interfacial catalytic system for aqueous electrochemical carbonyl‐to‐methylene conversion. In this system, the Pd‐rich  electrode and glycine‐mediated interfacial regulation cooperate to retain alcohol intermediates at the electrified interface and promote their subsequent deoxygenation to methylene products. Time‐dependent reaction analysis supports a stepwise pathway involving initial carbonyl hydrogenation to an alcohol intermediate followed by further deoxygenation. Mechanistic and structural studies suggest that Pd sites supply surface H*, electron‐deficient Ni‐related sites generated through Ni─Pd coordination assist alcohol‐intermediate retention, and glycine regulates local proton availability and H* coverage in the interfacial region. This work highlights the ‐Gly system as an effective interfacial platform for directing carbonyl electroreduction beyond the alcohol endpoint under mild aqueous conditions.</w:t>
      </w:r>
    </w:p>
    <w:p>
      <w:pPr>
        <w:spacing w:before="120" w:after="120"/>
      </w:pPr>
      <w:r>
        <w:rPr>
          <w:sz w:val="18"/>
        </w:rPr>
        <w:t>——————————————————————————————————————————————————————————————————————</w:t>
      </w:r>
    </w:p>
    <w:p>
      <w:pPr>
        <w:spacing w:before="160" w:after="40" w:line="240" w:lineRule="auto"/>
      </w:pPr>
      <w:r>
        <w:rPr>
          <w:b/>
        </w:rPr>
        <w:t xml:space="preserve">[3] </w:t>
      </w:r>
      <w:hyperlink r:id="rId184">
        <w:r>
          <w:rPr>
            <w:color w:val="1155CC"/>
            <w:u w:val="single"/>
          </w:rPr>
          <w:t>界面TiOx纳米域实现电荷引导光热甲烷干重整</w:t>
        </w:r>
      </w:hyperlink>
    </w:p>
    <w:p>
      <w:pPr>
        <w:spacing w:before="0" w:after="80"/>
      </w:pPr>
      <w:r>
        <w:rPr>
          <w:i/>
          <w:sz w:val="20"/>
        </w:rPr>
        <w:t>EN: Charge‐Directed Photothermal Methane Dry Reforming Enabled by Interfacial TiOx Nanodomains</w:t>
      </w:r>
    </w:p>
    <w:p>
      <w:pPr>
        <w:spacing w:before="0" w:after="120"/>
      </w:pPr>
      <w:r>
        <w:rPr>
          <w:b/>
        </w:rPr>
        <w:t xml:space="preserve">Source: </w:t>
      </w:r>
      <w:r>
        <w:t>Wiley-Online-Library: Angewandte Chemie International Edition: Table of Contents</w:t>
      </w:r>
      <w:r>
        <w:t xml:space="preserve">    </w:t>
      </w:r>
      <w:r>
        <w:rPr>
          <w:b/>
        </w:rPr>
        <w:t xml:space="preserve">Pub date: </w:t>
      </w:r>
      <w:r>
        <w:t>2026-06-13 16:59:45+00:00</w:t>
      </w:r>
      <w:r>
        <w:t xml:space="preserve">    </w:t>
      </w:r>
      <w:r>
        <w:rPr>
          <w:b/>
        </w:rPr>
        <w:t xml:space="preserve">DOI: </w:t>
      </w:r>
      <w:hyperlink r:id="rId185">
        <w:r>
          <w:rPr>
            <w:color w:val="1155CC"/>
            <w:u w:val="single"/>
          </w:rPr>
          <w:t>10.1002/anie.4126002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甲烷光热干重整 (DRM) 使太阳能驱动的甲烷升级成为可能</w:t>
      </w:r>
      <w:r>
        <w:rPr>
          <w:vertAlign w:val="subscript"/>
        </w:rPr>
        <w:t>4</w:t>
      </w:r>
      <w:r>
        <w:t>和二氧化碳</w:t>
      </w:r>
      <w:r>
        <w:rPr>
          <w:vertAlign w:val="subscript"/>
        </w:rPr>
        <w:t>2</w:t>
      </w:r>
      <w:r>
        <w:t>，但其效率和耐久性受到碳沉积和光化学贡献定义不明确的阻碍。在这里，我们展示了一种由 TiO2 负载的 Rh 纳米颗粒组成的电荷导向光热 DRM 催化剂</w:t>
      </w:r>
      <w:r>
        <w:t xml:space="preserve"> </w:t>
      </w:r>
      <w:r>
        <w:t>x</w:t>
      </w:r>
      <w:r>
        <w:t xml:space="preserve"> </w:t>
      </w:r>
      <w:r>
        <w:t>‐功能化 TiC，其中界面 TiO</w:t>
      </w:r>
      <w:r>
        <w:t xml:space="preserve"> </w:t>
      </w:r>
      <w:r>
        <w:t>x</w:t>
      </w:r>
      <w:r>
        <w:t xml:space="preserve"> </w:t>
      </w:r>
      <w:r>
        <w:t>通过将定向光载流子流与自适应氧化学耦合，域发挥着关键作用。光照后，金属 TiC 产生电荷载流子，将电子转移到 Rh 位点，同时将空穴引导到 TiO</w:t>
      </w:r>
      <w:r>
        <w:t xml:space="preserve"> </w:t>
      </w:r>
      <w:r>
        <w:t>x</w:t>
      </w:r>
      <w:r>
        <w:t xml:space="preserve"> </w:t>
      </w:r>
      <w:r>
        <w:t>表面氧。这种电荷导向的界面化学选择性降低了 *OCH 的势垒</w:t>
      </w:r>
      <w:r>
        <w:rPr>
          <w:vertAlign w:val="subscript"/>
        </w:rPr>
        <w:t>3</w:t>
      </w:r>
      <w:r>
        <w:t>形成，潜在的决定步骤，从而抑制 *CH</w:t>
      </w:r>
      <w:r>
        <w:rPr>
          <w:vertAlign w:val="subscript"/>
        </w:rPr>
        <w:t>3</w:t>
      </w:r>
      <w:r>
        <w:t>过度脱氢并减少碳的形成。同时，CO</w:t>
      </w:r>
      <w:r>
        <w:rPr>
          <w:vertAlign w:val="subscript"/>
        </w:rPr>
        <w:t>2</w:t>
      </w:r>
      <w:r>
        <w:t>TiO 内氧空位的活化</w:t>
      </w:r>
      <w:r>
        <w:t xml:space="preserve"> </w:t>
      </w:r>
      <w:r>
        <w:t>x</w:t>
      </w:r>
      <w:r>
        <w:t xml:space="preserve"> </w:t>
      </w:r>
      <w:r>
        <w:t>区域重新储存表面氧气，关闭再生光热火星-范克雷维伦循环。因此，催化剂可提供高 s</w:t>
      </w:r>
    </w:p>
    <w:p>
      <w:pPr>
        <w:spacing w:before="0" w:after="200" w:lineRule="auto" w:line="276"/>
      </w:pPr>
      <w:r>
        <w:rPr>
          <w:b/>
        </w:rPr>
        <w:t xml:space="preserve">Abstract (EN): </w:t>
      </w:r>
      <w:r>
        <w:t>Photothermal dry reforming of methane (DRM) enables solar‐driven upgrading of CH</w:t>
      </w:r>
      <w:r>
        <w:rPr>
          <w:vertAlign w:val="subscript"/>
        </w:rPr>
        <w:t>4</w:t>
      </w:r>
      <w:r>
        <w:t>and CO</w:t>
      </w:r>
      <w:r>
        <w:rPr>
          <w:vertAlign w:val="subscript"/>
        </w:rPr>
        <w:t>2</w:t>
      </w:r>
      <w:r>
        <w:t>, yet its efficiency and durability are hindered by carbon deposition and poorly defined photochemical contributions. Here, we demonstrate a charge‐directed photothermal DRM catalyst composed of Rh nanoparticles supported on TiO</w:t>
      </w:r>
      <w:r>
        <w:t xml:space="preserve"> </w:t>
      </w:r>
      <w:r>
        <w:t>x</w:t>
      </w:r>
      <w:r>
        <w:t xml:space="preserve"> </w:t>
      </w:r>
      <w:r>
        <w:t>‐functionalized TiC, where interfacial TiO</w:t>
      </w:r>
      <w:r>
        <w:t xml:space="preserve"> </w:t>
      </w:r>
      <w:r>
        <w:t>x</w:t>
      </w:r>
      <w:r>
        <w:t xml:space="preserve"> </w:t>
      </w:r>
      <w:r>
        <w:t>domains play a critical role by coupling directional photocarrier flow with adaptive oxygen chemistry. Upon illumination, metallic TiC generates charge carriers that transfer electrons to Rh sites while steering holes to TiO</w:t>
      </w:r>
      <w:r>
        <w:t xml:space="preserve"> </w:t>
      </w:r>
      <w:r>
        <w:t>x</w:t>
      </w:r>
      <w:r>
        <w:t xml:space="preserve"> </w:t>
      </w:r>
      <w:r>
        <w:t>surface oxygens. This charge‐directed interfacial chemistry selectively lowers the barrier for *OCH</w:t>
      </w:r>
      <w:r>
        <w:rPr>
          <w:vertAlign w:val="subscript"/>
        </w:rPr>
        <w:t>3</w:t>
      </w:r>
      <w:r>
        <w:t>formation, the potential‐determining step, thus suppressing *CH</w:t>
      </w:r>
      <w:r>
        <w:rPr>
          <w:vertAlign w:val="subscript"/>
        </w:rPr>
        <w:t>3</w:t>
      </w:r>
      <w:r>
        <w:t>over‐dehydrogenation and mitigating carbon formation. Concurrently, CO</w:t>
      </w:r>
      <w:r>
        <w:rPr>
          <w:vertAlign w:val="subscript"/>
        </w:rPr>
        <w:t>2</w:t>
      </w:r>
      <w:r>
        <w:t>activation at oxygen vacancies within TiO</w:t>
      </w:r>
      <w:r>
        <w:t xml:space="preserve"> </w:t>
      </w:r>
      <w:r>
        <w:t>x</w:t>
      </w:r>
      <w:r>
        <w:t xml:space="preserve"> </w:t>
      </w:r>
      <w:r>
        <w:t>regions restocks surface oxygens, closing a regenerative photothermal Mars–van Krevelen cycle. As a result, the catalyst delivers high syngas production rates (CO: 17.5 mol g</w:t>
      </w:r>
      <w:r>
        <w:t xml:space="preserve"> </w:t>
      </w:r>
      <w:r>
        <w:t>Rh</w:t>
      </w:r>
      <w:r>
        <w:t xml:space="preserve"> </w:t>
      </w:r>
      <w:r>
        <w:t>−1</w:t>
      </w:r>
      <w:r>
        <w:t xml:space="preserve"> </w:t>
      </w:r>
      <w:r>
        <w:t>h</w:t>
      </w:r>
      <w:r>
        <w:t xml:space="preserve"> </w:t>
      </w:r>
      <w:r>
        <w:t>−1</w:t>
      </w:r>
      <w:r>
        <w:t xml:space="preserve"> </w:t>
      </w:r>
      <w:r>
        <w:t>, H</w:t>
      </w:r>
      <w:r>
        <w:rPr>
          <w:vertAlign w:val="subscript"/>
        </w:rPr>
        <w:t>2</w:t>
      </w:r>
      <w:r>
        <w:t>: 10.5 mol g</w:t>
      </w:r>
      <w:r>
        <w:t xml:space="preserve"> </w:t>
      </w:r>
      <w:r>
        <w:t>Rh</w:t>
      </w:r>
      <w:r>
        <w:t xml:space="preserve"> </w:t>
      </w:r>
      <w:r>
        <w:t>−1</w:t>
      </w:r>
      <w:r>
        <w:t xml:space="preserve"> </w:t>
      </w:r>
      <w:r>
        <w:t>h</w:t>
      </w:r>
      <w:r>
        <w:t xml:space="preserve"> </w:t>
      </w:r>
      <w:r>
        <w:t>−1</w:t>
      </w:r>
      <w:r>
        <w:t xml:space="preserve"> </w:t>
      </w:r>
      <w:r>
        <w:t>), attains a light‐to‐chemical energy efficiency of 29%, and operates stably for over 100 h without coking. This work highlights the mechanistic importance of amorphous TiO</w:t>
      </w:r>
      <w:r>
        <w:t xml:space="preserve"> </w:t>
      </w:r>
      <w:r>
        <w:t>x</w:t>
      </w:r>
      <w:r>
        <w:t xml:space="preserve"> </w:t>
      </w:r>
      <w:r>
        <w:t>interface in charge‐directed photothermal DRM and provides design insights for developing coking‐resistant reforming catalysts.</w:t>
      </w:r>
    </w:p>
    <w:p>
      <w:pPr>
        <w:spacing w:before="120" w:after="120"/>
      </w:pPr>
      <w:r>
        <w:rPr>
          <w:sz w:val="18"/>
        </w:rPr>
        <w:t>——————————————————————————————————————————————————————————————————————</w:t>
      </w:r>
    </w:p>
    <w:p>
      <w:pPr>
        <w:spacing w:before="160" w:after="40" w:line="240" w:lineRule="auto"/>
      </w:pPr>
      <w:r>
        <w:rPr>
          <w:b/>
        </w:rPr>
        <w:t xml:space="preserve">[4] </w:t>
      </w:r>
      <w:hyperlink r:id="rId255">
        <w:r>
          <w:rPr>
            <w:color w:val="1155CC"/>
            <w:u w:val="single"/>
          </w:rPr>
          <w:t>后修饰 MOF-808 框架中 N-杂环卡宾 (NHC) 锚定 Cu(I) 原子与原位生成的 Cu 纳米颗粒之间的协同相互作用促进 CO2 还原中的 C─C 耦合</w:t>
        </w:r>
      </w:hyperlink>
    </w:p>
    <w:p>
      <w:pPr>
        <w:spacing w:before="0" w:after="80"/>
      </w:pPr>
      <w:r>
        <w:rPr>
          <w:i/>
          <w:sz w:val="20"/>
        </w:rPr>
        <w:t>EN: Synergistic Interaction Between N‐Heterocyclic Carbene (NHC)‐Anchored Cu(I) Atom and In Situ‐Generated Cu Nanoparticles in a Post‐Modified MOF‐808 Framework Promoting C─C Coupling in CO2 Reduction</w:t>
      </w:r>
    </w:p>
    <w:p>
      <w:pPr>
        <w:spacing w:before="0" w:after="120"/>
      </w:pPr>
      <w:r>
        <w:rPr>
          <w:b/>
        </w:rPr>
        <w:t xml:space="preserve">Source: </w:t>
      </w:r>
      <w:r>
        <w:t>Wiley-Online-Library: Angewandte Chemie International Edition: Table of Contents</w:t>
      </w:r>
      <w:r>
        <w:t xml:space="preserve">    </w:t>
      </w:r>
      <w:r>
        <w:rPr>
          <w:b/>
        </w:rPr>
        <w:t xml:space="preserve">Pub date: </w:t>
      </w:r>
      <w:r>
        <w:t>2026-06-13 17:23:12+00:00</w:t>
      </w:r>
      <w:r>
        <w:t xml:space="preserve">    </w:t>
      </w:r>
      <w:r>
        <w:rPr>
          <w:b/>
        </w:rPr>
        <w:t xml:space="preserve">DOI: </w:t>
      </w:r>
      <w:hyperlink r:id="rId256">
        <w:r>
          <w:rPr>
            <w:color w:val="1155CC"/>
            <w:u w:val="single"/>
          </w:rPr>
          <w:t>10.1002/anie.7002606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CO的电化学还原</w:t>
      </w:r>
      <w:r>
        <w:rPr>
          <w:vertAlign w:val="subscript"/>
        </w:rPr>
        <w:t>2</w:t>
      </w:r>
      <w:r>
        <w:t>高价值化学品，如 C</w:t>
      </w:r>
      <w:r>
        <w:rPr>
          <w:vertAlign w:val="subscript"/>
        </w:rPr>
        <w:t>2</w:t>
      </w:r>
      <w:r>
        <w:t>H</w:t>
      </w:r>
      <w:r>
        <w:rPr>
          <w:vertAlign w:val="subscript"/>
        </w:rPr>
        <w:t>4</w:t>
      </w:r>
      <w:r>
        <w:t>代表了可持续能源和二氧化碳的一条有前途的途径</w:t>
      </w:r>
      <w:r>
        <w:rPr>
          <w:vertAlign w:val="subscript"/>
        </w:rPr>
        <w:t>2</w:t>
      </w:r>
      <w:r>
        <w:t>缓解。然而，其效率仍然受到 C─C 键形成的高能垒和竞争性析氢反应 (HER) 的限制。在此，我们报道了一种电化学CO协同催化剂</w:t>
      </w:r>
      <w:r>
        <w:rPr>
          <w:vertAlign w:val="subscript"/>
        </w:rPr>
        <w:t>2</w:t>
      </w:r>
      <w:r>
        <w:t>还原反应（eCO</w:t>
      </w:r>
      <w:r>
        <w:rPr>
          <w:vertAlign w:val="subscript"/>
        </w:rPr>
        <w:t>2</w:t>
      </w:r>
      <w:r>
        <w:t>RR），它包含一个 N-杂环卡宾（NHC）锚定的 Cu（I）原子和 MOF-808 框架中的原位电生成的 Cu 纳米粒子。该催化剂在中性电解质中表现出出色的性能，C的法拉第效率（FE）高达61.0%</w:t>
      </w:r>
      <w:r>
        <w:rPr>
          <w:vertAlign w:val="subscript"/>
        </w:rPr>
        <w:t>2</w:t>
      </w:r>
      <w:r>
        <w:t>H</w:t>
      </w:r>
      <w:r>
        <w:rPr>
          <w:vertAlign w:val="subscript"/>
        </w:rPr>
        <w:t>4</w:t>
      </w:r>
      <w:r>
        <w:t>总碳含量为 79.5%</w:t>
      </w:r>
      <w:r>
        <w:t xml:space="preserve"> </w:t>
      </w:r>
      <w:r>
        <w:t>2+</w:t>
      </w:r>
      <w:r>
        <w:t xml:space="preserve"> </w:t>
      </w:r>
      <w:r>
        <w:t>产品。实验和理论研究揭示了 NHC 配体在 eCO 中的双重作用</w:t>
      </w:r>
      <w:r>
        <w:rPr>
          <w:vertAlign w:val="subscript"/>
        </w:rPr>
        <w:t>2</w:t>
      </w:r>
      <w:r>
        <w:t>RR：（i）通过与界面水的强大氢键网络促进质子转移和*CO氢化，（ii）通过其强大的给电子能力稳定*CHO和*COCHO等关键中间体。在定制的微环境中，分子 NHC-Cu(I) 原子和相邻的 Cu 纳米粒子之间的协同作用抑制 HER 并降低能量</w:t>
      </w:r>
    </w:p>
    <w:p>
      <w:pPr>
        <w:spacing w:before="0" w:after="200" w:lineRule="auto" w:line="276"/>
      </w:pPr>
      <w:r>
        <w:rPr>
          <w:b/>
        </w:rPr>
        <w:t xml:space="preserve">Abstract (EN): </w:t>
      </w:r>
      <w:r>
        <w:t>The electrochemical reduction of CO</w:t>
      </w:r>
      <w:r>
        <w:rPr>
          <w:vertAlign w:val="subscript"/>
        </w:rPr>
        <w:t>2</w:t>
      </w:r>
      <w:r>
        <w:t>to high‐value chemicals like C</w:t>
      </w:r>
      <w:r>
        <w:rPr>
          <w:vertAlign w:val="subscript"/>
        </w:rPr>
        <w:t>2</w:t>
      </w:r>
      <w:r>
        <w:t>H</w:t>
      </w:r>
      <w:r>
        <w:rPr>
          <w:vertAlign w:val="subscript"/>
        </w:rPr>
        <w:t>4</w:t>
      </w:r>
      <w:r>
        <w:t>represents a promising route for sustainable energy and CO</w:t>
      </w:r>
      <w:r>
        <w:rPr>
          <w:vertAlign w:val="subscript"/>
        </w:rPr>
        <w:t>2</w:t>
      </w:r>
      <w:r>
        <w:t>mitigation. However, its efficiency remains constrained by the high energy barrier for C─C bond formation and the competing hydrogen evolution reaction (HER). Herein, we report a synergistic catalyst for electrochemical CO</w:t>
      </w:r>
      <w:r>
        <w:rPr>
          <w:vertAlign w:val="subscript"/>
        </w:rPr>
        <w:t>2</w:t>
      </w:r>
      <w:r>
        <w:t>reduction reaction (eCO</w:t>
      </w:r>
      <w:r>
        <w:rPr>
          <w:vertAlign w:val="subscript"/>
        </w:rPr>
        <w:t>2</w:t>
      </w:r>
      <w:r>
        <w:t>RR), which comprises an N‐heterocyclic carbene (NHC)‐anchored Cu(I) atom and in situ electrogenerated Cu nanoparticles in a MOF‐808 framework. The catalyst exhibits outstanding performance in a neutral electrolyte, achieving a high Faradaic efficiency (FE) of 61.0% for C</w:t>
      </w:r>
      <w:r>
        <w:rPr>
          <w:vertAlign w:val="subscript"/>
        </w:rPr>
        <w:t>2</w:t>
      </w:r>
      <w:r>
        <w:t>H</w:t>
      </w:r>
      <w:r>
        <w:rPr>
          <w:vertAlign w:val="subscript"/>
        </w:rPr>
        <w:t>4</w:t>
      </w:r>
      <w:r>
        <w:t>and 79.5% for total C</w:t>
      </w:r>
      <w:r>
        <w:t xml:space="preserve"> </w:t>
      </w:r>
      <w:r>
        <w:t>2+</w:t>
      </w:r>
      <w:r>
        <w:t xml:space="preserve"> </w:t>
      </w:r>
      <w:r>
        <w:t>products. Experimental and theoretical studies reveal a dual role of the NHC ligand in eCO</w:t>
      </w:r>
      <w:r>
        <w:rPr>
          <w:vertAlign w:val="subscript"/>
        </w:rPr>
        <w:t>2</w:t>
      </w:r>
      <w:r>
        <w:t>RR: (i) promoting proton transfer and *CO hydrogenation via a robust hydrogen‐bonding network with interfacial water and (ii) stabilizing key intermediates such as *CHO and *COCHO through its strong electron‐donating ability. The synergy between a molecular NHC‐Cu(I) atom and adjacent Cu nanoparticles in a tailored microenvironment suppresses HER and lowers the energy barrier for asymmetric C─C coupling. This work offers a strategic design concept for constructing molecular‐nanostructured synergistic active sites in metal‐organic frameworks (MOFs) to advance electrocatalytic CO</w:t>
      </w:r>
      <w:r>
        <w:rPr>
          <w:vertAlign w:val="subscript"/>
        </w:rPr>
        <w:t>2</w:t>
      </w:r>
      <w:r>
        <w:t>conversion.</w:t>
      </w:r>
    </w:p>
    <w:p>
      <w:pPr>
        <w:spacing w:before="120" w:after="120"/>
      </w:pPr>
      <w:r>
        <w:rPr>
          <w:sz w:val="18"/>
        </w:rPr>
        <w:t>——————————————————————————————————————————————————————————————————————</w:t>
      </w:r>
    </w:p>
    <w:p>
      <w:pPr>
        <w:spacing w:before="160" w:after="40" w:line="240" w:lineRule="auto"/>
      </w:pPr>
      <w:r>
        <w:rPr>
          <w:b/>
        </w:rPr>
        <w:t xml:space="preserve">[5] </w:t>
      </w:r>
      <w:hyperlink r:id="rId190">
        <w:r>
          <w:rPr>
            <w:color w:val="1155CC"/>
            <w:u w:val="single"/>
          </w:rPr>
          <w:t>多晶-单晶岛界面的有序晶格用于固体氧化物电解池中高效 CO2/H2O 共电解</w:t>
        </w:r>
      </w:hyperlink>
    </w:p>
    <w:p>
      <w:pPr>
        <w:spacing w:before="0" w:after="80"/>
      </w:pPr>
      <w:r>
        <w:rPr>
          <w:i/>
          <w:sz w:val="20"/>
        </w:rPr>
        <w:t>EN: Ordered Lattice at Polycrystalline‐Single Crystal Island Interfaces for Efficient CO2/H2O Co‐Electrolysis in Solid Oxide Electrolysis Cells</w:t>
      </w:r>
    </w:p>
    <w:p>
      <w:pPr>
        <w:spacing w:before="0" w:after="120"/>
      </w:pPr>
      <w:r>
        <w:rPr>
          <w:b/>
        </w:rPr>
        <w:t xml:space="preserve">Source: </w:t>
      </w:r>
      <w:r>
        <w:t>Wiley: Advanced Energy Materials: Table of Contents</w:t>
      </w:r>
      <w:r>
        <w:t xml:space="preserve">    </w:t>
      </w:r>
      <w:r>
        <w:rPr>
          <w:b/>
        </w:rPr>
        <w:t xml:space="preserve">Pub date: </w:t>
      </w:r>
      <w:r>
        <w:t>2026-06-14 12:59:16+00:00</w:t>
      </w:r>
      <w:r>
        <w:t xml:space="preserve">    </w:t>
      </w:r>
      <w:r>
        <w:rPr>
          <w:b/>
        </w:rPr>
        <w:t xml:space="preserve">DOI: </w:t>
      </w:r>
      <w:hyperlink r:id="rId191">
        <w:r>
          <w:rPr>
            <w:color w:val="1155CC"/>
            <w:u w:val="single"/>
          </w:rPr>
          <w:t>10.1002/aenm.71182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固体氧化物电解池（SOEC）有望大规模共电解 CO</w:t>
      </w:r>
      <w:r>
        <w:rPr>
          <w:vertAlign w:val="subscript"/>
        </w:rPr>
        <w:t>2</w:t>
      </w:r>
      <w:r>
        <w:t>和H</w:t>
      </w:r>
      <w:r>
        <w:rPr>
          <w:vertAlign w:val="subscript"/>
        </w:rPr>
        <w:t>2</w:t>
      </w:r>
      <w:r>
        <w:t>O 产生合成气 (CO/H</w:t>
      </w:r>
      <w:r>
        <w:rPr>
          <w:vertAlign w:val="subscript"/>
        </w:rPr>
        <w:t>2</w:t>
      </w:r>
      <w:r>
        <w:t>），这是实现可持续燃料生产的关键一步。然而，该过程的效率通常受到缓慢的电极动力学和低效的界面电荷转移的限制。在这里，我们通过外延生长构建多晶-单晶岛同质结来克服这些限制。在此架构中，单晶 BaFeO</w:t>
      </w:r>
      <w:r>
        <w:rPr>
          <w:vertAlign w:val="subscript"/>
        </w:rPr>
        <w:t>3</w:t>
      </w:r>
      <w:r>
        <w:t>和钴酸锂</w:t>
      </w:r>
      <w:r>
        <w:t xml:space="preserve"> </w:t>
      </w:r>
      <w:r>
        <w:t>x</w:t>
      </w:r>
      <w:r>
        <w:t xml:space="preserve"> </w:t>
      </w:r>
      <w:r>
        <w:t>铁</w:t>
      </w:r>
      <w:r>
        <w:t xml:space="preserve"> </w:t>
      </w:r>
      <w:r>
        <w:t>1-x</w:t>
      </w:r>
      <w:r>
        <w:t xml:space="preserve"> </w:t>
      </w:r>
      <w:r>
        <w:t>氧</w:t>
      </w:r>
      <w:r>
        <w:rPr>
          <w:vertAlign w:val="subscript"/>
        </w:rPr>
        <w:t>3</w:t>
      </w:r>
      <w:r>
        <w:t>岛屿生长在多晶Ba上</w:t>
      </w:r>
      <w:r>
        <w:t xml:space="preserve"> </w:t>
      </w:r>
      <w:r>
        <w:t>0.7</w:t>
      </w:r>
      <w:r>
        <w:t xml:space="preserve"> </w:t>
      </w:r>
      <w:r>
        <w:t>钆</w:t>
      </w:r>
      <w:r>
        <w:t xml:space="preserve"> </w:t>
      </w:r>
      <w:r>
        <w:t>0.3</w:t>
      </w:r>
      <w:r>
        <w:t xml:space="preserve"> </w:t>
      </w:r>
      <w:r>
        <w:t>氧化亚铁</w:t>
      </w:r>
      <w:r>
        <w:rPr>
          <w:vertAlign w:val="subscript"/>
        </w:rPr>
        <w:t>3</w:t>
      </w:r>
      <w:r>
        <w:t>(110)基材。由此产生的结构实现了两个主要功能：它在空间上分离二氧化碳</w:t>
      </w:r>
      <w:r>
        <w:rPr>
          <w:vertAlign w:val="subscript"/>
        </w:rPr>
        <w:t>2</w:t>
      </w:r>
      <w:r>
        <w:t>和H</w:t>
      </w:r>
      <w:r>
        <w:rPr>
          <w:vertAlign w:val="subscript"/>
        </w:rPr>
        <w:t>2</w:t>
      </w:r>
      <w:r>
        <w:t>O 吸附位点，而高度有序的多晶-单晶界面，没有悬挂键，显着增强了电荷转移动力学。巴科</w:t>
      </w:r>
      <w:r>
        <w:t xml:space="preserve"> </w:t>
      </w:r>
      <w:r>
        <w:t>0.1</w:t>
      </w:r>
      <w:r>
        <w:t xml:space="preserve"> </w:t>
      </w:r>
      <w:r>
        <w:t>铁</w:t>
      </w:r>
      <w:r>
        <w:t xml:space="preserve"> </w:t>
      </w:r>
      <w:r>
        <w:t>0.9</w:t>
      </w:r>
      <w:r>
        <w:t xml:space="preserve"> </w:t>
      </w:r>
      <w:r>
        <w:t>氧</w:t>
      </w:r>
      <w:r>
        <w:rPr>
          <w:vertAlign w:val="subscript"/>
        </w:rPr>
        <w:t>3</w:t>
      </w:r>
      <w:r>
        <w:t>/巴</w:t>
      </w:r>
      <w:r>
        <w:t xml:space="preserve"> </w:t>
      </w:r>
      <w:r>
        <w:t>0.7</w:t>
      </w:r>
      <w:r>
        <w:t xml:space="preserve"> </w:t>
      </w:r>
      <w:r>
        <w:t>钆</w:t>
      </w:r>
      <w:r>
        <w:t xml:space="preserve"> </w:t>
      </w:r>
      <w:r>
        <w:t>0.3</w:t>
      </w:r>
      <w:r>
        <w:t xml:space="preserve"> </w:t>
      </w:r>
      <w:r>
        <w:t>氧化亚铁</w:t>
      </w:r>
    </w:p>
    <w:p>
      <w:pPr>
        <w:spacing w:before="0" w:after="200" w:lineRule="auto" w:line="276"/>
      </w:pPr>
      <w:r>
        <w:rPr>
          <w:b/>
        </w:rPr>
        <w:t xml:space="preserve">Abstract (EN): </w:t>
      </w:r>
      <w:r>
        <w:t>Solid oxide electrolysis cells (SOECs) hold promise for large‐scale co‐electrolysis of CO</w:t>
      </w:r>
      <w:r>
        <w:rPr>
          <w:vertAlign w:val="subscript"/>
        </w:rPr>
        <w:t>2</w:t>
      </w:r>
      <w:r>
        <w:t>and H</w:t>
      </w:r>
      <w:r>
        <w:rPr>
          <w:vertAlign w:val="subscript"/>
        </w:rPr>
        <w:t>2</w:t>
      </w:r>
      <w:r>
        <w:t>O to produce syngas (CO/H</w:t>
      </w:r>
      <w:r>
        <w:rPr>
          <w:vertAlign w:val="subscript"/>
        </w:rPr>
        <w:t>2</w:t>
      </w:r>
      <w:r>
        <w:t>), a key step toward sustainable fuel production. However, the efficiency of this process is often limited by sluggish electrode kinetics and inefficient interfacial charge transfer. Here, we construct a polycrystalline‐single crystal island homojunction via epitaxial growth to overcome these limitations. In this architecture, single‐crystal BaFeO</w:t>
      </w:r>
      <w:r>
        <w:rPr>
          <w:vertAlign w:val="subscript"/>
        </w:rPr>
        <w:t>3</w:t>
      </w:r>
      <w:r>
        <w:t>and BaCo</w:t>
      </w:r>
      <w:r>
        <w:t xml:space="preserve"> </w:t>
      </w:r>
      <w:r>
        <w:t>x</w:t>
      </w:r>
      <w:r>
        <w:t xml:space="preserve"> </w:t>
      </w:r>
      <w:r>
        <w:t>Fe</w:t>
      </w:r>
      <w:r>
        <w:t xml:space="preserve"> </w:t>
      </w:r>
      <w:r>
        <w:t>1‐x</w:t>
      </w:r>
      <w:r>
        <w:t xml:space="preserve"> </w:t>
      </w:r>
      <w:r>
        <w:t>O</w:t>
      </w:r>
      <w:r>
        <w:rPr>
          <w:vertAlign w:val="subscript"/>
        </w:rPr>
        <w:t>3</w:t>
      </w:r>
      <w:r>
        <w:t>islands are grown on a polycrystalline Ba</w:t>
      </w:r>
      <w:r>
        <w:t xml:space="preserve"> </w:t>
      </w:r>
      <w:r>
        <w:t>0.7</w:t>
      </w:r>
      <w:r>
        <w:t xml:space="preserve"> </w:t>
      </w:r>
      <w:r>
        <w:t>Gd</w:t>
      </w:r>
      <w:r>
        <w:t xml:space="preserve"> </w:t>
      </w:r>
      <w:r>
        <w:t>0.3</w:t>
      </w:r>
      <w:r>
        <w:t xml:space="preserve"> </w:t>
      </w:r>
      <w:r>
        <w:t>FeO</w:t>
      </w:r>
      <w:r>
        <w:rPr>
          <w:vertAlign w:val="subscript"/>
        </w:rPr>
        <w:t>3</w:t>
      </w:r>
      <w:r>
        <w:t>(110) substrate. The resulting structure achieves two major functions: it spatially separates CO</w:t>
      </w:r>
      <w:r>
        <w:rPr>
          <w:vertAlign w:val="subscript"/>
        </w:rPr>
        <w:t>2</w:t>
      </w:r>
      <w:r>
        <w:t>and H</w:t>
      </w:r>
      <w:r>
        <w:rPr>
          <w:vertAlign w:val="subscript"/>
        </w:rPr>
        <w:t>2</w:t>
      </w:r>
      <w:r>
        <w:t>O adsorption sites, while the highly ordered polycrystalline‐single crystal interface, free from dangling bonds, significantly enhances charge transfer kinetics. The BaCo</w:t>
      </w:r>
      <w:r>
        <w:t xml:space="preserve"> </w:t>
      </w:r>
      <w:r>
        <w:t>0.1</w:t>
      </w:r>
      <w:r>
        <w:t xml:space="preserve"> </w:t>
      </w:r>
      <w:r>
        <w:t>Fe</w:t>
      </w:r>
      <w:r>
        <w:t xml:space="preserve"> </w:t>
      </w:r>
      <w:r>
        <w:t>0.9</w:t>
      </w:r>
      <w:r>
        <w:t xml:space="preserve"> </w:t>
      </w:r>
      <w:r>
        <w:t>O</w:t>
      </w:r>
      <w:r>
        <w:rPr>
          <w:vertAlign w:val="subscript"/>
        </w:rPr>
        <w:t>3</w:t>
      </w:r>
      <w:r>
        <w:t>/Ba</w:t>
      </w:r>
      <w:r>
        <w:t xml:space="preserve"> </w:t>
      </w:r>
      <w:r>
        <w:t>0.7</w:t>
      </w:r>
      <w:r>
        <w:t xml:space="preserve"> </w:t>
      </w:r>
      <w:r>
        <w:t>Gd</w:t>
      </w:r>
      <w:r>
        <w:t xml:space="preserve"> </w:t>
      </w:r>
      <w:r>
        <w:t>0.3</w:t>
      </w:r>
      <w:r>
        <w:t xml:space="preserve"> </w:t>
      </w:r>
      <w:r>
        <w:t>FeO</w:t>
      </w:r>
      <w:r>
        <w:rPr>
          <w:vertAlign w:val="subscript"/>
        </w:rPr>
        <w:t>3</w:t>
      </w:r>
      <w:r>
        <w:t>composite electrode delivers a faradaic efficiency of 95.9% for CO</w:t>
      </w:r>
      <w:r>
        <w:rPr>
          <w:vertAlign w:val="subscript"/>
        </w:rPr>
        <w:t>2</w:t>
      </w:r>
      <w:r>
        <w:t>reduction and shows no notable degradation over 300 h of continuous operation. Moreover, directional doping of Co into the BaFeO</w:t>
      </w:r>
      <w:r>
        <w:rPr>
          <w:vertAlign w:val="subscript"/>
        </w:rPr>
        <w:t>3</w:t>
      </w:r>
      <w:r>
        <w:t>single‐crystal islands precisely modulates the adsorption behavior toward CO</w:t>
      </w:r>
      <w:r>
        <w:rPr>
          <w:vertAlign w:val="subscript"/>
        </w:rPr>
        <w:t>2</w:t>
      </w:r>
      <w:r>
        <w:t>and H</w:t>
      </w:r>
      <w:r>
        <w:rPr>
          <w:vertAlign w:val="subscript"/>
        </w:rPr>
        <w:t>2</w:t>
      </w:r>
      <w:r>
        <w:t>O, allowing a broadly adjustable syngas ratio (CO:H</w:t>
      </w:r>
      <w:r>
        <w:rPr>
          <w:vertAlign w:val="subscript"/>
        </w:rPr>
        <w:t>2</w:t>
      </w:r>
      <w:r>
        <w:t>= 1:1.1 to 1:5.8). This ordered ‘polycrystalline‐single crystal’ structure establishes a materials design strategy in which ordered interfaces and spatially separated active sites converge to overcome the kinetic and transport limitations that have long hindered high‐efficiency co‐electrolysis in SOECs.</w:t>
      </w:r>
    </w:p>
    <w:p>
      <w:pPr>
        <w:spacing w:before="120" w:after="120"/>
      </w:pPr>
      <w:r>
        <w:rPr>
          <w:sz w:val="18"/>
        </w:rPr>
        <w:t>——————————————————————————————————————————————————————————————————————</w:t>
      </w:r>
    </w:p>
    <w:p>
      <w:pPr>
        <w:spacing w:before="160" w:after="40" w:line="240" w:lineRule="auto"/>
      </w:pPr>
      <w:r>
        <w:rPr>
          <w:b/>
        </w:rPr>
        <w:t xml:space="preserve">[6] </w:t>
      </w:r>
      <w:hyperlink r:id="rId257">
        <w:r>
          <w:rPr>
            <w:color w:val="1155CC"/>
            <w:u w:val="single"/>
          </w:rPr>
          <w:t>减少二氧化碳排放的新举措</w:t>
        </w:r>
      </w:hyperlink>
    </w:p>
    <w:p>
      <w:pPr>
        <w:spacing w:before="0" w:after="80"/>
      </w:pPr>
      <w:r>
        <w:rPr>
          <w:i/>
          <w:sz w:val="20"/>
        </w:rPr>
        <w:t>EN: A new spin on CO2 reduction</w:t>
      </w:r>
    </w:p>
    <w:p>
      <w:pPr>
        <w:spacing w:before="0" w:after="120"/>
      </w:pPr>
      <w:r>
        <w:rPr>
          <w:b/>
        </w:rPr>
        <w:t xml:space="preserve">Source: </w:t>
      </w:r>
      <w:r>
        <w:t>Nature Chemical Engineering</w:t>
      </w:r>
      <w:r>
        <w:t xml:space="preserve">    </w:t>
      </w:r>
      <w:r>
        <w:rPr>
          <w:b/>
        </w:rPr>
        <w:t xml:space="preserve">Pub date: </w:t>
      </w:r>
      <w:r>
        <w:t>2026-06-15 00:00:00+00:00</w:t>
      </w:r>
      <w:r>
        <w:t xml:space="preserve">    </w:t>
      </w:r>
      <w:r>
        <w:rPr>
          <w:b/>
        </w:rPr>
        <w:t xml:space="preserve">DOI: </w:t>
      </w:r>
      <w:hyperlink r:id="rId258">
        <w:r>
          <w:rPr>
            <w:color w:val="1155CC"/>
            <w:u w:val="single"/>
          </w:rPr>
          <w:t>10.1038/s44286-026-00409-9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259">
        <w:r>
          <w:rPr>
            <w:color w:val="1155CC"/>
            <w:u w:val="single"/>
          </w:rPr>
          <w:t>美国电力部门基于胺的碳捕获和储存对人类健康的影响</w:t>
        </w:r>
      </w:hyperlink>
    </w:p>
    <w:p>
      <w:pPr>
        <w:spacing w:before="0" w:after="80"/>
      </w:pPr>
      <w:r>
        <w:rPr>
          <w:i/>
          <w:sz w:val="20"/>
        </w:rPr>
        <w:t>EN: Human health effects of amine-based carbon capture and storage in the US electricity sector</w:t>
      </w:r>
    </w:p>
    <w:p>
      <w:pPr>
        <w:spacing w:before="0" w:after="120"/>
      </w:pPr>
      <w:r>
        <w:rPr>
          <w:b/>
        </w:rPr>
        <w:t xml:space="preserve">Source: </w:t>
      </w:r>
      <w:r>
        <w:t>Nature Sustainability</w:t>
      </w:r>
      <w:r>
        <w:t xml:space="preserve">    </w:t>
      </w:r>
      <w:r>
        <w:rPr>
          <w:b/>
        </w:rPr>
        <w:t xml:space="preserve">Pub date: </w:t>
      </w:r>
      <w:r>
        <w:t>2026-06-15 00:00:00+00:00</w:t>
      </w:r>
      <w:r>
        <w:t xml:space="preserve">    </w:t>
      </w:r>
      <w:r>
        <w:rPr>
          <w:b/>
        </w:rPr>
        <w:t xml:space="preserve">DOI: </w:t>
      </w:r>
      <w:hyperlink r:id="rId260">
        <w:r>
          <w:rPr>
            <w:color w:val="1155CC"/>
            <w:u w:val="single"/>
          </w:rPr>
          <w:t>10.1038/s41893-026-01869-w</w:t>
        </w:r>
      </w:hyperlink>
    </w:p>
    <w:p>
      <w:pPr>
        <w:spacing w:before="0" w:after="120"/>
      </w:pPr>
      <w:r>
        <w:rPr>
          <w:b/>
        </w:rPr>
        <w:t xml:space="preserve">Notes: </w:t>
      </w:r>
      <w:r>
        <w:t>abstract_source=nature_html</w:t>
      </w:r>
    </w:p>
    <w:p>
      <w:pPr>
        <w:spacing w:before="0" w:after="80" w:lineRule="auto" w:line="276"/>
      </w:pPr>
      <w:r>
        <w:rPr>
          <w:b/>
        </w:rPr>
        <w:t xml:space="preserve">摘要（ZH）: </w:t>
      </w:r>
      <w:r>
        <w:t>燃烧后碳捕获和封存（CCS）可以减少煤炭和天然气联合循环（NGCC）发电厂的二氧化碳排放。整合 CCS 也会影响其他空气污染物的排放。烟气必须进行预处理，以避免污染物和溶剂之间发生不良反应，而胺基溶剂可能会降解，导致 NH3 排放。在这里，我们使用单乙醇胺以及 2-氨基-2-甲基-1 丙醇和哌嗪的混合物 (CESAR1) 作为代表性溶剂，探讨了煤炭和 NGCC 工厂在全国范围内采用燃烧后 CCS 对空气污染和二氧化碳排放的影响。如果 CCS 改造仅适用于较新的设施，则 97% 的 NGCC 工厂排放量是可以解决的，而燃煤工厂的排放量只有 27%。 CCS 改造对人类健康的潜在益处集中在燃煤电厂，无论溶剂如何，增加烟气预处理的净效益都是巨大的。然而，NGCC 工厂需要 NH3 排放控制和/或现代溶剂，因为使用没有 NH3 排放控制的单乙醇胺可能会使人类健康净负担增加四倍。因此，采用胺基溶剂的燃烧后 CCS 对人类健康的影响取决于溶剂选择、燃料类型、现有烟气浓度和 NH3 排放控制。仔细考虑这些因素可以最大限度地提高燃烧后 CCS 部署的气候和健康效益。</w:t>
      </w:r>
    </w:p>
    <w:p>
      <w:pPr>
        <w:spacing w:before="0" w:after="200" w:lineRule="auto" w:line="276"/>
      </w:pPr>
      <w:r>
        <w:rPr>
          <w:b/>
        </w:rPr>
        <w:t xml:space="preserve">Abstract (EN): </w:t>
      </w:r>
      <w:r>
        <w:t>Postcombustion carbon capture and storage (CCS) can reduce CO2 emissions from coal and natural gas combined cycle (NGCC) power plants. Integrating CCS affects other air pollutant emissions as well. Flue gas must be pretreated to avoid undesirable reactions between pollutants and solvents, whereas amine-based solvents can degrade, leading to NH3 emissions. Here we explore the air pollution and CO2 emissions impacts of national-scale postcombustion CCS adoption at coal and NGCC plants using monoethanolamine and a mixture of 2-amino-2-methyl-1 propanol and piperazine (CESAR1) as representative solvents. If CCS retrofits are only viable on newer facilities, 97% of NGCC plant emissions are addressable versus 27% of coal plant emissions. Potential human health benefits of CCS retrofits are concentrated at coal plants, where the net benefits of added flue gas pretreatment are substantial, regardless of solvent. NGCC plants, however, require NH3 emissions controls and/or modern solvents, as using monoethanolamine without NH3 emissions controls could increase net human health burdens fourfold. Thus, the human health impacts from adopting postcombustion CCS using amine-based solvents depend on solvent choice, fuel type, existing flue gas concentration and NH3 emission controls. Careful consideration of such factors can maximize the climate and health benefits of postcombustion CCS deployment.</w:t>
      </w:r>
    </w:p>
    <w:p>
      <w:pPr>
        <w:spacing w:before="120" w:after="120"/>
      </w:pPr>
      <w:r>
        <w:rPr>
          <w:sz w:val="18"/>
        </w:rPr>
        <w:t>——————————————————————————————————————————————————————————————————————</w:t>
      </w:r>
    </w:p>
    <w:p>
      <w:pPr>
        <w:spacing w:before="160" w:after="40" w:line="240" w:lineRule="auto"/>
      </w:pPr>
      <w:r>
        <w:rPr>
          <w:b/>
        </w:rPr>
        <w:t xml:space="preserve">[8] </w:t>
      </w:r>
      <w:hyperlink r:id="rId261">
        <w:r>
          <w:rPr>
            <w:color w:val="1155CC"/>
            <w:u w:val="single"/>
          </w:rPr>
          <w:t>H+ 转移途径的调节促进酸性 CO2 电还原中的 C-C 耦合</w:t>
        </w:r>
      </w:hyperlink>
    </w:p>
    <w:p>
      <w:pPr>
        <w:spacing w:before="0" w:after="80"/>
      </w:pPr>
      <w:r>
        <w:rPr>
          <w:i/>
          <w:sz w:val="20"/>
        </w:rPr>
        <w:t>EN: Regulation of H+ transfer pathways promotes C-C coupling in acidic CO2 electroreduction</w:t>
      </w:r>
    </w:p>
    <w:p>
      <w:pPr>
        <w:spacing w:before="0" w:after="120"/>
      </w:pPr>
      <w:r>
        <w:rPr>
          <w:b/>
        </w:rPr>
        <w:t xml:space="preserve">Source: </w:t>
      </w:r>
      <w:r>
        <w:t>Physical sciences : Nature Communications subject feeds</w:t>
      </w:r>
      <w:r>
        <w:t xml:space="preserve">    </w:t>
      </w:r>
      <w:r>
        <w:rPr>
          <w:b/>
        </w:rPr>
        <w:t xml:space="preserve">Pub date: </w:t>
      </w:r>
      <w:r>
        <w:t>2026-06-15 00:00:00+00:00</w:t>
      </w:r>
    </w:p>
    <w:p>
      <w:pPr>
        <w:spacing w:before="0" w:after="120"/>
      </w:pPr>
      <w:r>
        <w:rPr>
          <w:b/>
        </w:rPr>
        <w:t xml:space="preserve">Notes: </w:t>
      </w:r>
      <w:r>
        <w:t>abstract_source=nature_html</w:t>
      </w:r>
    </w:p>
    <w:p>
      <w:pPr>
        <w:spacing w:before="0" w:after="80" w:lineRule="auto" w:line="276"/>
      </w:pPr>
      <w:r>
        <w:rPr>
          <w:b/>
        </w:rPr>
        <w:t xml:space="preserve">摘要（ZH）: </w:t>
      </w:r>
      <w:r>
        <w:t>酸性介质中的电化学 CO2 还原反应从根本上受到竞争性析氢和对多碳产物选择性差的限制。在这里，我们报告了一种协同催化策略，通过调节质子活化和界面溶剂化，能够在强酸性条件下实现高度选择性的多碳形成。通过利用氧化铜纳米片并整合固定的四（4-羧基苯基）卟啉钴，构建了一个双功能界面，可引导大量质子形成有效的 C-C 键。这种协同作用可在高电流密度下维持 C-C 耦合并抑制寄生氢析出。因此，该混合催化剂在 pH 2 ± 0.1 电解液中的多碳法拉第效率高达 89.5%，部分电流密度超过 1 A cm−2，即使在 pH 0.7 ± 0.05 的情况下也能保持高选择性。原位光谱分析和理论计算表明，受调控的质子活化能够有效形成关键的 C-C 偶联中间体，并在酸性条件下稳定催化界面。这些结果证明了通过质子利用的分子控制在酸性环境中实现高效 CO2 电还原为多碳产物的可行途径。</w:t>
      </w:r>
    </w:p>
    <w:p>
      <w:pPr>
        <w:spacing w:before="0" w:after="200" w:lineRule="auto" w:line="276"/>
      </w:pPr>
      <w:r>
        <w:rPr>
          <w:b/>
        </w:rPr>
        <w:t xml:space="preserve">Abstract (EN): </w:t>
      </w:r>
      <w:r>
        <w:t>Electrochemical CO2 reduction reaction in acidic media is fundamentally limited by competitive hydrogen evolution and poor selectivity toward multi-carbon products. Here we report a cooperative catalytic strategy that enables highly selective multi-carbon formation under strongly acidic conditions by regulating proton activation and interfacial solvation. By exploiting the copper oxide nanosheets and integrating an immobilized cobalt tetra(4-carboxyphenyl)porphyrin, a dual-functional interface is constructed that steers abundant protons toward productive C–C bond formation. This synergy sustains C-C coupling at high current densities and suppresses parasitic hydrogen evolution. As a result, the hybrid catalyst delivers a multi-carbon Faradaic efficiency of up to 89.5% with partial current densities exceeding 1 A cm−2 in pH 2 ± 0.1 electrolyte, and maintains high selectivity even at pH 0.7 ± 0.05. Operando spectroscopic analyses and theoretical calculations reveal that regulated proton activation enables efficient formation of key C-C coupling intermediates and stabilizes the catalytic interface under acidic conditions. These results demonstrate a viable route to achieve efficient CO2 electroreduction to multi-carbon products in acidic environments through molecular control of proton utilization.</w:t>
      </w:r>
    </w:p>
    <w:p>
      <w:pPr>
        <w:spacing w:before="120" w:after="120"/>
      </w:pPr>
      <w:r>
        <w:rPr>
          <w:sz w:val="18"/>
        </w:rPr>
        <w:t>——————————————————————————————————————————————————————————————————————</w:t>
      </w:r>
    </w:p>
    <w:p>
      <w:pPr>
        <w:spacing w:before="160" w:after="40" w:line="240" w:lineRule="auto"/>
      </w:pPr>
      <w:r>
        <w:rPr>
          <w:b/>
        </w:rPr>
        <w:t xml:space="preserve">[9] </w:t>
      </w:r>
      <w:hyperlink r:id="rId262">
        <w:r>
          <w:rPr>
            <w:color w:val="1155CC"/>
            <w:u w:val="single"/>
          </w:rPr>
          <w:t>重新造林在低变暖条件下增加了水的不平等，但在高变暖条件下减少了可用水量</w:t>
        </w:r>
      </w:hyperlink>
    </w:p>
    <w:p>
      <w:pPr>
        <w:spacing w:before="0" w:after="80"/>
      </w:pPr>
      <w:r>
        <w:rPr>
          <w:i/>
          <w:sz w:val="20"/>
        </w:rPr>
        <w:t>EN: Reforestation increases water inequality under low warming but reduces water availability under high warming</w:t>
      </w:r>
    </w:p>
    <w:p>
      <w:pPr>
        <w:spacing w:before="0" w:after="120"/>
      </w:pPr>
      <w:r>
        <w:rPr>
          <w:b/>
        </w:rPr>
        <w:t xml:space="preserve">Source: </w:t>
      </w:r>
      <w:r>
        <w:t>One Earth</w:t>
      </w:r>
      <w:r>
        <w:t xml:space="preserve">    </w:t>
      </w:r>
      <w:r>
        <w:rPr>
          <w:b/>
        </w:rPr>
        <w:t xml:space="preserve">Pub date: </w:t>
      </w:r>
      <w:r>
        <w:t>2026-06-15 00:00:00+00:00</w:t>
      </w:r>
      <w:r>
        <w:t xml:space="preserve">    </w:t>
      </w:r>
      <w:r>
        <w:rPr>
          <w:b/>
        </w:rPr>
        <w:t xml:space="preserve">DOI: </w:t>
      </w:r>
      <w:hyperlink r:id="rId263">
        <w:r>
          <w:rPr>
            <w:color w:val="1155CC"/>
            <w:u w:val="single"/>
          </w:rPr>
          <w:t>10.1016/j.oneear.2026.101740</w:t>
        </w:r>
      </w:hyperlink>
    </w:p>
    <w:p>
      <w:pPr>
        <w:spacing w:before="0" w:after="120"/>
      </w:pPr>
      <w:r>
        <w:rPr>
          <w:b/>
        </w:rPr>
        <w:t xml:space="preserve">Notes: </w:t>
      </w:r>
      <w:r>
        <w:t>abstract_source=openalex</w:t>
      </w:r>
    </w:p>
    <w:p>
      <w:pPr>
        <w:spacing w:before="0" w:after="80" w:lineRule="auto" w:line="276"/>
      </w:pPr>
      <w:r>
        <w:rPr>
          <w:b/>
        </w:rPr>
        <w:t xml:space="preserve">摘要（ZH）: </w:t>
      </w:r>
      <w:r>
        <w:t>土地管理在减缓气候变化和当地水安全方面发挥着至关重要的作用。重新造林作为一项重要的土地管理战略，被广泛实施以固碳，并且还通过生物物理效应改变当地的水资源供应。然而，相同的重新造林活动如何影响不同气候状态下的可用水量仍不清楚，这对于适应性土地管理和水政策来说至关重要。在这里，我们表明重新造林的水文后果取决于背景气候状态。使用地球系统模型模拟，我们发现在低变暖情景下，重新造林导致全球平均可用水量的增加微不足道，但增加了空间不平等（潮湿地区的湿润程度更强）。相比之下，在高度变暖的情况下，重新造林减少了全球可用水量，同时削弱了空间不平等（潮湿地区干燥）。水分预算分析将这些差异归因于潮湿地区的循环响应。我们的研究结果表明，气候背景决定了重新造林的结果，为政策制定者设计气候适应性土地管理战略提供了实用的见解。</w:t>
      </w:r>
    </w:p>
    <w:p>
      <w:pPr>
        <w:spacing w:before="0" w:after="200" w:lineRule="auto" w:line="276"/>
      </w:pPr>
      <w:r>
        <w:rPr>
          <w:b/>
        </w:rPr>
        <w:t xml:space="preserve">Abstract (EN): </w:t>
      </w:r>
      <w:r>
        <w:t>Land management plays a critical role in climate mitigation and local water security. Reforestation, as a key land management strategy, is widely implemented to sequester carbon, and it also alters local water availability through biophysical effects. However, how the same reforestation activity affects water availability under different climate states remains unclear, a gap critical for adaptive land management and water policy. Here, we show that the hydrological consequences of reforestation depend on the background climate state. Using Earth system model simulations, we find that under a low-warming scenario, reforestation causes an insignificant increase in global mean water availability but increases spatial inequality (stronger wetting over wet regions). In contrast, under a high-warming scenario, reforestation reduces global water availability while weakening spatial inequality (drying over wet regions). A moisture budget analysis attributes these differences to circulation responses in wet regions. Our findings reveal that climate context shapes reforestation outcomes, providing practical insights for policymakers designing climate-adaptive land management strategies.</w:t>
      </w:r>
    </w:p>
    <w:p>
      <w:pPr>
        <w:spacing w:before="120" w:after="120"/>
      </w:pPr>
      <w:r>
        <w:rPr>
          <w:sz w:val="18"/>
        </w:rPr>
        <w:t>——————————————————————————————————————————————————————————————————————</w:t>
      </w:r>
    </w:p>
    <w:p>
      <w:pPr>
        <w:spacing w:before="160" w:after="40" w:line="240" w:lineRule="auto"/>
      </w:pPr>
      <w:r>
        <w:rPr>
          <w:b/>
        </w:rPr>
        <w:t xml:space="preserve">[10] </w:t>
      </w:r>
      <w:hyperlink r:id="rId264">
        <w:r>
          <w:rPr>
            <w:color w:val="1155CC"/>
            <w:u w:val="single"/>
          </w:rPr>
          <w:t>单 Ce 原子辅助氧空位作为 CO2 转化的活性和稳定位点</w:t>
        </w:r>
      </w:hyperlink>
    </w:p>
    <w:p>
      <w:pPr>
        <w:spacing w:before="0" w:after="80"/>
      </w:pPr>
      <w:r>
        <w:rPr>
          <w:i/>
          <w:sz w:val="20"/>
        </w:rPr>
        <w:t>EN: Single Ce atom-assisted oxygen vacancies as active and stable sites for CO2 conversion</w:t>
      </w:r>
    </w:p>
    <w:p>
      <w:pPr>
        <w:spacing w:before="0" w:after="120"/>
      </w:pPr>
      <w:r>
        <w:rPr>
          <w:b/>
        </w:rPr>
        <w:t xml:space="preserve">Source: </w:t>
      </w:r>
      <w:r>
        <w:t>Physical sciences : Nature Communications subject feeds</w:t>
      </w:r>
      <w:r>
        <w:t xml:space="preserve">    </w:t>
      </w:r>
      <w:r>
        <w:rPr>
          <w:b/>
        </w:rPr>
        <w:t xml:space="preserve">Pub date: </w:t>
      </w:r>
      <w:r>
        <w:t>2026-06-15 00:00:00+00:00</w:t>
      </w:r>
    </w:p>
    <w:p>
      <w:pPr>
        <w:spacing w:before="0" w:after="120"/>
      </w:pPr>
      <w:r>
        <w:rPr>
          <w:b/>
        </w:rPr>
        <w:t xml:space="preserve">Notes: </w:t>
      </w:r>
      <w:r>
        <w:t>abstract_source=nature_html</w:t>
      </w:r>
    </w:p>
    <w:p>
      <w:pPr>
        <w:spacing w:before="0" w:after="80" w:lineRule="auto" w:line="276"/>
      </w:pPr>
      <w:r>
        <w:rPr>
          <w:b/>
        </w:rPr>
        <w:t xml:space="preserve">摘要（ZH）: </w:t>
      </w:r>
      <w:r>
        <w:t>氧空位通常被认为是 CO2 转化的活性位点，但其增强活性和稳定性的工程却很少被研究，特别是在高反应温度（≥600 °C）或严重应力条件下（即存在 H2S 时）。我们证明，通过添加锚定在这些有缺陷的 MgO 位点上的原子分散的 Ce 原子，可以显着促进有缺陷的 MgO 纳米晶体（小于 20 纳米）中的氧空位。这些催化剂将高性能的 CO2 转化率与卓越的稳定性相结合，即使在 300 ppm H2S 存在的情况下也是如此。对于负载量2来说，增强了H2分子的活化作用，但单独作为单原子催化剂不发挥作用。广泛的机理研究、化学动力学和理论模型证明单原子辅助氧空位（SA-Ov）具有高催化性能和稳定性，从而为催化剂设计开辟了新途径。</w:t>
      </w:r>
    </w:p>
    <w:p>
      <w:pPr>
        <w:spacing w:before="0" w:after="200" w:lineRule="auto" w:line="276"/>
      </w:pPr>
      <w:r>
        <w:rPr>
          <w:b/>
        </w:rPr>
        <w:t xml:space="preserve">Abstract (EN): </w:t>
      </w:r>
      <w:r>
        <w:t>Oxygen vacancies are often considered the active sites for CO2 conversion, but their engineering to enhance activity and stability has been scarcely investigated, especially at high reaction tempeture (≥600 °C) or under severe stressing conditions (i.e., in presence of H2S). We demonstrate that oxygen vacancies in defective MgO nanocrystals (less than 20 nanometres) can be significantly promoted by the addition of atomically dispersed Ce atoms anchored at these defective MgO sites. These catalysts combine high performance in CO2 conversion with exceptional stability even in the presence of 300 ppm H2S. For a loading 2, enhancing the activation of H2 molecules, but do not play a role alone as single-atom catalysts. Extensive mechanistic studies, chemical kinetics and theoretical modelling prove that the single-atom-assisted oxygen vacancies (SA-Ov) enables the high catalytic performance and stability, thereby opening new avenues for catalyst design.</w:t>
      </w:r>
    </w:p>
    <w:p>
      <w:pPr>
        <w:spacing w:before="120" w:after="120"/>
      </w:pPr>
      <w:r>
        <w:rPr>
          <w:sz w:val="18"/>
        </w:rPr>
        <w:t>——————————————————————————————————————————————————————————————————————</w:t>
      </w:r>
    </w:p>
    <w:p>
      <w:pPr>
        <w:spacing w:before="160" w:after="40" w:line="240" w:lineRule="auto"/>
      </w:pPr>
      <w:r>
        <w:rPr>
          <w:b/>
        </w:rPr>
        <w:t xml:space="preserve">[11] </w:t>
      </w:r>
      <w:hyperlink r:id="rId265">
        <w:r>
          <w:rPr>
            <w:color w:val="1155CC"/>
            <w:u w:val="single"/>
          </w:rPr>
          <w:t>光诱导稀释二氧化碳捕获和光还原</w:t>
        </w:r>
      </w:hyperlink>
    </w:p>
    <w:p>
      <w:pPr>
        <w:spacing w:before="0" w:after="80"/>
      </w:pPr>
      <w:r>
        <w:rPr>
          <w:i/>
          <w:sz w:val="20"/>
        </w:rPr>
        <w:t>EN: Light-induced diluted CO2 capture and photoreduction</w:t>
      </w:r>
    </w:p>
    <w:p>
      <w:pPr>
        <w:spacing w:before="0" w:after="120"/>
      </w:pPr>
      <w:r>
        <w:rPr>
          <w:b/>
        </w:rPr>
        <w:t xml:space="preserve">Source: </w:t>
      </w:r>
      <w:r>
        <w:t>Chem</w:t>
      </w:r>
      <w:r>
        <w:t xml:space="preserve">    </w:t>
      </w:r>
      <w:r>
        <w:rPr>
          <w:b/>
        </w:rPr>
        <w:t xml:space="preserve">Pub date: </w:t>
      </w:r>
      <w:r>
        <w:t>2026-06-16 00:00:00+00:00</w:t>
      </w:r>
      <w:r>
        <w:t xml:space="preserve">    </w:t>
      </w:r>
      <w:r>
        <w:rPr>
          <w:b/>
        </w:rPr>
        <w:t xml:space="preserve">DOI: </w:t>
      </w:r>
      <w:hyperlink r:id="rId266">
        <w:r>
          <w:rPr>
            <w:color w:val="1155CC"/>
            <w:u w:val="single"/>
          </w:rPr>
          <w:t>10.1016/j.chempr.2026.103073</w:t>
        </w:r>
      </w:hyperlink>
    </w:p>
    <w:p>
      <w:pPr>
        <w:spacing w:before="0" w:after="120"/>
      </w:pPr>
      <w:r>
        <w:rPr>
          <w:b/>
        </w:rPr>
        <w:t xml:space="preserve">Notes: </w:t>
      </w:r>
      <w:r>
        <w:t>abstract_source=rss_cell</w:t>
      </w:r>
    </w:p>
    <w:p>
      <w:pPr>
        <w:spacing w:before="0" w:after="80" w:lineRule="auto" w:line="276"/>
      </w:pPr>
      <w:r>
        <w:rPr>
          <w:b/>
        </w:rPr>
        <w:t xml:space="preserve">摘要（ZH）: </w:t>
      </w:r>
      <w:r>
        <w:t>我们合成了一系列由[FeIII2MII(μ3-O)]（缩写为Fe2MO）簇组成的稳定金属有机框架（MOF），表示为USTC-12-Fe2M（M = Mn，Co，Ni），用于在15％CO2气氛中光催化CO2还原。值得注意的是，USTC-12-Fe2Mn表现出超高的CO2到CO的转化率，在可见光照射下达到~16.1 mmolCO·gcatalyst−1·h−1，CO选择性为95%，表观量子效率为2.66%。实验结果表明，Fe是驱动光催化CO2还原的真正活性位点，簇中的二价金属调节Fe的电子态。原位实验表明，CO2分子可以很容易地被μ3-O原子捕获，并在Fe2MO簇上预激活，在光照射下形成*c-CO32−中间体，从而在低CO2浓度下实现CO2光还原。</w:t>
      </w:r>
    </w:p>
    <w:p>
      <w:pPr>
        <w:spacing w:before="0" w:after="200" w:lineRule="auto" w:line="276"/>
      </w:pPr>
      <w:r>
        <w:rPr>
          <w:b/>
        </w:rPr>
        <w:t xml:space="preserve">Abstract (EN): </w:t>
      </w:r>
      <w:r>
        <w:t>We synthesized a series of stable metal-organic frameworks (MOFs) composed by [FeIII2MII(μ3-O)] (abbreviated as Fe2MO) clusters, denoted as USTC-12-Fe2M (M = Mn, Co, Ni), for photocatalytic CO2 reduction in a 15% CO2 atmosphere. Remarkably, USTC-12-Fe2Mn exhibits an ultrahigh CO2-to-CO conversion rate, reaching ∼16.1 mmolCO·gcatalyst−1·h−1 with 95% CO selectivity and an apparent quantum efficiency of 2.66% under visible-light irradiation. Experimental results reveal that Fe is the real active site driving photocatalytic CO2 reduction, with the divalent metal in the cluster modulating the Fe electronic state. In situ experiments demonstrate that CO2 molecules can be readily captured by the μ3-O atom and pre-activated on Fe2MO clusters to form ∗c-CO32− intermediates under light irradiation, enabling CO2 photoreduction at low CO2 concentrations.</w:t>
      </w:r>
    </w:p>
    <w:p>
      <w:pPr>
        <w:spacing w:before="120" w:after="120"/>
      </w:pPr>
      <w:r>
        <w:rPr>
          <w:sz w:val="18"/>
        </w:rPr>
        <w:t>——————————————————————————————————————————————————————————————————————</w:t>
      </w:r>
    </w:p>
    <w:p>
      <w:pPr>
        <w:spacing w:before="160" w:after="40" w:line="240" w:lineRule="auto"/>
      </w:pPr>
      <w:r>
        <w:rPr>
          <w:b/>
        </w:rPr>
        <w:t xml:space="preserve">[12] </w:t>
      </w:r>
      <w:hyperlink r:id="rId267">
        <w:r>
          <w:rPr>
            <w:color w:val="1155CC"/>
            <w:u w:val="single"/>
          </w:rPr>
          <w:t>流域岩性控制着南极半岛沿线的净碳平衡</w:t>
        </w:r>
      </w:hyperlink>
    </w:p>
    <w:p>
      <w:pPr>
        <w:spacing w:before="0" w:after="80"/>
      </w:pPr>
      <w:r>
        <w:rPr>
          <w:i/>
          <w:sz w:val="20"/>
        </w:rPr>
        <w:t>EN: Catchment lithology controls net carbon balance along the Antarctic Peninsula</w:t>
      </w:r>
    </w:p>
    <w:p>
      <w:pPr>
        <w:spacing w:before="0" w:after="120"/>
      </w:pPr>
      <w:r>
        <w:rPr>
          <w:b/>
        </w:rPr>
        <w:t xml:space="preserve">Source: </w:t>
      </w:r>
      <w:r>
        <w:t>Earth and environmental sciences : Nature Communications subject feeds</w:t>
      </w:r>
      <w:r>
        <w:t xml:space="preserve">    </w:t>
      </w:r>
      <w:r>
        <w:rPr>
          <w:b/>
        </w:rPr>
        <w:t xml:space="preserve">Pub date: </w:t>
      </w:r>
      <w:r>
        <w:t>2026-06-16 00:00:00+00:00</w:t>
      </w:r>
    </w:p>
    <w:p>
      <w:pPr>
        <w:spacing w:before="0" w:after="120"/>
      </w:pPr>
      <w:r>
        <w:rPr>
          <w:b/>
        </w:rPr>
        <w:t xml:space="preserve">Notes: </w:t>
      </w:r>
      <w:r>
        <w:t>abstract_source=nature_html</w:t>
      </w:r>
    </w:p>
    <w:p>
      <w:pPr>
        <w:spacing w:before="0" w:after="80" w:lineRule="auto" w:line="276"/>
      </w:pPr>
      <w:r>
        <w:rPr>
          <w:b/>
        </w:rPr>
        <w:t xml:space="preserve">摘要（ZH）: </w:t>
      </w:r>
      <w:r>
        <w:t>气候驱动的南极洲生态系统变化正在重塑碳动态并影响全球气候。在持续变暖的情况下，南极洲沿海有机碳（OC）的动员和重新埋藏可能是重要的碳汇，但区域有机碳埋藏和氧化仍然缺乏量化。在这里，我们应用斜坡热解/氧化分析和同位素端元混合模型，通过对比基岩类型来研究沿两个南极西部半岛 (WAP) 峡湾的沉积 OC。我们发现，沉积岩下方的峡湾的成岩 OC (OCpetro) 埋藏通量比火山岩占主导地位的峡湾高十倍。我们估计 WAP 峡湾生物圈 OC (OCbio) 的埋藏通量分别为 6.1–8.8 Gg C yr−1，OCpetro 的埋藏通量为 0.3–3.1 Gg C yr−1，区域 OCbio 埋藏可能超过 OCpetro 氧化。模型模拟表明，未来的生态系统变化可能使区域有机碳埋藏通量增加2-4倍，这对于预测长期碳气候反馈至关重要。</w:t>
      </w:r>
    </w:p>
    <w:p>
      <w:pPr>
        <w:spacing w:before="0" w:after="200" w:lineRule="auto" w:line="276"/>
      </w:pPr>
      <w:r>
        <w:rPr>
          <w:b/>
        </w:rPr>
        <w:t xml:space="preserve">Abstract (EN): </w:t>
      </w:r>
      <w:r>
        <w:t>Climate-driven ecosystem change in Antarctica is reshaping carbon dynamics and influencing global climate. Under sustained warming, mobilization and reburial of organic carbon (OC) in coastal Antarctica may represent an important carbon sink, yet regional OC burial and oxidation remain poorly quantified. Here, we apply ramped pyrolysis/oxidation analysis and isotopic end-member mixing models to investigate sedimentary OC along two Western Antarctic Peninsula (WAP) fjords underlain by contrasting bedrock types. We show that the fjord underlain by sedimentary rocks exhibits ten-fold higher burial flux of petrogenic OC (OCpetro) than that dominated by volcanic rocks. We estimate burial fluxes of 6.1–8.8 Gg C yr−1 for biospheric OC (OCbio) and 0.3–3.1 Gg C yr−1 for OCpetro in WAP fjords, respectively, with regional OCbio burial likely exceeding OCpetro oxidation. Model simulations indicate that future ecosystem change may increase regional OC burial flux by 2–4 times, which is critical for predicting the long-term carbon-climate feedback.</w:t>
      </w:r>
    </w:p>
    <w:p>
      <w:pPr>
        <w:spacing w:before="120" w:after="120"/>
      </w:pPr>
      <w:r>
        <w:rPr>
          <w:sz w:val="18"/>
        </w:rPr>
        <w:t>——————————————————————————————————————————————————————————————————————</w:t>
      </w:r>
    </w:p>
    <w:p>
      <w:pPr>
        <w:spacing w:before="160" w:after="40" w:line="240" w:lineRule="auto"/>
      </w:pPr>
      <w:r>
        <w:rPr>
          <w:b/>
        </w:rPr>
        <w:t xml:space="preserve">[13] </w:t>
      </w:r>
      <w:hyperlink r:id="rId268">
        <w:r>
          <w:rPr>
            <w:color w:val="1155CC"/>
            <w:u w:val="single"/>
          </w:rPr>
          <w:t>土壤有机碳的输入主要是细菌代谢而不是坏死物质</w:t>
        </w:r>
      </w:hyperlink>
    </w:p>
    <w:p>
      <w:pPr>
        <w:spacing w:before="0" w:after="80"/>
      </w:pPr>
      <w:r>
        <w:rPr>
          <w:i/>
          <w:sz w:val="20"/>
        </w:rPr>
        <w:t>EN: Bacterial metabolism rather than necromass dominates input to soil organic carbon</w:t>
      </w:r>
    </w:p>
    <w:p>
      <w:pPr>
        <w:spacing w:before="0" w:after="120"/>
      </w:pPr>
      <w:r>
        <w:rPr>
          <w:b/>
        </w:rPr>
        <w:t xml:space="preserve">Source: </w:t>
      </w:r>
      <w:r>
        <w:t>Proceedings of the National Academy of Sciences: Keyword search for query</w:t>
      </w:r>
      <w:r>
        <w:t xml:space="preserve">    </w:t>
      </w:r>
      <w:r>
        <w:rPr>
          <w:b/>
        </w:rPr>
        <w:t xml:space="preserve">Pub date: </w:t>
      </w:r>
      <w:r>
        <w:t>2026-06-16 07:00:00+00:00</w:t>
      </w:r>
      <w:r>
        <w:t xml:space="preserve">    </w:t>
      </w:r>
      <w:r>
        <w:rPr>
          <w:b/>
        </w:rPr>
        <w:t xml:space="preserve">DOI: </w:t>
      </w:r>
      <w:hyperlink r:id="rId269">
        <w:r>
          <w:rPr>
            <w:color w:val="1155CC"/>
            <w:u w:val="single"/>
          </w:rPr>
          <w:t>10.1073/pnas.2527157123</w:t>
        </w:r>
      </w:hyperlink>
    </w:p>
    <w:p>
      <w:pPr>
        <w:spacing w:before="0" w:after="120"/>
      </w:pPr>
      <w:r>
        <w:rPr>
          <w:b/>
        </w:rPr>
        <w:t xml:space="preserve">Notes: </w:t>
      </w:r>
      <w:r>
        <w:t>abstract_source=crossref</w:t>
      </w:r>
    </w:p>
    <w:p>
      <w:pPr>
        <w:spacing w:before="0" w:after="80" w:lineRule="auto" w:line="276"/>
      </w:pPr>
      <w:r>
        <w:rPr>
          <w:b/>
        </w:rPr>
        <w:t xml:space="preserve">摘要（ZH）: </w:t>
      </w:r>
      <w:r>
        <w:t>据推测，土壤有机碳（OC）封存在很大程度上依赖于微生物将植物残留物转化为微生物坏死物。然而，死物质形成仅代表微生物贡献土壤有机质的一种途径，而通过代谢释放的有机碳往往被忽视。使用动态建模方法，我们发现渗出液和废物对细菌源性有机碳输入土壤的贡献大致相等，中值贡献均为 10%（95% CI 分别为 0.5% 至 73% 和 0.6% 至 71%）。胞外酶对细菌产物贡献了额外的 15%（5% 至 41%），而坏死物贡献了 49%（5% 至 84%）。总体而言，6%（2%至27%）的有机输入以细菌代谢物（胞外酶、渗出物和废物）的形式释放到土壤中，6%（8%至20%）与细菌坏死物的数量相同。渗出物和废物通常由小的活性化合物组成，其分子特性与死灵物质有很大不同，因此可能对长期土壤有机碳累积贡献不成比例。</w:t>
      </w:r>
    </w:p>
    <w:p>
      <w:pPr>
        <w:spacing w:before="0" w:after="200" w:lineRule="auto" w:line="276"/>
      </w:pPr>
      <w:r>
        <w:rPr>
          <w:b/>
        </w:rPr>
        <w:t xml:space="preserve">Abstract (EN): </w:t>
      </w:r>
      <w:r>
        <w:t>Soil organic carbon (OC) sequestration is presumed to rely to a large extent on microbial transformation of plant residues into microbial necromass. Necromass formation, however, represents only one pathway by which microorganisms contribute to soil organic matter, while OC released through metabolism is often neglected. Using a dynamic modeling approach, we show that exudates and waste products contribute about equally to bacterially derived OC inputs to soil with median contributions of 10% each (95% CI of 0.5 to 73% and 0.6 to 71%, respectively). Exoenzymes contribute an additional 15% (5 to 41%) and necromass contributes 49% (5 to 84%) to bacterial products. Overall, 6% (2 to 27%) of the organic input is released into the soil as bacterial metabolites (exoenzymes, exudates, and waste products), and the same amount as bacterial necromass 6% (8 to 20%). Exudates and waste products are typically composed of small reactive compounds that differ greatly from necromass in their molecular properties and will therefore likely contribute disproportionally to long-term soil OC accrual.</w:t>
      </w:r>
    </w:p>
    <w:p>
      <w:pPr>
        <w:spacing w:before="120" w:after="120"/>
      </w:pPr>
      <w:r>
        <w:rPr>
          <w:sz w:val="18"/>
        </w:rPr>
        <w:t>——————————————————————————————————————————————————————————————————————</w:t>
      </w:r>
    </w:p>
    <w:p>
      <w:pPr>
        <w:spacing w:before="160" w:after="40" w:line="240" w:lineRule="auto"/>
      </w:pPr>
      <w:r>
        <w:rPr>
          <w:b/>
        </w:rPr>
        <w:t xml:space="preserve">[14] </w:t>
      </w:r>
      <w:hyperlink r:id="rId270">
        <w:r>
          <w:rPr>
            <w:color w:val="1155CC"/>
            <w:u w:val="single"/>
          </w:rPr>
          <w:t>偏析工程偏振同步 CO2 和硝酸盐还原，实现无偏尿素合成</w:t>
        </w:r>
      </w:hyperlink>
    </w:p>
    <w:p>
      <w:pPr>
        <w:spacing w:before="0" w:after="80"/>
      </w:pPr>
      <w:r>
        <w:rPr>
          <w:i/>
          <w:sz w:val="20"/>
        </w:rPr>
        <w:t>EN: Segregation‐Engineered Polarization Synchronizes CO2 and Nitrate Reduction for Bias‐Free Urea Synthesis</w:t>
      </w:r>
    </w:p>
    <w:p>
      <w:pPr>
        <w:spacing w:before="0" w:after="120"/>
      </w:pPr>
      <w:r>
        <w:rPr>
          <w:b/>
        </w:rPr>
        <w:t xml:space="preserve">Source: </w:t>
      </w:r>
      <w:r>
        <w:t>Wiley: Advanced Materials: Table of Contents</w:t>
      </w:r>
      <w:r>
        <w:t xml:space="preserve">    </w:t>
      </w:r>
      <w:r>
        <w:rPr>
          <w:b/>
        </w:rPr>
        <w:t xml:space="preserve">Pub date: </w:t>
      </w:r>
      <w:r>
        <w:t>2026-06-16 07:10:54+00:00</w:t>
      </w:r>
      <w:r>
        <w:t xml:space="preserve">    </w:t>
      </w:r>
      <w:r>
        <w:rPr>
          <w:b/>
        </w:rPr>
        <w:t xml:space="preserve">DOI: </w:t>
      </w:r>
      <w:hyperlink r:id="rId271">
        <w:r>
          <w:rPr>
            <w:color w:val="1155CC"/>
            <w:u w:val="single"/>
          </w:rPr>
          <w:t>10.1002/adma.73759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克服CO之间的动力学不匹配</w:t>
      </w:r>
      <w:r>
        <w:rPr>
          <w:vertAlign w:val="subscript"/>
        </w:rPr>
        <w:t>2</w:t>
      </w:r>
      <w:r>
        <w:t>和没有</w:t>
      </w:r>
      <w:r>
        <w:rPr>
          <w:vertAlign w:val="subscript"/>
        </w:rPr>
        <w:t>3</w:t>
      </w:r>
      <w:r>
        <w:t>-</w:t>
      </w:r>
      <w:r>
        <w:t>还原是尿素光电化学合成的核心挑战。在这里，我们开发了偏析工程的 Si/Pd-Cu 光电阴极，其中纳米级相偏析引起双级界面极化。富铜偏析有利于肖特基型能带调制，有利于光生电子提取。同时，富含 Pd 的结构域暴露出 Pd</w:t>
      </w:r>
      <w:r>
        <w:t xml:space="preserve"> </w:t>
      </w:r>
      <w:r>
        <w:t>δ+</w:t>
      </w:r>
      <w:r>
        <w:t xml:space="preserve"> </w:t>
      </w:r>
      <w:r>
        <w:t>–铜</w:t>
      </w:r>
      <w:r>
        <w:t xml:space="preserve"> </w:t>
      </w:r>
      <w:r>
        <w:t>δ−</w:t>
      </w:r>
      <w:r>
        <w:t>类似极化位点，共同稳定CO</w:t>
      </w:r>
      <w:r>
        <w:rPr>
          <w:vertAlign w:val="subscript"/>
        </w:rPr>
        <w:t>2</w:t>
      </w:r>
      <w:r>
        <w:t>/否</w:t>
      </w:r>
      <w:r>
        <w:rPr>
          <w:vertAlign w:val="subscript"/>
        </w:rPr>
        <w:t>3</w:t>
      </w:r>
      <w:r>
        <w:t>-</w:t>
      </w:r>
      <w:r>
        <w:t>衍生的中间体，同步其还原动力学以实现有效的 C-N 偶联。在 AM 1.5 G 照明下，优化的 Si/1Pd-3Cu 光电阴极在 0 V vs. RHE 下以高达 ≈100% 的显着法拉第效率提供尿素，实现了 1.06 mA·cm 的初始尿素部分电流密度</w:t>
      </w:r>
      <w:r>
        <w:t xml:space="preserve"> </w:t>
      </w:r>
      <w:r>
        <w:t>−2</w:t>
      </w:r>
      <w:r>
        <w:t xml:space="preserve"> </w:t>
      </w:r>
      <w:r>
        <w:t>。操作光谱与理论计算相结合，确定了一条在热力学势附近运行的富 Pd 控制的低势垒 C-N 耦合途径。进一步集成到光伏光电化学装置中，可以实现光驱动的自发尿素合成，而无需外部偏置。这项工作将半导体/金属结中的偏析编程极化建立为一种强大的通用材料设计</w:t>
      </w:r>
    </w:p>
    <w:p>
      <w:pPr>
        <w:spacing w:before="0" w:after="200" w:lineRule="auto" w:line="276"/>
      </w:pPr>
      <w:r>
        <w:rPr>
          <w:b/>
        </w:rPr>
        <w:t xml:space="preserve">Abstract (EN): </w:t>
      </w:r>
      <w:r>
        <w:t>Overcoming the kinetic mismatch between CO</w:t>
      </w:r>
      <w:r>
        <w:rPr>
          <w:vertAlign w:val="subscript"/>
        </w:rPr>
        <w:t>2</w:t>
      </w:r>
      <w:r>
        <w:t>and NO</w:t>
      </w:r>
      <w:r>
        <w:rPr>
          <w:vertAlign w:val="subscript"/>
        </w:rPr>
        <w:t>3</w:t>
      </w:r>
      <w:r>
        <w:t>−</w:t>
      </w:r>
      <w:r>
        <w:t>reduction presents a central challenge for urea photoelectrochemical synthesis. Here, we develop segregation‐engineered Si/Pd–Cu photocathodes where nanoscale phase segregations induce dual‐level interfacial polarization. Cu‐rich segregations favor Schottky‐type band modulation, facilitating photogenerated electron extraction. Simultaneously, Pd‐rich domains expose Pd</w:t>
      </w:r>
      <w:r>
        <w:t xml:space="preserve"> </w:t>
      </w:r>
      <w:r>
        <w:t>δ+</w:t>
      </w:r>
      <w:r>
        <w:t xml:space="preserve"> </w:t>
      </w:r>
      <w:r>
        <w:t>–Cu</w:t>
      </w:r>
      <w:r>
        <w:t xml:space="preserve"> </w:t>
      </w:r>
      <w:r>
        <w:t>δ−</w:t>
      </w:r>
      <w:r>
        <w:t>‐like polarized sites that co‐stabilize CO</w:t>
      </w:r>
      <w:r>
        <w:rPr>
          <w:vertAlign w:val="subscript"/>
        </w:rPr>
        <w:t>2</w:t>
      </w:r>
      <w:r>
        <w:t>/NO</w:t>
      </w:r>
      <w:r>
        <w:rPr>
          <w:vertAlign w:val="subscript"/>
        </w:rPr>
        <w:t>3</w:t>
      </w:r>
      <w:r>
        <w:t>−</w:t>
      </w:r>
      <w:r>
        <w:t>‐derived intermediates, synchronizing their reduction kinetics for efficient C–N coupling. Under AM 1.5 G illumination, the optimized Si/1Pd–3Cu photocathode delivers urea with a remarkable faradaic efficiency up to ≈100% at 0 V vs. RHE, achieving an initial urea partial current density of 1.06 mA·cm</w:t>
      </w:r>
      <w:r>
        <w:t xml:space="preserve"> </w:t>
      </w:r>
      <w:r>
        <w:t>−2</w:t>
      </w:r>
      <w:r>
        <w:t xml:space="preserve"> </w:t>
      </w:r>
      <w:r>
        <w:t>. Operando spectroscopies combined with theoretical calculations identify a Pd‐rich governed, low‐barrier C–N coupling pathway operating near the thermodynamic potential. Further integration into photovoltaic photoelectrochemical devices enables light‐driven spontaneous urea synthesis without external bias. This work establishes segregation‐programmed polarization in semiconductor/metal junctions as a powerful, general materials‐design principle for mild and selective multielectron synthesis.</w:t>
      </w:r>
    </w:p>
    <w:p>
      <w:pPr>
        <w:spacing w:before="120" w:after="120"/>
      </w:pPr>
      <w:r>
        <w:rPr>
          <w:sz w:val="18"/>
        </w:rPr>
        <w:t>——————————————————————————————————————————————————————————————————————</w:t>
      </w:r>
    </w:p>
    <w:p>
      <w:pPr>
        <w:spacing w:before="160" w:after="40" w:line="240" w:lineRule="auto"/>
      </w:pPr>
      <w:r>
        <w:rPr>
          <w:b/>
        </w:rPr>
        <w:t xml:space="preserve">[15] </w:t>
      </w:r>
      <w:hyperlink r:id="rId272">
        <w:r>
          <w:rPr>
            <w:color w:val="1155CC"/>
            <w:u w:val="single"/>
          </w:rPr>
          <w:t>岩石风化可以抵消永久冻土融化引起的河流二氧化碳排放</w:t>
        </w:r>
      </w:hyperlink>
    </w:p>
    <w:p>
      <w:pPr>
        <w:spacing w:before="0" w:after="80"/>
      </w:pPr>
      <w:r>
        <w:rPr>
          <w:i/>
          <w:sz w:val="20"/>
        </w:rPr>
        <w:t>EN: Rock weathering can counteract river CO2 emissions induced by permafrost thaw</w:t>
      </w:r>
    </w:p>
    <w:p>
      <w:pPr>
        <w:spacing w:before="0" w:after="120"/>
      </w:pPr>
      <w:r>
        <w:rPr>
          <w:b/>
        </w:rPr>
        <w:t xml:space="preserve">Source: </w:t>
      </w:r>
      <w:r>
        <w:t>Nature</w:t>
      </w:r>
      <w:r>
        <w:t xml:space="preserve">    </w:t>
      </w:r>
      <w:r>
        <w:rPr>
          <w:b/>
        </w:rPr>
        <w:t xml:space="preserve">Pub date: </w:t>
      </w:r>
      <w:r>
        <w:t>2026-06-17 00:00:00+00:00</w:t>
      </w:r>
      <w:r>
        <w:t xml:space="preserve">    </w:t>
      </w:r>
      <w:r>
        <w:rPr>
          <w:b/>
        </w:rPr>
        <w:t xml:space="preserve">DOI: </w:t>
      </w:r>
      <w:hyperlink r:id="rId273">
        <w:r>
          <w:rPr>
            <w:color w:val="1155CC"/>
            <w:u w:val="single"/>
          </w:rPr>
          <w:t>10.1038/s41586-026-10664-8</w:t>
        </w:r>
      </w:hyperlink>
    </w:p>
    <w:p>
      <w:pPr>
        <w:spacing w:before="0" w:after="120"/>
      </w:pPr>
      <w:r>
        <w:rPr>
          <w:b/>
        </w:rPr>
        <w:t xml:space="preserve">Notes: </w:t>
      </w:r>
      <w:r>
        <w:t>abstract_source=nature_html</w:t>
      </w:r>
    </w:p>
    <w:p>
      <w:pPr>
        <w:spacing w:before="0" w:after="80" w:lineRule="auto" w:line="276"/>
      </w:pPr>
      <w:r>
        <w:rPr>
          <w:b/>
        </w:rPr>
        <w:t xml:space="preserve">摘要（ZH）: </w:t>
      </w:r>
      <w:r>
        <w:t>气候引起的永久冻土融化释放了大量有机碳，这些有机碳被矿化并以二氧化碳 (CO2) 的形式从河流排放到大气中1。同时，变暖和永久冻土融化会增加矿物风化速率，从而影响无机碳的释放和封存2,3,4。然而，这些生物和地质碳循环如何相互作用并共同影响永久冻土河流中的二氧化碳动态（排放与水位下降）仍然未知。在这里，我们结合二氧化碳排放、有机和无机溶质浓度、双碳同位素 (δ13C–Δ14C) 和地球化学模型来推断多年冻土融化如何影响青藏高原数十年至数百年的河流生物地球化学。利用永久冻土热退化的梯度，我们发现河流二氧化碳排放量下降，而岩石风化引起的溶质通量随着永久冻土覆盖的减少而增加。在该地区，岩石风化造成的二氧化碳净减少通量约占河流二氧化碳排放量的 35%，从连续多年冻土流域的 15% 左右到不连续或孤立多年冻土流域的 100% 以上。因此，随着永久冻土的持续融化，化学风化产生的碳通量可能变得越来越重要，甚至可能超过河流二氧化碳排放量。我们的研究结果阐明了生物和地质碳通量之间的相互作用，这对冰冻圈和全球碳循环非常重要。</w:t>
      </w:r>
    </w:p>
    <w:p>
      <w:pPr>
        <w:spacing w:before="0" w:after="200" w:lineRule="auto" w:line="276"/>
      </w:pPr>
      <w:r>
        <w:rPr>
          <w:b/>
        </w:rPr>
        <w:t xml:space="preserve">Abstract (EN): </w:t>
      </w:r>
      <w:r>
        <w:t>Climate-induced permafrost thaw unlocks large stores of organic carbon that are mineralized and emitted as carbon dioxide (CO2) from rivers to the atmosphere1. Concurrently, warming and permafrost thaw can increase mineral weathering rates, thus affecting the release and sequestration of inorganic carbon2,3,4. Yet how these biological and geological carbon cycles interact and jointly affect CO2 dynamics (emission compared with drawdown) in permafrost rivers remains unknown5. Here we combine CO2 emissions, organic and inorganic solute concentrations, dual carbon isotopes (δ13C–Δ14C) and geochemical modelling to infer how permafrost thaw may affect river biogeochemistry over decades to centuries across the Qinghai–Tibet Plateau. Leveraging a gradient of thermal permafrost degradation, we find that river CO2 emissions decline, whereas solute fluxes from rock weathering increase with decreasing permafrost cover. Across this region, net CO2 drawdown fluxes from rock weathering are about 35% of river CO2 emissions, varying from around 15% in catchments with continuous permafrost to more than 100% in catchments with discontinuous or isolated permafrost. Thus, carbon fluxes from chemical weathering may become increasingly important with ongoing permafrost thaw, potentially even outpacing river CO2 emissions. Our findings disentangle the interplay between biological and geological carbon fluxes that are important for the cryosphere and the global carbon cycle.</w:t>
      </w:r>
    </w:p>
    <w:p>
      <w:pPr>
        <w:spacing w:before="120" w:after="120"/>
      </w:pPr>
      <w:r>
        <w:rPr>
          <w:sz w:val="18"/>
        </w:rPr>
        <w:t>——————————————————————————————————————————————————————————————————————</w:t>
      </w:r>
    </w:p>
    <w:p>
      <w:pPr>
        <w:spacing w:before="160" w:after="40" w:line="240" w:lineRule="auto"/>
      </w:pPr>
      <w:r>
        <w:rPr>
          <w:b/>
        </w:rPr>
        <w:t xml:space="preserve">[16] </w:t>
      </w:r>
      <w:hyperlink r:id="rId274">
        <w:r>
          <w:rPr>
            <w:color w:val="1155CC"/>
            <w:u w:val="single"/>
          </w:rPr>
          <w:t>分子扩散增强金属有机框架二氧化碳捕集性能评估</w:t>
        </w:r>
      </w:hyperlink>
    </w:p>
    <w:p>
      <w:pPr>
        <w:spacing w:before="0" w:after="80"/>
      </w:pPr>
      <w:r>
        <w:rPr>
          <w:i/>
          <w:sz w:val="20"/>
        </w:rPr>
        <w:t>EN: Molecular diffusion enhanced performance evaluation of metal-organic frameworks for CO2 capture</w:t>
      </w:r>
    </w:p>
    <w:p>
      <w:pPr>
        <w:spacing w:before="0" w:after="120"/>
      </w:pPr>
      <w:r>
        <w:rPr>
          <w:b/>
        </w:rPr>
        <w:t xml:space="preserve">Source: </w:t>
      </w:r>
      <w:r>
        <w:t>Physical sciences : Nature Communications subject feeds</w:t>
      </w:r>
      <w:r>
        <w:t xml:space="preserve">    </w:t>
      </w:r>
      <w:r>
        <w:rPr>
          <w:b/>
        </w:rPr>
        <w:t xml:space="preserve">Pub date: </w:t>
      </w:r>
      <w:r>
        <w:t>2026-06-17 00:00:00+00:00</w:t>
      </w:r>
    </w:p>
    <w:p>
      <w:pPr>
        <w:spacing w:before="0" w:after="120"/>
      </w:pPr>
      <w:r>
        <w:rPr>
          <w:b/>
        </w:rPr>
        <w:t xml:space="preserve">Notes: </w:t>
      </w:r>
      <w:r>
        <w:t>abstract_source=nature_html</w:t>
      </w:r>
    </w:p>
    <w:p>
      <w:pPr>
        <w:spacing w:before="0" w:after="80" w:lineRule="auto" w:line="276"/>
      </w:pPr>
      <w:r>
        <w:rPr>
          <w:b/>
        </w:rPr>
        <w:t xml:space="preserve">摘要（ZH）: </w:t>
      </w:r>
      <w:r>
        <w:t>分子扩散是限制固体吸附剂在二氧化碳捕获和分离应用中性能的基本特性。每种吸附剂都是独一无二的，气体扩散是由气体分子与吸附剂表面原子之间发生的物理和化学相互作用决定的。然而，在验证二氧化碳捕获性能的过程层面，通常使用通用参数进行模拟，忽略了每种吸附剂中发生的结构特定的分子动力学。在这里，我们报告了金属有机框架（MOF）中二氧化碳捕获性能的工艺规模模拟，该模拟通过分子吸附预测来实现，这些预测代表了每个 MOF 的独特结构特性。通过评估总共 10,143 个 MOF 的燃烧后二氧化碳捕获能力，我们演示了包含特定材料的分子扩散动力学如何改变其模拟的过程级性能。该方法可用于评估更广泛的固体吸附剂，包括共价有机骨架和沸石。</w:t>
      </w:r>
    </w:p>
    <w:p>
      <w:pPr>
        <w:spacing w:before="0" w:after="200" w:lineRule="auto" w:line="276"/>
      </w:pPr>
      <w:r>
        <w:rPr>
          <w:b/>
        </w:rPr>
        <w:t xml:space="preserve">Abstract (EN): </w:t>
      </w:r>
      <w:r>
        <w:t>Molecular diffusion is a fundamental property that limits the performance of solid sorbents in carbon dioxide capture and separation applications. Unique to each sorbent, gas diffusion is determined by the physical and chemical interactions that occur between the gas molecules and a sorbent’s surface atoms. At the process level where carbon dioxide capture performance is validated, however, simulations are typically carried out using generalized parameters that omit the structure-specific, molecular kinetics occurring in each sorbent. Here, we report process-scale simulations of carbon dioxide capture performance in metal-organic frameworks (MOF) informed by molecular adsorption predictions that represent the unique structural properties of each MOF. By evaluating a total of 10,143 MOFs for post-combustion carbon dioxide capture, we demonstrate how the inclusion of the material-specific, molecular diffusion dynamics alters their simulated, process-level performance. The method could be applied to evaluate a broader class of solid sorbents, including covalent organic frameworks and zeolites.</w:t>
      </w:r>
    </w:p>
    <w:p>
      <w:pPr>
        <w:spacing w:before="120" w:after="120"/>
      </w:pPr>
      <w:r>
        <w:rPr>
          <w:sz w:val="18"/>
        </w:rPr>
        <w:t>——————————————————————————————————————————————————————————————————————</w:t>
      </w:r>
    </w:p>
    <w:p>
      <w:pPr>
        <w:spacing w:before="160" w:after="40" w:line="240" w:lineRule="auto"/>
      </w:pPr>
      <w:r>
        <w:rPr>
          <w:b/>
        </w:rPr>
        <w:t xml:space="preserve">[17] </w:t>
      </w:r>
      <w:hyperlink r:id="rId275">
        <w:r>
          <w:rPr>
            <w:color w:val="1155CC"/>
            <w:u w:val="single"/>
          </w:rPr>
          <w:t>土地与能源关系评估二氧化碳清除在净零排放路径中的贡献</w:t>
        </w:r>
      </w:hyperlink>
    </w:p>
    <w:p>
      <w:pPr>
        <w:spacing w:before="0" w:after="80"/>
      </w:pPr>
      <w:r>
        <w:rPr>
          <w:i/>
          <w:sz w:val="20"/>
        </w:rPr>
        <w:t>EN: Land–energy nexus to assess the contribution of carbon dioxide removal in net-zero emission pathways</w:t>
      </w:r>
    </w:p>
    <w:p>
      <w:pPr>
        <w:spacing w:before="0" w:after="120"/>
      </w:pPr>
      <w:r>
        <w:rPr>
          <w:b/>
        </w:rPr>
        <w:t xml:space="preserve">Source: </w:t>
      </w:r>
      <w:r>
        <w:t>ScienceDirect Publication: Applied Energy</w:t>
      </w:r>
      <w:r>
        <w:t xml:space="preserve">    </w:t>
      </w:r>
      <w:r>
        <w:rPr>
          <w:b/>
        </w:rPr>
        <w:t xml:space="preserve">Pub date: </w:t>
      </w:r>
      <w:r>
        <w:t>2026-06-17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 </w:t>
      </w:r>
      <w:hyperlink r:id="rId276">
        <w:r>
          <w:rPr>
            <w:color w:val="1155CC"/>
            <w:u w:val="single"/>
          </w:rPr>
          <w:t>可扩展的二氧化碳转化为液体燃料光电解的工程策略</w:t>
        </w:r>
      </w:hyperlink>
    </w:p>
    <w:p>
      <w:pPr>
        <w:spacing w:before="0" w:after="80"/>
      </w:pPr>
      <w:r>
        <w:rPr>
          <w:i/>
          <w:sz w:val="20"/>
        </w:rPr>
        <w:t>EN: Engineering strategies toward scalable CO2-to-liquid-fuel photoelectrolysis</w:t>
      </w:r>
    </w:p>
    <w:p>
      <w:pPr>
        <w:spacing w:before="0" w:after="120"/>
      </w:pPr>
      <w:r>
        <w:rPr>
          <w:b/>
        </w:rPr>
        <w:t xml:space="preserve">Source: </w:t>
      </w:r>
      <w:r>
        <w:t>Joule</w:t>
      </w:r>
      <w:r>
        <w:t xml:space="preserve">    </w:t>
      </w:r>
      <w:r>
        <w:rPr>
          <w:b/>
        </w:rPr>
        <w:t xml:space="preserve">Pub date: </w:t>
      </w:r>
      <w:r>
        <w:t>2026-06-17 00:00:00+00:00</w:t>
      </w:r>
      <w:r>
        <w:t xml:space="preserve">    </w:t>
      </w:r>
      <w:r>
        <w:rPr>
          <w:b/>
        </w:rPr>
        <w:t xml:space="preserve">DOI: </w:t>
      </w:r>
      <w:hyperlink r:id="rId277">
        <w:r>
          <w:rPr>
            <w:color w:val="1155CC"/>
            <w:u w:val="single"/>
          </w:rPr>
          <w:t>10.1016/j.joule.2026.102529</w:t>
        </w:r>
      </w:hyperlink>
    </w:p>
    <w:p>
      <w:pPr>
        <w:spacing w:before="0" w:after="120"/>
      </w:pPr>
      <w:r>
        <w:rPr>
          <w:b/>
        </w:rPr>
        <w:t xml:space="preserve">Notes: </w:t>
      </w:r>
      <w:r>
        <w:t>abstract_source=rss_cell</w:t>
      </w:r>
    </w:p>
    <w:p>
      <w:pPr>
        <w:spacing w:before="0" w:after="80" w:lineRule="auto" w:line="276"/>
      </w:pPr>
      <w:r>
        <w:rPr>
          <w:b/>
        </w:rPr>
        <w:t xml:space="preserve">摘要（ZH）: </w:t>
      </w:r>
      <w:r>
        <w:t>这篇综述分析了限制二氧化碳光电解转化为液体燃料规模化的工程障碍。它概述了反应堆结构、照明控制和产品管理方面的进步如何实现实用的太阳能到燃料转换系统，从而获得浓缩的液体产品。</w:t>
      </w:r>
    </w:p>
    <w:p>
      <w:pPr>
        <w:spacing w:before="0" w:after="200" w:lineRule="auto" w:line="276"/>
      </w:pPr>
      <w:r>
        <w:rPr>
          <w:b/>
        </w:rPr>
        <w:t xml:space="preserve">Abstract (EN): </w:t>
      </w:r>
      <w:r>
        <w:t>This review analyzes the engineering barriers that limit the scale-up of CO2-to-liquid-fuel photoelectrolysis. It outlines how advances in reactor architecture, illumination control, and product management could enable practical solar-to-fuel conversion systems that achieve concentrated liquid products.</w:t>
      </w:r>
    </w:p>
    <w:p>
      <w:pPr>
        <w:spacing w:before="120" w:after="120"/>
      </w:pPr>
      <w:r>
        <w:rPr>
          <w:sz w:val="18"/>
        </w:rPr>
        <w:t>——————————————————————————————————————————————————————————————————————</w:t>
      </w:r>
    </w:p>
    <w:p>
      <w:pPr>
        <w:spacing w:before="160" w:after="40" w:line="240" w:lineRule="auto"/>
      </w:pPr>
      <w:r>
        <w:rPr>
          <w:b/>
        </w:rPr>
        <w:t xml:space="preserve">[19] </w:t>
      </w:r>
      <w:hyperlink r:id="rId278">
        <w:r>
          <w:rPr>
            <w:color w:val="1155CC"/>
            <w:u w:val="single"/>
          </w:rPr>
          <w:t>调节 COF 中过渡金属单原子的电子结构以增强光催化 CO2 还原</w:t>
        </w:r>
      </w:hyperlink>
    </w:p>
    <w:p>
      <w:pPr>
        <w:spacing w:before="0" w:after="80"/>
      </w:pPr>
      <w:r>
        <w:rPr>
          <w:i/>
          <w:sz w:val="20"/>
        </w:rPr>
        <w:t>EN: Regulating Electronic Structure of Transition Metal Single‐Atoms in COFs for Enhanced Photocatalytic CO2 Reduction</w:t>
      </w:r>
    </w:p>
    <w:p>
      <w:pPr>
        <w:spacing w:before="0" w:after="120"/>
      </w:pPr>
      <w:r>
        <w:rPr>
          <w:b/>
        </w:rPr>
        <w:t xml:space="preserve">Source: </w:t>
      </w:r>
      <w:r>
        <w:t>Wiley: Advanced Materials: Table of Contents</w:t>
      </w:r>
      <w:r>
        <w:t xml:space="preserve">    </w:t>
      </w:r>
      <w:r>
        <w:rPr>
          <w:b/>
        </w:rPr>
        <w:t xml:space="preserve">Pub date: </w:t>
      </w:r>
      <w:r>
        <w:t>2026-06-17 11:22:06+00:00</w:t>
      </w:r>
      <w:r>
        <w:t xml:space="preserve">    </w:t>
      </w:r>
      <w:r>
        <w:rPr>
          <w:b/>
        </w:rPr>
        <w:t xml:space="preserve">DOI: </w:t>
      </w:r>
      <w:hyperlink r:id="rId279">
        <w:r>
          <w:rPr>
            <w:color w:val="1155CC"/>
            <w:u w:val="single"/>
          </w:rPr>
          <w:t>10.1002/adma.73738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单原子催化剂（SAC）中电子结构的合理调控对于增强光催化CO至关重要但具有挑战性</w:t>
      </w:r>
      <w:r>
        <w:rPr>
          <w:vertAlign w:val="subscript"/>
        </w:rPr>
        <w:t>2</w:t>
      </w:r>
      <w:r>
        <w:t>减少。在此，我们精心设计了一系列M</w:t>
      </w:r>
      <w:r>
        <w:rPr>
          <w:vertAlign w:val="subscript"/>
        </w:rPr>
        <w:t>1</w:t>
      </w:r>
      <w:r>
        <w:t>氮</w:t>
      </w:r>
      <w:r>
        <w:rPr>
          <w:vertAlign w:val="subscript"/>
        </w:rPr>
        <w:t>2</w:t>
      </w:r>
      <w:r>
        <w:t>位点（M = Au、Pt、Pd、Ru、Mo）锚定在亚乙烯基连接的共价有机框架（sp</w:t>
      </w:r>
      <w:r>
        <w:rPr>
          <w:vertAlign w:val="subscript"/>
        </w:rPr>
        <w:t>2</w:t>
      </w:r>
      <w:r>
        <w:t>c-COF）构建用于气固CO的M/COF SAC</w:t>
      </w:r>
      <w:r>
        <w:rPr>
          <w:vertAlign w:val="subscript"/>
        </w:rPr>
        <w:t>2</w:t>
      </w:r>
      <w:r>
        <w:t>光还原。 M/COF SAC 揭示了 d 轨道电子构型依赖性活动，其中 d 带中心与 CO 表现出强相关性</w:t>
      </w:r>
      <w:r>
        <w:rPr>
          <w:vertAlign w:val="subscript"/>
        </w:rPr>
        <w:t>2</w:t>
      </w:r>
      <w:r>
        <w:t>吸附能（R</w:t>
      </w:r>
      <w:r>
        <w:rPr>
          <w:vertAlign w:val="subscript"/>
        </w:rPr>
        <w:t>2</w:t>
      </w:r>
      <w:r>
        <w:t>= 0.98）。值得注意的是，Mo/COF 催化剂的 CO 产率高达 294.43 µmol·g</w:t>
      </w:r>
      <w:r>
        <w:t xml:space="preserve"> </w:t>
      </w:r>
      <w:r>
        <w:t>−1</w:t>
      </w:r>
      <w:r>
        <w:t xml:space="preserve"> </w:t>
      </w:r>
      <w:r>
        <w:t>·小时</w:t>
      </w:r>
      <w:r>
        <w:t xml:space="preserve"> </w:t>
      </w:r>
      <w:r>
        <w:t>−1</w:t>
      </w:r>
      <w:r>
        <w:t xml:space="preserve"> </w:t>
      </w:r>
      <w:r>
        <w:t>在纯 CO 条件下具有接近一致的选择性</w:t>
      </w:r>
      <w:r>
        <w:rPr>
          <w:vertAlign w:val="subscript"/>
        </w:rPr>
        <w:t>2</w:t>
      </w:r>
      <w:r>
        <w:t>并持续146.6 µmol·g</w:t>
      </w:r>
      <w:r>
        <w:t xml:space="preserve"> </w:t>
      </w:r>
      <w:r>
        <w:t>−1</w:t>
      </w:r>
      <w:r>
        <w:t xml:space="preserve"> </w:t>
      </w:r>
      <w:r>
        <w:t>·小时</w:t>
      </w:r>
      <w:r>
        <w:t xml:space="preserve"> </w:t>
      </w:r>
      <w:r>
        <w:t>−1</w:t>
      </w:r>
      <w:r>
        <w:t xml:space="preserve"> </w:t>
      </w:r>
      <w:r>
        <w:t>模拟烟气（15%CO</w:t>
      </w:r>
      <w:r>
        <w:rPr>
          <w:vertAlign w:val="subscript"/>
        </w:rPr>
        <w:t>2</w:t>
      </w:r>
      <w:r>
        <w:t>）。优异的活性源自其最高 d 带中心 (-0.314 eV) 和该系列中最强的自旋极化的协同相互作用。这种独特的电子结构，具有费米能级附近丰富的单原子态和半占据的 d 轨道，</w:t>
      </w:r>
    </w:p>
    <w:p>
      <w:pPr>
        <w:spacing w:before="0" w:after="200" w:lineRule="auto" w:line="276"/>
      </w:pPr>
      <w:r>
        <w:rPr>
          <w:b/>
        </w:rPr>
        <w:t xml:space="preserve">Abstract (EN): </w:t>
      </w:r>
      <w:r>
        <w:t>The rational regulation of the electronic structure in single‐atom catalysts (SACs) is pivotal yet challenging for enhancing photocatalytic CO</w:t>
      </w:r>
      <w:r>
        <w:rPr>
          <w:vertAlign w:val="subscript"/>
        </w:rPr>
        <w:t>2</w:t>
      </w:r>
      <w:r>
        <w:t>reduction. Herein, we elaborately designed a series of M</w:t>
      </w:r>
      <w:r>
        <w:rPr>
          <w:vertAlign w:val="subscript"/>
        </w:rPr>
        <w:t>1</w:t>
      </w:r>
      <w:r>
        <w:t>N</w:t>
      </w:r>
      <w:r>
        <w:rPr>
          <w:vertAlign w:val="subscript"/>
        </w:rPr>
        <w:t>2</w:t>
      </w:r>
      <w:r>
        <w:t>sites (M = Au, Pt, Pd, Ru, Mo) anchored on a vinylene‐linked covalent organic framework (sp</w:t>
      </w:r>
      <w:r>
        <w:rPr>
          <w:vertAlign w:val="subscript"/>
        </w:rPr>
        <w:t>2</w:t>
      </w:r>
      <w:r>
        <w:t>c‐COF) to construct M/COF SACs for gas‐solid CO</w:t>
      </w:r>
      <w:r>
        <w:rPr>
          <w:vertAlign w:val="subscript"/>
        </w:rPr>
        <w:t>2</w:t>
      </w:r>
      <w:r>
        <w:t>photoreduction. The M/COF SACs revealed a d‐orbital electronic configuration‐dependent activity, where the d‐band center exhibiting strong correlation with CO</w:t>
      </w:r>
      <w:r>
        <w:rPr>
          <w:vertAlign w:val="subscript"/>
        </w:rPr>
        <w:t>2</w:t>
      </w:r>
      <w:r>
        <w:t>adsorption energy (R</w:t>
      </w:r>
      <w:r>
        <w:rPr>
          <w:vertAlign w:val="subscript"/>
        </w:rPr>
        <w:t>2</w:t>
      </w:r>
      <w:r>
        <w:t>= 0.98). Notably, the Mo/COF catalysts delivered a superior CO rate of 294.43 µmol·g</w:t>
      </w:r>
      <w:r>
        <w:t xml:space="preserve"> </w:t>
      </w:r>
      <w:r>
        <w:t>−1</w:t>
      </w:r>
      <w:r>
        <w:t xml:space="preserve"> </w:t>
      </w:r>
      <w:r>
        <w:t>·h</w:t>
      </w:r>
      <w:r>
        <w:t xml:space="preserve"> </w:t>
      </w:r>
      <w:r>
        <w:t>−1</w:t>
      </w:r>
      <w:r>
        <w:t xml:space="preserve"> </w:t>
      </w:r>
      <w:r>
        <w:t>with near‐unity selectivity under pure CO</w:t>
      </w:r>
      <w:r>
        <w:rPr>
          <w:vertAlign w:val="subscript"/>
        </w:rPr>
        <w:t>2</w:t>
      </w:r>
      <w:r>
        <w:t>and sustained 146.6 µmol·g</w:t>
      </w:r>
      <w:r>
        <w:t xml:space="preserve"> </w:t>
      </w:r>
      <w:r>
        <w:t>−1</w:t>
      </w:r>
      <w:r>
        <w:t xml:space="preserve"> </w:t>
      </w:r>
      <w:r>
        <w:t>·h</w:t>
      </w:r>
      <w:r>
        <w:t xml:space="preserve"> </w:t>
      </w:r>
      <w:r>
        <w:t>−1</w:t>
      </w:r>
      <w:r>
        <w:t xml:space="preserve"> </w:t>
      </w:r>
      <w:r>
        <w:t>under simulated flue gas (15% CO</w:t>
      </w:r>
      <w:r>
        <w:rPr>
          <w:vertAlign w:val="subscript"/>
        </w:rPr>
        <w:t>2</w:t>
      </w:r>
      <w:r>
        <w:t>). The superior activity originates from the synergistic interplay of its highest d‐band center (−0.314 eV) and strongest spin polarization among the series. This unique electronic structure, featuring abundant single‐atom states near the Fermi level and half‐occupied d orbitals, facilitates optimal σ‐donation (via d</w:t>
      </w:r>
      <w:r>
        <w:t xml:space="preserve"> </w:t>
      </w:r>
      <w:r>
        <w:t>z2</w:t>
      </w:r>
      <w:r>
        <w:t xml:space="preserve"> </w:t>
      </w:r>
      <w:r>
        <w:t>) and π‐back‐donation (via d</w:t>
      </w:r>
      <w:r>
        <w:t xml:space="preserve"> </w:t>
      </w:r>
      <w:r>
        <w:t>xz</w:t>
      </w:r>
      <w:r>
        <w:t xml:space="preserve"> </w:t>
      </w:r>
      <w:r>
        <w:t>/d</w:t>
      </w:r>
      <w:r>
        <w:t xml:space="preserve"> </w:t>
      </w:r>
      <w:r>
        <w:t>yz</w:t>
      </w:r>
      <w:r>
        <w:t xml:space="preserve"> </w:t>
      </w:r>
      <w:r>
        <w:t>) for CO</w:t>
      </w:r>
      <w:r>
        <w:rPr>
          <w:vertAlign w:val="subscript"/>
        </w:rPr>
        <w:t>2</w:t>
      </w:r>
      <w:r>
        <w:t>activation, thereby significantly lowering the energy barriers for *COOH formation and *CO desorption. This work establishes a design principle for high‐performance SACs through the co‐modulation of d‐band configuration and spin polarization.</w:t>
      </w:r>
    </w:p>
    <w:p>
      <w:pPr>
        <w:spacing w:before="120" w:after="120"/>
      </w:pPr>
      <w:r>
        <w:rPr>
          <w:sz w:val="18"/>
        </w:rPr>
        <w:t>——————————————————————————————————————————————————————————————————————</w:t>
      </w:r>
    </w:p>
    <w:p>
      <w:pPr>
        <w:spacing w:before="160" w:after="40" w:line="240" w:lineRule="auto"/>
      </w:pPr>
      <w:r>
        <w:rPr>
          <w:b/>
        </w:rPr>
        <w:t xml:space="preserve">[20] </w:t>
      </w:r>
      <w:hyperlink r:id="rId280">
        <w:r>
          <w:rPr>
            <w:color w:val="1155CC"/>
            <w:u w:val="single"/>
          </w:rPr>
          <w:t>实验设计引导识别铜气体扩散电极中的耦合组分相互作用，用于电化学 CO2 还原为多碳产品</w:t>
        </w:r>
      </w:hyperlink>
    </w:p>
    <w:p>
      <w:pPr>
        <w:spacing w:before="0" w:after="80"/>
      </w:pPr>
      <w:r>
        <w:rPr>
          <w:i/>
          <w:sz w:val="20"/>
        </w:rPr>
        <w:t>EN: Design of Experiments Guided Identification of Coupled Component Interactions in Cu Gas Diffusion Electrodes for Electrochemical CO2 Reduction to Multi‐Carbon Products</w:t>
      </w:r>
    </w:p>
    <w:p>
      <w:pPr>
        <w:spacing w:before="0" w:after="120"/>
      </w:pPr>
      <w:r>
        <w:rPr>
          <w:b/>
        </w:rPr>
        <w:t xml:space="preserve">Source: </w:t>
      </w:r>
      <w:r>
        <w:t>Wiley: Advanced Energy Materials: Table of Contents</w:t>
      </w:r>
      <w:r>
        <w:t xml:space="preserve">    </w:t>
      </w:r>
      <w:r>
        <w:rPr>
          <w:b/>
        </w:rPr>
        <w:t xml:space="preserve">Pub date: </w:t>
      </w:r>
      <w:r>
        <w:t>2026-06-18 10:19:51+00:00</w:t>
      </w:r>
      <w:r>
        <w:t xml:space="preserve">    </w:t>
      </w:r>
      <w:r>
        <w:rPr>
          <w:b/>
        </w:rPr>
        <w:t xml:space="preserve">DOI: </w:t>
      </w:r>
      <w:hyperlink r:id="rId281">
        <w:r>
          <w:rPr>
            <w:color w:val="1155CC"/>
            <w:u w:val="single"/>
          </w:rPr>
          <w:t>10.1002/aenm.71201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实验设计 (DoE) 方法用于电化学 CO 气体扩散电极 (GDE) 的设计和开发</w:t>
      </w:r>
      <w:r>
        <w:rPr>
          <w:vertAlign w:val="subscript"/>
        </w:rPr>
        <w:t>2</w:t>
      </w:r>
      <w:r>
        <w:t>减少量（二氧化碳</w:t>
      </w:r>
      <w:r>
        <w:rPr>
          <w:vertAlign w:val="subscript"/>
        </w:rPr>
        <w:t>2</w:t>
      </w:r>
      <w:r>
        <w:t>R）。由于多个组件的存在及其对性能的复杂影响，Rational GDE 设计仍然具有挑战性。此处，评估了五种电极组件（Cu、碳、聚四氟乙烯、Nafion 和 Sustainion）的电化学 CO2</w:t>
      </w:r>
      <w:r>
        <w:rPr>
          <w:vertAlign w:val="subscript"/>
        </w:rPr>
        <w:t>2</w:t>
      </w:r>
      <w:r>
        <w:t>R 使用 DoE 方法评估 17 个不同的单活性层 (SAL)-GDE。使用明确的屏幕设计（DSD）框架分析实验结果，以确定组件性能关系，包括一阶和二阶效应。 Nafion 被发现强烈影响整体产品分布，而碳对于改善 C 影响最大</w:t>
      </w:r>
      <w:r>
        <w:rPr>
          <w:vertAlign w:val="subscript"/>
        </w:rPr>
        <w:t>2</w:t>
      </w:r>
      <w:r>
        <w:t>H</w:t>
      </w:r>
      <w:r>
        <w:rPr>
          <w:vertAlign w:val="subscript"/>
        </w:rPr>
        <w:t>4</w:t>
      </w:r>
      <w:r>
        <w:t>选择性。 DSD 模型经过实验验证，可实现超出原始设计空间的配方预测。根据模型预测，实验表明增加碳负载可以提高 C</w:t>
      </w:r>
      <w:r>
        <w:rPr>
          <w:vertAlign w:val="subscript"/>
        </w:rPr>
        <w:t>2</w:t>
      </w:r>
      <w:r>
        <w:t>H</w:t>
      </w:r>
      <w:r>
        <w:rPr>
          <w:vertAlign w:val="subscript"/>
        </w:rPr>
        <w:t>4</w:t>
      </w:r>
      <w:r>
        <w:t>选择性，实现 36.1% 的峰值法拉第效率。这种改进通过结构表征合理化，表明碳负载量的增加导致电极孔隙率和铜分散有利于CO</w:t>
      </w:r>
      <w:r>
        <w:rPr>
          <w:vertAlign w:val="subscript"/>
        </w:rPr>
        <w:t>2</w:t>
      </w:r>
    </w:p>
    <w:p>
      <w:pPr>
        <w:spacing w:before="0" w:after="200" w:lineRule="auto" w:line="276"/>
      </w:pPr>
      <w:r>
        <w:rPr>
          <w:b/>
        </w:rPr>
        <w:t xml:space="preserve">Abstract (EN): </w:t>
      </w:r>
      <w:r>
        <w:t>A Design of Experiments (DoE) approach is used in the design and development of gas diffusion electrodes (GDEs) for electrochemical CO</w:t>
      </w:r>
      <w:r>
        <w:rPr>
          <w:vertAlign w:val="subscript"/>
        </w:rPr>
        <w:t>2</w:t>
      </w:r>
      <w:r>
        <w:t>reduction (CO</w:t>
      </w:r>
      <w:r>
        <w:rPr>
          <w:vertAlign w:val="subscript"/>
        </w:rPr>
        <w:t>2</w:t>
      </w:r>
      <w:r>
        <w:t>R). Rational GDE design remains challenging due to the presence of multiple components and their complex effects on performance. Here, five electrode components, Cu, carbon, polytetrafluoroethylene, Nafion, and Sustainion, are evaluated for electrochemical CO</w:t>
      </w:r>
      <w:r>
        <w:rPr>
          <w:vertAlign w:val="subscript"/>
        </w:rPr>
        <w:t>2</w:t>
      </w:r>
      <w:r>
        <w:t>R using the DoE approach by evaluating 17 distinct single‐active‐layer (SAL)‐GDEs. Experimental results are analyzed using a definitive screen design (DSD) framework to identify component‐performance relationships, including first‐ and second‐order effects. Nafion is found to strongly affect overall product distribution, while carbon is most influential for improving C</w:t>
      </w:r>
      <w:r>
        <w:rPr>
          <w:vertAlign w:val="subscript"/>
        </w:rPr>
        <w:t>2</w:t>
      </w:r>
      <w:r>
        <w:t>H</w:t>
      </w:r>
      <w:r>
        <w:rPr>
          <w:vertAlign w:val="subscript"/>
        </w:rPr>
        <w:t>4</w:t>
      </w:r>
      <w:r>
        <w:t>selectivity. The DSD models are validated with experiments, enabling formulation predictions beyond the original design space. Following model predictions, increasing carbon loading was experimentally shown to improve C</w:t>
      </w:r>
      <w:r>
        <w:rPr>
          <w:vertAlign w:val="subscript"/>
        </w:rPr>
        <w:t>2</w:t>
      </w:r>
      <w:r>
        <w:t>H</w:t>
      </w:r>
      <w:r>
        <w:rPr>
          <w:vertAlign w:val="subscript"/>
        </w:rPr>
        <w:t>4</w:t>
      </w:r>
      <w:r>
        <w:t>selectivity, achieving a peak faradaic efficiency of 36.1%. The improvement is rationalized by structural characterization, which reveals that increased carbon loading leads to electrode porosity and Cu dispersion favorable for CO</w:t>
      </w:r>
      <w:r>
        <w:rPr>
          <w:vertAlign w:val="subscript"/>
        </w:rPr>
        <w:t>2</w:t>
      </w:r>
      <w:r>
        <w:t>transport and interfacial surface area. This work demonstrates the strength of statistical methods for rationally designing complex, multi‐component GDE architectures and understanding interacting component effects, highlighting potential impact across a wide range of electrochemical conversion systems.</w:t>
      </w:r>
    </w:p>
    <w:p>
      <w:pPr>
        <w:spacing w:before="120" w:after="120"/>
      </w:pPr>
      <w:r>
        <w:rPr>
          <w:sz w:val="18"/>
        </w:rPr>
        <w:t>——————————————————————————————————————————————————————————————————————</w:t>
      </w:r>
    </w:p>
    <w:p>
      <w:pPr>
        <w:spacing w:before="160" w:after="40" w:line="240" w:lineRule="auto"/>
      </w:pPr>
      <w:r>
        <w:rPr>
          <w:b/>
        </w:rPr>
        <w:t xml:space="preserve">[21] </w:t>
      </w:r>
      <w:hyperlink r:id="rId282">
        <w:r>
          <w:rPr>
            <w:color w:val="1155CC"/>
            <w:u w:val="single"/>
          </w:rPr>
          <w:t>界面 Ru-C 耦合利用光激发热电子维持光热甲烷干重整中的氧循环</w:t>
        </w:r>
      </w:hyperlink>
    </w:p>
    <w:p>
      <w:pPr>
        <w:spacing w:before="0" w:after="80"/>
      </w:pPr>
      <w:r>
        <w:rPr>
          <w:i/>
          <w:sz w:val="20"/>
        </w:rPr>
        <w:t>EN: Interfacial Ru–C Coupling Harnesses Photoexcited Hot Electrons to Sustain Oxygen Cycling in Photothermal Methane Dry Reforming</w:t>
      </w:r>
    </w:p>
    <w:p>
      <w:pPr>
        <w:spacing w:before="0" w:after="120"/>
      </w:pPr>
      <w:r>
        <w:rPr>
          <w:b/>
        </w:rPr>
        <w:t xml:space="preserve">Source: </w:t>
      </w:r>
      <w:r>
        <w:t>Wiley: Angewandte Chemie International Edition: Table of Contents</w:t>
      </w:r>
      <w:r>
        <w:t xml:space="preserve">    </w:t>
      </w:r>
      <w:r>
        <w:rPr>
          <w:b/>
        </w:rPr>
        <w:t xml:space="preserve">Pub date: </w:t>
      </w:r>
      <w:r>
        <w:t>2026-06-18 17:25:10+00:00</w:t>
      </w:r>
      <w:r>
        <w:t xml:space="preserve">    </w:t>
      </w:r>
      <w:r>
        <w:rPr>
          <w:b/>
        </w:rPr>
        <w:t xml:space="preserve">DOI: </w:t>
      </w:r>
      <w:hyperlink r:id="rId283">
        <w:r>
          <w:rPr>
            <w:color w:val="1155CC"/>
            <w:u w:val="single"/>
          </w:rPr>
          <w:t>10.1002/anie.3158178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甲烷干重整（DRM）仍然面临着在中温操作下同时实现高活性和长期稳定性的困难的挑战。在这里，我们报告了锚定在化学稳定的多壁碳纳米管（Ru/MWCNT）上的亚 2 nm Ru 簇，作为非氧化物光热平台，可在 600 °C 以下实现高效、耐用的 DRM。强Ru-C π-d耦合使界面电子离域并稳定金属Ru，从而实现光照下光激发热电子的宽带生成和界面利用。由此产生的界面选择性地激活CO</w:t>
      </w:r>
      <w:r>
        <w:rPr>
          <w:vertAlign w:val="subscript"/>
        </w:rPr>
        <w:t>2</w:t>
      </w:r>
      <w:r>
        <w:t>生成高度不稳定的 Ru–O* 物种并维持快速、完全可逆的 Ru</w:t>
      </w:r>
      <w:r>
        <w:rPr>
          <w:vertAlign w:val="subscript"/>
        </w:rPr>
        <w:t>0</w:t>
      </w:r>
      <w:r>
        <w:t>/Ru-O 循环，不依赖于氧载体载体上的晶格氧。快速的界面氧周转促进氧辅助 CH</w:t>
      </w:r>
      <w:r>
        <w:rPr>
          <w:vertAlign w:val="subscript"/>
        </w:rPr>
        <w:t>3</w:t>
      </w:r>
      <w:r>
        <w:t>O* 通路，周转频率为 25 秒</w:t>
      </w:r>
      <w:r>
        <w:t xml:space="preserve"> </w:t>
      </w:r>
      <w:r>
        <w:t>−1</w:t>
      </w:r>
      <w:r>
        <w:t xml:space="preserve"> </w:t>
      </w:r>
      <w:r>
        <w:t>。因此，Ru/MWCNTs 实现了 CO 和 H</w:t>
      </w:r>
      <w:r>
        <w:rPr>
          <w:vertAlign w:val="subscript"/>
        </w:rPr>
        <w:t>2</w:t>
      </w:r>
      <w:r>
        <w:t>形成速率分别为 632 和 526 mol g</w:t>
      </w:r>
      <w:r>
        <w:t xml:space="preserve"> </w:t>
      </w:r>
      <w:r>
        <w:t>汝</w:t>
      </w:r>
      <w:r>
        <w:t xml:space="preserve"> </w:t>
      </w:r>
      <w:r>
        <w:t>−1</w:t>
      </w:r>
      <w:r>
        <w:t xml:space="preserve"> </w:t>
      </w:r>
      <w:r>
        <w:t>小时</w:t>
      </w:r>
      <w:r>
        <w:t xml:space="preserve"> </w:t>
      </w:r>
      <w:r>
        <w:t>−1</w:t>
      </w:r>
      <w:r>
        <w:t xml:space="preserve"> </w:t>
      </w:r>
      <w:r>
        <w:t>分别具有 25.4% 的光燃料效率、120 小时的稳定运行以及在广泛的 CH 中的强劲活动</w:t>
      </w:r>
      <w:r>
        <w:rPr>
          <w:vertAlign w:val="subscript"/>
        </w:rPr>
        <w:t>4</w:t>
      </w:r>
      <w:r>
        <w:t>/CO</w:t>
      </w:r>
      <w:r>
        <w:rPr>
          <w:vertAlign w:val="subscript"/>
        </w:rPr>
        <w:t>2</w:t>
      </w:r>
      <w:r>
        <w:t>进给比窗口（0.43–2.33）。等温单色辐照</w:t>
      </w:r>
    </w:p>
    <w:p>
      <w:pPr>
        <w:spacing w:before="0" w:after="200" w:lineRule="auto" w:line="276"/>
      </w:pPr>
      <w:r>
        <w:rPr>
          <w:b/>
        </w:rPr>
        <w:t xml:space="preserve">Abstract (EN): </w:t>
      </w:r>
      <w:r>
        <w:t>Methane dry reforming (DRM) remains challenged by the difficulty of simultaneously achieving high activity and long‐term stability under moderate‐temperature operation. Here we report sub‐2 nm Ru clusters anchored on chemically stable multi‐walled carbon nanotubes (Ru/MWCNTs) as a non‐oxide photothermal platform for efficient and durable DRM below 600 °C. Strong Ru–C π–d coupling delocalizes interfacial electrons and stabilizes metallic Ru, enabling broadband generation and interfacial utilization of photoexcited hot electrons under illumination. The resulting interface selectively activates CO</w:t>
      </w:r>
      <w:r>
        <w:rPr>
          <w:vertAlign w:val="subscript"/>
        </w:rPr>
        <w:t>2</w:t>
      </w:r>
      <w:r>
        <w:t>to generate highly labile Ru–O* species and sustains a fast, fully reversible Ru</w:t>
      </w:r>
      <w:r>
        <w:rPr>
          <w:vertAlign w:val="subscript"/>
        </w:rPr>
        <w:t>0</w:t>
      </w:r>
      <w:r>
        <w:t>/Ru–O cycle without relying on lattice oxygen from an oxygen‐carrier support. Rapid interfacial oxygen turnover promotes an oxygen‐assisted CH</w:t>
      </w:r>
      <w:r>
        <w:rPr>
          <w:vertAlign w:val="subscript"/>
        </w:rPr>
        <w:t>3</w:t>
      </w:r>
      <w:r>
        <w:t>O* pathway, delivering a turnover frequency of 25 s</w:t>
      </w:r>
      <w:r>
        <w:t xml:space="preserve"> </w:t>
      </w:r>
      <w:r>
        <w:t>−1</w:t>
      </w:r>
      <w:r>
        <w:t xml:space="preserve"> </w:t>
      </w:r>
      <w:r>
        <w:t>. Consequently, Ru/MWCNTs achieves CO and H</w:t>
      </w:r>
      <w:r>
        <w:rPr>
          <w:vertAlign w:val="subscript"/>
        </w:rPr>
        <w:t>2</w:t>
      </w:r>
      <w:r>
        <w:t>formation rates of 632 and 526 mol g</w:t>
      </w:r>
      <w:r>
        <w:t xml:space="preserve"> </w:t>
      </w:r>
      <w:r>
        <w:t>Ru</w:t>
      </w:r>
      <w:r>
        <w:t xml:space="preserve"> </w:t>
      </w:r>
      <w:r>
        <w:t>−1</w:t>
      </w:r>
      <w:r>
        <w:t xml:space="preserve"> </w:t>
      </w:r>
      <w:r>
        <w:t>h</w:t>
      </w:r>
      <w:r>
        <w:t xml:space="preserve"> </w:t>
      </w:r>
      <w:r>
        <w:t>−1</w:t>
      </w:r>
      <w:r>
        <w:t xml:space="preserve"> </w:t>
      </w:r>
      <w:r>
        <w:t>, respectively, a light‐to‐fuel efficiency of 25.4%, stable operation for 120 h, and robust activity across a wide CH</w:t>
      </w:r>
      <w:r>
        <w:rPr>
          <w:vertAlign w:val="subscript"/>
        </w:rPr>
        <w:t>4</w:t>
      </w:r>
      <w:r>
        <w:t>/CO</w:t>
      </w:r>
      <w:r>
        <w:rPr>
          <w:vertAlign w:val="subscript"/>
        </w:rPr>
        <w:t>2</w:t>
      </w:r>
      <w:r>
        <w:t>feed‐ratio window (0.43–2.33). Isothermal monochromatic irradiation together with operando, electronic, and kinetic analyses identify Ru–C interfacial coupling, rather than metallicity alone, as the key origin of the photothermal enhancement.</w:t>
      </w:r>
    </w:p>
    <w:p>
      <w:pPr>
        <w:spacing w:before="120" w:after="120"/>
      </w:pPr>
      <w:r>
        <w:rPr>
          <w:sz w:val="18"/>
        </w:rPr>
        <w:t>——————————————————————————————————————————————————————————————————————</w:t>
      </w:r>
    </w:p>
    <w:p>
      <w:pPr>
        <w:spacing w:before="160" w:after="40" w:line="240" w:lineRule="auto"/>
      </w:pPr>
      <w:r>
        <w:rPr>
          <w:b/>
        </w:rPr>
        <w:t xml:space="preserve">[22] </w:t>
      </w:r>
      <w:hyperlink r:id="rId284">
        <w:r>
          <w:rPr>
            <w:color w:val="1155CC"/>
            <w:u w:val="single"/>
          </w:rPr>
          <w:t>重新编程暗光催化持久荧光粉中存储的激发能量的命运</w:t>
        </w:r>
      </w:hyperlink>
    </w:p>
    <w:p>
      <w:pPr>
        <w:spacing w:before="0" w:after="80"/>
      </w:pPr>
      <w:r>
        <w:rPr>
          <w:i/>
          <w:sz w:val="20"/>
        </w:rPr>
        <w:t>EN: Reprogramming the Fate of Stored Excitation Energy in Persistent Phosphors for Dark Photocatalysis</w:t>
      </w:r>
    </w:p>
    <w:p>
      <w:pPr>
        <w:spacing w:before="0" w:after="120"/>
      </w:pPr>
      <w:r>
        <w:rPr>
          <w:b/>
        </w:rPr>
        <w:t xml:space="preserve">Source: </w:t>
      </w:r>
      <w:r>
        <w:t>Wiley: Angewandte Chemie International Edition: Table of Contents</w:t>
      </w:r>
      <w:r>
        <w:t xml:space="preserve">    </w:t>
      </w:r>
      <w:r>
        <w:rPr>
          <w:b/>
        </w:rPr>
        <w:t xml:space="preserve">Pub date: </w:t>
      </w:r>
      <w:r>
        <w:t>2026-06-18 18:04:09+00:00</w:t>
      </w:r>
      <w:r>
        <w:t xml:space="preserve">    </w:t>
      </w:r>
      <w:r>
        <w:rPr>
          <w:b/>
        </w:rPr>
        <w:t xml:space="preserve">DOI: </w:t>
      </w:r>
      <w:hyperlink r:id="rId285">
        <w:r>
          <w:rPr>
            <w:color w:val="1155CC"/>
            <w:u w:val="single"/>
          </w:rPr>
          <w:t>10.1002/anie.9655199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太阳能驱动的二氧化碳</w:t>
      </w:r>
      <w:r>
        <w:rPr>
          <w:vertAlign w:val="subscript"/>
        </w:rPr>
        <w:t>2</w:t>
      </w:r>
      <w:r>
        <w:t>还原从根本上受到阳光间歇性的限制，导致能量收集和催化转化之间的时间不匹配。持久性荧光粉提供了一个独特的平台，通过存储激发能量来弥补这一差距；然而，这种储存的能量主要通过辐射复合而耗散，而不是被用作化学上可获取的氧化还原能量。在这里，我们证明了存储的激发能量的命运可以在持久性磷光体中重新编程，从而使化学反应能够在没有光的情况下进行。通过构建单晶Sr</w:t>
      </w:r>
      <w:r>
        <w:rPr>
          <w:vertAlign w:val="subscript"/>
        </w:rPr>
        <w:t>2</w:t>
      </w:r>
      <w:r>
        <w:t>硅镁</w:t>
      </w:r>
      <w:r>
        <w:rPr>
          <w:vertAlign w:val="subscript"/>
        </w:rPr>
        <w:t>2</w:t>
      </w:r>
      <w:r>
        <w:t>氧</w:t>
      </w:r>
      <w:r>
        <w:rPr>
          <w:vertAlign w:val="subscript"/>
        </w:rPr>
        <w:t>7</w:t>
      </w:r>
      <w:r>
        <w:t>：欧盟</w:t>
      </w:r>
      <w:r>
        <w:t xml:space="preserve"> </w:t>
      </w:r>
      <w:r>
        <w:t>2+</w:t>
      </w:r>
      <w:r>
        <w:t xml:space="preserve"> </w:t>
      </w:r>
      <w:r>
        <w:t>, 镝</w:t>
      </w:r>
      <w:r>
        <w:t xml:space="preserve"> </w:t>
      </w:r>
      <w:r>
        <w:t>3+</w:t>
      </w:r>
      <w:r>
        <w:t xml:space="preserve"> </w:t>
      </w:r>
      <w:r>
        <w:t>具有共同暴露的{100}和{001}面的片晶，各向异性表面电势强制定向电荷分离和空间分离的载流子定位，从而能够形成长寿命的电子库。这些存储的电子随后通过 Pt 助催化剂位点被提取，以驱动持续的 CO</w:t>
      </w:r>
      <w:r>
        <w:rPr>
          <w:vertAlign w:val="subscript"/>
        </w:rPr>
        <w:t>2</w:t>
      </w:r>
      <w:r>
        <w:t>‐到‐CH</w:t>
      </w:r>
      <w:r>
        <w:rPr>
          <w:vertAlign w:val="subscript"/>
        </w:rPr>
        <w:t>4</w:t>
      </w:r>
      <w:r>
        <w:t>在完全黑暗中转化超过 8 小时，保持高 CH</w:t>
      </w:r>
      <w:r>
        <w:rPr>
          <w:vertAlign w:val="subscript"/>
        </w:rPr>
        <w:t>4</w:t>
      </w:r>
      <w:r>
        <w:t>选择性为93.6%。这项工作建立了一个重新编程存储的激发能量的命运的通用策略，从而红色</w:t>
      </w:r>
    </w:p>
    <w:p>
      <w:pPr>
        <w:spacing w:before="0" w:after="200" w:lineRule="auto" w:line="276"/>
      </w:pPr>
      <w:r>
        <w:rPr>
          <w:b/>
        </w:rPr>
        <w:t xml:space="preserve">Abstract (EN): </w:t>
      </w:r>
      <w:r>
        <w:t>Solar‐driven CO</w:t>
      </w:r>
      <w:r>
        <w:rPr>
          <w:vertAlign w:val="subscript"/>
        </w:rPr>
        <w:t>2</w:t>
      </w:r>
      <w:r>
        <w:t>reduction is fundamentally constrained by the intermittency of sunlight, resulting in a temporal mismatch between energy harvesting and catalytic conversion. Persistent phosphors offer a unique platform to bridge this gap by storing excitation energy; however, this stored energy is predominantly dissipated via radiative recombination rather than being utilized as chemically accessible redox power. Here, we demonstrate that the fate of stored excitation energy can be reprogrammed in persistent phosphors, enabling chemical reactions to proceed in the absence of light. By constructing single‐crystalline Sr</w:t>
      </w:r>
      <w:r>
        <w:rPr>
          <w:vertAlign w:val="subscript"/>
        </w:rPr>
        <w:t>2</w:t>
      </w:r>
      <w:r>
        <w:t>MgSi</w:t>
      </w:r>
      <w:r>
        <w:rPr>
          <w:vertAlign w:val="subscript"/>
        </w:rPr>
        <w:t>2</w:t>
      </w:r>
      <w:r>
        <w:t>O</w:t>
      </w:r>
      <w:r>
        <w:rPr>
          <w:vertAlign w:val="subscript"/>
        </w:rPr>
        <w:t>7</w:t>
      </w:r>
      <w:r>
        <w:t>:Eu</w:t>
      </w:r>
      <w:r>
        <w:t xml:space="preserve"> </w:t>
      </w:r>
      <w:r>
        <w:t>2+</w:t>
      </w:r>
      <w:r>
        <w:t xml:space="preserve"> </w:t>
      </w:r>
      <w:r>
        <w:t>, Dy</w:t>
      </w:r>
      <w:r>
        <w:t xml:space="preserve"> </w:t>
      </w:r>
      <w:r>
        <w:t>3+</w:t>
      </w:r>
      <w:r>
        <w:t xml:space="preserve"> </w:t>
      </w:r>
      <w:r>
        <w:t>platelets with co‐exposed {100} and {001} facets, anisotropic surface potentials enforce directional charge separation and spatially separated carrier localization, enabling the formation of a long‐lived electron reservoir. These stored electrons are subsequently extracted through Pt cocatalyst sites to drive sustained CO</w:t>
      </w:r>
      <w:r>
        <w:rPr>
          <w:vertAlign w:val="subscript"/>
        </w:rPr>
        <w:t>2</w:t>
      </w:r>
      <w:r>
        <w:t>‐to‐CH</w:t>
      </w:r>
      <w:r>
        <w:rPr>
          <w:vertAlign w:val="subscript"/>
        </w:rPr>
        <w:t>4</w:t>
      </w:r>
      <w:r>
        <w:t>conversion in complete darkness for over 8 h, maintaining a high CH</w:t>
      </w:r>
      <w:r>
        <w:rPr>
          <w:vertAlign w:val="subscript"/>
        </w:rPr>
        <w:t>4</w:t>
      </w:r>
      <w:r>
        <w:t>selectivity of 93.6%. This work establishes a general strategy for reprogramming the fate of stored excitation energy, thereby redefining the role of persistent phosphors from luminescent materials to platforms for sustained chemical reactivity beyond illumination.</w:t>
      </w:r>
    </w:p>
    <w:p>
      <w:pPr>
        <w:spacing w:before="120" w:after="120"/>
      </w:pPr>
      <w:r>
        <w:rPr>
          <w:sz w:val="18"/>
        </w:rPr>
        <w:t>——————————————————————————————————————————————————————————————————————</w:t>
      </w:r>
    </w:p>
    <w:p>
      <w:pPr>
        <w:spacing w:before="160" w:after="120"/>
      </w:pPr>
      <w:r>
        <w:rPr>
          <w:b/>
          <w:sz w:val="28"/>
        </w:rPr>
        <w:t>【塑料回收】</w:t>
      </w:r>
    </w:p>
    <w:p>
      <w:pPr>
        <w:spacing w:before="160" w:after="40" w:line="240" w:lineRule="auto"/>
      </w:pPr>
      <w:r>
        <w:rPr>
          <w:b/>
        </w:rPr>
        <w:t xml:space="preserve">[1] </w:t>
      </w:r>
      <w:hyperlink r:id="rId251">
        <w:r>
          <w:rPr>
            <w:color w:val="1155CC"/>
            <w:u w:val="single"/>
          </w:rPr>
          <w:t>质子阱辅助 S/O 异构化驱动的阳离子开环聚合制备 CO2 衍生的可降解聚硫酯粘合剂</w:t>
        </w:r>
      </w:hyperlink>
    </w:p>
    <w:p>
      <w:pPr>
        <w:spacing w:before="0" w:after="80"/>
      </w:pPr>
      <w:r>
        <w:rPr>
          <w:i/>
          <w:sz w:val="20"/>
        </w:rPr>
        <w:t>EN: CO2‐Derived Degradable Polythioester Adhesives From Proton‐Trap‐Assisted S/O Isomerization‐Driven Cationic Ring‐Opening Polymerization</w:t>
      </w:r>
    </w:p>
    <w:p>
      <w:pPr>
        <w:spacing w:before="0" w:after="120"/>
      </w:pPr>
      <w:r>
        <w:rPr>
          <w:b/>
        </w:rPr>
        <w:t xml:space="preserve">Source: </w:t>
      </w:r>
      <w:r>
        <w:t>Wiley-Online-Library: Angewandte Chemie International Edition: Table of Contents</w:t>
      </w:r>
      <w:r>
        <w:t xml:space="preserve">    </w:t>
      </w:r>
      <w:r>
        <w:rPr>
          <w:b/>
        </w:rPr>
        <w:t xml:space="preserve">Pub date: </w:t>
      </w:r>
      <w:r>
        <w:t>2026-06-13 16:40:16+00:00</w:t>
      </w:r>
      <w:r>
        <w:t xml:space="preserve">    </w:t>
      </w:r>
      <w:r>
        <w:rPr>
          <w:b/>
        </w:rPr>
        <w:t xml:space="preserve">DOI: </w:t>
      </w:r>
      <w:hyperlink r:id="rId252">
        <w:r>
          <w:rPr>
            <w:color w:val="1155CC"/>
            <w:u w:val="single"/>
          </w:rPr>
          <w:t>10.1002/anie.8723325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可降解压敏粘合剂（PSA）的开发为含粘合剂材料的回收利用带来了巨大希望。然而，现有的可降解压敏胶通常受到粘合强度不足或中等、对化石原料的依赖和/或不完全降解的限制。应对这些挑战需要开发新的聚合策略和材料设计。在此，我们报道了质子阱辅助的S/O异构化驱动的CO阳离子开环聚合</w:t>
      </w:r>
      <w:r>
        <w:rPr>
          <w:vertAlign w:val="subscript"/>
        </w:rPr>
        <w:t>2</w:t>
      </w:r>
      <w:r>
        <w:t>衍生的硫醇内酯3,6-二乙基四氢-2H-吡喃-2-硫酮，可以很好地控制高分子量CO的合成</w:t>
      </w:r>
      <w:r>
        <w:rPr>
          <w:vertAlign w:val="subscript"/>
        </w:rPr>
        <w:t>2</w:t>
      </w:r>
      <w:r>
        <w:t>‐基（共）聚硫酯。所得材料具有独特的高且可调节的剥离强度（高达 16.43 N/cm）、优异的光学透明度（超过 96% 的透光率、低雾度和低黄度指数）以及在温和条件下经历完全降解或定量解聚的能力的组合，提供了基于聚硫酯的压敏粘合剂的第一个实际例子。这项研究为 PSA 设计建立了一个可持续的平台，将稳健的性能与全生命周期管理相结合，从而促进二氧化碳的利用</w:t>
      </w:r>
      <w:r>
        <w:rPr>
          <w:vertAlign w:val="subscript"/>
        </w:rPr>
        <w:t>2</w:t>
      </w:r>
      <w:r>
        <w:t>衍生材料和圆形聚合物设计。</w:t>
      </w:r>
    </w:p>
    <w:p>
      <w:pPr>
        <w:spacing w:before="0" w:after="200" w:lineRule="auto" w:line="276"/>
      </w:pPr>
      <w:r>
        <w:rPr>
          <w:b/>
        </w:rPr>
        <w:t xml:space="preserve">Abstract (EN): </w:t>
      </w:r>
      <w:r>
        <w:t>The development of degradable pressure‐sensitive adhesives (PSAs) holds great promise for enabling the recycling of adhesive‐containing materials. However, existing degradable PSAs are often constrained by insufficient or moderate adhesion strength, reliance on fossil‐based feedstocks, and/or incomplete degradation. Addressing these challenges requires the development of new polymerization strategies and material designs. Herein, we report a proton‐trap‐assisted S/O isomerization‐driven cationic ring‐opening polymerization of the CO</w:t>
      </w:r>
      <w:r>
        <w:rPr>
          <w:vertAlign w:val="subscript"/>
        </w:rPr>
        <w:t>2</w:t>
      </w:r>
      <w:r>
        <w:t>‐derived thionolactone 3,6‐diethyltetrahydro‐2H‐pyran‐2‐thione, which enables the well‐controlled synthesis of high‐molecular‐weight CO</w:t>
      </w:r>
      <w:r>
        <w:rPr>
          <w:vertAlign w:val="subscript"/>
        </w:rPr>
        <w:t>2</w:t>
      </w:r>
      <w:r>
        <w:t>‐based (co)polythioesters. The resulting materials exhibit a unique combination of high and tunable peel strength (up to 16.43 N/cm), excellent optical clarity (over 96% transmittance, low haze and low yellowness index), and the ability to undergo either complete degradation or quantitative depolymerization under mild conditions, delivering the first practical example of polythioester‐based PSAs. This study establishes a sustainable platform for PSA design that integrates robust performance with full life‐cycle management, thereby advancing the utilization of CO</w:t>
      </w:r>
      <w:r>
        <w:rPr>
          <w:vertAlign w:val="subscript"/>
        </w:rPr>
        <w:t>2</w:t>
      </w:r>
      <w:r>
        <w:t>‐derived materials and circular polymer design.</w:t>
      </w:r>
    </w:p>
    <w:p>
      <w:pPr>
        <w:spacing w:before="120" w:after="120"/>
      </w:pPr>
      <w:r>
        <w:rPr>
          <w:sz w:val="18"/>
        </w:rPr>
        <w:t>——————————————————————————————————————————————————————————————————————</w:t>
      </w:r>
    </w:p>
    <w:p>
      <w:pPr>
        <w:spacing w:before="160" w:after="40" w:line="240" w:lineRule="auto"/>
      </w:pPr>
      <w:r>
        <w:rPr>
          <w:b/>
        </w:rPr>
        <w:t xml:space="preserve">[2] </w:t>
      </w:r>
      <w:hyperlink r:id="rId286">
        <w:r>
          <w:rPr>
            <w:color w:val="1155CC"/>
            <w:u w:val="single"/>
          </w:rPr>
          <w:t>链缠结可实现高性能热固性材料的再生</w:t>
        </w:r>
      </w:hyperlink>
    </w:p>
    <w:p>
      <w:pPr>
        <w:spacing w:before="0" w:after="80"/>
      </w:pPr>
      <w:r>
        <w:rPr>
          <w:i/>
          <w:sz w:val="20"/>
        </w:rPr>
        <w:t>EN: Chain entanglements enable regeneration of high-performance thermosets</w:t>
      </w:r>
    </w:p>
    <w:p>
      <w:pPr>
        <w:spacing w:before="0" w:after="120"/>
      </w:pPr>
      <w:r>
        <w:rPr>
          <w:b/>
        </w:rPr>
        <w:t xml:space="preserve">Source: </w:t>
      </w:r>
      <w:r>
        <w:t>Nature Materials</w:t>
      </w:r>
      <w:r>
        <w:t xml:space="preserve">    </w:t>
      </w:r>
      <w:r>
        <w:rPr>
          <w:b/>
        </w:rPr>
        <w:t xml:space="preserve">Pub date: </w:t>
      </w:r>
      <w:r>
        <w:t>2026-06-15 00:00:00+00:00</w:t>
      </w:r>
      <w:r>
        <w:t xml:space="preserve">    </w:t>
      </w:r>
      <w:r>
        <w:rPr>
          <w:b/>
        </w:rPr>
        <w:t xml:space="preserve">DOI: </w:t>
      </w:r>
      <w:hyperlink r:id="rId287">
        <w:r>
          <w:rPr>
            <w:color w:val="1155CC"/>
            <w:u w:val="single"/>
          </w:rPr>
          <w:t>10.1038/s41563-026-02646-y</w:t>
        </w:r>
      </w:hyperlink>
    </w:p>
    <w:p>
      <w:pPr>
        <w:spacing w:before="0" w:after="120"/>
      </w:pPr>
      <w:r>
        <w:rPr>
          <w:b/>
        </w:rPr>
        <w:t xml:space="preserve">Notes: </w:t>
      </w:r>
      <w:r>
        <w:t>abstract_source=nature_html</w:t>
      </w:r>
    </w:p>
    <w:p>
      <w:pPr>
        <w:spacing w:before="0" w:after="80" w:lineRule="auto" w:line="276"/>
      </w:pPr>
      <w:r>
        <w:rPr>
          <w:b/>
        </w:rPr>
        <w:t xml:space="preserve">摘要（ZH）: </w:t>
      </w:r>
      <w:r>
        <w:t>热固性塑料是结构材料、电子和运输的基础，但阻止流动和提供尺寸稳定性的永久共价网络也使得它们难以在不牺牲性能的情况下回收。在这里，我们表明，高性能热固性材料可以围绕密集的链缠结（长聚合物链的物理交织）构建，而不是密集的永久交联，只有少量选择性可裂解的连接点保持连接性。通过正面聚合产生的长的、刚性的、缠结的聚烯烃主链形成玻璃状聚合物，具有高刚度、高韧性和优异的蠕变抑制性能，但可以完全解构为可溶的线性低聚物。不同的低聚物长度和端基化学性质使其能够重新用作重新缠结的结构单元，从而再生热固性材料，其热性能和机械性能在各代之间保持不变。该策略进一步扩展到高温纤维增强复合材料基体和增材制造结构，将链缠结确立为耐用、可再生热固性材料的设计原则。</w:t>
      </w:r>
    </w:p>
    <w:p>
      <w:pPr>
        <w:spacing w:before="0" w:after="200" w:lineRule="auto" w:line="276"/>
      </w:pPr>
      <w:r>
        <w:rPr>
          <w:b/>
        </w:rPr>
        <w:t xml:space="preserve">Abstract (EN): </w:t>
      </w:r>
      <w:r>
        <w:t>Thermoset plastics underpin structural materials, electronics and transportation, yet the permanent covalent networks that prevent flow and provide dimensional stability also make them difficult to recycle without sacrificing performance. Here we show that high-performance thermosets can be built around dense chain entanglements, the physical interlacing of long polymer strands, rather than dense permanent crosslinks, with only a small number of selectively cleavable junctions preserving connectivity. Long, rigid, entangled polyolefin backbones generated by frontal polymerization form glassy polymers with high stiffness, high toughness and excellent creep suppression yet can be fully deconstructed into soluble, linear oligomers. Varying oligomer length and end-group chemistry enables their reuse as re-entangling building blocks that regenerate thermosets with thermal and mechanical properties that remain unchanged across generations. The strategy further extends to high-temperature fibre-reinforced composite matrices and additively manufactured structures, establishing chain entanglement as a design principle for durable, regenerable thermosets.</w:t>
      </w:r>
    </w:p>
    <w:p>
      <w:pPr>
        <w:spacing w:before="120" w:after="120"/>
      </w:pPr>
      <w:r>
        <w:rPr>
          <w:sz w:val="18"/>
        </w:rPr>
        <w:t>——————————————————————————————————————————————————————————————————————</w:t>
      </w:r>
    </w:p>
    <w:p>
      <w:pPr>
        <w:spacing w:before="160" w:after="40" w:line="240" w:lineRule="auto"/>
      </w:pPr>
      <w:r>
        <w:rPr>
          <w:b/>
        </w:rPr>
        <w:t xml:space="preserve">[3] </w:t>
      </w:r>
      <w:hyperlink r:id="rId288">
        <w:r>
          <w:rPr>
            <w:color w:val="1155CC"/>
            <w:u w:val="single"/>
          </w:rPr>
          <w:t>具有卓越渗透汽化性能的闭环化学可回收分离膜</w:t>
        </w:r>
      </w:hyperlink>
    </w:p>
    <w:p>
      <w:pPr>
        <w:spacing w:before="0" w:after="80"/>
      </w:pPr>
      <w:r>
        <w:rPr>
          <w:i/>
          <w:sz w:val="20"/>
        </w:rPr>
        <w:t>EN: Closed‐Loop Chemically Recyclable Separation Membranes With Superior Pervaporation Performance</w:t>
      </w:r>
    </w:p>
    <w:p>
      <w:pPr>
        <w:spacing w:before="0" w:after="120"/>
      </w:pPr>
      <w:r>
        <w:rPr>
          <w:b/>
        </w:rPr>
        <w:t xml:space="preserve">Source: </w:t>
      </w:r>
      <w:r>
        <w:t>Wiley: Advanced Materials: Table of Contents</w:t>
      </w:r>
      <w:r>
        <w:t xml:space="preserve">    </w:t>
      </w:r>
      <w:r>
        <w:rPr>
          <w:b/>
        </w:rPr>
        <w:t xml:space="preserve">Pub date: </w:t>
      </w:r>
      <w:r>
        <w:t>2026-06-15 07:32:23+00:00</w:t>
      </w:r>
      <w:r>
        <w:t xml:space="preserve">    </w:t>
      </w:r>
      <w:r>
        <w:rPr>
          <w:b/>
        </w:rPr>
        <w:t xml:space="preserve">DOI: </w:t>
      </w:r>
      <w:hyperlink r:id="rId289">
        <w:r>
          <w:rPr>
            <w:color w:val="1155CC"/>
            <w:u w:val="single"/>
          </w:rPr>
          <w:t>10.1002/adma.73725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低碳足迹和减少二次污染，膜技术提供了一种节能的分离过程，而聚合物膜的报废处理实践仍然是一个问题。在此，提出了一种光触发动态聚二甲基硅氧烷（PDMS）网络设计，该设计能够实现具有优异渗透汽化性能的闭环可回收分离膜。这种动态网络是通过蒽接枝的PDMS在365 nm紫外光下的[4 + 4]光二聚作用构建的，而254 nm紫外光将交联膜转变为线性聚合物。在环境温度下，解构过程在35分钟内完成，回收测试表明PDMS网络的有效重建，10分钟内蒽基团的转化率达到92.6%。该膜表现出优异的乙醇回收性能，渗透汽化分离指数为 13,285，超过了报道的最先进的基于 PDMS 的膜。即使经过五个固液转换循环后，回收膜仍能保持有效的乙醇回收率，与原始膜相比，通量和分离因子偏差较小。这种动态网络还表现出有效的自愈能力，并保留了针对微小缺陷的渗透汽化性能。具有保留和卓越功能的闭环化学可回收分离膜的设计原理提供了一种可扩展的膜技术，可适应不同的分离应用。</w:t>
      </w:r>
    </w:p>
    <w:p>
      <w:pPr>
        <w:spacing w:before="0" w:after="200" w:lineRule="auto" w:line="276"/>
      </w:pPr>
      <w:r>
        <w:rPr>
          <w:b/>
        </w:rPr>
        <w:t xml:space="preserve">Abstract (EN): </w:t>
      </w:r>
      <w:r>
        <w:t>With low carbon footprint and reduced secondary pollution, membrane technique offers an energy‐saving separation process while end‐of‐life disposal practices of polymer membranes remain an issue. Herein, a light‐triggered dynamic polydimethylsiloxane (PDMS) network design, that enabled a closed‐loop recyclable separation membrane with superior pervaporation performance, is proposed. Such a dynamic network is constructed through [4 + 4] photodimerization of anthracene grafted PDMS under 365‐nm UV light, while 254‐nm UV light transforms the crosslinked membranes into linear polymers. The facile deconstruction process is completed within 35 min at ambient temperature, and recycling test demonstrates efficient reconstruction of PDMS networks with 92.6% conversion of anthracene groups within 10 min. The membrane exhibits a superior ethanol recovery performance with a pervaporation separation index of 13,285, surpassing the reported state‐of‐the‐art PDMS‐based membranes. The recycled membrane retains efficient ethanol recovery even after five solid‐liquid conversion cycles with minor deviations in flux and separation factor compared to the original membrane. Such a dynamic network also demonstrates an efficient self‐healing capability with retained pervaporation performance toward minor defects. The design principle of closed‐loop chemically recyclable separation membranes with retained and superior functionality provides a scalable membrane technique adaptable to diverse separation applications.</w:t>
      </w:r>
    </w:p>
    <w:p>
      <w:pPr>
        <w:spacing w:before="120" w:after="120"/>
      </w:pPr>
      <w:r>
        <w:rPr>
          <w:sz w:val="18"/>
        </w:rPr>
        <w:t>——————————————————————————————————————————————————————————————————————</w:t>
      </w:r>
    </w:p>
    <w:p>
      <w:pPr>
        <w:spacing w:before="160" w:after="40" w:line="240" w:lineRule="auto"/>
      </w:pPr>
      <w:r>
        <w:rPr>
          <w:b/>
        </w:rPr>
        <w:t xml:space="preserve">[4] </w:t>
      </w:r>
      <w:hyperlink r:id="rId290">
        <w:r>
          <w:rPr>
            <w:color w:val="1155CC"/>
            <w:u w:val="single"/>
          </w:rPr>
          <w:t>所有聚酯单元转化为胺：钌催化、酸辅助氢化胺化</w:t>
        </w:r>
      </w:hyperlink>
    </w:p>
    <w:p>
      <w:pPr>
        <w:spacing w:before="0" w:after="80"/>
      </w:pPr>
      <w:r>
        <w:rPr>
          <w:i/>
          <w:sz w:val="20"/>
        </w:rPr>
        <w:t>EN: Conversion of all polyester units to amines: Ruthenium-catalyzed, acid-assisted hydrogenative amination</w:t>
      </w:r>
    </w:p>
    <w:p>
      <w:pPr>
        <w:spacing w:before="0" w:after="120"/>
      </w:pPr>
      <w:r>
        <w:rPr>
          <w:b/>
        </w:rPr>
        <w:t xml:space="preserve">Source: </w:t>
      </w:r>
      <w:r>
        <w:t>AAAS: Science Advances: Table of Contents</w:t>
      </w:r>
      <w:r>
        <w:t xml:space="preserve">    </w:t>
      </w:r>
      <w:r>
        <w:rPr>
          <w:b/>
        </w:rPr>
        <w:t xml:space="preserve">Pub date: </w:t>
      </w:r>
      <w:r>
        <w:t>2026-06-17 07:00:00+00:00</w:t>
      </w:r>
      <w:r>
        <w:t xml:space="preserve">    </w:t>
      </w:r>
      <w:r>
        <w:rPr>
          <w:b/>
        </w:rPr>
        <w:t xml:space="preserve">DOI: </w:t>
      </w:r>
      <w:hyperlink r:id="rId291">
        <w:r>
          <w:rPr>
            <w:color w:val="1155CC"/>
            <w:u w:val="single"/>
          </w:rPr>
          <w:t>10.1126/sciadv.aed9124</w:t>
        </w:r>
      </w:hyperlink>
    </w:p>
    <w:p>
      <w:pPr>
        <w:spacing w:before="0" w:after="120"/>
      </w:pPr>
      <w:r>
        <w:rPr>
          <w:b/>
        </w:rPr>
        <w:t xml:space="preserve">Notes: </w:t>
      </w:r>
      <w:r>
        <w:t>abstract_source=crossref</w:t>
      </w:r>
    </w:p>
    <w:p>
      <w:pPr>
        <w:spacing w:before="0" w:after="80" w:lineRule="auto" w:line="276"/>
      </w:pPr>
      <w:r>
        <w:rPr>
          <w:b/>
        </w:rPr>
        <w:t xml:space="preserve">摘要（ZH）: </w:t>
      </w:r>
      <w:r>
        <w:t>在此，我们报告了一种通过钌催化、酸辅助氢化胺化将废聚酯升级改造为一系列伯、仲和叔二胺和胺的有效策略。据我们所知，这种以前未知的方法可以将报废聚酯的所有结构单元转化为相应的（二）胺。该协议展示了出色的适用性，成功地转化了现实世界中最具挑战性的含有多种杂质的聚酯废物，实现了高达 98% 的高产率。机理研究阐明了两种不同的反应途径：酰基部分通过氢化-缩合-氢化序列进行转化，而酸辅助的借氢途径则转化醇部分。这项研究为统一催化系统内并发的加氢和脱氢过程提供了基本见解。</w:t>
      </w:r>
    </w:p>
    <w:p>
      <w:pPr>
        <w:spacing w:before="0" w:after="200" w:lineRule="auto" w:line="276"/>
      </w:pPr>
      <w:r>
        <w:rPr>
          <w:b/>
        </w:rPr>
        <w:t xml:space="preserve">Abstract (EN): </w:t>
      </w:r>
      <w:r>
        <w:t>Herein, we report an efficient strategy for upcycling waste polyesters into a range of primary, secondary, and tertiary diamines and amines via ruthenium-catalyzed, acid-assisted hydrogenative amination. To our knowledge, this previously unknown methodology can convert all structural units of end-of-life polyesters into corresponding (di)amines. The protocol demonstrates excellent applicability by successfully transforming even the most challenging real-world polyester wastes containing diverse impurities, achieving high yields of up to 98%. Mechanistic investigations elucidate two distinct reaction pathways: The acyl moiety undergoes transformation via a hydrogenation-condensation-hydrogenation sequence, while an acid-assisted hydrogen-borrowing pathway converts the alcohol moiety. This study provides fundamental insights into concurrent hydrogenation and dehydrogenation processes within a unified catalytic system.</w:t>
      </w:r>
    </w:p>
    <w:p>
      <w:pPr>
        <w:spacing w:before="120" w:after="120"/>
      </w:pPr>
      <w:r>
        <w:rPr>
          <w:sz w:val="18"/>
        </w:rPr>
        <w:t>——————————————————————————————————————————————————————————————————————</w:t>
      </w:r>
    </w:p>
    <w:p>
      <w:pPr>
        <w:spacing w:before="160" w:after="40" w:line="240" w:lineRule="auto"/>
      </w:pPr>
      <w:r>
        <w:rPr>
          <w:b/>
        </w:rPr>
        <w:t xml:space="preserve">[5] </w:t>
      </w:r>
      <w:hyperlink r:id="rId292">
        <w:r>
          <w:rPr>
            <w:color w:val="1155CC"/>
            <w:u w:val="single"/>
          </w:rPr>
          <w:t>聚合物复合膜闭环回收的基于阶段的框架</w:t>
        </w:r>
      </w:hyperlink>
    </w:p>
    <w:p>
      <w:pPr>
        <w:spacing w:before="0" w:after="80"/>
      </w:pPr>
      <w:r>
        <w:rPr>
          <w:i/>
          <w:sz w:val="20"/>
        </w:rPr>
        <w:t>EN: A stage-based framework for closed-loop recycling of polymeric composite membranes</w:t>
      </w:r>
    </w:p>
    <w:p>
      <w:pPr>
        <w:spacing w:before="0" w:after="120"/>
      </w:pPr>
      <w:r>
        <w:rPr>
          <w:b/>
        </w:rPr>
        <w:t xml:space="preserve">Source: </w:t>
      </w:r>
      <w:r>
        <w:t>AAAS: Science Advances: Table of Contents</w:t>
      </w:r>
      <w:r>
        <w:t xml:space="preserve">    </w:t>
      </w:r>
      <w:r>
        <w:rPr>
          <w:b/>
        </w:rPr>
        <w:t xml:space="preserve">Pub date: </w:t>
      </w:r>
      <w:r>
        <w:t>2026-06-17 07:00:00+00:00</w:t>
      </w:r>
      <w:r>
        <w:t xml:space="preserve">    </w:t>
      </w:r>
      <w:r>
        <w:rPr>
          <w:b/>
        </w:rPr>
        <w:t xml:space="preserve">DOI: </w:t>
      </w:r>
      <w:hyperlink r:id="rId293">
        <w:r>
          <w:rPr>
            <w:color w:val="1155CC"/>
            <w:u w:val="single"/>
          </w:rPr>
          <w:t>10.1126/sciadv.aed5675</w:t>
        </w:r>
      </w:hyperlink>
    </w:p>
    <w:p>
      <w:pPr>
        <w:spacing w:before="0" w:after="120"/>
      </w:pPr>
      <w:r>
        <w:rPr>
          <w:b/>
        </w:rPr>
        <w:t xml:space="preserve">Notes: </w:t>
      </w:r>
      <w:r>
        <w:t>abstract_source=pubmed</w:t>
      </w:r>
    </w:p>
    <w:p>
      <w:pPr>
        <w:spacing w:before="0" w:after="80" w:lineRule="auto" w:line="276"/>
      </w:pPr>
      <w:r>
        <w:rPr>
          <w:b/>
        </w:rPr>
        <w:t xml:space="preserve">摘要（ZH）: </w:t>
      </w:r>
      <w:r>
        <w:t>聚合物复合膜在现代分离技术中至关重要，但由于其化学异质多层结构，给可持续的报废 (EOL) 管理带来了严峻挑战。现有的方法，例如机械加工或催化解聚，在分离和回收多种组分方面表现出有限的效率。在这里，我们提出了一种基于阶段的物理化学回收策略，通过顺序溶剂萃取、催化解聚和膜重铸实现复合膜的多组分回收和闭环再生。该工艺使用真正的 EOL 膜作为原料，生产出具有与商业同类产品相当的机械坚固性和分离性能的再生膜。生命周期评估和技术经济分析表明，与传统膜制造相比，环境影响和材料成本大幅降低。通过设计一个可扩展的工艺系统来循环回收复杂的膜组件，这项工作将材料科学和工艺工程联系起来，为聚合物复合材料废物流的可持续管理提供了一条可行的途径。</w:t>
      </w:r>
    </w:p>
    <w:p>
      <w:pPr>
        <w:spacing w:before="0" w:after="200" w:lineRule="auto" w:line="276"/>
      </w:pPr>
      <w:r>
        <w:rPr>
          <w:b/>
        </w:rPr>
        <w:t xml:space="preserve">Abstract (EN): </w:t>
      </w:r>
      <w:r>
        <w:t>Polymeric composite membranes are essential in modern separation technologies but pose critical challenges for sustainable end-of-life (EOL) management due to their chemically heterogeneous, multilayer structures. Existing approaches, such as mechanical processing or catalytic depolymerization, exhibit limited efficiency in separating and recovering multiple components. Here, we present a stage-based physical-chemical recycling strategy enabling multicomponent recovery and closed-loop regeneration of composite membranes through sequential solvent extraction, catalytic depolymerization, and membrane recasting. Using real EOL membranes as feedstock, the process yields regenerated membranes with mechanical robustness and separation performance comparable to commercial counterparts. Life-cycle assessment and technoeconomic analysis reveal substantial reductions in environmental impacts and material costs relative to conventional membrane manufacturing. By engineering a scalable process system for the circular recovery of complex membrane components, this work bridges materials science and process engineering, offering a viable route for sustainable management of polymeric composite waste streams.</w:t>
      </w:r>
    </w:p>
    <w:p>
      <w:pPr>
        <w:spacing w:before="120" w:after="120"/>
      </w:pPr>
      <w:r>
        <w:rPr>
          <w:sz w:val="18"/>
        </w:rPr>
        <w:t>——————————————————————————————————————————————————————————————————————</w:t>
      </w:r>
    </w:p>
    <w:p>
      <w:pPr>
        <w:spacing w:before="160" w:after="40" w:line="240" w:lineRule="auto"/>
      </w:pPr>
      <w:r>
        <w:rPr>
          <w:b/>
        </w:rPr>
        <w:t xml:space="preserve">[6] </w:t>
      </w:r>
      <w:hyperlink r:id="rId294">
        <w:r>
          <w:rPr>
            <w:color w:val="1155CC"/>
            <w:u w:val="single"/>
          </w:rPr>
          <w:t>通过定制尖晶石镍钴氧化物中氧空位和 Ni3+-O 八面体基序的协同碳-碳键断裂实现通用电催化塑料和生物质精炼</w:t>
        </w:r>
      </w:hyperlink>
    </w:p>
    <w:p>
      <w:pPr>
        <w:spacing w:before="0" w:after="80"/>
      </w:pPr>
      <w:r>
        <w:rPr>
          <w:i/>
          <w:sz w:val="20"/>
        </w:rPr>
        <w:t>EN: General Electrocatalytic Plastic and Biomass Refining via Synergistic Carbon–Carbon Bond Cleavage Over Oxygen Vacancies and Ni3+–O Octahedral Motifs in Tailored Spinel Nickel Cobalt Oxide</w:t>
      </w:r>
    </w:p>
    <w:p>
      <w:pPr>
        <w:spacing w:before="0" w:after="120"/>
      </w:pPr>
      <w:r>
        <w:rPr>
          <w:b/>
        </w:rPr>
        <w:t xml:space="preserve">Source: </w:t>
      </w:r>
      <w:r>
        <w:t>Wiley: Angewandte Chemie International Edition: Table of Contents</w:t>
      </w:r>
      <w:r>
        <w:t xml:space="preserve">    </w:t>
      </w:r>
      <w:r>
        <w:rPr>
          <w:b/>
        </w:rPr>
        <w:t xml:space="preserve">Pub date: </w:t>
      </w:r>
      <w:r>
        <w:t>2026-06-18 17:36:44+00:00</w:t>
      </w:r>
      <w:r>
        <w:t xml:space="preserve">    </w:t>
      </w:r>
      <w:r>
        <w:rPr>
          <w:b/>
        </w:rPr>
        <w:t xml:space="preserve">DOI: </w:t>
      </w:r>
      <w:hyperlink r:id="rId295">
        <w:r>
          <w:rPr>
            <w:color w:val="1155CC"/>
            <w:u w:val="single"/>
          </w:rPr>
          <w:t>10.1002/anie.4035800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来自塑料和生物质的可回收碳资源的电氧化为通过 C-C 键断裂产生小有机酸的增值转化提供了一条有前途的途径。然而，开发具有广泛底物适用性的电催化剂受到有限的 C-C 键裂解选择性和缓慢的动力学的阻碍。在此，我们构建了一个 NiO</w:t>
      </w:r>
      <w:r>
        <w:t xml:space="preserve"> </w:t>
      </w:r>
      <w:r>
        <w:t>x</w:t>
      </w:r>
      <w:r>
        <w:t xml:space="preserve"> </w:t>
      </w:r>
      <w:r>
        <w:t>–镍钴</w:t>
      </w:r>
      <w:r>
        <w:rPr>
          <w:vertAlign w:val="subscript"/>
        </w:rPr>
        <w:t>2</w:t>
      </w:r>
      <w:r>
        <w:t>氧</w:t>
      </w:r>
      <w:r>
        <w:rPr>
          <w:vertAlign w:val="subscript"/>
        </w:rPr>
        <w:t>4</w:t>
      </w:r>
      <w:r>
        <w:t>‐U电催化剂具有大量氧空位，其中NiCo</w:t>
      </w:r>
      <w:r>
        <w:rPr>
          <w:vertAlign w:val="subscript"/>
        </w:rPr>
        <w:t>2</w:t>
      </w:r>
      <w:r>
        <w:t>氧</w:t>
      </w:r>
      <w:r>
        <w:rPr>
          <w:vertAlign w:val="subscript"/>
        </w:rPr>
        <w:t>4</w:t>
      </w:r>
      <w:r>
        <w:t>倾向于采用反尖晶石构型，导致丰富的 Ni</w:t>
      </w:r>
      <w:r>
        <w:t xml:space="preserve"> </w:t>
      </w:r>
      <w:r>
        <w:t>3+</w:t>
      </w:r>
      <w:r>
        <w:t xml:space="preserve"> </w:t>
      </w:r>
      <w:r>
        <w:t>–O 八面体，带 e</w:t>
      </w:r>
      <w:r>
        <w:t xml:space="preserve"> </w:t>
      </w:r>
      <w:r>
        <w:t>克</w:t>
      </w:r>
      <w:r>
        <w:t xml:space="preserve"> </w:t>
      </w:r>
      <w:r>
        <w:t>占用率接近统一。该催化剂促进两种 C-C 键断裂途径：*OH 介导的过程和电氧化过程中原位生成活性 NiOOH。用于乳酸（聚乳酸单体）电氧化成乙酸、NiO</w:t>
      </w:r>
      <w:r>
        <w:t xml:space="preserve"> </w:t>
      </w:r>
      <w:r>
        <w:t>x</w:t>
      </w:r>
      <w:r>
        <w:t xml:space="preserve"> </w:t>
      </w:r>
      <w:r>
        <w:t>‐镍钴</w:t>
      </w:r>
      <w:r>
        <w:rPr>
          <w:vertAlign w:val="subscript"/>
        </w:rPr>
        <w:t>2</w:t>
      </w:r>
      <w:r>
        <w:t>氧</w:t>
      </w:r>
      <w:r>
        <w:rPr>
          <w:vertAlign w:val="subscript"/>
        </w:rPr>
        <w:t>4</w:t>
      </w:r>
      <w:r>
        <w:t>‐在泡沫镍上生长的 U 在 1.45 V 下相对于 RHE 实现了 99.2% 的高法拉第效率，并且产量高达 5432 µmol h</w:t>
      </w:r>
      <w:r>
        <w:t xml:space="preserve"> </w:t>
      </w:r>
      <w:r>
        <w:t>−1</w:t>
      </w:r>
      <w:r>
        <w:t xml:space="preserve"> </w:t>
      </w:r>
      <w:r>
        <w:t>厘米</w:t>
      </w:r>
      <w:r>
        <w:t xml:space="preserve"> </w:t>
      </w:r>
      <w:r>
        <w:t>−2</w:t>
      </w:r>
      <w:r>
        <w:t xml:space="preserve"> </w:t>
      </w:r>
      <w:r>
        <w:t>600 mA cm 时</w:t>
      </w:r>
      <w:r>
        <w:t xml:space="preserve"> </w:t>
      </w:r>
      <w:r>
        <w:t>−2</w:t>
      </w:r>
      <w:r>
        <w:t xml:space="preserve"> </w:t>
      </w:r>
      <w:r>
        <w:t>，以及出色的稳定性。受益于优化的空缺</w:t>
      </w:r>
    </w:p>
    <w:p>
      <w:pPr>
        <w:spacing w:before="0" w:after="200" w:lineRule="auto" w:line="276"/>
      </w:pPr>
      <w:r>
        <w:rPr>
          <w:b/>
        </w:rPr>
        <w:t xml:space="preserve">Abstract (EN): </w:t>
      </w:r>
      <w:r>
        <w:t>Electrooxidation of recyclable carbon resources from plastics and biomass offers a promising route for value‐added conversion via C–C bond cleavage to yield small organic acids. However, developing electrocatalysts with broad substrate applicability is hindered by limited C–C bond cleavage selectivity and sluggish kinetics. Herein, we constructed a NiO</w:t>
      </w:r>
      <w:r>
        <w:t xml:space="preserve"> </w:t>
      </w:r>
      <w:r>
        <w:t>x</w:t>
      </w:r>
      <w:r>
        <w:t xml:space="preserve"> </w:t>
      </w:r>
      <w:r>
        <w:t>–NiCo</w:t>
      </w:r>
      <w:r>
        <w:rPr>
          <w:vertAlign w:val="subscript"/>
        </w:rPr>
        <w:t>2</w:t>
      </w:r>
      <w:r>
        <w:t>O</w:t>
      </w:r>
      <w:r>
        <w:rPr>
          <w:vertAlign w:val="subscript"/>
        </w:rPr>
        <w:t>4</w:t>
      </w:r>
      <w:r>
        <w:t>‐U electrocatalyst with substantial oxygen vacancies, in which NiCo</w:t>
      </w:r>
      <w:r>
        <w:rPr>
          <w:vertAlign w:val="subscript"/>
        </w:rPr>
        <w:t>2</w:t>
      </w:r>
      <w:r>
        <w:t>O</w:t>
      </w:r>
      <w:r>
        <w:rPr>
          <w:vertAlign w:val="subscript"/>
        </w:rPr>
        <w:t>4</w:t>
      </w:r>
      <w:r>
        <w:t>tends to adopt an inverse spinel configuration, leading to abundant Ni</w:t>
      </w:r>
      <w:r>
        <w:t xml:space="preserve"> </w:t>
      </w:r>
      <w:r>
        <w:t>3+</w:t>
      </w:r>
      <w:r>
        <w:t xml:space="preserve"> </w:t>
      </w:r>
      <w:r>
        <w:t>–O octahedra with e</w:t>
      </w:r>
      <w:r>
        <w:t xml:space="preserve"> </w:t>
      </w:r>
      <w:r>
        <w:t>g</w:t>
      </w:r>
      <w:r>
        <w:t xml:space="preserve"> </w:t>
      </w:r>
      <w:r>
        <w:t>occupancy close to unity. This catalyst facilitates two C–C bond cleavage pathways: *OH mediated processes and in situ generation of active NiOOH during electrooxidation. For the electrooxidation of lactic acid (monomer of polylactic acid) to acetic acid, NiO</w:t>
      </w:r>
      <w:r>
        <w:t xml:space="preserve"> </w:t>
      </w:r>
      <w:r>
        <w:t>x</w:t>
      </w:r>
      <w:r>
        <w:t xml:space="preserve"> </w:t>
      </w:r>
      <w:r>
        <w:t>‐NiCo</w:t>
      </w:r>
      <w:r>
        <w:rPr>
          <w:vertAlign w:val="subscript"/>
        </w:rPr>
        <w:t>2</w:t>
      </w:r>
      <w:r>
        <w:t>O</w:t>
      </w:r>
      <w:r>
        <w:rPr>
          <w:vertAlign w:val="subscript"/>
        </w:rPr>
        <w:t>4</w:t>
      </w:r>
      <w:r>
        <w:t>‐U grown on nickel foam achieves a high Faradaic efficiency of 99.2% at 1.45 V versus RHE and a high yield of 5432 µmol h</w:t>
      </w:r>
      <w:r>
        <w:t xml:space="preserve"> </w:t>
      </w:r>
      <w:r>
        <w:t>−1</w:t>
      </w:r>
      <w:r>
        <w:t xml:space="preserve"> </w:t>
      </w:r>
      <w:r>
        <w:t>cm</w:t>
      </w:r>
      <w:r>
        <w:t xml:space="preserve"> </w:t>
      </w:r>
      <w:r>
        <w:t>−2</w:t>
      </w:r>
      <w:r>
        <w:t xml:space="preserve"> </w:t>
      </w:r>
      <w:r>
        <w:t>at 600 mA cm</w:t>
      </w:r>
      <w:r>
        <w:t xml:space="preserve"> </w:t>
      </w:r>
      <w:r>
        <w:t>−2</w:t>
      </w:r>
      <w:r>
        <w:t xml:space="preserve"> </w:t>
      </w:r>
      <w:r>
        <w:t>, along with excellent stability. Benefiting from the optimized vacancy modulation and Ni–O coordination structure, the NiO</w:t>
      </w:r>
      <w:r>
        <w:t xml:space="preserve"> </w:t>
      </w:r>
      <w:r>
        <w:t>x</w:t>
      </w:r>
      <w:r>
        <w:t xml:space="preserve"> </w:t>
      </w:r>
      <w:r>
        <w:t>‐NiCo</w:t>
      </w:r>
      <w:r>
        <w:rPr>
          <w:vertAlign w:val="subscript"/>
        </w:rPr>
        <w:t>2</w:t>
      </w:r>
      <w:r>
        <w:t>O</w:t>
      </w:r>
      <w:r>
        <w:rPr>
          <w:vertAlign w:val="subscript"/>
        </w:rPr>
        <w:t>4</w:t>
      </w:r>
      <w:r>
        <w:t>‐U exhibits superior C–C bond cleavage capability, enabling the highly selective electrooxidation of at least 10 oxygenated organic molecules, including ethylene glycol, glycerol, and glucose. This work provides a design strategy for versatile electrooxidation catalysts and may support industrial applications integrating waste plastics and biomass derivatives.</w:t>
      </w:r>
    </w:p>
    <w:p>
      <w:pPr>
        <w:spacing w:before="120" w:after="120"/>
      </w:pPr>
      <w:r>
        <w:rPr>
          <w:sz w:val="18"/>
        </w:rPr>
        <w:t>——————————————————————————————————————————————————————————————————————</w:t>
      </w:r>
    </w:p>
    <w:p>
      <w:pPr>
        <w:spacing w:before="160" w:after="120"/>
      </w:pPr>
      <w:r>
        <w:rPr>
          <w:b/>
          <w:sz w:val="28"/>
        </w:rPr>
        <w:t>【UNCATEGORIZED】</w:t>
      </w:r>
    </w:p>
    <w:p>
      <w:pPr>
        <w:spacing w:before="160" w:after="40" w:line="240" w:lineRule="auto"/>
      </w:pPr>
      <w:r>
        <w:rPr>
          <w:b/>
        </w:rPr>
        <w:t xml:space="preserve">[1] </w:t>
      </w:r>
      <w:hyperlink r:id="rId296">
        <w:r>
          <w:rPr>
            <w:color w:val="1155CC"/>
            <w:u w:val="single"/>
          </w:rPr>
          <w:t>YBX1 赋予非小细胞肺癌免疫抑制骨转移特征</w:t>
        </w:r>
      </w:hyperlink>
    </w:p>
    <w:p>
      <w:pPr>
        <w:spacing w:before="0" w:after="80"/>
      </w:pPr>
      <w:r>
        <w:rPr>
          <w:i/>
          <w:sz w:val="20"/>
        </w:rPr>
        <w:t>EN: YBX1 Confers immunosuppressive bone metastatic traits in non-small cell lung cancer</w:t>
      </w:r>
    </w:p>
    <w:p>
      <w:pPr>
        <w:spacing w:before="0" w:after="120"/>
      </w:pPr>
      <w:r>
        <w:rPr>
          <w:b/>
        </w:rPr>
        <w:t xml:space="preserve">Source: </w:t>
      </w:r>
      <w:r>
        <w:t>Biological sciences : Nature Communications subject feeds</w:t>
      </w:r>
      <w:r>
        <w:t xml:space="preserve">    </w:t>
      </w:r>
      <w:r>
        <w:rPr>
          <w:b/>
        </w:rPr>
        <w:t xml:space="preserve">Pub date: </w:t>
      </w:r>
      <w:r>
        <w:t>2026-06-13 00:00:00+00:00</w:t>
      </w:r>
    </w:p>
    <w:p>
      <w:pPr>
        <w:spacing w:before="0" w:after="120"/>
      </w:pPr>
      <w:r>
        <w:rPr>
          <w:b/>
        </w:rPr>
        <w:t xml:space="preserve">Notes: </w:t>
      </w:r>
      <w:r>
        <w:t>abstract_source=nature_html</w:t>
      </w:r>
    </w:p>
    <w:p>
      <w:pPr>
        <w:spacing w:before="0" w:after="80" w:lineRule="auto" w:line="276"/>
      </w:pPr>
      <w:r>
        <w:rPr>
          <w:b/>
        </w:rPr>
        <w:t xml:space="preserve">摘要（ZH）: </w:t>
      </w:r>
      <w:r>
        <w:t>肺癌向骨骼的扩散是一种毁灭性的并发症，通常与免疫疗法的耐药性有关，但人们对这种联系的原因知之甚少。在这里，我们发现转录因子 YBX1 在非小细胞肺癌 (NSCLC) 中充当驱动骨转移和免疫抑制环境形成的中央调节因子。 YBX1 通过激活不同的信号通路（分别为 IL6 和 CCL5）来实现这一目标。从机制上讲，YBX1 蛋白水平受糖基化控制，糖基化标志着细胞内的自噬降解。值得注意的是，在高度骨转移的 NSCLC 细胞中观察到 YBX1 糖基化降低。重要的是，我们确定了一种候选药物淫羊藿素，它可以促进这种糖修饰，从而导致 YBX1 降解。这种双重作用可以抑制骨转移并使肿瘤对免疫攻击重新敏感。我们的工作揭示了 YBX1 作为对抗骨扩散和克服免疫治疗耐药性的有前途的单一靶点。</w:t>
      </w:r>
    </w:p>
    <w:p>
      <w:pPr>
        <w:spacing w:before="0" w:after="200" w:lineRule="auto" w:line="276"/>
      </w:pPr>
      <w:r>
        <w:rPr>
          <w:b/>
        </w:rPr>
        <w:t xml:space="preserve">Abstract (EN): </w:t>
      </w:r>
      <w:r>
        <w:t>The spread of lung cancer to bone is a devastating complication often linked to resistance against immunotherapy, but the reasons for this connection are poorly understood. Here we show that the transcription factor YBX1 acts as a central regulator driving both bone metastasis and the formation of an immunosuppressive environment in non-small cell lung cancer (NSCLC). YBX1 achieves this by activating distinct signaling pathways (IL6 and CCL5, respectively). Mechanistically, YBX1 protein levels are controlled by glycosylation that marks it for autophagic degradation inside cells. Notably, reduced YBX1 glycosylation was observed in highly bone-metastatic NSCLC cells. Importantly, we identified a drug candidate, Icaritin, which boosts this sugar-modification, leading to YBX1 degradation. This dual action inhibits bone metastasis and re-sensitizes tumors to immune attack. Our work reveals YBX1 as a promising single target for combating bone spread and overcoming immunotherapy resistance.</w:t>
      </w:r>
    </w:p>
    <w:p>
      <w:pPr>
        <w:spacing w:before="120" w:after="120"/>
      </w:pPr>
      <w:r>
        <w:rPr>
          <w:sz w:val="18"/>
        </w:rPr>
        <w:t>——————————————————————————————————————————————————————————————————————</w:t>
      </w:r>
    </w:p>
    <w:p>
      <w:pPr>
        <w:spacing w:before="160" w:after="40" w:line="240" w:lineRule="auto"/>
      </w:pPr>
      <w:r>
        <w:rPr>
          <w:b/>
        </w:rPr>
        <w:t xml:space="preserve">[2] </w:t>
      </w:r>
      <w:hyperlink r:id="rId297">
        <w:r>
          <w:rPr>
            <w:color w:val="1155CC"/>
            <w:u w:val="single"/>
          </w:rPr>
          <w:t>农田补充了欧洲景观中永久草原的生物多样性</w:t>
        </w:r>
      </w:hyperlink>
    </w:p>
    <w:p>
      <w:pPr>
        <w:spacing w:before="0" w:after="80"/>
      </w:pPr>
      <w:r>
        <w:rPr>
          <w:i/>
          <w:sz w:val="20"/>
        </w:rPr>
        <w:t>EN: Crop fields complement biodiversity in permanent grasslands across European landscapes</w:t>
      </w:r>
    </w:p>
    <w:p>
      <w:pPr>
        <w:spacing w:before="0" w:after="120"/>
      </w:pPr>
      <w:r>
        <w:rPr>
          <w:b/>
        </w:rPr>
        <w:t xml:space="preserve">Source: </w:t>
      </w:r>
      <w:r>
        <w:t>Biological sciences : Nature Communications subject feeds</w:t>
      </w:r>
      <w:r>
        <w:t xml:space="preserve">    </w:t>
      </w:r>
      <w:r>
        <w:rPr>
          <w:b/>
        </w:rPr>
        <w:t xml:space="preserve">Pub date: </w:t>
      </w:r>
      <w:r>
        <w:t>2026-06-13 00:00:00+00:00</w:t>
      </w:r>
    </w:p>
    <w:p>
      <w:pPr>
        <w:spacing w:before="0" w:after="120"/>
      </w:pPr>
      <w:r>
        <w:rPr>
          <w:b/>
        </w:rPr>
        <w:t xml:space="preserve">Notes: </w:t>
      </w:r>
      <w:r>
        <w:t>abstract_source=nature_html</w:t>
      </w:r>
    </w:p>
    <w:p>
      <w:pPr>
        <w:spacing w:before="0" w:after="80" w:lineRule="auto" w:line="276"/>
      </w:pPr>
      <w:r>
        <w:rPr>
          <w:b/>
        </w:rPr>
        <w:t xml:space="preserve">摘要（ZH）: </w:t>
      </w:r>
      <w:r>
        <w:t>温带农业景观正在经历前所未有的生物多样性下降。景观简化通常被认为是跨分类群物种丧失的驱动因素，但作物和非作物栖息地对农田生物多样性保护的贡献却鲜为人知。我们利用五个欧洲国家的 86 个配对的永久草原和油菜田，评估了栖息地类型如何塑造植物、蝴蝶、野蜂和步甲动物组合，以及周围景观中草原数量的增加是否会促进与草原相关的生物多样性向油菜田的溢出。我们发现栖息地类型而不是景观水平的草地数量决定了多样性并塑造了物种组合：草地上的植物和蝴蝶更加多样化，而油菜田中的野生蜜蜂和步甲动物同样或更多样化。景观水平草地数量的增加会影响物种组合的组成，但只会减少野生蜜蜂栖息地之间的更替。总体而言，草原和油菜田都拥有不同的物种，共同为区域多样性做出了互补的贡献。因此，保护​​农业景观的生物多样性不仅需要保护永久的半自然栖息地，还需要对受干扰的栖息地（例如可以贡献宝贵物种的农田）进行生物多样性友好型管理。</w:t>
      </w:r>
    </w:p>
    <w:p>
      <w:pPr>
        <w:spacing w:before="0" w:after="200" w:lineRule="auto" w:line="276"/>
      </w:pPr>
      <w:r>
        <w:rPr>
          <w:b/>
        </w:rPr>
        <w:t xml:space="preserve">Abstract (EN): </w:t>
      </w:r>
      <w:r>
        <w:t>Temperate agricultural landscapes are experiencing unprecedented biodiversity declines. Landscape simplification is commonly identified as a driver of species loss across taxonomic groups, but the contribution of crop and non-crop habitats to farmland biodiversity conservation is surprisingly poorly known. Using 86 paired permanent grasslands and oilseed rape fields in five European countries, we assess how habitat type shaped plant, butterfly, wild bee, and carabid assemblages and whether increasing grassland amount in surrounding landscapes fosters the spillover of grassland-associated biodiversity to oilseed rape fields. We find habitat type rather than landscape-level grassland amount determines diversity and shapes species assemblages: plants and butterflies are more diverse in grasslands, while wild bees and carabids are equally or more diverse in oilseed rape fields. Increasing landscape-level grassland amount affects species assemblage composition but only reduces turnover between habitats in wild bees. Overall, both grasslands and oilseed rape fields harbour distinct sets of species, together contributing complementarily to regional diversity. Safeguarding biodiversity in agricultural landscapes therefore requires not only the conservation of permanent semi-natural habitats but also biodiversity-friendly management of disturbed habitats such as crop fields that can contribute valuable species.</w:t>
      </w:r>
    </w:p>
    <w:p>
      <w:pPr>
        <w:spacing w:before="120" w:after="120"/>
      </w:pPr>
      <w:r>
        <w:rPr>
          <w:sz w:val="18"/>
        </w:rPr>
        <w:t>——————————————————————————————————————————————————————————————————————</w:t>
      </w:r>
    </w:p>
    <w:p>
      <w:pPr>
        <w:spacing w:before="160" w:after="40" w:line="240" w:lineRule="auto"/>
      </w:pPr>
      <w:r>
        <w:rPr>
          <w:b/>
        </w:rPr>
        <w:t xml:space="preserve">[3] </w:t>
      </w:r>
      <w:hyperlink r:id="rId298">
        <w:r>
          <w:rPr>
            <w:color w:val="1155CC"/>
            <w:u w:val="single"/>
          </w:rPr>
          <w:t>空间细胞秩序是口咽癌局部免疫抵抗机制的基础</w:t>
        </w:r>
      </w:hyperlink>
    </w:p>
    <w:p>
      <w:pPr>
        <w:spacing w:before="0" w:after="80"/>
      </w:pPr>
      <w:r>
        <w:rPr>
          <w:i/>
          <w:sz w:val="20"/>
        </w:rPr>
        <w:t>EN: Spatial cellular order underlies locally-confined mechanisms of immune resistance in oropharyngeal cancer</w:t>
      </w:r>
    </w:p>
    <w:p>
      <w:pPr>
        <w:spacing w:before="0" w:after="120"/>
      </w:pPr>
      <w:r>
        <w:rPr>
          <w:b/>
        </w:rPr>
        <w:t xml:space="preserve">Source: </w:t>
      </w:r>
      <w:r>
        <w:t>Biological sciences : Nature Communications subject feeds</w:t>
      </w:r>
      <w:r>
        <w:t xml:space="preserve">    </w:t>
      </w:r>
      <w:r>
        <w:rPr>
          <w:b/>
        </w:rPr>
        <w:t xml:space="preserve">Pub date: </w:t>
      </w:r>
      <w:r>
        <w:t>2026-06-13 00:00:00+00:00</w:t>
      </w:r>
    </w:p>
    <w:p>
      <w:pPr>
        <w:spacing w:before="0" w:after="120"/>
      </w:pPr>
      <w:r>
        <w:rPr>
          <w:b/>
        </w:rPr>
        <w:t xml:space="preserve">Notes: </w:t>
      </w:r>
      <w:r>
        <w:t>abstract_source=nature_html</w:t>
      </w:r>
    </w:p>
    <w:p>
      <w:pPr>
        <w:spacing w:before="0" w:after="80" w:lineRule="auto" w:line="276"/>
      </w:pPr>
      <w:r>
        <w:rPr>
          <w:b/>
        </w:rPr>
        <w:t xml:space="preserve">摘要（ZH）: </w:t>
      </w:r>
      <w:r>
        <w:t>口咽鳞状细胞癌 (OPSCC) 经常由致癌人乳头瘤病毒 (HPV) 感染 (HPV-OPSCC) 引起。尽管病毒抗原丰富，但有效免疫逃逸的机制尚不完全清楚。在这里，我们对 HPV-OPSCC 进行了单细胞空间基因表达谱分析，以表征细胞组织和免疫抵抗机制。我们描述了不同的肿瘤实质免疫灶，它们在细胞因子表达、空间位置、免疫细胞浸润和癌细胞状态方面有所不同。此外，免疫灶表现出与共抑制受体信号传导和免疫抑制骨髓细胞相关的深刻差异，表明不同的肿瘤实质区域可能受不同的、局部限制的免疫抑制机制支配。此外，缺乏 HPV 转录物 (HPVoff) 的衰老样 HPV-OPSCC 细胞在肿瘤实质中很明显，并且能够在体外逃避 HPV 特异性 T 细胞介导的免疫。 HPVoff 细胞在缺氧区域和产生 IFN-γ 的 T 细胞附近富集，表明缺氧和 IFN-γ 信号传导均可促进 HPVoff 表型。总之，我们的研究结果强调了异质癌细胞状态、空间免疫细胞组织和多种免疫逃逸机制背后的复杂细胞相互作用。</w:t>
      </w:r>
    </w:p>
    <w:p>
      <w:pPr>
        <w:spacing w:before="0" w:after="200" w:lineRule="auto" w:line="276"/>
      </w:pPr>
      <w:r>
        <w:rPr>
          <w:b/>
        </w:rPr>
        <w:t xml:space="preserve">Abstract (EN): </w:t>
      </w:r>
      <w:r>
        <w:t>Oropharyngeal squamous cell carcinomas (OPSCCs) frequently result from oncogenic human papilloma virus (HPV) infections (HPV-OPSCC). The mechanisms underlying effective immune escape, despite abundant viral antigens, are incompletely understood. Here, we performed single-cell spatial gene expression profiling of HPV-OPSCC to characterize cellular organization and mechanisms of immune resistance. We describe distinct tumor-parenchymal immune foci that differ in cytokine expression, spatial location, immune cell infiltration and cancer cell states. Furthermore, immune foci display profound differences related to co-inhibitory receptor signaling and immunosuppressive myeloid cells, suggesting that different tumor-parenchymal regions may be dominated by distinct, locally-confined mechanisms of immunosuppression. Additionally, senescent-like HPV-OPSCC cells lacking HPV transcripts (HPVoff) are evident across the tumor parenchyma and able to evade HPV-specific T cell-mediated immunity in vitro. HPVoff cells are enriched within hypoxic regions and near IFN-γ producing T cells suggesting that both hypoxia and IFN-γ signaling can promote the HPVoff phenotype. In conclusion, our findings highlight a complex cellular interplay underlying heterogeneous cancer cell states, spatial immune cell organization, and diverse mechanisms of immune escape.</w:t>
      </w:r>
    </w:p>
    <w:p>
      <w:pPr>
        <w:spacing w:before="120" w:after="120"/>
      </w:pPr>
      <w:r>
        <w:rPr>
          <w:sz w:val="18"/>
        </w:rPr>
        <w:t>——————————————————————————————————————————————————————————————————————</w:t>
      </w:r>
    </w:p>
    <w:p>
      <w:pPr>
        <w:spacing w:before="160" w:after="40" w:line="240" w:lineRule="auto"/>
      </w:pPr>
      <w:r>
        <w:rPr>
          <w:b/>
        </w:rPr>
        <w:t xml:space="preserve">[4] </w:t>
      </w:r>
      <w:hyperlink r:id="rId299">
        <w:r>
          <w:rPr>
            <w:color w:val="1155CC"/>
            <w:u w:val="single"/>
          </w:rPr>
          <w:t>通过钛催化硼氢化和硅杂环丁烷中 C(sp3)-Si 键氢化合成功能化氢硅烷</w:t>
        </w:r>
      </w:hyperlink>
    </w:p>
    <w:p>
      <w:pPr>
        <w:spacing w:before="0" w:after="80"/>
      </w:pPr>
      <w:r>
        <w:rPr>
          <w:i/>
          <w:sz w:val="20"/>
        </w:rPr>
        <w:t>EN: Synthesis of functionalized hydrosilanes via titanium-catalyzed hydroboration and hydrogenation of C(sp3)–Si bonds in silacyclobutanes</w:t>
      </w:r>
    </w:p>
    <w:p>
      <w:pPr>
        <w:spacing w:before="0" w:after="120"/>
      </w:pPr>
      <w:r>
        <w:rPr>
          <w:b/>
        </w:rPr>
        <w:t xml:space="preserve">Source: </w:t>
      </w:r>
      <w:r>
        <w:t>Physical sciences : Nature Communications subject feeds</w:t>
      </w:r>
      <w:r>
        <w:t xml:space="preserve">    </w:t>
      </w:r>
      <w:r>
        <w:rPr>
          <w:b/>
        </w:rPr>
        <w:t xml:space="preserve">Pub date: </w:t>
      </w:r>
      <w:r>
        <w:t>2026-06-13 00:00:00+00:00</w:t>
      </w:r>
    </w:p>
    <w:p>
      <w:pPr>
        <w:spacing w:before="0" w:after="120"/>
      </w:pPr>
      <w:r>
        <w:rPr>
          <w:b/>
        </w:rPr>
        <w:t xml:space="preserve">Notes: </w:t>
      </w:r>
      <w:r>
        <w:t>abstract_source=nature_html</w:t>
      </w:r>
    </w:p>
    <w:p>
      <w:pPr>
        <w:spacing w:before="0" w:after="80" w:lineRule="auto" w:line="276"/>
      </w:pPr>
      <w:r>
        <w:rPr>
          <w:b/>
        </w:rPr>
        <w:t xml:space="preserve">摘要（ZH）: </w:t>
      </w:r>
      <w:r>
        <w:t>具有硼和硅部分的分子的设计和合成对于提供独特的反应模式和材料特性具有重要的前景。在此，开发了一种钛催化硅杂环丁烷中 C(sp3)-Si 键的选择性硼氢化反应，用于合成硼基官能化氢硅烷。我们的方案适用于各种结构不同的硅杂环丁烷，提供了多样化的硼基官能化氢硅烷 (R2B~link~Si–H) 库。游离的 Si-H 和硼基官能团使其能够无缝集成到合成化学和许多其他研究领域。还证明了通过我们的策略可以轻松合成硅取代的药物分子。此外，我们的方法成功扩展到使用氢气进行C(sp3)-Si键的氢化，提供了合成广谱杂配取代氢硅烷（包括其氘化衍生物）的通用途径。机械研究，辅以 DFT 计算，揭示了钛金属中心不寻常的双电子过程。阐明了钛催化剂选择性活化硅杂环丁烷中 C(sp3)-Si 键而不是 C(sp2)-Si 键的本质。</w:t>
      </w:r>
    </w:p>
    <w:p>
      <w:pPr>
        <w:spacing w:before="0" w:after="200" w:lineRule="auto" w:line="276"/>
      </w:pPr>
      <w:r>
        <w:rPr>
          <w:b/>
        </w:rPr>
        <w:t xml:space="preserve">Abstract (EN): </w:t>
      </w:r>
      <w:r>
        <w:t>The design and synthesis of molecules featuring both boron and silicon moieties hold significant promise for delivering unique reactivity patterns and material properties. Herein, a titanium-catalyzed selective hydroboration of the C(sp3)–Si bonds in silacyclobutanes for the synthesis of boryl-functionalized hydrosilanes is developed. Our protocol accommodates a broad range of structurally distinct silacyclobutanes, affording a diverse library of boryl-functionalized hydrosilanes (R2B~link~Si–H). The free Si–H and boryl functional groups allow for their seamless integration into synthetic chemistry and many other research areas. The facile synthesis of sila-substituted drug molecules via our strategy is also demonstrated. Furthermore, our methodology is successfully extended to the hydrogenation of the C(sp3)–Si bond using H2 gas, offering a general route to synthesize a broad spectrum of heteroleptic-substituted hydrosilanes, including their deuterated derivatives. Mechanistic investigations, complemented by DFT calculations, reveal an unusual two-electron process at the titanium metal center. The essence of the selective activation of C(sp3)–Si bonds over C(sp2)–Si in silacyclobutanes by titanium catalyst is elucidated.</w:t>
      </w:r>
    </w:p>
    <w:p>
      <w:pPr>
        <w:spacing w:before="120" w:after="120"/>
      </w:pPr>
      <w:r>
        <w:rPr>
          <w:sz w:val="18"/>
        </w:rPr>
        <w:t>——————————————————————————————————————————————————————————————————————</w:t>
      </w:r>
    </w:p>
    <w:p>
      <w:pPr>
        <w:spacing w:before="160" w:after="40" w:line="240" w:lineRule="auto"/>
      </w:pPr>
      <w:r>
        <w:rPr>
          <w:b/>
        </w:rPr>
        <w:t xml:space="preserve">[5] </w:t>
      </w:r>
      <w:hyperlink r:id="rId300">
        <w:r>
          <w:rPr>
            <w:color w:val="1155CC"/>
            <w:u w:val="single"/>
          </w:rPr>
          <w:t>PMDS-UNet：一种在高分辨率遥感图像中精确分割分布式光伏的新方法</w:t>
        </w:r>
      </w:hyperlink>
    </w:p>
    <w:p>
      <w:pPr>
        <w:spacing w:before="0" w:after="80"/>
      </w:pPr>
      <w:r>
        <w:rPr>
          <w:i/>
          <w:sz w:val="20"/>
        </w:rPr>
        <w:t>EN: PMDS-UNet: A novel approach for precise segmentation of distributed photovoltaics in high-resolution remote sensing imagery</w:t>
      </w:r>
    </w:p>
    <w:p>
      <w:pPr>
        <w:spacing w:before="0" w:after="120"/>
      </w:pPr>
      <w:r>
        <w:rPr>
          <w:b/>
        </w:rPr>
        <w:t xml:space="preserve">Source: </w:t>
      </w:r>
      <w:r>
        <w:t>ScienceDirect Publication: Applied Energy</w:t>
      </w:r>
      <w:r>
        <w:t xml:space="preserve">    </w:t>
      </w:r>
      <w:r>
        <w:rPr>
          <w:b/>
        </w:rPr>
        <w:t xml:space="preserve">Pub date: </w:t>
      </w:r>
      <w:r>
        <w:t>2026-06-13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301">
        <w:r>
          <w:rPr>
            <w:color w:val="1155CC"/>
            <w:u w:val="single"/>
          </w:rPr>
          <w:t>逐项试验的功能磁共振成像神经反馈将梭状和枕骨对面部检测和识别的贡献分开</w:t>
        </w:r>
      </w:hyperlink>
    </w:p>
    <w:p>
      <w:pPr>
        <w:spacing w:before="0" w:after="80"/>
      </w:pPr>
      <w:r>
        <w:rPr>
          <w:i/>
          <w:sz w:val="20"/>
        </w:rPr>
        <w:t>EN: Trial-by-trial fMRI-neurofeedback dissociates fusiform and occipital contributions to face detection and recognition</w:t>
      </w:r>
    </w:p>
    <w:p>
      <w:pPr>
        <w:spacing w:before="0" w:after="120"/>
      </w:pPr>
      <w:r>
        <w:rPr>
          <w:b/>
        </w:rPr>
        <w:t xml:space="preserve">Source: </w:t>
      </w:r>
      <w:r>
        <w:t>Biological sciences : Nature Communications subject feeds</w:t>
      </w:r>
      <w:r>
        <w:t xml:space="preserve">    </w:t>
      </w:r>
      <w:r>
        <w:rPr>
          <w:b/>
        </w:rPr>
        <w:t xml:space="preserve">Pub date: </w:t>
      </w:r>
      <w:r>
        <w:t>2026-06-13 00:00:00+00:00</w:t>
      </w:r>
    </w:p>
    <w:p>
      <w:pPr>
        <w:spacing w:before="0" w:after="120"/>
      </w:pPr>
      <w:r>
        <w:rPr>
          <w:b/>
        </w:rPr>
        <w:t xml:space="preserve">Notes: </w:t>
      </w:r>
      <w:r>
        <w:t>abstract_source=nature_html</w:t>
      </w:r>
    </w:p>
    <w:p>
      <w:pPr>
        <w:spacing w:before="0" w:after="80" w:lineRule="auto" w:line="276"/>
      </w:pPr>
      <w:r>
        <w:rPr>
          <w:b/>
        </w:rPr>
        <w:t xml:space="preserve">摘要（ZH）: </w:t>
      </w:r>
      <w:r>
        <w:t>使用神经反馈和实时功能磁共振成像（rt-fMRI）可以实现特定大脑区域的自我调节。我们利用这项技术，通过以试验方式将视觉任务与枕骨（OFA）或梭形面部反应区域（FFA）的上调交织在一起，剖析与面部感知有关的两个紧密互连的区域的作用。与对照组 (N = 20) 相比，实验参与者 (N = 22) 成功增强了他们的目标区域。监管是人脸选择性的，人脸处理网络其他节点的随之增加就证明了这一点。重要的是，随着 FFA 活性的增强，人脸检测速度会更快，但会受到 OFA 增强的阻碍，而随着 FFA 和 OFA 的同时增加，人脸身份识别效果最佳。这些结果反对传统的面部处理模型假设信息从后枕叶流向前梭状皮层，而是支持非分层模型，其中 FFA 介导初始面部检测，OFA 有助于后续身份识别。</w:t>
      </w:r>
    </w:p>
    <w:p>
      <w:pPr>
        <w:spacing w:before="0" w:after="200" w:lineRule="auto" w:line="276"/>
      </w:pPr>
      <w:r>
        <w:rPr>
          <w:b/>
        </w:rPr>
        <w:t xml:space="preserve">Abstract (EN): </w:t>
      </w:r>
      <w:r>
        <w:t>Self-regulation of specific brain regions can be achieved using neurofeedback with real-time functional magnetic resonance imaging (rt-fMRI). We leveraged this technique to dissect the role of two tightly interconnected areas implicated in face perception, by interleaving a visual task with upregulation of either the occipital (OFA) or fusiform face-responsive areas (FFA) in a trial-wise manner. Experimental participants (N = 22) successfully enhanced their target region when compared to yoked controls (N = 20). Regulation was face-selective, as evidenced by concomitant increases in other nodes of the face processing network. Critically, face detection was faster with enhanced FFA activity but hindered by enhanced OFA, whereas face identity recognition was optimal with concomitant increases in both FFA and OFA. These results argue against traditional face processing models assuming an information flow from posterior occipital to anterior fusiform cortex and instead support non-hierarchical models where FFA mediates initial face detection and OFA contributes to subsequent identity recognition.</w:t>
      </w:r>
    </w:p>
    <w:p>
      <w:pPr>
        <w:spacing w:before="120" w:after="120"/>
      </w:pPr>
      <w:r>
        <w:rPr>
          <w:sz w:val="18"/>
        </w:rPr>
        <w:t>——————————————————————————————————————————————————————————————————————</w:t>
      </w:r>
    </w:p>
    <w:p>
      <w:pPr>
        <w:spacing w:before="160" w:after="40" w:line="240" w:lineRule="auto"/>
      </w:pPr>
      <w:r>
        <w:rPr>
          <w:b/>
        </w:rPr>
        <w:t xml:space="preserve">[7] </w:t>
      </w:r>
      <w:hyperlink r:id="rId302">
        <w:r>
          <w:rPr>
            <w:color w:val="1155CC"/>
            <w:u w:val="single"/>
          </w:rPr>
          <w:t>振动能源为离网能源获取和可持续能源转型做出贡献</w:t>
        </w:r>
      </w:hyperlink>
    </w:p>
    <w:p>
      <w:pPr>
        <w:spacing w:before="0" w:after="80"/>
      </w:pPr>
      <w:r>
        <w:rPr>
          <w:i/>
          <w:sz w:val="20"/>
        </w:rPr>
        <w:t>EN: Vibration energy as a contributor to off-grid energy access and the sustainable energy transition</w:t>
      </w:r>
    </w:p>
    <w:p>
      <w:pPr>
        <w:spacing w:before="0" w:after="120"/>
      </w:pPr>
      <w:r>
        <w:rPr>
          <w:b/>
        </w:rPr>
        <w:t xml:space="preserve">Source: </w:t>
      </w:r>
      <w:r>
        <w:t>ScienceDirect Publication: Applied Energy</w:t>
      </w:r>
      <w:r>
        <w:t xml:space="preserve">    </w:t>
      </w:r>
      <w:r>
        <w:rPr>
          <w:b/>
        </w:rPr>
        <w:t xml:space="preserve">Pub date: </w:t>
      </w:r>
      <w:r>
        <w:t>2026-06-13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303">
        <w:r>
          <w:rPr>
            <w:color w:val="1155CC"/>
            <w:u w:val="single"/>
          </w:rPr>
          <w:t>考虑动态分区和多利益相关者协调的双时间尺度伏无功控制多智能体强化学习方法</w:t>
        </w:r>
      </w:hyperlink>
    </w:p>
    <w:p>
      <w:pPr>
        <w:spacing w:before="0" w:after="80"/>
      </w:pPr>
      <w:r>
        <w:rPr>
          <w:i/>
          <w:sz w:val="20"/>
        </w:rPr>
        <w:t>EN: Multi-agent reinforcement learning method for dual-timescale volt-var control considering dynamic partitioning and multi-stakeholder coordination</w:t>
      </w:r>
    </w:p>
    <w:p>
      <w:pPr>
        <w:spacing w:before="0" w:after="120"/>
      </w:pPr>
      <w:r>
        <w:rPr>
          <w:b/>
        </w:rPr>
        <w:t xml:space="preserve">Source: </w:t>
      </w:r>
      <w:r>
        <w:t>ScienceDirect Publication: Applied Energy</w:t>
      </w:r>
      <w:r>
        <w:t xml:space="preserve">    </w:t>
      </w:r>
      <w:r>
        <w:rPr>
          <w:b/>
        </w:rPr>
        <w:t xml:space="preserve">Pub date: </w:t>
      </w:r>
      <w:r>
        <w:t>2026-06-13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304">
        <w:r>
          <w:rPr>
            <w:color w:val="1155CC"/>
            <w:u w:val="single"/>
          </w:rPr>
          <w:t>考虑潮汐扰动效应的离网多部门区域综合能源系统优化与收益分配：基于改进ADMM算法和合作博弈的方法</w:t>
        </w:r>
      </w:hyperlink>
    </w:p>
    <w:p>
      <w:pPr>
        <w:spacing w:before="0" w:after="80"/>
      </w:pPr>
      <w:r>
        <w:rPr>
          <w:i/>
          <w:sz w:val="20"/>
        </w:rPr>
        <w:t>EN: Optimization and revenue allocation of off-grid multi-sector regional integrated energy systems considering tidal disturbance effects: An approach based on an improved ADMM algorithm and cooperative games</w:t>
      </w:r>
    </w:p>
    <w:p>
      <w:pPr>
        <w:spacing w:before="0" w:after="120"/>
      </w:pPr>
      <w:r>
        <w:rPr>
          <w:b/>
        </w:rPr>
        <w:t xml:space="preserve">Source: </w:t>
      </w:r>
      <w:r>
        <w:t>ScienceDirect Publication: Applied Energy</w:t>
      </w:r>
      <w:r>
        <w:t xml:space="preserve">    </w:t>
      </w:r>
      <w:r>
        <w:rPr>
          <w:b/>
        </w:rPr>
        <w:t xml:space="preserve">Pub date: </w:t>
      </w:r>
      <w:r>
        <w:t>2026-06-13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 </w:t>
      </w:r>
      <w:hyperlink r:id="rId305">
        <w:r>
          <w:rPr>
            <w:color w:val="1155CC"/>
            <w:u w:val="single"/>
          </w:rPr>
          <w:t>电力系统中面向认知智能的大型语言模型：文献综述</w:t>
        </w:r>
      </w:hyperlink>
    </w:p>
    <w:p>
      <w:pPr>
        <w:spacing w:before="0" w:after="80"/>
      </w:pPr>
      <w:r>
        <w:rPr>
          <w:i/>
          <w:sz w:val="20"/>
        </w:rPr>
        <w:t>EN: Large language models in power systems toward cognitive intelligence: A literature review</w:t>
      </w:r>
    </w:p>
    <w:p>
      <w:pPr>
        <w:spacing w:before="0" w:after="120"/>
      </w:pPr>
      <w:r>
        <w:rPr>
          <w:b/>
        </w:rPr>
        <w:t xml:space="preserve">Source: </w:t>
      </w:r>
      <w:r>
        <w:t>ScienceDirect Publication: Applied Energy</w:t>
      </w:r>
      <w:r>
        <w:t xml:space="preserve">    </w:t>
      </w:r>
      <w:r>
        <w:rPr>
          <w:b/>
        </w:rPr>
        <w:t xml:space="preserve">Pub date: </w:t>
      </w:r>
      <w:r>
        <w:t>2026-06-13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306">
        <w:r>
          <w:rPr>
            <w:color w:val="1155CC"/>
            <w:u w:val="single"/>
          </w:rPr>
          <w:t>现代电力系统中概率性日前负荷预测的条件扩散模型</w:t>
        </w:r>
      </w:hyperlink>
    </w:p>
    <w:p>
      <w:pPr>
        <w:spacing w:before="0" w:after="80"/>
      </w:pPr>
      <w:r>
        <w:rPr>
          <w:i/>
          <w:sz w:val="20"/>
        </w:rPr>
        <w:t>EN: Conditional diffusion models for probabilistic day-ahead load forecasting in modern power systems</w:t>
      </w:r>
    </w:p>
    <w:p>
      <w:pPr>
        <w:spacing w:before="0" w:after="120"/>
      </w:pPr>
      <w:r>
        <w:rPr>
          <w:b/>
        </w:rPr>
        <w:t xml:space="preserve">Source: </w:t>
      </w:r>
      <w:r>
        <w:t>ScienceDirect Publication: Applied Energy</w:t>
      </w:r>
      <w:r>
        <w:t xml:space="preserve">    </w:t>
      </w:r>
      <w:r>
        <w:rPr>
          <w:b/>
        </w:rPr>
        <w:t xml:space="preserve">Pub date: </w:t>
      </w:r>
      <w:r>
        <w:t>2026-06-13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 </w:t>
      </w:r>
      <w:hyperlink r:id="rId307">
        <w:r>
          <w:rPr>
            <w:color w:val="1155CC"/>
            <w:u w:val="single"/>
          </w:rPr>
          <w:t>探索瑞士政策框架下能源社区的规模效应</w:t>
        </w:r>
      </w:hyperlink>
    </w:p>
    <w:p>
      <w:pPr>
        <w:spacing w:before="0" w:after="80"/>
      </w:pPr>
      <w:r>
        <w:rPr>
          <w:i/>
          <w:sz w:val="20"/>
        </w:rPr>
        <w:t>EN: Exploring scale effects of energy communities under the Swiss policy framework</w:t>
      </w:r>
    </w:p>
    <w:p>
      <w:pPr>
        <w:spacing w:before="0" w:after="120"/>
      </w:pPr>
      <w:r>
        <w:rPr>
          <w:b/>
        </w:rPr>
        <w:t xml:space="preserve">Source: </w:t>
      </w:r>
      <w:r>
        <w:t>ScienceDirect Publication: Applied Energy</w:t>
      </w:r>
      <w:r>
        <w:t xml:space="preserve">    </w:t>
      </w:r>
      <w:r>
        <w:rPr>
          <w:b/>
        </w:rPr>
        <w:t xml:space="preserve">Pub date: </w:t>
      </w:r>
      <w:r>
        <w:t>2026-06-13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 </w:t>
      </w:r>
      <w:hyperlink r:id="rId308">
        <w:r>
          <w:rPr>
            <w:color w:val="1155CC"/>
            <w:u w:val="single"/>
          </w:rPr>
          <w:t>网格交互混合用途社区的供需协调设计框架</w:t>
        </w:r>
      </w:hyperlink>
    </w:p>
    <w:p>
      <w:pPr>
        <w:spacing w:before="0" w:after="80"/>
      </w:pPr>
      <w:r>
        <w:rPr>
          <w:i/>
          <w:sz w:val="20"/>
        </w:rPr>
        <w:t>EN: A supply–demand coordinated design framework for grid-interactive mixed-use communities</w:t>
      </w:r>
    </w:p>
    <w:p>
      <w:pPr>
        <w:spacing w:before="0" w:after="120"/>
      </w:pPr>
      <w:r>
        <w:rPr>
          <w:b/>
        </w:rPr>
        <w:t xml:space="preserve">Source: </w:t>
      </w:r>
      <w:r>
        <w:t>ScienceDirect Publication: Applied Energy</w:t>
      </w:r>
      <w:r>
        <w:t xml:space="preserve">    </w:t>
      </w:r>
      <w:r>
        <w:rPr>
          <w:b/>
        </w:rPr>
        <w:t xml:space="preserve">Pub date: </w:t>
      </w:r>
      <w:r>
        <w:t>2026-06-13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 </w:t>
      </w:r>
      <w:hyperlink r:id="rId309">
        <w:r>
          <w:rPr>
            <w:color w:val="1155CC"/>
            <w:u w:val="single"/>
          </w:rPr>
          <w:t>中美紧张局势阴影下的能源通胀：能源转型是通向稳定的途径吗？</w:t>
        </w:r>
      </w:hyperlink>
    </w:p>
    <w:p>
      <w:pPr>
        <w:spacing w:before="0" w:after="80"/>
      </w:pPr>
      <w:r>
        <w:rPr>
          <w:i/>
          <w:sz w:val="20"/>
        </w:rPr>
        <w:t>EN: Energy inflation in the shadow of US–China tensions: Is the energy transition a pathway to stability?</w:t>
      </w:r>
    </w:p>
    <w:p>
      <w:pPr>
        <w:spacing w:before="0" w:after="120"/>
      </w:pPr>
      <w:r>
        <w:rPr>
          <w:b/>
        </w:rPr>
        <w:t xml:space="preserve">Source: </w:t>
      </w:r>
      <w:r>
        <w:t>ScienceDirect Publication: Energy Policy</w:t>
      </w:r>
      <w:r>
        <w:t xml:space="preserve">    </w:t>
      </w:r>
      <w:r>
        <w:rPr>
          <w:b/>
        </w:rPr>
        <w:t xml:space="preserve">Pub date: </w:t>
      </w:r>
      <w:r>
        <w:t>2026-06-13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 </w:t>
      </w:r>
      <w:hyperlink r:id="rId310">
        <w:r>
          <w:rPr>
            <w:color w:val="1155CC"/>
            <w:u w:val="single"/>
          </w:rPr>
          <w:t>人类皮质解剖学中的区域性别差异在形态基础上有所不同，并与性染色体和性腺影响重叠</w:t>
        </w:r>
      </w:hyperlink>
    </w:p>
    <w:p>
      <w:pPr>
        <w:spacing w:before="0" w:after="80"/>
      </w:pPr>
      <w:r>
        <w:rPr>
          <w:i/>
          <w:sz w:val="20"/>
        </w:rPr>
        <w:t>EN: Regional sex differences in human cortical anatomy vary in their morphometric bases and overlap with sex chromosomal and gonadal influences</w:t>
      </w:r>
    </w:p>
    <w:p>
      <w:pPr>
        <w:spacing w:before="0" w:after="120"/>
      </w:pPr>
      <w:r>
        <w:rPr>
          <w:b/>
        </w:rPr>
        <w:t xml:space="preserve">Source: </w:t>
      </w:r>
      <w:r>
        <w:t>Biological sciences : Nature Communications subject feeds</w:t>
      </w:r>
      <w:r>
        <w:t xml:space="preserve">    </w:t>
      </w:r>
      <w:r>
        <w:rPr>
          <w:b/>
        </w:rPr>
        <w:t xml:space="preserve">Pub date: </w:t>
      </w:r>
      <w:r>
        <w:t>2026-06-13 00:00:00+00:00</w:t>
      </w:r>
    </w:p>
    <w:p>
      <w:pPr>
        <w:spacing w:before="0" w:after="120"/>
      </w:pPr>
      <w:r>
        <w:rPr>
          <w:b/>
        </w:rPr>
        <w:t xml:space="preserve">Notes: </w:t>
      </w:r>
      <w:r>
        <w:t>abstract_source=nature_html</w:t>
      </w:r>
    </w:p>
    <w:p>
      <w:pPr>
        <w:spacing w:before="0" w:after="80" w:lineRule="auto" w:line="276"/>
      </w:pPr>
      <w:r>
        <w:rPr>
          <w:b/>
        </w:rPr>
        <w:t xml:space="preserve">摘要（ZH）: </w:t>
      </w:r>
      <w:r>
        <w:t>人类在区域皮质体积 (CV) 方面表现出可重复的性别差异，但目前尚不清楚这些差异与 CV 的两个生物学上可分离的决定因素——表面积 (SA) 和皮质厚度 (CT)——或与潜在的因果性染色体和性腺效应有何关系。在这里，我们分析了两个独立人类队列 (N = 1754) 的神经影像数据，以识别和关联区域 CV、SA 和 CT 中高度可重复的性别差异，以及它们与不同功能网络和组织分子特征的一致性。将临床队列的神经影像数据与性染色体非整倍体和孤立的促性腺激素释放激素缺乏症（N = 313）相结合，确定了性别偏向的皮质解剖区域因 X 染色体剂量（例如初级感觉和岛叶皮质）和性腺激素（例如背顶叶区域和角回）的一致效应而丰富。这项工作完善了性别偏见的人类皮质组织图谱，并有助于缩小有关其潜在遗传和内分泌原因的假设范围。</w:t>
      </w:r>
    </w:p>
    <w:p>
      <w:pPr>
        <w:spacing w:before="0" w:after="200" w:lineRule="auto" w:line="276"/>
      </w:pPr>
      <w:r>
        <w:rPr>
          <w:b/>
        </w:rPr>
        <w:t xml:space="preserve">Abstract (EN): </w:t>
      </w:r>
      <w:r>
        <w:t>Humans show reproducible sex differences in regional cortical volume (CV), but it remains unclear how these relate to the two biologically dissociable determinants of CV – surface area (SA) and cortical thickness (CT) – or to potentially causal sex chromosomal and gonadal effects. Here, we analyze neuroimaging data in two independent human cohorts (N = 1754) to identify and interrelate highly reproducible sex differences in regional CV, SA and CT – as well as their alignment with distinct functional networks and histomolecular signatures. Integrating neuroimaging data from clinical cohorts with sex chromosome aneuploidy and isolated gonadotropin-releasing hormone deficiency (N = 313) establishes that regions of sex-biased cortical anatomy are enriched for congruent effects of X-chromosome dosage (e.g., primary sensory and insular cortices) and gonadal hormones (e.g., dorsal parietal regions and angular gyrus). This work refines maps of sex-biased human cortical organization and helps to narrow hypotheses regarding their potential genetic and endocrine causes.</w:t>
      </w:r>
    </w:p>
    <w:p>
      <w:pPr>
        <w:spacing w:before="120" w:after="120"/>
      </w:pPr>
      <w:r>
        <w:rPr>
          <w:sz w:val="18"/>
        </w:rPr>
        <w:t>——————————————————————————————————————————————————————————————————————</w:t>
      </w:r>
    </w:p>
    <w:p>
      <w:pPr>
        <w:spacing w:before="160" w:after="40" w:line="240" w:lineRule="auto"/>
      </w:pPr>
      <w:r>
        <w:rPr>
          <w:b/>
        </w:rPr>
        <w:t xml:space="preserve">[16] </w:t>
      </w:r>
      <w:hyperlink r:id="rId311">
        <w:r>
          <w:rPr>
            <w:color w:val="1155CC"/>
            <w:u w:val="single"/>
          </w:rPr>
          <w:t>PLK4 抑制剂 RP-1664 通过双重敏感性机制在神经母细胞瘤临床前模型中显示出强大的功效</w:t>
        </w:r>
      </w:hyperlink>
    </w:p>
    <w:p>
      <w:pPr>
        <w:spacing w:before="0" w:after="80"/>
      </w:pPr>
      <w:r>
        <w:rPr>
          <w:i/>
          <w:sz w:val="20"/>
        </w:rPr>
        <w:t>EN: The PLK4 inhibitor RP-1664 demonstrates potent efficacy in neuroblastoma preclinical models through a dual mechanism of sensitivity</w:t>
      </w:r>
    </w:p>
    <w:p>
      <w:pPr>
        <w:spacing w:before="0" w:after="120"/>
      </w:pPr>
      <w:r>
        <w:rPr>
          <w:b/>
        </w:rPr>
        <w:t xml:space="preserve">Source: </w:t>
      </w:r>
      <w:r>
        <w:t>Biological sciences : Nature Communications subject feeds</w:t>
      </w:r>
      <w:r>
        <w:t xml:space="preserve">    </w:t>
      </w:r>
      <w:r>
        <w:rPr>
          <w:b/>
        </w:rPr>
        <w:t xml:space="preserve">Pub date: </w:t>
      </w:r>
      <w:r>
        <w:t>2026-06-13 00:00:00+00:00</w:t>
      </w:r>
    </w:p>
    <w:p>
      <w:pPr>
        <w:spacing w:before="0" w:after="120"/>
      </w:pPr>
      <w:r>
        <w:rPr>
          <w:b/>
        </w:rPr>
        <w:t xml:space="preserve">Notes: </w:t>
      </w:r>
      <w:r>
        <w:t>abstract_source=nature_html</w:t>
      </w:r>
    </w:p>
    <w:p>
      <w:pPr>
        <w:spacing w:before="0" w:after="80" w:lineRule="auto" w:line="276"/>
      </w:pPr>
      <w:r>
        <w:rPr>
          <w:b/>
        </w:rPr>
        <w:t xml:space="preserve">摘要（ZH）: </w:t>
      </w:r>
      <w:r>
        <w:t>最近的研究表明，由于中心粒复制和有丝分裂纺锤体成核的协同调节，抑制 Polo 样激酶 4 (PLK4) 可诱导癌症的合成致死性，其中染色体 17q 编码的 TRIM37 拷贝数增加。我们在此表明​​，染色体 17q/TRIM37 增益是高风险神经母细胞瘤的一个决定性特征，并使患者来源的细胞系对新型 PLK4 抑制剂 RP-1664 过敏。我们证明，低剂量 RP-1664 下的中心粒扩增以不依赖于 TRIM37 的方式促进了这种敏感性。 CRISPR 筛选和活细胞成像揭示，在中心粒扩增后，神经母细胞瘤细胞由于无法聚集或灭活多余中心体而发生多极有丝分裂。 RP-1664单一疗法在14/15人神经母细胞瘤来源的异种移植模型中显示出强大的抗肿瘤活性，并且在转基因MYCN驱动的神经母细胞瘤小鼠模型中显着延长了生存期。 RP-1664 与 GD2 导向的化学免疫疗法相结合，使 6/9 患有 MYCN 驱动的小鼠神经母细胞瘤的小鼠维持完全反应。这些数据支持针对高危神经母细胞瘤和其他体细胞获得性 TRIM37 过度表达的癌症的 PLK4 抑制剂的临床开发。</w:t>
      </w:r>
    </w:p>
    <w:p>
      <w:pPr>
        <w:spacing w:before="0" w:after="200" w:lineRule="auto" w:line="276"/>
      </w:pPr>
      <w:r>
        <w:rPr>
          <w:b/>
        </w:rPr>
        <w:t xml:space="preserve">Abstract (EN): </w:t>
      </w:r>
      <w:r>
        <w:t>It was recently shown that inhibition of polo-like kinase 4 (PLK4) induces synthetic lethality in cancers with chromosome 17q-encoded TRIM37 copy number gain due to cooperative regulation of centriole duplication and mitotic spindle nucleation. We show here that chromosome 17q/TRIM37 gain is a defining feature of high-risk neuroblastoma and renders patient-derived cell lines hypersensitive to the novel PLK4 inhibitor RP-1664. We demonstrate that centriole amplification at low doses of RP-1664 contributes to this sensitivity in a TRIM37-independent fashion. CRISPR screens and live cell imaging reveal that upon centriole amplification, neuroblastoma cells succumb to multipolar mitoses due to an inability to cluster or inactivate supernumerary centrosomes. RP-1664 monotherapy showed robust anti-tumor activity in 14/15 human neuroblastoma-derived xenograft models, and significantly extended survival in a transgenic MYCN-driven murine model of neuroblastoma. RP-1664 combined with GD2-directed chemoimmunotherapy resulted in maintained complete responses in 6/9 mice with established MYCN-driven murine neuroblastomas. These data support clinical development of PLK4 inhibitors for high-risk neuroblastoma and other cancers with somatically acquired TRIM37 overexpression.</w:t>
      </w:r>
    </w:p>
    <w:p>
      <w:pPr>
        <w:spacing w:before="120" w:after="120"/>
      </w:pPr>
      <w:r>
        <w:rPr>
          <w:sz w:val="18"/>
        </w:rPr>
        <w:t>——————————————————————————————————————————————————————————————————————</w:t>
      </w:r>
    </w:p>
    <w:p>
      <w:pPr>
        <w:spacing w:before="160" w:after="40" w:line="240" w:lineRule="auto"/>
      </w:pPr>
      <w:r>
        <w:rPr>
          <w:b/>
        </w:rPr>
        <w:t xml:space="preserve">[17] </w:t>
      </w:r>
      <w:hyperlink r:id="rId312">
        <w:r>
          <w:rPr>
            <w:color w:val="1155CC"/>
            <w:u w:val="single"/>
          </w:rPr>
          <w:t>新兴的人工智能集成光子神经网络技术：从设备到系统</w:t>
        </w:r>
      </w:hyperlink>
    </w:p>
    <w:p>
      <w:pPr>
        <w:spacing w:before="0" w:after="80"/>
      </w:pPr>
      <w:r>
        <w:rPr>
          <w:i/>
          <w:sz w:val="20"/>
        </w:rPr>
        <w:t>EN: Emerging Integrated Photonic Neural Network Technologies for Artificial Intelligence: From Devices to Systems</w:t>
      </w:r>
    </w:p>
    <w:p>
      <w:pPr>
        <w:spacing w:before="0" w:after="120"/>
      </w:pPr>
      <w:r>
        <w:rPr>
          <w:b/>
        </w:rPr>
        <w:t xml:space="preserve">Source: </w:t>
      </w:r>
      <w:r>
        <w:t>National Science Review Advance Access</w:t>
      </w:r>
      <w:r>
        <w:t xml:space="preserve">    </w:t>
      </w:r>
      <w:r>
        <w:rPr>
          <w:b/>
        </w:rPr>
        <w:t xml:space="preserve">Pub date: </w:t>
      </w:r>
      <w:r>
        <w:t>2026-06-13 00:00:00+00:00</w:t>
      </w:r>
      <w:r>
        <w:t xml:space="preserve">    </w:t>
      </w:r>
      <w:r>
        <w:rPr>
          <w:b/>
        </w:rPr>
        <w:t xml:space="preserve">DOI: </w:t>
      </w:r>
      <w:hyperlink r:id="rId313">
        <w:r>
          <w:rPr>
            <w:color w:val="1155CC"/>
            <w:u w:val="single"/>
          </w:rPr>
          <w:t>10.1093/nsr/nwag335</w:t>
        </w:r>
      </w:hyperlink>
    </w:p>
    <w:p>
      <w:pPr>
        <w:spacing w:before="0" w:after="120"/>
      </w:pPr>
      <w:r>
        <w:rPr>
          <w:b/>
        </w:rPr>
        <w:t xml:space="preserve">Notes: </w:t>
      </w:r>
      <w:r>
        <w:t>abstract_source=rss_oup</w:t>
      </w:r>
    </w:p>
    <w:p>
      <w:pPr>
        <w:spacing w:before="0" w:after="80" w:lineRule="auto" w:line="276"/>
      </w:pPr>
      <w:r>
        <w:rPr>
          <w:b/>
        </w:rPr>
        <w:t xml:space="preserve">摘要（ZH）: </w:t>
      </w:r>
      <w:r>
        <w:t>人工智能（AI）的快速发展对计算能力产生了爆炸性的需求，而传统的基于冯·诺依曼的电子计算面临着内存和互连的瓶颈。通过将关键操作迁移到光域，光子神经网络 (PNN) 提供了一种有前景的解决方案，可显着降低系统延迟和能耗。在硅（Si）光子学的驱动下，片上PNN在可扩展平台上实现了高密度集成，推动了光电集成系统的发展。本文全面回顾了新兴的人工智能集成 PNN 技术，采用了从基本物理设备到系统级实现的跨层框架。本文根据 PNN 的需求，分析了关键硬件设备和主流计算核心架构，评估了集成策略，并讨论了先进的系统封装。此外，该评论通过确定剩余的技术挑战并强调 PNN 作为下一代人工智能基础设施的变革潜力，为该领域提供了前景。</w:t>
      </w:r>
    </w:p>
    <w:p>
      <w:pPr>
        <w:spacing w:before="0" w:after="200" w:lineRule="auto" w:line="276"/>
      </w:pPr>
      <w:r>
        <w:rPr>
          <w:b/>
        </w:rPr>
        <w:t xml:space="preserve">Abstract (EN): </w:t>
      </w:r>
      <w:r>
        <w:t>The rapid expansion of artificial intelligence (AI) has created an explosive demand for computing power, while traditional von Neumann-based electronic computing faces the memory and interconnect bottlenecks. By migrating critical operations to the optical domain, photonic neural networks (PNNs) offer a promising solution to significantly reduce system latency and energy consumption. Driven by silicon (Si) photonics, on-chip PNNs achieve high-density integration on scalable platforms, promoting the evolution of optoelectronic integration systems. This paper presents a comprehensive review of emerging integrated PNN technology for AI, employing a cross-layer framework that spans from fundamental physical devices to system-level implementation. Based on the requirements of PNNs, this review analyzes key hardware devices and mainstream computing core architectures, evaluates integration strategies, and discusses advanced system packaging. Furthermore, the review provides a prospect on the field by identifying the remaining technical challenges and highlighting the transformative potential of PNNs as the infrastructure for next-generation AI.</w:t>
      </w:r>
    </w:p>
    <w:p>
      <w:pPr>
        <w:spacing w:before="120" w:after="120"/>
      </w:pPr>
      <w:r>
        <w:rPr>
          <w:sz w:val="18"/>
        </w:rPr>
        <w:t>——————————————————————————————————————————————————————————————————————</w:t>
      </w:r>
    </w:p>
    <w:p>
      <w:pPr>
        <w:spacing w:before="160" w:after="40" w:line="240" w:lineRule="auto"/>
      </w:pPr>
      <w:r>
        <w:rPr>
          <w:b/>
        </w:rPr>
        <w:t xml:space="preserve">[18] </w:t>
      </w:r>
      <w:hyperlink r:id="rId314">
        <w:r>
          <w:rPr>
            <w:color w:val="1155CC"/>
            <w:u w:val="single"/>
          </w:rPr>
          <w:t>用于预测化学反应过渡态的距离几何生成流模型</w:t>
        </w:r>
      </w:hyperlink>
    </w:p>
    <w:p>
      <w:pPr>
        <w:spacing w:before="0" w:after="80"/>
      </w:pPr>
      <w:r>
        <w:rPr>
          <w:i/>
          <w:sz w:val="20"/>
        </w:rPr>
        <w:t>EN: Generative flow model on distance geometry for predicting transition states of chemical reactions</w:t>
      </w:r>
    </w:p>
    <w:p>
      <w:pPr>
        <w:spacing w:before="0" w:after="120"/>
      </w:pPr>
      <w:r>
        <w:rPr>
          <w:b/>
        </w:rPr>
        <w:t xml:space="preserve">Source: </w:t>
      </w:r>
      <w:r>
        <w:t>Physical sciences : Nature Communications subject feeds</w:t>
      </w:r>
      <w:r>
        <w:t xml:space="preserve">    </w:t>
      </w:r>
      <w:r>
        <w:rPr>
          <w:b/>
        </w:rPr>
        <w:t xml:space="preserve">Pub date: </w:t>
      </w:r>
      <w:r>
        <w:t>2026-06-13 00:00:00+00:00</w:t>
      </w:r>
    </w:p>
    <w:p>
      <w:pPr>
        <w:spacing w:before="0" w:after="120"/>
      </w:pPr>
      <w:r>
        <w:rPr>
          <w:b/>
        </w:rPr>
        <w:t xml:space="preserve">Notes: </w:t>
      </w:r>
      <w:r>
        <w:t>abstract_source=nature_html</w:t>
      </w:r>
    </w:p>
    <w:p>
      <w:pPr>
        <w:spacing w:before="0" w:after="80" w:lineRule="auto" w:line="276"/>
      </w:pPr>
      <w:r>
        <w:rPr>
          <w:b/>
        </w:rPr>
        <w:t xml:space="preserve">摘要（ZH）: </w:t>
      </w:r>
      <w:r>
        <w:t>本文解决了预测过渡态的挑战，这对于理解反应机制至关重要，但很难通过实验或传统计算获得。我们将过渡态预测表述为分子距离几何空间中的条件概率流学习而不是笛卡尔坐标。通过对原子间距离进行操作，距离几何上的生成流模型采用化学约束表示来捕获键重组。受最佳传输启发的进化路径通过双分支网络架构将生成过程引导至化学一致的中间体。在基准数据集上，所提出的模型提高了笛卡尔基线上的预优化结构保真度，加速了过渡状态的细化，并推广到看不见的反应。这项工作表明，将生成建模与化学约束几何表示相结合，可以实现实用且加速的过渡态建模流程。</w:t>
      </w:r>
    </w:p>
    <w:p>
      <w:pPr>
        <w:spacing w:before="0" w:after="200" w:lineRule="auto" w:line="276"/>
      </w:pPr>
      <w:r>
        <w:rPr>
          <w:b/>
        </w:rPr>
        <w:t xml:space="preserve">Abstract (EN): </w:t>
      </w:r>
      <w:r>
        <w:t>This paper addresses the challenge of predicting transition states, which are essential for understanding reaction mechanisms but difficult to obtain through experiments or conventional computations. We formulate transition state prediction as conditional probability flow learning in molecular distance geometry space rather than Cartesian coordinates. By operating on interatomic distances, the generative flow model on distance geometry employs a chemically constrained representation that captures bond reorganization. An optimal transport inspired evolution path directs the generative process toward chemically consistent intermediates through a dual branch network architecture. On the benchmark datasets, the proposed model improves pre-optimization structural fidelity over Cartesian baselines, accelerates transition state refinement, and generalizes to unseen reactions. This work shows that aligning generative modeling with chemically constrained geometric representations enables practical and accelerated transition state modeling pipelines.</w:t>
      </w:r>
    </w:p>
    <w:p>
      <w:pPr>
        <w:spacing w:before="120" w:after="120"/>
      </w:pPr>
      <w:r>
        <w:rPr>
          <w:sz w:val="18"/>
        </w:rPr>
        <w:t>——————————————————————————————————————————————————————————————————————</w:t>
      </w:r>
    </w:p>
    <w:p>
      <w:pPr>
        <w:spacing w:before="160" w:after="40" w:line="240" w:lineRule="auto"/>
      </w:pPr>
      <w:r>
        <w:rPr>
          <w:b/>
        </w:rPr>
        <w:t xml:space="preserve">[19] </w:t>
      </w:r>
      <w:hyperlink r:id="rId315">
        <w:r>
          <w:rPr>
            <w:color w:val="1155CC"/>
            <w:u w:val="single"/>
          </w:rPr>
          <w:t>强双稳态非线性磁谐振器中超宽带频率梳的产生</w:t>
        </w:r>
      </w:hyperlink>
    </w:p>
    <w:p>
      <w:pPr>
        <w:spacing w:before="0" w:after="80"/>
      </w:pPr>
      <w:r>
        <w:rPr>
          <w:i/>
          <w:sz w:val="20"/>
        </w:rPr>
        <w:t>EN: Generation of ultra-broadband frequency comb in strongly bistable nonlinear magnonic resonator</w:t>
      </w:r>
    </w:p>
    <w:p>
      <w:pPr>
        <w:spacing w:before="0" w:after="120"/>
      </w:pPr>
      <w:r>
        <w:rPr>
          <w:b/>
        </w:rPr>
        <w:t xml:space="preserve">Source: </w:t>
      </w:r>
      <w:r>
        <w:t>Physical sciences : Nature Communications subject feeds</w:t>
      </w:r>
      <w:r>
        <w:t xml:space="preserve">    </w:t>
      </w:r>
      <w:r>
        <w:rPr>
          <w:b/>
        </w:rPr>
        <w:t xml:space="preserve">Pub date: </w:t>
      </w:r>
      <w:r>
        <w:t>2026-06-13 00:00:00+00:00</w:t>
      </w:r>
    </w:p>
    <w:p>
      <w:pPr>
        <w:spacing w:before="0" w:after="120"/>
      </w:pPr>
      <w:r>
        <w:rPr>
          <w:b/>
        </w:rPr>
        <w:t xml:space="preserve">Notes: </w:t>
      </w:r>
      <w:r>
        <w:t>abstract_source=nature_html</w:t>
      </w:r>
    </w:p>
    <w:p>
      <w:pPr>
        <w:spacing w:before="0" w:after="80" w:lineRule="auto" w:line="276"/>
      </w:pPr>
      <w:r>
        <w:rPr>
          <w:b/>
        </w:rPr>
        <w:t xml:space="preserve">摘要（ZH）: </w:t>
      </w:r>
      <w:r>
        <w:t>磁频率梳 (MFC) 为紧凑、节能的片上相干微波信号生成和处理平台提供了一条有前途的途径。传统的片上梳状生成通常依赖于支持由单色信号驱动的等距、低损耗谐振的非线性谐振器，从而产生固定的梳状间隔。在这里，我们介绍并通过实验演示了一种使用高度非线性小型化磁振子谐振器来生成超宽带 MFC 的独特机制。小谐振器体积与慢波换能器相结合，驱动系统深入双稳态状态，其中传播自旋波的参量激励有利于梳状结构的形成。我们的方法产生了超过 350 条梳状线，跨越 450 MHz 带宽，间隔可通过双音外部驱动器连续可调，与之前的报告相比，在相对较低的功率下实现了数量级的增强。该平台超紧凑、可扩展且高度可调，建立了独特的频率梳范式，为微波信号处理、神经形态计算和精密传感领域带来了变革机会。</w:t>
      </w:r>
    </w:p>
    <w:p>
      <w:pPr>
        <w:spacing w:before="0" w:after="200" w:lineRule="auto" w:line="276"/>
      </w:pPr>
      <w:r>
        <w:rPr>
          <w:b/>
        </w:rPr>
        <w:t xml:space="preserve">Abstract (EN): </w:t>
      </w:r>
      <w:r>
        <w:t>Magnonic frequency combs (MFCs) offer a promising route to compact, energy-efficient platforms for on-chip coherent microwave signal generation and processing. Conventional on-chip comb generation typically relies on nonlinear resonators supporting equidistant, low-loss resonances driven by a monochromatic signal, resulting in fixed comb spacing. Here we introduce and experimentally demonstrate a distinct mechanism for ultra-broadband MFC generation using a highly nonlinear miniaturized magnonic resonator. The small resonator volume, combined with a slow-wave transducer, drives the system deep into the bistable regime where parametric excitation of propagating spin waves facilitates comb formation. Our approach yields over 350 comb lines spanning a 450 MHz bandwidth, with spacing continuously tunable via a two-tone external drive, representing an order-of-magnitude enhancement over prior reports at relatively low power. The platform is ultra-compact, scalable, and highly tunable, establishing a distinct frequency comb paradigm with transformative opportunities in microwave signal processing, neuromorphic computing, and precision sensing.</w:t>
      </w:r>
    </w:p>
    <w:p>
      <w:pPr>
        <w:spacing w:before="120" w:after="120"/>
      </w:pPr>
      <w:r>
        <w:rPr>
          <w:sz w:val="18"/>
        </w:rPr>
        <w:t>——————————————————————————————————————————————————————————————————————</w:t>
      </w:r>
    </w:p>
    <w:p>
      <w:pPr>
        <w:spacing w:before="160" w:after="40" w:line="240" w:lineRule="auto"/>
      </w:pPr>
      <w:r>
        <w:rPr>
          <w:b/>
        </w:rPr>
        <w:t xml:space="preserve">[20] </w:t>
      </w:r>
      <w:hyperlink r:id="rId316">
        <w:r>
          <w:rPr>
            <w:color w:val="1155CC"/>
            <w:u w:val="single"/>
          </w:rPr>
          <w:t>通过场调制对范德华磁体中的斯格明子晶格进行退火</w:t>
        </w:r>
      </w:hyperlink>
    </w:p>
    <w:p>
      <w:pPr>
        <w:spacing w:before="0" w:after="80"/>
      </w:pPr>
      <w:r>
        <w:rPr>
          <w:i/>
          <w:sz w:val="20"/>
        </w:rPr>
        <w:t>EN: Annealing of skyrmion lattice in van der Waals magnet via field modulation</w:t>
      </w:r>
    </w:p>
    <w:p>
      <w:pPr>
        <w:spacing w:before="0" w:after="120"/>
      </w:pPr>
      <w:r>
        <w:rPr>
          <w:b/>
        </w:rPr>
        <w:t xml:space="preserve">Source: </w:t>
      </w:r>
      <w:r>
        <w:t>Physical sciences : Nature Communications subject feeds</w:t>
      </w:r>
      <w:r>
        <w:t xml:space="preserve">    </w:t>
      </w:r>
      <w:r>
        <w:rPr>
          <w:b/>
        </w:rPr>
        <w:t xml:space="preserve">Pub date: </w:t>
      </w:r>
      <w:r>
        <w:t>2026-06-13 00:00:00+00:00</w:t>
      </w:r>
    </w:p>
    <w:p>
      <w:pPr>
        <w:spacing w:before="0" w:after="120"/>
      </w:pPr>
      <w:r>
        <w:rPr>
          <w:b/>
        </w:rPr>
        <w:t xml:space="preserve">Notes: </w:t>
      </w:r>
      <w:r>
        <w:t>abstract_source=nature_html</w:t>
      </w:r>
    </w:p>
    <w:p>
      <w:pPr>
        <w:spacing w:before="0" w:after="80" w:lineRule="auto" w:line="276"/>
      </w:pPr>
      <w:r>
        <w:rPr>
          <w:b/>
        </w:rPr>
        <w:t xml:space="preserve">摘要（ZH）: </w:t>
      </w:r>
      <w:r>
        <w:t>在原子固体中，退火通过热激活将无序结构转变为有序晶体，而在准粒子晶格中实现类似的过程是非常理想的。磁性斯格明子是拓扑自旋结构，可以形成有序晶格并经历平衡相变，但热激活不足以克服其动力学限制或提供可调控制。在这里，我们演示了室温下二维范德华 Fe3GaTe2 (FGaT) 中斯格明子的场驱动退火。振荡磁场驱动多晶斯格明子晶格的形成，而双极电流脉冲通过电流引起的晶格畸变产生各向异性六方态。尽管外部场不同，但这两个过程都遵循相似的缺陷介导的结晶动力学。退火是通过 DMI 和 MA 之间的相互作用实现的，而热力学主要由偶极相互作用控制。我们的研究结果展示了拓扑自旋纹理退火控制的途径，并将 FGaT 建立为探索斯格明子集体行为和可重构自旋电子学的平台。</w:t>
      </w:r>
    </w:p>
    <w:p>
      <w:pPr>
        <w:spacing w:before="0" w:after="200" w:lineRule="auto" w:line="276"/>
      </w:pPr>
      <w:r>
        <w:rPr>
          <w:b/>
        </w:rPr>
        <w:t xml:space="preserve">Abstract (EN): </w:t>
      </w:r>
      <w:r>
        <w:t>In atomic solids, annealing transforms disordered structures into ordered crystals through thermal activation, whereas realizing a comparable process in quasiparticle lattices is highly desirable. Magnetic skyrmions are topological spin textures that can form ordered lattice and undergo equilibrium phase transitions, yet thermal activation is insufficient to overcome their kinetic constraints or provide tunable control. Here, we demonstrate field-driven annealing of skyrmions in two-dimensional van der Waals Fe3GaTe2 (FGaT) at room temperature. Oscillating magnetic fields drive the formation of polycrystalline skyrmion lattices, whereas bipolar current pulses generate anisotropic hexatic states through current-induced lattice distortion. Despite distinct external fields, both processes follow similar defect-mediated crystallization dynamics. The annealing is enabled by the interplay between DMI and MA, while the thermodynamics are primarily governed by dipolar interactions. Our findings demonstrate a pathway for annealing control of topological spin textures and establish FGaT as a platform for exploring skyrmion collective behaviour and reconfigurable spintronics.</w:t>
      </w:r>
    </w:p>
    <w:p>
      <w:pPr>
        <w:spacing w:before="120" w:after="120"/>
      </w:pPr>
      <w:r>
        <w:rPr>
          <w:sz w:val="18"/>
        </w:rPr>
        <w:t>——————————————————————————————————————————————————————————————————————</w:t>
      </w:r>
    </w:p>
    <w:p>
      <w:pPr>
        <w:spacing w:before="160" w:after="40" w:line="240" w:lineRule="auto"/>
      </w:pPr>
      <w:r>
        <w:rPr>
          <w:b/>
        </w:rPr>
        <w:t xml:space="preserve">[21] </w:t>
      </w:r>
      <w:hyperlink r:id="rId317">
        <w:r>
          <w:rPr>
            <w:color w:val="1155CC"/>
            <w:u w:val="single"/>
          </w:rPr>
          <w:t>单细胞和空间组学基础模型的用户路线图 - 细胞类型和谱系应用</w:t>
        </w:r>
      </w:hyperlink>
    </w:p>
    <w:p>
      <w:pPr>
        <w:spacing w:before="0" w:after="80"/>
      </w:pPr>
      <w:r>
        <w:rPr>
          <w:i/>
          <w:sz w:val="20"/>
        </w:rPr>
        <w:t>EN: A User’s Roadmap to Foundation Models on Single-Cell and Spatial-Omics – Cell Type and Lineage applications</w:t>
      </w:r>
    </w:p>
    <w:p>
      <w:pPr>
        <w:spacing w:before="0" w:after="120"/>
      </w:pPr>
      <w:r>
        <w:rPr>
          <w:b/>
        </w:rPr>
        <w:t xml:space="preserve">Source: </w:t>
      </w:r>
      <w:r>
        <w:t>National Science Review Advance Access</w:t>
      </w:r>
      <w:r>
        <w:t xml:space="preserve">    </w:t>
      </w:r>
      <w:r>
        <w:rPr>
          <w:b/>
        </w:rPr>
        <w:t xml:space="preserve">Pub date: </w:t>
      </w:r>
      <w:r>
        <w:t>2026-06-13 00:00:00+00:00</w:t>
      </w:r>
      <w:r>
        <w:t xml:space="preserve">    </w:t>
      </w:r>
      <w:r>
        <w:rPr>
          <w:b/>
        </w:rPr>
        <w:t xml:space="preserve">DOI: </w:t>
      </w:r>
      <w:hyperlink r:id="rId318">
        <w:r>
          <w:rPr>
            <w:color w:val="1155CC"/>
            <w:u w:val="single"/>
          </w:rPr>
          <w:t>10.1093/nsr/nwag371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 </w:t>
      </w:r>
      <w:hyperlink r:id="rId319">
        <w:r>
          <w:rPr>
            <w:color w:val="1155CC"/>
            <w:u w:val="single"/>
          </w:rPr>
          <w:t>由塌陷中空介孔结构烧结而成的坚固块状碳化硅多晶型物</w:t>
        </w:r>
      </w:hyperlink>
    </w:p>
    <w:p>
      <w:pPr>
        <w:spacing w:before="0" w:after="80"/>
      </w:pPr>
      <w:r>
        <w:rPr>
          <w:i/>
          <w:sz w:val="20"/>
        </w:rPr>
        <w:t>EN: Robust bulk silicon carbide polymorphs sintered from collapsed hollow mesoporous structure</w:t>
      </w:r>
    </w:p>
    <w:p>
      <w:pPr>
        <w:spacing w:before="0" w:after="120"/>
      </w:pPr>
      <w:r>
        <w:rPr>
          <w:b/>
        </w:rPr>
        <w:t xml:space="preserve">Source: </w:t>
      </w:r>
      <w:r>
        <w:t>Physical sciences : Nature Communications subject feeds</w:t>
      </w:r>
      <w:r>
        <w:t xml:space="preserve">    </w:t>
      </w:r>
      <w:r>
        <w:rPr>
          <w:b/>
        </w:rPr>
        <w:t xml:space="preserve">Pub date: </w:t>
      </w:r>
      <w:r>
        <w:t>2026-06-13 00:00:00+00:00</w:t>
      </w:r>
    </w:p>
    <w:p>
      <w:pPr>
        <w:spacing w:before="0" w:after="120"/>
      </w:pPr>
      <w:r>
        <w:rPr>
          <w:b/>
        </w:rPr>
        <w:t xml:space="preserve">Notes: </w:t>
      </w:r>
      <w:r>
        <w:t>abstract_source=nature_html</w:t>
      </w:r>
    </w:p>
    <w:p>
      <w:pPr>
        <w:spacing w:before="0" w:after="80" w:lineRule="auto" w:line="276"/>
      </w:pPr>
      <w:r>
        <w:rPr>
          <w:b/>
        </w:rPr>
        <w:t xml:space="preserve">摘要（ZH）: </w:t>
      </w:r>
      <w:r>
        <w:t>大块碳化硅 (SiC) 陶瓷对于极端环境应用非常重要，但传统合成需要高于 2100 °C 的致密化温度或添加剂。这项工作引入了一种利用中空介孔粉末的简单策略，通过放电等离子烧结在 1750 °C 下实现几乎完全致密化（99.2 ± 0.49% 相对密度）。中空结构会在介孔周围引起强烈的应力积累，导致结构瞬间塌陷成纳米碎片（~6 nm），从而大大加速致密化动力学。所得的 SiC 陶瓷具有细晶粒 (200–300 nm)、干净的晶界以及共存的 2H、4H 和 3 C 多型。这些结构特征产生了良好的机械性能：纳米压痕硬度&gt; 35.0 GPa，维氏硬度为31.8 ± 1.6 GPa，弯曲强度为625.32 ± 22.3 MPa——均超过传统的纯SiC。理论和实验分析表明，高密度堆垛层错、纳米孪晶和多型边界会产生大量晶格畸变和原子应变场，有效钉扎位错并抑制塑性变形。</w:t>
      </w:r>
    </w:p>
    <w:p>
      <w:pPr>
        <w:spacing w:before="0" w:after="200" w:lineRule="auto" w:line="276"/>
      </w:pPr>
      <w:r>
        <w:rPr>
          <w:b/>
        </w:rPr>
        <w:t xml:space="preserve">Abstract (EN): </w:t>
      </w:r>
      <w:r>
        <w:t>Bulk silicon carbide (SiC) ceramics are important for extreme-environment applications, but conventional synthesis demands densification temperature above 2100 °C or additives. This work introduces a straightforward strategy utilizing hollow mesoporous powder, achieving nearly full densification (99.2 ± 0.49% relative density) at 1750 °C through spark plasma sintering. The hollow structure induces intense stress accumulation around mesopores, causing instantaneous structural collapse into nanofragments (~6 nm) that greatly accelerate the densification kinetics. The resulting SiC ceramics feature fine grains (200–300 nm), clean grain boundaries, and coexisting 2H, 4H, and 3 C polytypes. These structural characteristics yield good mechanical properties: nanoindentation hardness &gt; 35.0 GPa, Vickers hardness of 31.8 ± 1.6 GPa, and flexural strength of 625.32 ± 22.3 MPa—all exceeding conventional pure SiC. Theoretical and experimental analysis demonstrate that high-density stacking faults, nano-twins, and polytypic boundaries create substantial lattice distortions and atomic strain fields, effectively pinning dislocations and suppressing plastic deformation.</w:t>
      </w:r>
    </w:p>
    <w:p>
      <w:pPr>
        <w:spacing w:before="120" w:after="120"/>
      </w:pPr>
      <w:r>
        <w:rPr>
          <w:sz w:val="18"/>
        </w:rPr>
        <w:t>——————————————————————————————————————————————————————————————————————</w:t>
      </w:r>
    </w:p>
    <w:p>
      <w:pPr>
        <w:spacing w:before="160" w:after="40" w:line="240" w:lineRule="auto"/>
      </w:pPr>
      <w:r>
        <w:rPr>
          <w:b/>
        </w:rPr>
        <w:t xml:space="preserve">[23] </w:t>
      </w:r>
      <w:hyperlink r:id="rId320">
        <w:r>
          <w:rPr>
            <w:color w:val="1155CC"/>
            <w:u w:val="single"/>
          </w:rPr>
          <w:t>内在 DNA 密码控制核小体-转录因子相互作用的不同模式</w:t>
        </w:r>
      </w:hyperlink>
    </w:p>
    <w:p>
      <w:pPr>
        <w:spacing w:before="0" w:after="80"/>
      </w:pPr>
      <w:r>
        <w:rPr>
          <w:i/>
          <w:sz w:val="20"/>
        </w:rPr>
        <w:t>EN: Intrinsic DNA codes govern distinct modes of nucleosome-transcription factor interactions</w:t>
      </w:r>
    </w:p>
    <w:p>
      <w:pPr>
        <w:spacing w:before="0" w:after="120"/>
      </w:pPr>
      <w:r>
        <w:rPr>
          <w:b/>
        </w:rPr>
        <w:t xml:space="preserve">Source: </w:t>
      </w:r>
      <w:r>
        <w:t>Biological sciences : Nature Communications subject feeds</w:t>
      </w:r>
      <w:r>
        <w:t xml:space="preserve">    </w:t>
      </w:r>
      <w:r>
        <w:rPr>
          <w:b/>
        </w:rPr>
        <w:t xml:space="preserve">Pub date: </w:t>
      </w:r>
      <w:r>
        <w:t>2026-06-13 00:00:00+00:00</w:t>
      </w:r>
    </w:p>
    <w:p>
      <w:pPr>
        <w:spacing w:before="0" w:after="120"/>
      </w:pPr>
      <w:r>
        <w:rPr>
          <w:b/>
        </w:rPr>
        <w:t xml:space="preserve">Notes: </w:t>
      </w:r>
      <w:r>
        <w:t>abstract_source=nature_html</w:t>
      </w:r>
    </w:p>
    <w:p>
      <w:pPr>
        <w:spacing w:before="0" w:after="80" w:lineRule="auto" w:line="276"/>
      </w:pPr>
      <w:r>
        <w:rPr>
          <w:b/>
        </w:rPr>
        <w:t xml:space="preserve">摘要（ZH）: </w:t>
      </w:r>
      <w:r>
        <w:t>转录因子 (TF) 和核小体之间的相互作用是基因调控的核心，但大多数研究采用以蛋白质为中心的观点，在很大程度上忽视了 DNA 序列的贡献。在这里，我们确定了四种不同的核小体 DNA 类别，包括典型的 WW/SS 模式（W = A/T，S = G/C）。所有四种核小体类型在体内和体外广泛存在于人类基因组中。共享相同模式的核小体在相位上旋转，而不同的模式则表现出特定的旋转偏移，揭示了核小体定位的不同DNA代码。对真核生物中 744 个 TF 的分析表明，WW/SS 和抗 WW/SS 模式与染色质中的 TF 结合相关。一个区域中这些模式的比例差异（量化为 ΔNPS 值）与体外核小体占用率密切相关。将 ΔNPS 与体内核小体占据相结合，确定了核小体-TF 相互作用的四种不同模式，并将核小体 DNA 模式与 TF 结合位点周围的核小体耗尽区域联系起来。</w:t>
      </w:r>
    </w:p>
    <w:p>
      <w:pPr>
        <w:spacing w:before="0" w:after="200" w:lineRule="auto" w:line="276"/>
      </w:pPr>
      <w:r>
        <w:rPr>
          <w:b/>
        </w:rPr>
        <w:t xml:space="preserve">Abstract (EN): </w:t>
      </w:r>
      <w:r>
        <w:t>The interplay between transcription factors (TFs) and nucleosomes is central to gene regulation, yet most studies adopt a protein-centric perspective that largely overlooks DNA sequence contributions. Here, we identify four distinct nucleosomal DNA classes, including the canonical WW/SS pattern (W = A/T, S = G/C). All four nucleosome types are widespread across the human genome both in vivo and in vitro. Nucleosomes sharing the same pattern are rotationally in phase, whereas different patterns exhibit specific rotational offsets, revealing distinct DNA codes for nucleosome positioning. Analysis of 744 TFs across eukaryotes shows that the WW/SS and anti-WW/SS patterns are associated with TF binding in chromatin. Differences in the proportions of these patterns in a region, quantified as ΔNPS values, correlate closely with in vitro nucleosome occupancy. Integrating ΔNPS with in vivo nucleosome occupancy identifies four distinct modes of nucleosome–TF interaction and links nucleosomal DNA patterns to nucleosome-depleted regions around TF binding sites.</w:t>
      </w:r>
    </w:p>
    <w:p>
      <w:pPr>
        <w:spacing w:before="120" w:after="120"/>
      </w:pPr>
      <w:r>
        <w:rPr>
          <w:sz w:val="18"/>
        </w:rPr>
        <w:t>——————————————————————————————————————————————————————————————————————</w:t>
      </w:r>
    </w:p>
    <w:p>
      <w:pPr>
        <w:spacing w:before="160" w:after="40" w:line="240" w:lineRule="auto"/>
      </w:pPr>
      <w:r>
        <w:rPr>
          <w:b/>
        </w:rPr>
        <w:t xml:space="preserve">[24] </w:t>
      </w:r>
      <w:hyperlink r:id="rId321">
        <w:r>
          <w:rPr>
            <w:color w:val="1155CC"/>
            <w:u w:val="single"/>
          </w:rPr>
          <w:t>用于柔性 X 射线检测的共价键合聚合物-金属-有机骨架半导体膜</w:t>
        </w:r>
      </w:hyperlink>
    </w:p>
    <w:p>
      <w:pPr>
        <w:spacing w:before="0" w:after="80"/>
      </w:pPr>
      <w:r>
        <w:rPr>
          <w:i/>
          <w:sz w:val="20"/>
        </w:rPr>
        <w:t>EN: Covalently bonded polymer-metal-organic framework semiconductive membranes for flexible X-ray detection</w:t>
      </w:r>
    </w:p>
    <w:p>
      <w:pPr>
        <w:spacing w:before="0" w:after="120"/>
      </w:pPr>
      <w:r>
        <w:rPr>
          <w:b/>
        </w:rPr>
        <w:t xml:space="preserve">Source: </w:t>
      </w:r>
      <w:r>
        <w:t>Physical sciences : Nature Communications subject feeds</w:t>
      </w:r>
      <w:r>
        <w:t xml:space="preserve">    </w:t>
      </w:r>
      <w:r>
        <w:rPr>
          <w:b/>
        </w:rPr>
        <w:t xml:space="preserve">Pub date: </w:t>
      </w:r>
      <w:r>
        <w:t>2026-06-13 00:00:00+00:00</w:t>
      </w:r>
    </w:p>
    <w:p>
      <w:pPr>
        <w:spacing w:before="0" w:after="120"/>
      </w:pPr>
      <w:r>
        <w:rPr>
          <w:b/>
        </w:rPr>
        <w:t xml:space="preserve">Notes: </w:t>
      </w:r>
      <w:r>
        <w:t>abstract_source=nature_html</w:t>
      </w:r>
    </w:p>
    <w:p>
      <w:pPr>
        <w:spacing w:before="0" w:after="80" w:lineRule="auto" w:line="276"/>
      </w:pPr>
      <w:r>
        <w:rPr>
          <w:b/>
        </w:rPr>
        <w:t xml:space="preserve">摘要（ZH）: </w:t>
      </w:r>
      <w:r>
        <w:t>柔性半导体金属有机框架（MOF）膜的制造是具有独特光电子应用的具有挑战性的研究目标。在这项工作中，我们引入了一种半导体聚MOF（聚合物-金属-有机框架）策略，将半导体MOF与聚合物单体共聚，产生具有超低陷阱密度并消除微间隙的均匀且缺陷最小化的半导体膜。这种分子集成实现了高效的电荷传输，实现了用于高灵敏度辐射检测的柔性 MOF 膜。基于polyMOF的柔性探测器表现出卓越的性能，在已报道的柔性X射线探测器中具有领先的6972.9 μC Gyair−1 cm−2的X射线灵敏度和52.6 nGyair s−1的超低检测限。灵活的聚MOF探测器在分辨率和多功能性方面优于平板设备，同时还可以用作具有商业级精度的保形剂量计。这项工作将共价聚 MOF 建立为缺陷工程光电子学的通用平台，将材料创新与灵活的辐射检测技术联系起来。</w:t>
      </w:r>
    </w:p>
    <w:p>
      <w:pPr>
        <w:spacing w:before="0" w:after="200" w:lineRule="auto" w:line="276"/>
      </w:pPr>
      <w:r>
        <w:rPr>
          <w:b/>
        </w:rPr>
        <w:t xml:space="preserve">Abstract (EN): </w:t>
      </w:r>
      <w:r>
        <w:t>The fabrication of flexible semiconductive metal-organic frameworks (MOFs) membranes is a challenging research target with unique optoelectronics applications. In this work, we introduce a semiconductive polyMOF (polymer-metal-organic framework) strategy that copolymerizes semiconductive MOFs with polymer monomers, yielding uniform and defect-minimized semiconductive membranes with ultralow trap densities and eliminating microgaps. This molecular integration enables efficient charge transport, realizing flexible MOF membranes for high-sensitivity radiation detection. The polyMOF-based flexible detector demonstrates exceptional performance, with a leading X-ray sensitivity of 6972.9 μC Gyair−1 cm−2 among reported flexible X-ray detectors and an ultralow detection limit of 52.6 nGyair s−1. The flexible polyMOF detector outperforms the flat-panel devices in resolution and versatility while also serving as a conformal dosimeter with commercial-level accuracy. This work establishes covalent polyMOFs as a universal platform for defect-engineered optoelectronics, bridging material innovations with flexible radiation detection technology.</w:t>
      </w:r>
    </w:p>
    <w:p>
      <w:pPr>
        <w:spacing w:before="120" w:after="120"/>
      </w:pPr>
      <w:r>
        <w:rPr>
          <w:sz w:val="18"/>
        </w:rPr>
        <w:t>——————————————————————————————————————————————————————————————————————</w:t>
      </w:r>
    </w:p>
    <w:p>
      <w:pPr>
        <w:spacing w:before="160" w:after="40" w:line="240" w:lineRule="auto"/>
      </w:pPr>
      <w:r>
        <w:rPr>
          <w:b/>
        </w:rPr>
        <w:t xml:space="preserve">[25] </w:t>
      </w:r>
      <w:hyperlink r:id="rId322">
        <w:r>
          <w:rPr>
            <w:color w:val="1155CC"/>
            <w:u w:val="single"/>
          </w:rPr>
          <w:t>阿莫西林克拉维酸治疗大肠杆菌尿路感染的分子药效学</w:t>
        </w:r>
      </w:hyperlink>
    </w:p>
    <w:p>
      <w:pPr>
        <w:spacing w:before="0" w:after="80"/>
      </w:pPr>
      <w:r>
        <w:rPr>
          <w:i/>
          <w:sz w:val="20"/>
        </w:rPr>
        <w:t>EN: Molecular pharmacodynamics of amoxicillin-clavulanic acid for urinary tract infections caused by Escherichia coli</w:t>
      </w:r>
    </w:p>
    <w:p>
      <w:pPr>
        <w:spacing w:before="0" w:after="120"/>
      </w:pPr>
      <w:r>
        <w:rPr>
          <w:b/>
        </w:rPr>
        <w:t xml:space="preserve">Source: </w:t>
      </w:r>
      <w:r>
        <w:t>Biological sciences : Nature Communications subject feeds</w:t>
      </w:r>
      <w:r>
        <w:t xml:space="preserve">    </w:t>
      </w:r>
      <w:r>
        <w:rPr>
          <w:b/>
        </w:rPr>
        <w:t xml:space="preserve">Pub date: </w:t>
      </w:r>
      <w:r>
        <w:t>2026-06-13 00:00:00+00:00</w:t>
      </w:r>
    </w:p>
    <w:p>
      <w:pPr>
        <w:spacing w:before="0" w:after="120"/>
      </w:pPr>
      <w:r>
        <w:rPr>
          <w:b/>
        </w:rPr>
        <w:t xml:space="preserve">Notes: </w:t>
      </w:r>
      <w:r>
        <w:t>abstract_source=nature_html</w:t>
      </w:r>
    </w:p>
    <w:p>
      <w:pPr>
        <w:spacing w:before="0" w:after="80" w:lineRule="auto" w:line="276"/>
      </w:pPr>
      <w:r>
        <w:rPr>
          <w:b/>
        </w:rPr>
        <w:t xml:space="preserve">摘要（ZH）: </w:t>
      </w:r>
      <w:r>
        <w:t>阿莫西林克拉维酸 (AMX-CLV) 是一种广泛使用的口服 β-内酰胺/β-内酰胺酶抑制剂组合，可对抗大肠杆菌。临床成功主要局限于尿路感染。这种位点特异性功效的机制基础仍不清楚。使用中空纤维感染模型来复制人血浆和尿液药代动力学，我们表明血浆样暴露会快速选择预先存在的耐药亚群；然而，尿液暴露会产生持续的杀菌活性，而不会出现耐药性。血浆药物暴露后的基因组和转录组分析表明，治疗选择性地丰富了先前存在的耐药谱系，这些谱系已经含有氧化应激相关突变，这些突变激活 SOS 反应并驱动 IS 介导的 blaTEM-1 扩增，导致 β-内酰胺酶过度产生和治疗失败。相反，尿中高浓度的克拉维酸发挥直接抗菌活性，消灭这些亚群。我们的研究结果表明，局部药代动力学环境从根本上塑造了 β-内酰胺/β-内酰胺酶抑制剂治疗下的进化轨迹，解释了 AMX-CLV 的有限疗效，并揭示了应激反应、基因组可塑性和控制治疗结果的药物分配之间的动态相互作用。</w:t>
      </w:r>
    </w:p>
    <w:p>
      <w:pPr>
        <w:spacing w:before="0" w:after="200" w:lineRule="auto" w:line="276"/>
      </w:pPr>
      <w:r>
        <w:rPr>
          <w:b/>
        </w:rPr>
        <w:t xml:space="preserve">Abstract (EN): </w:t>
      </w:r>
      <w:r>
        <w:t>Amoxicillin-clavulanic acid (AMX-CLV) is a widely used oral β-lactam/β-lactamase inhibitor combination against Escherichia coli. Clinical success is largely confined to urinary tract infections. The mechanistic basis for this site-specific efficacy remains unclear. Using a hollow-fibre infection model to replicate human plasma and urinary pharmacokinetics, we show that plasma-like exposures rapidly select for pre-existing resistant subpopulations; whereas, urinary exposures produce sustained bactericidal activity without resistance emergence. Genomic and transcriptomic analyses following plasma drug exposure reveal that treatment selectively enriches pre-existing resistant lineages already harbouring oxidative-stress-associated mutations that activate the SOS response and drive IS-mediated amplification of blaTEM-1, leading to β-lactamase hyperproduction and treatment failure. In contrast, the high urinary concentrations of clavulanic acid exert direct antibacterial activity, eradicating these subpopulations. Our findings demonstrate that local pharmacokinetic environments fundamentally shape evolutionary trajectories under β-lactam/β-lactamase inhibitor therapy, explaining the restricted efficacy of AMX-CLV and revealing a dynamic interplay between stress responses, genome plasticity, and drug partitioning that governs treatment outcome.</w:t>
      </w:r>
    </w:p>
    <w:p>
      <w:pPr>
        <w:spacing w:before="120" w:after="120"/>
      </w:pPr>
      <w:r>
        <w:rPr>
          <w:sz w:val="18"/>
        </w:rPr>
        <w:t>——————————————————————————————————————————————————————————————————————</w:t>
      </w:r>
    </w:p>
    <w:p>
      <w:pPr>
        <w:spacing w:before="160" w:after="40" w:line="240" w:lineRule="auto"/>
      </w:pPr>
      <w:r>
        <w:rPr>
          <w:b/>
        </w:rPr>
        <w:t xml:space="preserve">[26] </w:t>
      </w:r>
      <w:hyperlink r:id="rId323">
        <w:r>
          <w:rPr>
            <w:color w:val="1155CC"/>
            <w:u w:val="single"/>
          </w:rPr>
          <w:t>单原子取代将 KatG 反应性从辅因子生物发生重定向到立体选择性磺化氧化</w:t>
        </w:r>
      </w:hyperlink>
    </w:p>
    <w:p>
      <w:pPr>
        <w:spacing w:before="0" w:after="80"/>
      </w:pPr>
      <w:r>
        <w:rPr>
          <w:i/>
          <w:sz w:val="20"/>
        </w:rPr>
        <w:t>EN: Single-atom substitution redirects KatG reactivity from cofactor biogenesis to stereoselective sulfoxidation</w:t>
      </w:r>
    </w:p>
    <w:p>
      <w:pPr>
        <w:spacing w:before="0" w:after="120"/>
      </w:pPr>
      <w:r>
        <w:rPr>
          <w:b/>
        </w:rPr>
        <w:t xml:space="preserve">Source: </w:t>
      </w:r>
      <w:r>
        <w:t>Biological sciences : Nature Communications subject feeds</w:t>
      </w:r>
      <w:r>
        <w:t xml:space="preserve">    </w:t>
      </w:r>
      <w:r>
        <w:rPr>
          <w:b/>
        </w:rPr>
        <w:t xml:space="preserve">Pub date: </w:t>
      </w:r>
      <w:r>
        <w:t>2026-06-13 00:00:00+00:00</w:t>
      </w:r>
    </w:p>
    <w:p>
      <w:pPr>
        <w:spacing w:before="0" w:after="120"/>
      </w:pPr>
      <w:r>
        <w:rPr>
          <w:b/>
        </w:rPr>
        <w:t xml:space="preserve">Notes: </w:t>
      </w:r>
      <w:r>
        <w:t>abstract_source=nature_html</w:t>
      </w:r>
    </w:p>
    <w:p>
      <w:pPr>
        <w:spacing w:before="0" w:after="80" w:lineRule="auto" w:line="276"/>
      </w:pPr>
      <w:r>
        <w:rPr>
          <w:b/>
        </w:rPr>
        <w:t xml:space="preserve">摘要（ZH）: </w:t>
      </w:r>
      <w:r>
        <w:t>蛋白质衍生的辅助因子依赖于精确定位的杂原子来指导氧化还原化学反应，但分离它们各自的贡献仍然具有挑战性。色氨酸的吲哚 N-H 在过氧化氢酶-过氧化物酶 (KatG) 中 Met-Tyr-Trp (MYW) 辅因子的生物发生和功能中发挥着重要但难以捉摸的作用。在这里，我们使用遗传密码扩展将辅助因子形成的 Trp105 替换为硫代色氨酸 (S-Trp)，从而实现单杂原子 (N → S) 替换。带有 S-Trp105 的 KatG 没有形成 MYW 交联，而是经过位点特异性单氧化作用产生手性亚砜。 HPLC-MS、圆二色性和 FT-IR 光谱鉴定了硫上的选择性氧插入，建立了 (S) 配置亚砜的对映选择性形成。 2.22 Å 冷冻电镜结构使氧化的 S-Trp105 可视化，揭示了 S = O 部分朝向铁并确认不存在交联。 S原子氧化依赖于血红素，并通过双电子氧原子转移进行，这与天然色氨酸的自由基介导的单电子化学形成对比。这种重定向通过扰乱辅因子的形成来抑制过氧化氢酶活性。这些结果表明，单原子取代将远端血红素位点从自由基交联重新路由为立体选择性磺化氧化，揭示了 KatG 内的单加氧酶样能力。这项工作强调使用非规范氨基酸来实现对反应途径的原子水平控制，并以前所未有的精度询问辅因子的生物发生。</w:t>
      </w:r>
    </w:p>
    <w:p>
      <w:pPr>
        <w:spacing w:before="0" w:after="200" w:lineRule="auto" w:line="276"/>
      </w:pPr>
      <w:r>
        <w:rPr>
          <w:b/>
        </w:rPr>
        <w:t xml:space="preserve">Abstract (EN): </w:t>
      </w:r>
      <w:r>
        <w:t>Protein-derived cofactors rely on precisely positioned heteroatoms to direct redox chemistry, yet isolating their individual contributions remains challenging. The indole N–H of tryptophan plays a central yet elusive role in biogenesis and function of the Met–Tyr–Trp (MYW) cofactor in catalase-peroxidase (KatG). Here, we use genetic code expansion to replace cofactor-forming Trp105 with thiotryptophan (S-Trp), enabling a single-heteroatom (N → S) substitution. Instead of forming the MYW crosslink, KatG bearing S-Trp105 undergoes site-specific monooxygenation to yield a chiral sulfoxide. HPLC-MS, circular dichroism, and FT-IR spectroscopy identify selective oxygen insertion at the sulfur, establishing enantioselective formation of an (S)-configured sulfoxide. A 2.22 Å cryo-EM structure visualizes the oxidized S-Trp105, revealing the S = O moiety orienting toward the iron and confirming the absence of crosslinking. The S-atom oxygenation is heme-dependent and proceeds via a two-electron oxygen-atom transfer, contrasting with the radical-mediated one-electron chemistry of native tryptophan. This redirection suppresses catalase activity by perturbing cofactor formation. These results show that a single-atom substitution reroutes the distal heme site from radical crosslinking to stereoselective sulfoxidation, uncovering a monooxygenase-like capability within KatG. This work highlights using noncanonical amino acids to achieve atomic-level control over reaction pathways and to interrogate cofactor biogenesis with unprecedented precision.</w:t>
      </w:r>
    </w:p>
    <w:p>
      <w:pPr>
        <w:spacing w:before="120" w:after="120"/>
      </w:pPr>
      <w:r>
        <w:rPr>
          <w:sz w:val="18"/>
        </w:rPr>
        <w:t>——————————————————————————————————————————————————————————————————————</w:t>
      </w:r>
    </w:p>
    <w:p>
      <w:pPr>
        <w:spacing w:before="160" w:after="40" w:line="240" w:lineRule="auto"/>
      </w:pPr>
      <w:r>
        <w:rPr>
          <w:b/>
        </w:rPr>
        <w:t xml:space="preserve">[27] </w:t>
      </w:r>
      <w:hyperlink r:id="rId324">
        <w:r>
          <w:rPr>
            <w:color w:val="1155CC"/>
            <w:u w:val="single"/>
          </w:rPr>
          <w:t>自组装蛋白构成浮游丁丁纤毛虫的耐化学性外壳生物材料</w:t>
        </w:r>
      </w:hyperlink>
    </w:p>
    <w:p>
      <w:pPr>
        <w:spacing w:before="0" w:after="80"/>
      </w:pPr>
      <w:r>
        <w:rPr>
          <w:i/>
          <w:sz w:val="20"/>
        </w:rPr>
        <w:t>EN: Self-assembling proteins compose the chemically resistant shell biomaterial of planktonic tintinnid ciliates</w:t>
      </w:r>
    </w:p>
    <w:p>
      <w:pPr>
        <w:spacing w:before="0" w:after="120"/>
      </w:pPr>
      <w:r>
        <w:rPr>
          <w:b/>
        </w:rPr>
        <w:t xml:space="preserve">Source: </w:t>
      </w:r>
      <w:r>
        <w:t>Biological sciences : Nature Communications subject feeds</w:t>
      </w:r>
      <w:r>
        <w:t xml:space="preserve">    </w:t>
      </w:r>
      <w:r>
        <w:rPr>
          <w:b/>
        </w:rPr>
        <w:t xml:space="preserve">Pub date: </w:t>
      </w:r>
      <w:r>
        <w:t>2026-06-13 00:00:00+00:00</w:t>
      </w:r>
    </w:p>
    <w:p>
      <w:pPr>
        <w:spacing w:before="0" w:after="120"/>
      </w:pPr>
      <w:r>
        <w:rPr>
          <w:b/>
        </w:rPr>
        <w:t xml:space="preserve">Notes: </w:t>
      </w:r>
      <w:r>
        <w:t>abstract_source=nature_html</w:t>
      </w:r>
    </w:p>
    <w:p>
      <w:pPr>
        <w:spacing w:before="0" w:after="80" w:lineRule="auto" w:line="276"/>
      </w:pPr>
      <w:r>
        <w:rPr>
          <w:b/>
        </w:rPr>
        <w:t xml:space="preserve">摘要（ZH）: </w:t>
      </w:r>
      <w:r>
        <w:t>生物材料提供与医药、纺织品和高科技应用相关的卓越性能和可持续替代品。研究主要集中在动物源性蛋白质生物材料上，在保留其卓越特性的同时，复制这些材料仍然具有挑战性。在这里，我们发现丁丁纤毛虫（浮游单细胞真核生物谱系）的外壳生物材料由自组装结构蛋白组成。这些贝壳在海水和淡水中形成，结构多样，并且具有耐高温和最强化学物质的能力。将单细胞转录组学与壳的蛋白质组学相结合，我们鉴定了壳形成蛋白的氨基酸序列，这些蛋白代表了tintinnid纤毛虫特有的新家族，我们将其称为Tintinnidorin。这些蛋白质富含芳香族残基，并具有连贯的结构，具有灵活的、未折叠的片段，连接β-折叠的折叠核心结构。这些多价能力有利于细胞内储存、细胞外自组装、湿粘附、热稳定性和耐盐性。 Tintinnid 纤毛虫及其 Tintinnidorin 蛋白提供了一个易于理解的系统来阐明序列-结构-材料关系并激发生物材料设计。</w:t>
      </w:r>
    </w:p>
    <w:p>
      <w:pPr>
        <w:spacing w:before="0" w:after="200" w:lineRule="auto" w:line="276"/>
      </w:pPr>
      <w:r>
        <w:rPr>
          <w:b/>
        </w:rPr>
        <w:t xml:space="preserve">Abstract (EN): </w:t>
      </w:r>
      <w:r>
        <w:t>Biomaterials provide superior properties and sustainable alternatives relevant to medicine, textiles, and high-tech applications. Research has mainly focused on animal-derived proteinaceous biomaterials, which remain challenging to reproduce while retaining their remarkable properties. Here, we show that the shell biomaterial of tintinnid ciliates, a lineage of planktonic unicellular eukaryotes, is composed of self-assembling structural proteins. The shells form in sea- and freshwater, are structurally diverse, and exhibit resistance against high temperatures and the strongest chemicals. Combining single-cell transcriptomics with proteomics of the shells, we identify the amino acid sequences of the shell-forming proteins that represent a new family unique to tintinnid ciliates, which we term Tintinnidorin. The proteins are rich in aromatic residues and possess a coherent architecture with flexible, unfolded segments connecting a folded core structure of beta-sheets. These multivalent capabilities facilitate intracellular storage, extracellular self-assembly, wet adhesion, thermostability, and salt tolerance. Tintinnid ciliates and their Tintinnidorin proteins provide an accessible system to elucidate sequence-structure-material relationships and inspire biomaterial design.</w:t>
      </w:r>
    </w:p>
    <w:p>
      <w:pPr>
        <w:spacing w:before="120" w:after="120"/>
      </w:pPr>
      <w:r>
        <w:rPr>
          <w:sz w:val="18"/>
        </w:rPr>
        <w:t>——————————————————————————————————————————————————————————————————————</w:t>
      </w:r>
    </w:p>
    <w:p>
      <w:pPr>
        <w:spacing w:before="160" w:after="40" w:line="240" w:lineRule="auto"/>
      </w:pPr>
      <w:r>
        <w:rPr>
          <w:b/>
        </w:rPr>
        <w:t xml:space="preserve">[28] </w:t>
      </w:r>
      <w:hyperlink r:id="rId325">
        <w:r>
          <w:rPr>
            <w:color w:val="1155CC"/>
            <w:u w:val="single"/>
          </w:rPr>
          <w:t>破译T细胞受体-抗原配对中的微小序列差异</w:t>
        </w:r>
      </w:hyperlink>
    </w:p>
    <w:p>
      <w:pPr>
        <w:spacing w:before="0" w:after="80"/>
      </w:pPr>
      <w:r>
        <w:rPr>
          <w:i/>
          <w:sz w:val="20"/>
        </w:rPr>
        <w:t>EN: Deciphering small sequence differences in T cell receptor-antigen pairing</w:t>
      </w:r>
    </w:p>
    <w:p>
      <w:pPr>
        <w:spacing w:before="0" w:after="120"/>
      </w:pPr>
      <w:r>
        <w:rPr>
          <w:b/>
        </w:rPr>
        <w:t xml:space="preserve">Source: </w:t>
      </w:r>
      <w:r>
        <w:t>Biological sciences : Nature Communications subject feeds</w:t>
      </w:r>
      <w:r>
        <w:t xml:space="preserve">    </w:t>
      </w:r>
      <w:r>
        <w:rPr>
          <w:b/>
        </w:rPr>
        <w:t xml:space="preserve">Pub date: </w:t>
      </w:r>
      <w:r>
        <w:t>2026-06-13 00:00:00+00:00</w:t>
      </w:r>
    </w:p>
    <w:p>
      <w:pPr>
        <w:spacing w:before="0" w:after="120"/>
      </w:pPr>
      <w:r>
        <w:rPr>
          <w:b/>
        </w:rPr>
        <w:t xml:space="preserve">Notes: </w:t>
      </w:r>
      <w:r>
        <w:t>abstract_source=nature_html</w:t>
      </w:r>
    </w:p>
    <w:p>
      <w:pPr>
        <w:spacing w:before="0" w:after="80" w:lineRule="auto" w:line="276"/>
      </w:pPr>
      <w:r>
        <w:rPr>
          <w:b/>
        </w:rPr>
        <w:t xml:space="preserve">摘要（ZH）: </w:t>
      </w:r>
      <w:r>
        <w:t>T 细胞通过 T 细胞受体 (TCR) 依赖性活动在发育和疾病过程中发挥重要作用。人们开发了许多工具来预测 TCR 与抗原之间的结合。然而，不确定性之一是这些工具是否能够破译 TCR 或抗原肽的微小变化对结合的影响。我们开发了一种深度学习模型 pMTnet-omni，它不仅可以预测 TCR 与 pMHC 的结合与非结合，还可以区分序列相似的 TCR 的强结合与弱结合。我们利用这种能力来解释控制 TCR-抗原配对的生物学规则。这还使得 pMTnet-omni 能够结合实验室在环 (LiL) 机制，准确预测与抗原结合更强或更弱的 TCR 变异。我们表明 pMTnet-omni 还可以预测 TCR 与类似 pMHC 的结合。总体而言，我们为涉及抗原和 TCR 的研究和转化应用提供了灵活的工具包。</w:t>
      </w:r>
    </w:p>
    <w:p>
      <w:pPr>
        <w:spacing w:before="0" w:after="200" w:lineRule="auto" w:line="276"/>
      </w:pPr>
      <w:r>
        <w:rPr>
          <w:b/>
        </w:rPr>
        <w:t xml:space="preserve">Abstract (EN): </w:t>
      </w:r>
      <w:r>
        <w:t>T cells have important functions in development and disease processes through T cell receptor (TCR)-dependent activities. Many tools were developed to predict the binding between TCRs and antigens. However, one of the uncertainties is whether such tools can decipher how small changes in the TCRs or antigenic peptides contribute to binding. We develop a deep learning model, pMTnet-omni, which not only predicts the binding vs. non-binding of TCRs towards pMHCs, but also distinguishes the stronger vs. weaker binding of TCRs similar in sequence. We leverage this capability to interpret the biological rules that govern TCR-antigen pairing. This also enables pMTnet-omni to accurately predict variant TCRs with desired stronger or weaker binding to the antigen, in conjunction with a Lab-in-the-Loop (LiL) mechanism. We show that pMTnet-omni can also predict binding of TCRs towards similar pMHCs. Overall, we provide a flexible toolkit for research and translational applications involving antigens and TCRs.</w:t>
      </w:r>
    </w:p>
    <w:p>
      <w:pPr>
        <w:spacing w:before="120" w:after="120"/>
      </w:pPr>
      <w:r>
        <w:rPr>
          <w:sz w:val="18"/>
        </w:rPr>
        <w:t>——————————————————————————————————————————————————————————————————————</w:t>
      </w:r>
    </w:p>
    <w:p>
      <w:pPr>
        <w:spacing w:before="160" w:after="40" w:line="240" w:lineRule="auto"/>
      </w:pPr>
      <w:r>
        <w:rPr>
          <w:b/>
        </w:rPr>
        <w:t xml:space="preserve">[29] </w:t>
      </w:r>
      <w:hyperlink r:id="rId326">
        <w:r>
          <w:rPr>
            <w:color w:val="1155CC"/>
            <w:u w:val="single"/>
          </w:rPr>
          <w:t>用于理解扭曲二维材料的分析框架</w:t>
        </w:r>
      </w:hyperlink>
    </w:p>
    <w:p>
      <w:pPr>
        <w:spacing w:before="0" w:after="80"/>
      </w:pPr>
      <w:r>
        <w:rPr>
          <w:i/>
          <w:sz w:val="20"/>
        </w:rPr>
        <w:t>EN: Analytical framework for understanding twisted 2D materials</w:t>
      </w:r>
    </w:p>
    <w:p>
      <w:pPr>
        <w:spacing w:before="0" w:after="120"/>
      </w:pPr>
      <w:r>
        <w:rPr>
          <w:b/>
        </w:rPr>
        <w:t xml:space="preserve">Source: </w:t>
      </w:r>
      <w:r>
        <w:t>National Science Review Advance Access</w:t>
      </w:r>
      <w:r>
        <w:t xml:space="preserve">    </w:t>
      </w:r>
      <w:r>
        <w:rPr>
          <w:b/>
        </w:rPr>
        <w:t xml:space="preserve">Pub date: </w:t>
      </w:r>
      <w:r>
        <w:t>2026-06-13 00:00:00+00:00</w:t>
      </w:r>
      <w:r>
        <w:t xml:space="preserve">    </w:t>
      </w:r>
      <w:r>
        <w:rPr>
          <w:b/>
        </w:rPr>
        <w:t xml:space="preserve">DOI: </w:t>
      </w:r>
      <w:hyperlink r:id="rId327">
        <w:r>
          <w:rPr>
            <w:color w:val="1155CC"/>
            <w:u w:val="single"/>
          </w:rPr>
          <w:t>10.1093/nsr/nwag339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 </w:t>
      </w:r>
      <w:hyperlink r:id="rId328">
        <w:r>
          <w:rPr>
            <w:color w:val="1155CC"/>
            <w:u w:val="single"/>
          </w:rPr>
          <w:t>抗癌疗法形成的转移性结直肠癌的克隆进化和突变轨迹</w:t>
        </w:r>
      </w:hyperlink>
    </w:p>
    <w:p>
      <w:pPr>
        <w:spacing w:before="0" w:after="80"/>
      </w:pPr>
      <w:r>
        <w:rPr>
          <w:i/>
          <w:sz w:val="20"/>
        </w:rPr>
        <w:t>EN: Clonal evolution and mutational trajectories of metastatic colorectal cancer shaped by anticancer therapies</w:t>
      </w:r>
    </w:p>
    <w:p>
      <w:pPr>
        <w:spacing w:before="0" w:after="120"/>
      </w:pPr>
      <w:r>
        <w:rPr>
          <w:b/>
        </w:rPr>
        <w:t xml:space="preserve">Source: </w:t>
      </w:r>
      <w:r>
        <w:t>Biological sciences : Nature Communications subject feeds</w:t>
      </w:r>
      <w:r>
        <w:t xml:space="preserve">    </w:t>
      </w:r>
      <w:r>
        <w:rPr>
          <w:b/>
        </w:rPr>
        <w:t xml:space="preserve">Pub date: </w:t>
      </w:r>
      <w:r>
        <w:t>2026-06-13 00:00:00+00:00</w:t>
      </w:r>
    </w:p>
    <w:p>
      <w:pPr>
        <w:spacing w:before="0" w:after="120"/>
      </w:pPr>
      <w:r>
        <w:rPr>
          <w:b/>
        </w:rPr>
        <w:t xml:space="preserve">Notes: </w:t>
      </w:r>
      <w:r>
        <w:t>abstract_source=nature_html</w:t>
      </w:r>
    </w:p>
    <w:p>
      <w:pPr>
        <w:spacing w:before="0" w:after="80" w:lineRule="auto" w:line="276"/>
      </w:pPr>
      <w:r>
        <w:rPr>
          <w:b/>
        </w:rPr>
        <w:t xml:space="preserve">摘要（ZH）: </w:t>
      </w:r>
      <w:r>
        <w:t>在治疗压力下单细胞分辨率的癌症基因组的进化动力学仍然难以捉摸。因此，我们对来自 6 名转移性结直肠癌患者的 58 个单细胞源性肿瘤和 18 个匹配的块状肿瘤进行了全基因组测序。高分辨率系统发育通过在单细胞水平上对治疗相关突变进行定量和定性分析来揭示癌症的克隆进化。我们发现化疗引起的突变负荷和谱系存在明显的患者间和患者内异质性，并且优先富集更多增殖谱系，突出了共存癌细胞群之间的差异诱变效应。晚期突变轨迹揭示了惊人的动态基因组改变，包括复杂的结构变异、染色体外 DNA 扩增和 LINE-1 逆转录转座，通常涉及癌症驱动基因的改变。我们共同展示了治疗压力下晚期癌症的克隆结构和突变景观，为未来治疗下晚期癌症进化的研究提供了重要基础。</w:t>
      </w:r>
    </w:p>
    <w:p>
      <w:pPr>
        <w:spacing w:before="0" w:after="200" w:lineRule="auto" w:line="276"/>
      </w:pPr>
      <w:r>
        <w:rPr>
          <w:b/>
        </w:rPr>
        <w:t xml:space="preserve">Abstract (EN): </w:t>
      </w:r>
      <w:r>
        <w:t>The evolutionary dynamics of cancer genomes at single-cell resolution under therapeutic pressure remain elusive. Hence, we perform whole-genome sequencing of 58 single-cell-derived tumoroids and 18 matched bulk tumors from six patients with metastatic colorectal cancer. High-resolution phylogenies reveal the clonal evolution of cancer with quantitative and qualitative profiling of therapy-associated mutations at the single-cell level. We uncover pronounced inter- and intra-patient heterogeneity in burden and spectrum of chemotherapy-induced mutations, with preferential enrichment in more proliferative lineages, highlighting differential mutagenic effects across co-existing cancer cell populations. Late-stage mutational trajectories uncover strikingly dynamic genomic alterations, including complex structural variants, extrachromosomal DNA amplifications, and LINE-1 retrotranspositions, often involving alterations in cancer driver genes. Together, we show the clonal architecture and mutational landscapes of advanced cancers under therapeutic pressure, providing an important foundation for future studies of late-stage cancer evolution under therapies.</w:t>
      </w:r>
    </w:p>
    <w:p>
      <w:pPr>
        <w:spacing w:before="120" w:after="120"/>
      </w:pPr>
      <w:r>
        <w:rPr>
          <w:sz w:val="18"/>
        </w:rPr>
        <w:t>——————————————————————————————————————————————————————————————————————</w:t>
      </w:r>
    </w:p>
    <w:p>
      <w:pPr>
        <w:spacing w:before="160" w:after="40" w:line="240" w:lineRule="auto"/>
      </w:pPr>
      <w:r>
        <w:rPr>
          <w:b/>
        </w:rPr>
        <w:t xml:space="preserve">[31] </w:t>
      </w:r>
      <w:hyperlink r:id="rId329">
        <w:r>
          <w:rPr>
            <w:color w:val="1155CC"/>
            <w:u w:val="single"/>
          </w:rPr>
          <w:t>卵巢细胞类型早期后口动物起源和生殖神经内分泌控制的分子证据</w:t>
        </w:r>
      </w:hyperlink>
    </w:p>
    <w:p>
      <w:pPr>
        <w:spacing w:before="0" w:after="80"/>
      </w:pPr>
      <w:r>
        <w:rPr>
          <w:i/>
          <w:sz w:val="20"/>
        </w:rPr>
        <w:t>EN: Molecular evidence for early deuterostome origins of ovarian cell types and neuroendocrine control of reproduction</w:t>
      </w:r>
    </w:p>
    <w:p>
      <w:pPr>
        <w:spacing w:before="0" w:after="120"/>
      </w:pPr>
      <w:r>
        <w:rPr>
          <w:b/>
        </w:rPr>
        <w:t xml:space="preserve">Source: </w:t>
      </w:r>
      <w:r>
        <w:t>Biological sciences : Nature Communications subject feeds</w:t>
      </w:r>
      <w:r>
        <w:t xml:space="preserve">    </w:t>
      </w:r>
      <w:r>
        <w:rPr>
          <w:b/>
        </w:rPr>
        <w:t xml:space="preserve">Pub date: </w:t>
      </w:r>
      <w:r>
        <w:t>2026-06-13 00:00:00+00:00</w:t>
      </w:r>
    </w:p>
    <w:p>
      <w:pPr>
        <w:spacing w:before="0" w:after="120"/>
      </w:pPr>
      <w:r>
        <w:rPr>
          <w:b/>
        </w:rPr>
        <w:t xml:space="preserve">Notes: </w:t>
      </w:r>
      <w:r>
        <w:t>abstract_source=nature_html</w:t>
      </w:r>
    </w:p>
    <w:p>
      <w:pPr>
        <w:spacing w:before="0" w:after="80" w:lineRule="auto" w:line="276"/>
      </w:pPr>
      <w:r>
        <w:rPr>
          <w:b/>
        </w:rPr>
        <w:t xml:space="preserve">摘要（ZH）: </w:t>
      </w:r>
      <w:r>
        <w:t>卵子发生需要卵巢中种系细胞和体细胞类型之间复杂的相互作用。这些细胞类型及其信号相互作用是如何进化的？在这里，我们使用海星 Patiria miniata 作为非脊索动物后口动物代表来定义棘皮动物的卵巢细胞类型工具包。海星在其一生中不断产生数百万个新卵母细胞，使它们成为从生物医学和进化角度理解驱动卵子发生机制的实用系统。我们进行了 scRNA-seq 与高分辨率 3D 成像相结合，以揭示卵巢细胞类型及其空间组织。我们的数据支持假定的卵原干细胞、颗粒样细胞和卵泡膜样细胞的存在，它们与哺乳动物的对应细胞表现出相似之处。我们还描述了体细胞和生殖系细胞之间可能的信号相互作用。最后，我们的数据可能表明内在的卵巢神经内分泌系统可能调节卵子发生。</w:t>
      </w:r>
    </w:p>
    <w:p>
      <w:pPr>
        <w:spacing w:before="0" w:after="200" w:lineRule="auto" w:line="276"/>
      </w:pPr>
      <w:r>
        <w:rPr>
          <w:b/>
        </w:rPr>
        <w:t xml:space="preserve">Abstract (EN): </w:t>
      </w:r>
      <w:r>
        <w:t>Oogenesis requires complex interactions between germline and somatic cell types in the ovary. How did these cell types and their signaling interactions evolve? Here we use the sea star Patiria miniata as a non-chordate deuterostome representative to define the ovarian cell type toolkit in echinoderms. Sea stars continuously produce millions of new oocytes throughout their lifespan, making them a practical system to understand the mechanisms that drive oogenesis from a biomedical and evolutionary perspective. We performed scRNA-seq combined with high-resolution 3D imaging to reveal the ovarian cell types and their spatial organization. Our data support the presence of putative oogonial stem cells, granulosa-like, and theca-like cells, which display similarities with their mammalian counterparts. We also describe possible signaling interactions between somatic and germ line cells. Lastly, our data may suggest an intrinsic ovarian neuroendocrine system which could potentially regulate oogenesis.</w:t>
      </w:r>
    </w:p>
    <w:p>
      <w:pPr>
        <w:spacing w:before="120" w:after="120"/>
      </w:pPr>
      <w:r>
        <w:rPr>
          <w:sz w:val="18"/>
        </w:rPr>
        <w:t>——————————————————————————————————————————————————————————————————————</w:t>
      </w:r>
    </w:p>
    <w:p>
      <w:pPr>
        <w:spacing w:before="160" w:after="40" w:line="240" w:lineRule="auto"/>
      </w:pPr>
      <w:r>
        <w:rPr>
          <w:b/>
        </w:rPr>
        <w:t xml:space="preserve">[32] </w:t>
      </w:r>
      <w:hyperlink r:id="rId330">
        <w:r>
          <w:rPr>
            <w:color w:val="1155CC"/>
            <w:u w:val="single"/>
          </w:rPr>
          <w:t>通过定量各向同性超微结构成像表征调节初级纤毛发生的膜结构</w:t>
        </w:r>
      </w:hyperlink>
    </w:p>
    <w:p>
      <w:pPr>
        <w:spacing w:before="0" w:after="80"/>
      </w:pPr>
      <w:r>
        <w:rPr>
          <w:i/>
          <w:sz w:val="20"/>
        </w:rPr>
        <w:t>EN: Characterization of membrane structures regulating primary ciliogenesis by quantitative isotropic ultrastructure imaging</w:t>
      </w:r>
    </w:p>
    <w:p>
      <w:pPr>
        <w:spacing w:before="0" w:after="120"/>
      </w:pPr>
      <w:r>
        <w:rPr>
          <w:b/>
        </w:rPr>
        <w:t xml:space="preserve">Source: </w:t>
      </w:r>
      <w:r>
        <w:t>Biological sciences : Nature Communications subject feeds</w:t>
      </w:r>
      <w:r>
        <w:t xml:space="preserve">    </w:t>
      </w:r>
      <w:r>
        <w:rPr>
          <w:b/>
        </w:rPr>
        <w:t xml:space="preserve">Pub date: </w:t>
      </w:r>
      <w:r>
        <w:t>2026-06-13 00:00:00+00:00</w:t>
      </w:r>
    </w:p>
    <w:p>
      <w:pPr>
        <w:spacing w:before="0" w:after="120"/>
      </w:pPr>
      <w:r>
        <w:rPr>
          <w:b/>
        </w:rPr>
        <w:t xml:space="preserve">Notes: </w:t>
      </w:r>
      <w:r>
        <w:t>abstract_source=nature_html</w:t>
      </w:r>
    </w:p>
    <w:p>
      <w:pPr>
        <w:spacing w:before="0" w:after="80" w:lineRule="auto" w:line="276"/>
      </w:pPr>
      <w:r>
        <w:rPr>
          <w:b/>
        </w:rPr>
        <w:t xml:space="preserve">摘要（ZH）: </w:t>
      </w:r>
      <w:r>
        <w:t>母体中心粒 (MC) 处膜囊泡的运输、对接和融合对于初级纤毛的构建非常重要。在这里，我们确定了参与轴丝生长上游的初级纤毛组装机制的三维（3D）膜超微结构和相关蛋白质。我们的工作表明，与 MC 对接的小囊泡的增大是纤毛发生进展的关键触发因素，这一过程需要 MC 远端附属物蛋白 CEP164。这些囊泡似乎融合形成管状 C 形中间体和前所未有的环形膜中间体。这些先前未表征的管状膜纤毛发生中间体的形成是由膜运输调节因子 EHD1 和 RAB8 精心策划的，并与 IFT-B 复合蛋白 IFT88 相关。值得注意的是，我们发现 EHD1 通过其膜管功能，通过直接促进 CP110/CEP97 从 MC 帽去除来调节纤毛发生进程。这些管状膜结构的建立也与睫状门过渡区蛋白的募集有关。总之，这些发现重新定义了早期纤毛发生的结构框架，并强调了各向同性超微结构成像与定量 3D 分析相结合在阐明膜运输和细胞器生物发生机制方面的实用性。</w:t>
      </w:r>
    </w:p>
    <w:p>
      <w:pPr>
        <w:spacing w:before="0" w:after="200" w:lineRule="auto" w:line="276"/>
      </w:pPr>
      <w:r>
        <w:rPr>
          <w:b/>
        </w:rPr>
        <w:t xml:space="preserve">Abstract (EN): </w:t>
      </w:r>
      <w:r>
        <w:t>The trafficking, docking, and fusion of membrane vesicles at the mother centriole (MC) are important for primary cilium construction. Here, we determined the three-dimensional (3D) membrane ultrastructures, and associated proteins, involved in this primary cilium assembly mechanism upstream of axoneme growth. Our work suggests that the enlargement of small vesicles docked to the MC is a key trigger for ciliogenesis progression, a process requiring the MC distal appendage protein CEP164. These vesicles appear to fuse to form tubular C-shaped intermediates and an unprecedented toroidal membrane intermediate. The formation of these previously uncharacterized tubular membrane ciliogenesis intermediates is orchestrated by the membrane trafficking regulators EHD1 and RAB8, and is associated with the IFT-B complex protein IFT88. Remarkably, we show that EHD1, through its membrane tubulation function, regulates ciliogenesis progression by directly promoting CP110/CEP97 removal from the MC cap. The establishment of these tubular membrane structures is also associated with the recruitment of the ciliary gate transition zone proteins. Together, these findings redefine the architectural framework of early ciliogenesis and underscore the utility of isotropic ultrastructural imaging combined with quantitative 3D analysis for elucidating mechanisms of membrane trafficking and organelle biogenesis.</w:t>
      </w:r>
    </w:p>
    <w:p>
      <w:pPr>
        <w:spacing w:before="120" w:after="120"/>
      </w:pPr>
      <w:r>
        <w:rPr>
          <w:sz w:val="18"/>
        </w:rPr>
        <w:t>——————————————————————————————————————————————————————————————————————</w:t>
      </w:r>
    </w:p>
    <w:p>
      <w:pPr>
        <w:spacing w:before="160" w:after="40" w:line="240" w:lineRule="auto"/>
      </w:pPr>
      <w:r>
        <w:rPr>
          <w:b/>
        </w:rPr>
        <w:t xml:space="preserve">[33] </w:t>
      </w:r>
      <w:hyperlink r:id="rId331">
        <w:r>
          <w:rPr>
            <w:color w:val="1155CC"/>
            <w:u w:val="single"/>
          </w:rPr>
          <w:t>通过脂质体纳米药物对 CAR 肺泡巨噬细胞进行原位重编程用于肺癌免疫治疗</w:t>
        </w:r>
      </w:hyperlink>
    </w:p>
    <w:p>
      <w:pPr>
        <w:spacing w:before="0" w:after="80"/>
      </w:pPr>
      <w:r>
        <w:rPr>
          <w:i/>
          <w:sz w:val="20"/>
        </w:rPr>
        <w:t>EN: In situ reprogramming of CAR-alveolar macrophages via liposomal nanomedicine for lung cancer immunotherapy</w:t>
      </w:r>
    </w:p>
    <w:p>
      <w:pPr>
        <w:spacing w:before="0" w:after="120"/>
      </w:pPr>
      <w:r>
        <w:rPr>
          <w:b/>
        </w:rPr>
        <w:t xml:space="preserve">Source: </w:t>
      </w:r>
      <w:r>
        <w:t>Biological sciences : Nature Communications subject feeds</w:t>
      </w:r>
      <w:r>
        <w:t xml:space="preserve">    </w:t>
      </w:r>
      <w:r>
        <w:rPr>
          <w:b/>
        </w:rPr>
        <w:t xml:space="preserve">Pub date: </w:t>
      </w:r>
      <w:r>
        <w:t>2026-06-13 00:00:00+00:00</w:t>
      </w:r>
    </w:p>
    <w:p>
      <w:pPr>
        <w:spacing w:before="0" w:after="120"/>
      </w:pPr>
      <w:r>
        <w:rPr>
          <w:b/>
        </w:rPr>
        <w:t xml:space="preserve">Notes: </w:t>
      </w:r>
      <w:r>
        <w:t>abstract_source=nature_html</w:t>
      </w:r>
    </w:p>
    <w:p>
      <w:pPr>
        <w:spacing w:before="0" w:after="80" w:lineRule="auto" w:line="276"/>
      </w:pPr>
      <w:r>
        <w:rPr>
          <w:b/>
        </w:rPr>
        <w:t xml:space="preserve">摘要（ZH）: </w:t>
      </w:r>
      <w:r>
        <w:t>免疫疗法彻底改变了肺癌治疗；然而，答复率仍然不理想。肿瘤微环境中的肺泡巨噬细胞 (AM) 通过代谢耗竭抑制 T 细胞功能，以及通过促肿瘤 M2 样表型促进肿瘤进展，从而导致免疫治疗耐药。在这里，我们描述了一种精密设计的级联靶向脂质体纳米药物（pCAR-P3/LNP），它能够通过多步靶向策略对AM进行原位重编程，包括通过肺内雾化进行肺积聚、主动细胞靶向和启动子驱动的激活，以生成功能优化的表达嵌合抗原受体的AM（CAR-AM）。 CAR-AM通过三种综合机制介导协同抗肿瘤功效：肺癌细胞的靶向吞噬作用、增强的抗原呈递和M1样复极化。此外，CAR-AM 诱导的免疫激活和记忆增强了免疫检查点抑制剂的功效，并抑制雌性小鼠肺癌模型的转移进展。这种基于纳米医学的细胞重编程策略提供了一种克服肺癌免疫治疗中免疫抑制障碍的方法，并例证了纳米技术与免疫学的融合，以增强治疗效果。</w:t>
      </w:r>
    </w:p>
    <w:p>
      <w:pPr>
        <w:spacing w:before="0" w:after="200" w:lineRule="auto" w:line="276"/>
      </w:pPr>
      <w:r>
        <w:rPr>
          <w:b/>
        </w:rPr>
        <w:t xml:space="preserve">Abstract (EN): </w:t>
      </w:r>
      <w:r>
        <w:t>Immunotherapy has revolutionized lung cancer treatment; however, response rates remain suboptimal. Alveolar macrophages (AMs) within the tumor microenvironment contribute to immunotherapy resistance by inhibiting T cell function through metabolic exhaustion, as well by promoting tumor progression via a pro-tumor M2-like phenotype. Here, we describe a precision-engineered, cascade-targeted liposomal nanomedicine (pCAR-P3/LNP) that enables in situ reprogramming of AMs via a multi-step targeting strategy—including lung accumulation via intrapulmonary nebulization, active cellular targeting, and promoter-driven activation—to generate functionally optimized chimeric antigen receptor-expressing AMs (CAR-AMs). The CAR-AMs mediate synergistic antitumor efficacy through three integrated mechanisms: targeted phagocytosis of lung cancer cells, enhanced antigen presentation, and M1-like repolarization. Furthermore, CAR-AM-induced immune activation and memory potentiate the efficacy of immune checkpoint inhibitors and suppress metastatic progression in lung cancer models in female mice. This nanomedicine-based cell reprogramming strategy provides an approach to overcome immunosuppressive barriers in lung cancer immunotherapy and exemplifies the convergence of nanotechnology with immunology for enhanced therapeutic outcomes.</w:t>
      </w:r>
    </w:p>
    <w:p>
      <w:pPr>
        <w:spacing w:before="120" w:after="120"/>
      </w:pPr>
      <w:r>
        <w:rPr>
          <w:sz w:val="18"/>
        </w:rPr>
        <w:t>——————————————————————————————————————————————————————————————————————</w:t>
      </w:r>
    </w:p>
    <w:p>
      <w:pPr>
        <w:spacing w:before="160" w:after="40" w:line="240" w:lineRule="auto"/>
      </w:pPr>
      <w:r>
        <w:rPr>
          <w:b/>
        </w:rPr>
        <w:t xml:space="preserve">[34] </w:t>
      </w:r>
      <w:hyperlink r:id="rId332">
        <w:r>
          <w:rPr>
            <w:color w:val="1155CC"/>
            <w:u w:val="single"/>
          </w:rPr>
          <w:t>自闭症发病机制的空间结构揭示了早期发育过程中的马赛克结构混乱</w:t>
        </w:r>
      </w:hyperlink>
    </w:p>
    <w:p>
      <w:pPr>
        <w:spacing w:before="0" w:after="80"/>
      </w:pPr>
      <w:r>
        <w:rPr>
          <w:i/>
          <w:sz w:val="20"/>
        </w:rPr>
        <w:t>EN: Spatial architecture of autism pathogenesis reveals mosaic structural disarray during early development</w:t>
      </w:r>
    </w:p>
    <w:p>
      <w:pPr>
        <w:spacing w:before="0" w:after="120"/>
      </w:pPr>
      <w:r>
        <w:rPr>
          <w:b/>
        </w:rPr>
        <w:t xml:space="preserve">Source: </w:t>
      </w:r>
      <w:r>
        <w:t>Biological sciences : Nature Communications subject feeds</w:t>
      </w:r>
      <w:r>
        <w:t xml:space="preserve">    </w:t>
      </w:r>
      <w:r>
        <w:rPr>
          <w:b/>
        </w:rPr>
        <w:t xml:space="preserve">Pub date: </w:t>
      </w:r>
      <w:r>
        <w:t>2026-06-13 00:00:00+00:00</w:t>
      </w:r>
    </w:p>
    <w:p>
      <w:pPr>
        <w:spacing w:before="0" w:after="120"/>
      </w:pPr>
      <w:r>
        <w:rPr>
          <w:b/>
        </w:rPr>
        <w:t xml:space="preserve">Notes: </w:t>
      </w:r>
      <w:r>
        <w:t>abstract_source=nature_html</w:t>
      </w:r>
    </w:p>
    <w:p>
      <w:pPr>
        <w:spacing w:before="0" w:after="80" w:lineRule="auto" w:line="276"/>
      </w:pPr>
      <w:r>
        <w:rPr>
          <w:b/>
        </w:rPr>
        <w:t xml:space="preserve">摘要（ZH）: </w:t>
      </w:r>
      <w:r>
        <w:t>自闭症谱系障碍（ASD）与多种遗传因素和分子变化有关。然而，病理生理学在发育过程中如何出现并导致临床异质性仍不清楚。在这里，我们利用遗传多样性患者来源的产前皮质类器官的空间和单细胞转录组学来绘制 ASD 发病机制的空间结构。我们发现祖细胞和神经元区域的异常划分以及局部杂乱的神经元斑块，这些神经元在患者之间的分布各不相同。这种空间镶嵌混乱持续到神经元成熟过程中，并且与祖细胞之间粘附受损是一致的。我们的研究结果表明，导致自闭症谱系障碍的生物过程的空间景观可能比之前想象的更加异质。我们提出了一个模型，其中由产前大脑发育过程中的空间镶嵌发病机制引起的不同模式的分散异常，导致了自闭症谱系障碍患者中观察到的广泛症状和大脑结构变化。</w:t>
      </w:r>
    </w:p>
    <w:p>
      <w:pPr>
        <w:spacing w:before="0" w:after="200" w:lineRule="auto" w:line="276"/>
      </w:pPr>
      <w:r>
        <w:rPr>
          <w:b/>
        </w:rPr>
        <w:t xml:space="preserve">Abstract (EN): </w:t>
      </w:r>
      <w:r>
        <w:t>Autism spectrum disorder (ASD) has been associated with diverse genetic factors and molecular changes. Yet, how pathophysiology emerges during development and contributes to clinical heterogeneity remains unclear. Here we use spatial and single-cell transcriptomics of genetically diverse patient-derived organoids of the prenatal cortex to map the spatial architecture of ASD pathogenesis. We find abnormal partitioning of progenitor and neuron zones alongside local patches of disorganized neurons that vary in distribution among patients. Such spatially mosaic disarray persists into neuronal maturation and is consistent with impaired adhesion between progenitors. Our findings suggest that the spatial landscape of biological processes leading to ASD may be more heterogeneous than previously thought. We propose a model in which different patterns of scattered abnormalities, arising from spatially mosaic pathogenesis during prenatal brain development, contribute to the wide range of symptoms and brain structure variations observed in ASD patients.</w:t>
      </w:r>
    </w:p>
    <w:p>
      <w:pPr>
        <w:spacing w:before="120" w:after="120"/>
      </w:pPr>
      <w:r>
        <w:rPr>
          <w:sz w:val="18"/>
        </w:rPr>
        <w:t>——————————————————————————————————————————————————————————————————————</w:t>
      </w:r>
    </w:p>
    <w:p>
      <w:pPr>
        <w:spacing w:before="160" w:after="40" w:line="240" w:lineRule="auto"/>
      </w:pPr>
      <w:r>
        <w:rPr>
          <w:b/>
        </w:rPr>
        <w:t xml:space="preserve">[35] </w:t>
      </w:r>
      <w:hyperlink r:id="rId333">
        <w:r>
          <w:rPr>
            <w:color w:val="1155CC"/>
            <w:u w:val="single"/>
          </w:rPr>
          <w:t>通过非线性径向色散的中红外快照光谱成像</w:t>
        </w:r>
      </w:hyperlink>
    </w:p>
    <w:p>
      <w:pPr>
        <w:spacing w:before="0" w:after="80"/>
      </w:pPr>
      <w:r>
        <w:rPr>
          <w:i/>
          <w:sz w:val="20"/>
        </w:rPr>
        <w:t>EN: Mid-infrared snapshot spectral imaging via nonlinear radial dispersion</w:t>
      </w:r>
    </w:p>
    <w:p>
      <w:pPr>
        <w:spacing w:before="0" w:after="120"/>
      </w:pPr>
      <w:r>
        <w:rPr>
          <w:b/>
        </w:rPr>
        <w:t xml:space="preserve">Source: </w:t>
      </w:r>
      <w:r>
        <w:t>Physical sciences : Nature Communications subject feeds</w:t>
      </w:r>
      <w:r>
        <w:t xml:space="preserve">    </w:t>
      </w:r>
      <w:r>
        <w:rPr>
          <w:b/>
        </w:rPr>
        <w:t xml:space="preserve">Pub date: </w:t>
      </w:r>
      <w:r>
        <w:t>2026-06-13 00:00:00+00:00</w:t>
      </w:r>
    </w:p>
    <w:p>
      <w:pPr>
        <w:spacing w:before="0" w:after="120"/>
      </w:pPr>
      <w:r>
        <w:rPr>
          <w:b/>
        </w:rPr>
        <w:t xml:space="preserve">Notes: </w:t>
      </w:r>
      <w:r>
        <w:t>abstract_source=nature_html</w:t>
      </w:r>
    </w:p>
    <w:p>
      <w:pPr>
        <w:spacing w:before="0" w:after="80" w:lineRule="auto" w:line="276"/>
      </w:pPr>
      <w:r>
        <w:rPr>
          <w:b/>
        </w:rPr>
        <w:t xml:space="preserve">摘要（ZH）: </w:t>
      </w:r>
      <w:r>
        <w:t>中红外光谱成像通过分子振动指纹提供化学特异性对比度，但由于缺乏高灵敏度探测器和有效的光谱编码机制，快照采集仍然受到严重限制。在这里，我们介绍基于固有非线性径向色散的快照中红外光谱成像，其中依赖于波长的相位匹配同时实现频率上转换和光谱复用。不同的光谱分量被映射到 4f 成像架构内的不同输出角度，从而无需外部色散元件即可实现单次光谱编码。与散斑照明编码相结合，无需额外的编码组件即可压缩和恢复光谱信息。该方法利用非线性上转换到可见光，实现了室温 MIR 光谱成像，在 2.5 至 4.0 μm 的宽光谱范围内灵敏度接近 1 光子/像素/脉冲。这项工作将光谱编码从外部光学功能转变为非线性成像过程的固有属性，为高灵敏度快照中红外光谱成像提供了通用途径。</w:t>
      </w:r>
    </w:p>
    <w:p>
      <w:pPr>
        <w:spacing w:before="0" w:after="200" w:lineRule="auto" w:line="276"/>
      </w:pPr>
      <w:r>
        <w:rPr>
          <w:b/>
        </w:rPr>
        <w:t xml:space="preserve">Abstract (EN): </w:t>
      </w:r>
      <w:r>
        <w:t>Mid-infrared spectral imaging provides chemically specific contrast through molecular vibrational fingerprints, yet snapshot acquisition remains severely limited by the lack of high-sensitivity detectors and efficient spectral encoding mechanisms. Here we introduce snapshot MIR spectral imaging based on intrinsic nonlinear radial dispersion, in which wavelength-dependent phase matching simultaneously enables frequency upconversion and spectral multiplexing. Different spectral components are mapped to distinct output angles within a 4f imaging architecture, enabling single-shot spectral encoding without external dispersive elements. In combination with speckle illumination encoding, spectral information is compressed and recovered without additional coding components. Leveraging nonlinear upconversion to the visible, the approach achieves room-temperature MIR spectral imaging with sensitivity approaching 1 photon/pixel/pulse across a broad spectral range from 2.5 to 4.0 μm. This work transforms spectral encoding from an external optical function into an inherent property of the nonlinear imaging process, providing a general route to high-sensitivity snapshot MIR spectral imaging.</w:t>
      </w:r>
    </w:p>
    <w:p>
      <w:pPr>
        <w:spacing w:before="120" w:after="120"/>
      </w:pPr>
      <w:r>
        <w:rPr>
          <w:sz w:val="18"/>
        </w:rPr>
        <w:t>——————————————————————————————————————————————————————————————————————</w:t>
      </w:r>
    </w:p>
    <w:p>
      <w:pPr>
        <w:spacing w:before="160" w:after="40" w:line="240" w:lineRule="auto"/>
      </w:pPr>
      <w:r>
        <w:rPr>
          <w:b/>
        </w:rPr>
        <w:t xml:space="preserve">[36] </w:t>
      </w:r>
      <w:hyperlink r:id="rId334">
        <w:r>
          <w:rPr>
            <w:color w:val="1155CC"/>
            <w:u w:val="single"/>
          </w:rPr>
          <w:t>通过表面单原子工程对绝缘材料中的绝缘体到金属的传输进行编程</w:t>
        </w:r>
      </w:hyperlink>
    </w:p>
    <w:p>
      <w:pPr>
        <w:spacing w:before="0" w:after="80"/>
      </w:pPr>
      <w:r>
        <w:rPr>
          <w:i/>
          <w:sz w:val="20"/>
        </w:rPr>
        <w:t>EN: Programming Insulator‐to‐Metallic Transport in Insulating Materials via Surface Single‐Atom Engineering</w:t>
      </w:r>
    </w:p>
    <w:p>
      <w:pPr>
        <w:spacing w:before="0" w:after="120"/>
      </w:pPr>
      <w:r>
        <w:rPr>
          <w:b/>
        </w:rPr>
        <w:t xml:space="preserve">Source: </w:t>
      </w:r>
      <w:r>
        <w:t>Wiley-Online-Library: Advanced Materials: Table of Contents</w:t>
      </w:r>
      <w:r>
        <w:t xml:space="preserve">    </w:t>
      </w:r>
      <w:r>
        <w:rPr>
          <w:b/>
        </w:rPr>
        <w:t xml:space="preserve">Pub date: </w:t>
      </w:r>
      <w:r>
        <w:t>2026-06-13 05:29:00+00:00</w:t>
      </w:r>
      <w:r>
        <w:t xml:space="preserve">    </w:t>
      </w:r>
      <w:r>
        <w:rPr>
          <w:b/>
        </w:rPr>
        <w:t xml:space="preserve">DOI: </w:t>
      </w:r>
      <w:hyperlink r:id="rId335">
        <w:r>
          <w:rPr>
            <w:color w:val="1155CC"/>
            <w:u w:val="single"/>
          </w:rPr>
          <w:t>10.1002/adma.73723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绝缘材料中的可重构电子态实现了类金属传输，同时保留了绝缘主体固有的鲁棒性和功能多样性，从而重新定义了传统金属-绝缘体二分法之外的材料。然而，由于绝缘材料固有的强电子局域化，获得这种状态仍然极具挑战性。我们展示了一种通用的表面单原子工程策略，用于绝缘氧化物和氮化物（包括 SiO2）中电子传输的线性和深度编程</w:t>
      </w:r>
      <w:r>
        <w:rPr>
          <w:vertAlign w:val="subscript"/>
        </w:rPr>
        <w:t>2</w:t>
      </w:r>
      <w:r>
        <w:t>, 铝</w:t>
      </w:r>
      <w:r>
        <w:rPr>
          <w:vertAlign w:val="subscript"/>
        </w:rPr>
        <w:t>2</w:t>
      </w:r>
      <w:r>
        <w:t>氧</w:t>
      </w:r>
      <w:r>
        <w:rPr>
          <w:vertAlign w:val="subscript"/>
        </w:rPr>
        <w:t>3</w:t>
      </w:r>
      <w:r>
        <w:t>和 BN，通过选择性诱导局部对称性破缺、有效带隙压缩和杂质带渗滤。因此，这种策略不断缩小带隙，并最终产生具有异常最小的温度依赖性的金属传输特性。此外，我们应用单原子锚定的SiO</w:t>
      </w:r>
      <w:r>
        <w:rPr>
          <w:vertAlign w:val="subscript"/>
        </w:rPr>
        <w:t>2</w:t>
      </w:r>
      <w:r>
        <w:t>一种本质电磁波透明材料，对超薄 80 µm 薄膜的屏蔽效率达到创纪录的 98.6%，并且在 300-800 K 的温度范围内仍保持稳定的性能。这种违反直觉的性能违背了传统范例，表明本质绝缘材料可以实现与最先进的金属相当的电磁屏蔽，同时避免温度引起的性能下降</w:t>
      </w:r>
    </w:p>
    <w:p>
      <w:pPr>
        <w:spacing w:before="0" w:after="200" w:lineRule="auto" w:line="276"/>
      </w:pPr>
      <w:r>
        <w:rPr>
          <w:b/>
        </w:rPr>
        <w:t xml:space="preserve">Abstract (EN): </w:t>
      </w:r>
      <w:r>
        <w:t>Reconfigurable electronic states in insulating materials enable metal‐like transport while preserving the intrinsic robustness and functional versatility of insulating hosts, thereby redefining materials beyond the conventional metal–insulator dichotomy. However, obtaining such states remains extremely challenging owing to strong electronic localization inherent in insulating materials. We demonstrate a universal surface single‐atom engineering strategy for linear and deep programming of electronic transport in insulating oxides and nitrides, including SiO</w:t>
      </w:r>
      <w:r>
        <w:rPr>
          <w:vertAlign w:val="subscript"/>
        </w:rPr>
        <w:t>2</w:t>
      </w:r>
      <w:r>
        <w:t>, Al</w:t>
      </w:r>
      <w:r>
        <w:rPr>
          <w:vertAlign w:val="subscript"/>
        </w:rPr>
        <w:t>2</w:t>
      </w:r>
      <w:r>
        <w:t>O</w:t>
      </w:r>
      <w:r>
        <w:rPr>
          <w:vertAlign w:val="subscript"/>
        </w:rPr>
        <w:t>3</w:t>
      </w:r>
      <w:r>
        <w:t>, and BN, by selectively inducing local symmetry breaking, effective bandgap compression, and impurity‐band percolation. Consequently, this strategy continuously narrows the bandgap and ultimately yields metallic transport characteristics with anomalously minimal temperature dependence. Furthermore, we apply single‐atom‐anchored SiO</w:t>
      </w:r>
      <w:r>
        <w:rPr>
          <w:vertAlign w:val="subscript"/>
        </w:rPr>
        <w:t>2</w:t>
      </w:r>
      <w:r>
        <w:t>, an intrinsically electromagnetic wave‐transparent material, to shielding with a record‐high effectiveness of 98.6% for an ultrathin 80 µm film that also maintains stable performance over a temperature range of 300–800 K. This counterintuitive performance defies the conventional paradigm, demonstrating that an intrinsically insulating material can achieve electromagnetic shielding comparable to state‐of‐the‐art metals while avoiding the temperature‐induced performance degradation of metallic shielding materials. Overall, we believe that this study establishes single‐atom band engineering as a general strategy for programming electronic transport in insulating materials, with broad implications for advanced electronics and unconventional functionalities.</w:t>
      </w:r>
    </w:p>
    <w:p>
      <w:pPr>
        <w:spacing w:before="120" w:after="120"/>
      </w:pPr>
      <w:r>
        <w:rPr>
          <w:sz w:val="18"/>
        </w:rPr>
        <w:t>——————————————————————————————————————————————————————————————————————</w:t>
      </w:r>
    </w:p>
    <w:p>
      <w:pPr>
        <w:spacing w:before="160" w:after="40" w:line="240" w:lineRule="auto"/>
      </w:pPr>
      <w:r>
        <w:rPr>
          <w:b/>
        </w:rPr>
        <w:t xml:space="preserve">[37] </w:t>
      </w:r>
      <w:hyperlink r:id="rId336">
        <w:r>
          <w:rPr>
            <w:color w:val="1155CC"/>
            <w:u w:val="single"/>
          </w:rPr>
          <w:t>COF 中的定向协同质子电子转移用于高效光催化 H2O2 生产</w:t>
        </w:r>
      </w:hyperlink>
    </w:p>
    <w:p>
      <w:pPr>
        <w:spacing w:before="0" w:after="80"/>
      </w:pPr>
      <w:r>
        <w:rPr>
          <w:i/>
          <w:sz w:val="20"/>
        </w:rPr>
        <w:t>EN: Directional Concerted Proton‐Electron Transfer in COFs for Efficient Photocatalytic H2O2 Production</w:t>
      </w:r>
    </w:p>
    <w:p>
      <w:pPr>
        <w:spacing w:before="0" w:after="120"/>
      </w:pPr>
      <w:r>
        <w:rPr>
          <w:b/>
        </w:rPr>
        <w:t xml:space="preserve">Source: </w:t>
      </w:r>
      <w:r>
        <w:t>Wiley-Online-Library: Advanced Materials: Table of Contents</w:t>
      </w:r>
      <w:r>
        <w:t xml:space="preserve">    </w:t>
      </w:r>
      <w:r>
        <w:rPr>
          <w:b/>
        </w:rPr>
        <w:t xml:space="preserve">Pub date: </w:t>
      </w:r>
      <w:r>
        <w:t>2026-06-13 06:26:17+00:00</w:t>
      </w:r>
      <w:r>
        <w:t xml:space="preserve">    </w:t>
      </w:r>
      <w:r>
        <w:rPr>
          <w:b/>
        </w:rPr>
        <w:t xml:space="preserve">DOI: </w:t>
      </w:r>
      <w:hyperlink r:id="rId337">
        <w:r>
          <w:rPr>
            <w:color w:val="1155CC"/>
            <w:u w:val="single"/>
          </w:rPr>
          <w:t>10.1002/adma.73727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光催化双电子氧还原反应（2e</w:t>
      </w:r>
      <w:r>
        <w:t xml:space="preserve"> </w:t>
      </w:r>
      <w:r>
        <w:t>-</w:t>
      </w:r>
      <w:r>
        <w:t>ORR）为绿色H提供了一条可持续的途径</w:t>
      </w:r>
      <w:r>
        <w:rPr>
          <w:vertAlign w:val="subscript"/>
        </w:rPr>
        <w:t>2</w:t>
      </w:r>
      <w:r>
        <w:t>氧</w:t>
      </w:r>
      <w:r>
        <w:rPr>
          <w:vertAlign w:val="subscript"/>
        </w:rPr>
        <w:t>2</w:t>
      </w:r>
      <w:r>
        <w:t>合成。然而，其效率从根本上受到异质界面上质子转移和电子迁移之间的动力学不匹配的限制。受天然氢化酶中协同质子电子易位的启发，我们报道了一种儿茶酚-三嗪供体-受体（D-A）共价有机框架2,3-Dhta-Tt，用于光催化H2过程中的定向协同质子电子转移（DCPET）</w:t>
      </w:r>
      <w:r>
        <w:rPr>
          <w:vertAlign w:val="subscript"/>
        </w:rPr>
        <w:t>2</w:t>
      </w:r>
      <w:r>
        <w:t>氧</w:t>
      </w:r>
      <w:r>
        <w:rPr>
          <w:vertAlign w:val="subscript"/>
        </w:rPr>
        <w:t>2</w:t>
      </w:r>
      <w:r>
        <w:t>生产。固有的内置电场与儿茶酚衍生的动态质子中继网络相结合，排列质子和电子通量，并建立朝向三嗪受体位点的周期性共传输通道。在分子水平上，儿茶酚供体单元主导最高占据分子轨道（HOMO），同时充当光激发中心和初始质子释放位点，从而使质子传递与电子迁移同步。这种矢量耦合降低了 O─O 氢化的活化势垒并促进高选择性 2e</w:t>
      </w:r>
      <w:r>
        <w:t xml:space="preserve"> </w:t>
      </w:r>
      <w:r>
        <w:t>-</w:t>
      </w:r>
      <w:r>
        <w:t>ORR，提供 H</w:t>
      </w:r>
      <w:r>
        <w:rPr>
          <w:vertAlign w:val="subscript"/>
        </w:rPr>
        <w:t>2</w:t>
      </w:r>
      <w:r>
        <w:t>氧</w:t>
      </w:r>
      <w:r>
        <w:rPr>
          <w:vertAlign w:val="subscript"/>
        </w:rPr>
        <w:t>2</w:t>
      </w:r>
      <w:r>
        <w:t>生产率 27.22 mmol g</w:t>
      </w:r>
      <w:r>
        <w:t xml:space="preserve"> </w:t>
      </w:r>
      <w:r>
        <w:t>−1</w:t>
      </w:r>
      <w:r>
        <w:t xml:space="preserve"> </w:t>
      </w:r>
      <w:r>
        <w:t>小时</w:t>
      </w:r>
    </w:p>
    <w:p>
      <w:pPr>
        <w:spacing w:before="0" w:after="200" w:lineRule="auto" w:line="276"/>
      </w:pPr>
      <w:r>
        <w:rPr>
          <w:b/>
        </w:rPr>
        <w:t xml:space="preserve">Abstract (EN): </w:t>
      </w:r>
      <w:r>
        <w:t>Photocatalytic two‐electron oxygen reduction reaction (2e</w:t>
      </w:r>
      <w:r>
        <w:t xml:space="preserve"> </w:t>
      </w:r>
      <w:r>
        <w:t>−</w:t>
      </w:r>
      <w:r>
        <w:t>ORR) offers a sustainable route for green H</w:t>
      </w:r>
      <w:r>
        <w:rPr>
          <w:vertAlign w:val="subscript"/>
        </w:rPr>
        <w:t>2</w:t>
      </w:r>
      <w:r>
        <w:t>O</w:t>
      </w:r>
      <w:r>
        <w:rPr>
          <w:vertAlign w:val="subscript"/>
        </w:rPr>
        <w:t>2</w:t>
      </w:r>
      <w:r>
        <w:t>synthesis. However, its efficiency is fundamentally constrained by the kinetic mismatch between proton transfer and electron migration across heterogeneous interfaces. Inspired by concerted proton–electron translocation in natural hydrogenases, we report a catechol–triazine donor–acceptor (D–A) covalent organic framework, 2,3‐Dhta‐Tt, for directional concerted proton–electron transfer (DCPET) during photocatalytic H</w:t>
      </w:r>
      <w:r>
        <w:rPr>
          <w:vertAlign w:val="subscript"/>
        </w:rPr>
        <w:t>2</w:t>
      </w:r>
      <w:r>
        <w:t>O</w:t>
      </w:r>
      <w:r>
        <w:rPr>
          <w:vertAlign w:val="subscript"/>
        </w:rPr>
        <w:t>2</w:t>
      </w:r>
      <w:r>
        <w:t>production. The intrinsic built‐in electric field, combined with a catechol‐derived dynamic proton‐relay network, aligns proton and electron fluxes and establishes a periodic co‐transport channel toward triazine acceptor sites. At the molecular level, the catechol donor units dominate the highest occupied molecular orbital (HOMO), acting simultaneously as photoexcitation centers and initial proton‐release sites, thereby synchronizing proton delivery with electron migration. This vectorial coupling lowers the activation barrier for O─O hydrogenation and promotes highly selective 2e</w:t>
      </w:r>
      <w:r>
        <w:t xml:space="preserve"> </w:t>
      </w:r>
      <w:r>
        <w:t>−</w:t>
      </w:r>
      <w:r>
        <w:t>ORR, affording an H</w:t>
      </w:r>
      <w:r>
        <w:rPr>
          <w:vertAlign w:val="subscript"/>
        </w:rPr>
        <w:t>2</w:t>
      </w:r>
      <w:r>
        <w:t>O</w:t>
      </w:r>
      <w:r>
        <w:rPr>
          <w:vertAlign w:val="subscript"/>
        </w:rPr>
        <w:t>2</w:t>
      </w:r>
      <w:r>
        <w:t>production rate of 27.22 mmol g</w:t>
      </w:r>
      <w:r>
        <w:t xml:space="preserve"> </w:t>
      </w:r>
      <w:r>
        <w:t>−1</w:t>
      </w:r>
      <w:r>
        <w:t xml:space="preserve"> </w:t>
      </w:r>
      <w:r>
        <w:t>h</w:t>
      </w:r>
      <w:r>
        <w:t xml:space="preserve"> </w:t>
      </w:r>
      <w:r>
        <w:t>−1</w:t>
      </w:r>
      <w:r>
        <w:t xml:space="preserve"> </w:t>
      </w:r>
      <w:r>
        <w:t>in pure water. The framework also exhibits proton conductivity of 6.09 × 10</w:t>
      </w:r>
      <w:r>
        <w:t xml:space="preserve"> </w:t>
      </w:r>
      <w:r>
        <w:t>−5</w:t>
      </w:r>
      <w:r>
        <w:t xml:space="preserve"> </w:t>
      </w:r>
      <w:r>
        <w:t>S cm</w:t>
      </w:r>
      <w:r>
        <w:t xml:space="preserve"> </w:t>
      </w:r>
      <w:r>
        <w:t>−1</w:t>
      </w:r>
      <w:r>
        <w:t xml:space="preserve"> </w:t>
      </w:r>
      <w:r>
        <w:t>and an extended excited‐state lifetime of 94.45 ps. Isotope labeling, operando spectroscopy, and DFT calculations support a proton‐cycling process and directional proton/electron participation. This work advances heterogeneous photocatalyst design beyond conventional PCET cooperativity.</w:t>
      </w:r>
    </w:p>
    <w:p>
      <w:pPr>
        <w:spacing w:before="120" w:after="120"/>
      </w:pPr>
      <w:r>
        <w:rPr>
          <w:sz w:val="18"/>
        </w:rPr>
        <w:t>——————————————————————————————————————————————————————————————————————</w:t>
      </w:r>
    </w:p>
    <w:p>
      <w:pPr>
        <w:spacing w:before="160" w:after="40" w:line="240" w:lineRule="auto"/>
      </w:pPr>
      <w:r>
        <w:rPr>
          <w:b/>
        </w:rPr>
        <w:t xml:space="preserve">[38] </w:t>
      </w:r>
      <w:hyperlink r:id="rId338">
        <w:r>
          <w:rPr>
            <w:color w:val="1155CC"/>
            <w:u w:val="single"/>
          </w:rPr>
          <w:t>动态连锁星形离子液体端聚物实现两栖透气离子皮肤</w:t>
        </w:r>
      </w:hyperlink>
    </w:p>
    <w:p>
      <w:pPr>
        <w:spacing w:before="0" w:after="80"/>
      </w:pPr>
      <w:r>
        <w:rPr>
          <w:i/>
          <w:sz w:val="20"/>
        </w:rPr>
        <w:t>EN: Amphibious Breathable Ionic Skin Enabled by Dynamically Interlocked Star‐Shaped Ionic Liquid Telomers</w:t>
      </w:r>
    </w:p>
    <w:p>
      <w:pPr>
        <w:spacing w:before="0" w:after="120"/>
      </w:pPr>
      <w:r>
        <w:rPr>
          <w:b/>
        </w:rPr>
        <w:t xml:space="preserve">Source: </w:t>
      </w:r>
      <w:r>
        <w:t>Wiley-Online-Library: Advanced Materials: Table of Contents</w:t>
      </w:r>
      <w:r>
        <w:t xml:space="preserve">    </w:t>
      </w:r>
      <w:r>
        <w:rPr>
          <w:b/>
        </w:rPr>
        <w:t xml:space="preserve">Pub date: </w:t>
      </w:r>
      <w:r>
        <w:t>2026-06-13 06:27:44+00:00</w:t>
      </w:r>
      <w:r>
        <w:t xml:space="preserve">    </w:t>
      </w:r>
      <w:r>
        <w:rPr>
          <w:b/>
        </w:rPr>
        <w:t xml:space="preserve">DOI: </w:t>
      </w:r>
      <w:hyperlink r:id="rId339">
        <w:r>
          <w:rPr>
            <w:color w:val="1155CC"/>
            <w:u w:val="single"/>
          </w:rPr>
          <w:t>10.1002/adma.73701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表皮离子皮肤作为生物电子学的有前途的适应性界面，但它们通常难以在干燥和水生环境中同时保持柔软性、透气性、粘附性和导电性。在这里，我们引入了一种两亲离子皮肤，通过将疏水星形离子液体调聚物作为大溶剂集成到两亲线性聚（离子液体）网络中而设计。粘性四臂端粒在缠结基质内动态互锁，促进强大的防水自粘附和自顺应性。同时，两亲网络提供了有效的透水通道，确保了在环境条件下卓越的透湿性。与传统的小分子离子凝胶相比，由于大端粒物质的浸出受到限制，我们的离子皮肤表现出较高的水下稳定性。当制成超薄膜电极时，该材料能够在从干燥皮肤到完全浸没状态的各种环境下采集高保真电生理信号。这种拓扑网络设计为开发环境自适应类皮肤离子电子设备提供了一种新策略。</w:t>
      </w:r>
    </w:p>
    <w:p>
      <w:pPr>
        <w:spacing w:before="0" w:after="200" w:lineRule="auto" w:line="276"/>
      </w:pPr>
      <w:r>
        <w:rPr>
          <w:b/>
        </w:rPr>
        <w:t xml:space="preserve">Abstract (EN): </w:t>
      </w:r>
      <w:r>
        <w:t>Epidermal ionic skins act as promising adaptable interfaces for bioelectronics, but they often struggle to simultaneously maintain softness, breathability, adhesion, and conductivity across both dry and aquatic environments. Here, we introduce an amphibious ionic skin engineered by integrating a hydrophobic star‐shaped ionic liquid telomer as a bulky solvent within an amphiphilic linear poly(ionic liquid) network. The viscous four‐arm telomers are dynamically interlocked within the entangled matrix, facilitating robust water‐resistant self‐adhesion and self‐compliance. Meanwhile, the amphiphilic network provides efficient water‐permeable channels, ensuring superior moisture breathability in ambient conditions. Compared to conventional small‐molecule‐based ionic gels, our ionic skin exhibits high underwater stability due to the restricted leaching of the bulky telomeric species. When fabricated into ultrathin film electrodes, the material enables the acquisition of high‐fidelity electrophysiological signals in diverse environments, ranging from dry skin to fully submerged states. This topological network design provides a new strategy for developing environment‐adaptive skin‐like iontronic devices.</w:t>
      </w:r>
    </w:p>
    <w:p>
      <w:pPr>
        <w:spacing w:before="120" w:after="120"/>
      </w:pPr>
      <w:r>
        <w:rPr>
          <w:sz w:val="18"/>
        </w:rPr>
        <w:t>——————————————————————————————————————————————————————————————————————</w:t>
      </w:r>
    </w:p>
    <w:p>
      <w:pPr>
        <w:spacing w:before="160" w:after="40" w:line="240" w:lineRule="auto"/>
      </w:pPr>
      <w:r>
        <w:rPr>
          <w:b/>
        </w:rPr>
        <w:t xml:space="preserve">[39] </w:t>
      </w:r>
      <w:hyperlink r:id="rId340">
        <w:r>
          <w:rPr>
            <w:color w:val="1155CC"/>
            <w:u w:val="single"/>
          </w:rPr>
          <w:t>二维金属卤化物晶体中异常的抗热塑性和低热膨胀性</w:t>
        </w:r>
      </w:hyperlink>
    </w:p>
    <w:p>
      <w:pPr>
        <w:spacing w:before="0" w:after="80"/>
      </w:pPr>
      <w:r>
        <w:rPr>
          <w:i/>
          <w:sz w:val="20"/>
        </w:rPr>
        <w:t>EN: Unusual Anti‐Thermoplastics and Low Thermal Expansion in 2D Metal Halide Crystals</w:t>
      </w:r>
    </w:p>
    <w:p>
      <w:pPr>
        <w:spacing w:before="0" w:after="120"/>
      </w:pPr>
      <w:r>
        <w:rPr>
          <w:b/>
        </w:rPr>
        <w:t xml:space="preserve">Source: </w:t>
      </w:r>
      <w:r>
        <w:t>Wiley-Online-Library: Advanced Materials: Table of Contents</w:t>
      </w:r>
      <w:r>
        <w:t xml:space="preserve">    </w:t>
      </w:r>
      <w:r>
        <w:rPr>
          <w:b/>
        </w:rPr>
        <w:t xml:space="preserve">Pub date: </w:t>
      </w:r>
      <w:r>
        <w:t>2026-06-13 08:09:51+00:00</w:t>
      </w:r>
      <w:r>
        <w:t xml:space="preserve">    </w:t>
      </w:r>
      <w:r>
        <w:rPr>
          <w:b/>
        </w:rPr>
        <w:t xml:space="preserve">DOI: </w:t>
      </w:r>
      <w:hyperlink r:id="rId341">
        <w:r>
          <w:rPr>
            <w:color w:val="1155CC"/>
            <w:u w:val="single"/>
          </w:rPr>
          <w:t>10.1002/adma.202521667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零热膨胀 (ZTE) 材料由于其多功能的物理特性，在众多科学和技术应用中至关重要。然而，这些材料主要是无机氧化物和金属合金，而本质上基于中兴分子的单晶仍然异常稀缺。这种稀缺性是由于缺乏对分子变形和空间取向的全面理解，而分子变形和空间取向是由分子动力学和分子间相互作用之间复杂的耦合控制的。在此，我们在 G 的二维金属卤化物晶体中提出了线性 ZTE 和不寻常的抗热塑性材料</w:t>
      </w:r>
      <w:r>
        <w:rPr>
          <w:vertAlign w:val="subscript"/>
        </w:rPr>
        <w:t>3</w:t>
      </w:r>
      <w:r>
        <w:t>锑</w:t>
      </w:r>
      <w:r>
        <w:rPr>
          <w:vertAlign w:val="subscript"/>
        </w:rPr>
        <w:t>2</w:t>
      </w:r>
      <w:r>
        <w:t>溴</w:t>
      </w:r>
      <w:r>
        <w:rPr>
          <w:vertAlign w:val="subscript"/>
        </w:rPr>
        <w:t>9</w:t>
      </w:r>
      <w:r>
        <w:t>（</w:t>
      </w:r>
      <w:r>
        <w:t xml:space="preserve"> </w:t>
      </w:r>
      <w:r>
        <w:t>GSB</w:t>
      </w:r>
      <w:r>
        <w:t xml:space="preserve"> </w:t>
      </w:r>
      <w:r>
        <w:t>，其中 G 是胍）。</w:t>
      </w:r>
      <w:r>
        <w:t xml:space="preserve"> </w:t>
      </w:r>
      <w:r>
        <w:t>GSB</w:t>
      </w:r>
      <w:r>
        <w:t xml:space="preserve"> </w:t>
      </w:r>
      <w:r>
        <w:t>沿线呈现线性ZTE</w:t>
      </w:r>
      <w:r>
        <w:t xml:space="preserve"> </w:t>
      </w:r>
      <w:r>
        <w:t>一个</w:t>
      </w:r>
      <w:r>
        <w:t xml:space="preserve"> </w:t>
      </w:r>
      <w:r>
        <w:t>‐轴和</w:t>
      </w:r>
      <w:r>
        <w:t xml:space="preserve"> </w:t>
      </w:r>
      <w:r>
        <w:t>乙</w:t>
      </w:r>
      <w:r>
        <w:t xml:space="preserve"> </w:t>
      </w:r>
      <w:r>
        <w:t>‐轴（</w:t>
      </w:r>
      <w:r>
        <w:t xml:space="preserve"> </w:t>
      </w:r>
      <w:r>
        <w:t>α</w:t>
      </w:r>
      <w:r>
        <w:t xml:space="preserve"> </w:t>
      </w:r>
      <w:r>
        <w:t>一个</w:t>
      </w:r>
      <w:r>
        <w:t xml:space="preserve"> </w:t>
      </w:r>
      <w:r>
        <w:t>= 1.77 × 10</w:t>
      </w:r>
      <w:r>
        <w:t xml:space="preserve"> </w:t>
      </w:r>
      <w:r>
        <w:t>−6</w:t>
      </w:r>
      <w:r>
        <w:t xml:space="preserve"> </w:t>
      </w:r>
      <w:r>
        <w:t>K</w:t>
      </w:r>
      <w:r>
        <w:t xml:space="preserve"> </w:t>
      </w:r>
      <w:r>
        <w:t>−1</w:t>
      </w:r>
      <w:r>
        <w:t xml:space="preserve"> </w:t>
      </w:r>
      <w:r>
        <w:t>,</w:t>
      </w:r>
      <w:r>
        <w:t xml:space="preserve"> </w:t>
      </w:r>
      <w:r>
        <w:t>α</w:t>
      </w:r>
      <w:r>
        <w:t xml:space="preserve"> </w:t>
      </w:r>
      <w:r>
        <w:t>乙</w:t>
      </w:r>
      <w:r>
        <w:t xml:space="preserve"> </w:t>
      </w:r>
      <w:r>
        <w:t>= 1.76 × 10</w:t>
      </w:r>
      <w:r>
        <w:t xml:space="preserve"> </w:t>
      </w:r>
      <w:r>
        <w:t>−6</w:t>
      </w:r>
      <w:r>
        <w:t xml:space="preserve"> </w:t>
      </w:r>
      <w:r>
        <w:t>K</w:t>
      </w:r>
      <w:r>
        <w:t xml:space="preserve"> </w:t>
      </w:r>
      <w:r>
        <w:t>−1</w:t>
      </w:r>
      <w:r>
        <w:t xml:space="preserve"> </w:t>
      </w:r>
      <w:r>
        <w:t>）在 150 至 400 K 之间，可与几种异质金属合金（</w:t>
      </w:r>
      <w:r>
        <w:t xml:space="preserve"> </w:t>
      </w:r>
      <w:r>
        <w:t>例如</w:t>
      </w:r>
      <w:r>
        <w:t xml:space="preserve"> </w:t>
      </w:r>
      <w:r>
        <w:t>., 拉铁</w:t>
      </w:r>
      <w:r>
        <w:rPr>
          <w:vertAlign w:val="subscript"/>
        </w:rPr>
        <w:t>54</w:t>
      </w:r>
    </w:p>
    <w:p>
      <w:pPr>
        <w:spacing w:before="0" w:after="200" w:lineRule="auto" w:line="276"/>
      </w:pPr>
      <w:r>
        <w:rPr>
          <w:b/>
        </w:rPr>
        <w:t xml:space="preserve">Abstract (EN): </w:t>
      </w:r>
      <w:r>
        <w:t>Zero thermal expansion (ZTE) materials are critically important in numerous scientific and technical applications due to their versatile physical properties. However, these materials are predominantly inorganic oxides and metal alloys, while the intrinsically ZTE molecule‐based single crystals remain exceptionally scarce. This scarcity arises from the lack of a comprehensive understanding of molecular deformation and spatial orientation, which are governed by the intricate coupling between molecular dynamics and intermolecular interactions. Herein, we have presented the linear ZTE and unusual anti‐thermoplastics in a two‐dimensional metal‐halide crystal of G</w:t>
      </w:r>
      <w:r>
        <w:rPr>
          <w:vertAlign w:val="subscript"/>
        </w:rPr>
        <w:t>3</w:t>
      </w:r>
      <w:r>
        <w:t>Sb</w:t>
      </w:r>
      <w:r>
        <w:rPr>
          <w:vertAlign w:val="subscript"/>
        </w:rPr>
        <w:t>2</w:t>
      </w:r>
      <w:r>
        <w:t>Br</w:t>
      </w:r>
      <w:r>
        <w:rPr>
          <w:vertAlign w:val="subscript"/>
        </w:rPr>
        <w:t>9</w:t>
      </w:r>
      <w:r>
        <w:t>(</w:t>
      </w:r>
      <w:r>
        <w:t xml:space="preserve"> </w:t>
      </w:r>
      <w:r>
        <w:t>GSB</w:t>
      </w:r>
      <w:r>
        <w:t xml:space="preserve"> </w:t>
      </w:r>
      <w:r>
        <w:t>, where G is guanidinium).</w:t>
      </w:r>
      <w:r>
        <w:t xml:space="preserve"> </w:t>
      </w:r>
      <w:r>
        <w:t>GSB</w:t>
      </w:r>
      <w:r>
        <w:t xml:space="preserve"> </w:t>
      </w:r>
      <w:r>
        <w:t>exhibits linear ZTE along the</w:t>
      </w:r>
      <w:r>
        <w:t xml:space="preserve"> </w:t>
      </w:r>
      <w:r>
        <w:t>a</w:t>
      </w:r>
      <w:r>
        <w:t xml:space="preserve"> </w:t>
      </w:r>
      <w:r>
        <w:t>‐axis and</w:t>
      </w:r>
      <w:r>
        <w:t xml:space="preserve"> </w:t>
      </w:r>
      <w:r>
        <w:t>b</w:t>
      </w:r>
      <w:r>
        <w:t xml:space="preserve"> </w:t>
      </w:r>
      <w:r>
        <w:t>‐axis (</w:t>
      </w:r>
      <w:r>
        <w:t xml:space="preserve"> </w:t>
      </w:r>
      <w:r>
        <w:t>α</w:t>
      </w:r>
      <w:r>
        <w:t xml:space="preserve"> </w:t>
      </w:r>
      <w:r>
        <w:t>a</w:t>
      </w:r>
      <w:r>
        <w:t xml:space="preserve"> </w:t>
      </w:r>
      <w:r>
        <w:t>= 1.77 × 10</w:t>
      </w:r>
      <w:r>
        <w:t xml:space="preserve"> </w:t>
      </w:r>
      <w:r>
        <w:t>−6</w:t>
      </w:r>
      <w:r>
        <w:t xml:space="preserve"> </w:t>
      </w:r>
      <w:r>
        <w:t>K</w:t>
      </w:r>
      <w:r>
        <w:t xml:space="preserve"> </w:t>
      </w:r>
      <w:r>
        <w:t>−1</w:t>
      </w:r>
      <w:r>
        <w:t xml:space="preserve"> </w:t>
      </w:r>
      <w:r>
        <w:t>,</w:t>
      </w:r>
      <w:r>
        <w:t xml:space="preserve"> </w:t>
      </w:r>
      <w:r>
        <w:t>α</w:t>
      </w:r>
      <w:r>
        <w:t xml:space="preserve"> </w:t>
      </w:r>
      <w:r>
        <w:t>b</w:t>
      </w:r>
      <w:r>
        <w:t xml:space="preserve"> </w:t>
      </w:r>
      <w:r>
        <w:t>= 1.76 × 10</w:t>
      </w:r>
      <w:r>
        <w:t xml:space="preserve"> </w:t>
      </w:r>
      <w:r>
        <w:t>−6</w:t>
      </w:r>
      <w:r>
        <w:t xml:space="preserve"> </w:t>
      </w:r>
      <w:r>
        <w:t>K</w:t>
      </w:r>
      <w:r>
        <w:t xml:space="preserve"> </w:t>
      </w:r>
      <w:r>
        <w:t>−1</w:t>
      </w:r>
      <w:r>
        <w:t xml:space="preserve"> </w:t>
      </w:r>
      <w:r>
        <w:t>) between 150 and 400 K, being comparable with several heterogeneous metal alloys (</w:t>
      </w:r>
      <w:r>
        <w:t xml:space="preserve"> </w:t>
      </w:r>
      <w:r>
        <w:t>e.g</w:t>
      </w:r>
      <w:r>
        <w:t xml:space="preserve"> </w:t>
      </w:r>
      <w:r>
        <w:t>., LaFe</w:t>
      </w:r>
      <w:r>
        <w:rPr>
          <w:vertAlign w:val="subscript"/>
        </w:rPr>
        <w:t>54</w:t>
      </w:r>
      <w:r>
        <w:t>Co</w:t>
      </w:r>
      <w:r>
        <w:t xml:space="preserve"> </w:t>
      </w:r>
      <w:r>
        <w:t>3.5</w:t>
      </w:r>
      <w:r>
        <w:t xml:space="preserve"> </w:t>
      </w:r>
      <w:r>
        <w:t>Si</w:t>
      </w:r>
      <w:r>
        <w:t xml:space="preserve"> </w:t>
      </w:r>
      <w:r>
        <w:t>3.35</w:t>
      </w:r>
      <w:r>
        <w:t xml:space="preserve"> </w:t>
      </w:r>
      <w:r>
        <w:t>). This behavior can be attributed to the wine‐rack motions, which produce compensatory effects between angular contraction of the inorganic framework and bond elongation. More interestingly, the crystal exhibits anti‐thermoplastic above 420 K, with both its hardness and Young's modulus increasing significantly. 2D metal‐halide molecular crystals combining ultralow in‐plane thermal expansion and anti‐thermoplastics are rarely reported. This work expands the scope of ZTE‐active materials and provides a material platform for studying thermal‐stiffening in soft metal‐halide frameworks.</w:t>
      </w:r>
    </w:p>
    <w:p>
      <w:pPr>
        <w:spacing w:before="120" w:after="120"/>
      </w:pPr>
      <w:r>
        <w:rPr>
          <w:sz w:val="18"/>
        </w:rPr>
        <w:t>——————————————————————————————————————————————————————————————————————</w:t>
      </w:r>
    </w:p>
    <w:p>
      <w:pPr>
        <w:spacing w:before="160" w:after="40" w:line="240" w:lineRule="auto"/>
      </w:pPr>
      <w:r>
        <w:rPr>
          <w:b/>
        </w:rPr>
        <w:t xml:space="preserve">[40] </w:t>
      </w:r>
      <w:hyperlink r:id="rId342">
        <w:r>
          <w:rPr>
            <w:color w:val="1155CC"/>
            <w:u w:val="single"/>
          </w:rPr>
          <w:t>受细胞骨架启发的机械联锁链烷框架实现稳健而动态的聚合物网络</w:t>
        </w:r>
      </w:hyperlink>
    </w:p>
    <w:p>
      <w:pPr>
        <w:spacing w:before="0" w:after="80"/>
      </w:pPr>
      <w:r>
        <w:rPr>
          <w:i/>
          <w:sz w:val="20"/>
        </w:rPr>
        <w:t>EN: Cytoskeleton‐Inspired Mechanically Interlocked Catenane Framework Enabling Robust yet Dynamic Polymer Networks</w:t>
      </w:r>
    </w:p>
    <w:p>
      <w:pPr>
        <w:spacing w:before="0" w:after="120"/>
      </w:pPr>
      <w:r>
        <w:rPr>
          <w:b/>
        </w:rPr>
        <w:t xml:space="preserve">Source: </w:t>
      </w:r>
      <w:r>
        <w:t>Wiley-Online-Library: Advanced Materials: Table of Contents</w:t>
      </w:r>
      <w:r>
        <w:t xml:space="preserve">    </w:t>
      </w:r>
      <w:r>
        <w:rPr>
          <w:b/>
        </w:rPr>
        <w:t xml:space="preserve">Pub date: </w:t>
      </w:r>
      <w:r>
        <w:t>2026-06-13 13:47:55+00:00</w:t>
      </w:r>
      <w:r>
        <w:t xml:space="preserve">    </w:t>
      </w:r>
      <w:r>
        <w:rPr>
          <w:b/>
        </w:rPr>
        <w:t xml:space="preserve">DOI: </w:t>
      </w:r>
      <w:hyperlink r:id="rId343">
        <w:r>
          <w:rPr>
            <w:color w:val="1155CC"/>
            <w:u w:val="single"/>
          </w:rPr>
          <w:t>10.1002/adma.73742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红细胞细胞骨架具有高度有序但动态可重构的骨骼拓扑结构，为设计集机械鲁棒性、结构稳定性和动态适应性于一体的高性能聚合物材料提供了重要的结构灵感。受这种拓扑和功能的启发，我们报告了一类具有连续机械互锁索烷框架的动态聚合物网络（</w:t>
      </w:r>
      <w:r>
        <w:t xml:space="preserve"> </w:t>
      </w:r>
      <w:r>
        <w:t>CF</w:t>
      </w:r>
      <w:r>
        <w:t xml:space="preserve"> </w:t>
      </w:r>
      <w:r>
        <w:t>分钟）。索烷框架是通过顺序自组装策略构建的，涉及金属配位驱动的超分子多六边形网络的形成，然后与线性聚冠醚进行主客体络合。由此产生的架构将密集分布的机械结合与连续的刚性骨架集成在一起，从而实现同时的动态适应性和结构稳定性。与其结构类似但非互锁控制相比，</w:t>
      </w:r>
      <w:r>
        <w:t xml:space="preserve"> </w:t>
      </w:r>
      <w:r>
        <w:t>CF</w:t>
      </w:r>
      <w:r>
        <w:t xml:space="preserve"> </w:t>
      </w:r>
      <w:r>
        <w:t>MIN 表现出显着提高的刚度、强度和韧性。这些增强源于索烷框架内分层力触发的动态过程，包括主客体解离、环滑动和金属-配体键断裂，共同促进有效的能量耗散。同时，索烷骨架的拓扑约束以及强大的金属配位赋予了优异的结构稳定性</w:t>
      </w:r>
      <w:r>
        <w:t xml:space="preserve"> </w:t>
      </w:r>
      <w:r>
        <w:t>CF</w:t>
      </w:r>
      <w:r>
        <w:t xml:space="preserve"> </w:t>
      </w:r>
      <w:r>
        <w:t>MIN，允许网络重试</w:t>
      </w:r>
    </w:p>
    <w:p>
      <w:pPr>
        <w:spacing w:before="0" w:after="200" w:lineRule="auto" w:line="276"/>
      </w:pPr>
      <w:r>
        <w:rPr>
          <w:b/>
        </w:rPr>
        <w:t xml:space="preserve">Abstract (EN): </w:t>
      </w:r>
      <w:r>
        <w:t>The red blood cell cytoskeleton, featuring a highly ordered yet dynamically reconfigurable skeletal topology, offers an important structural inspiration for designing high‐performance polymeric materials that integrate mechanical robustness, structural stability, and dynamic adaptability. Inspired by this topology and functionality, we report a class of dynamic polymer networks featuring a continuous mechanically interlocked catenane framework (</w:t>
      </w:r>
      <w:r>
        <w:t xml:space="preserve"> </w:t>
      </w:r>
      <w:r>
        <w:t>CF</w:t>
      </w:r>
      <w:r>
        <w:t xml:space="preserve"> </w:t>
      </w:r>
      <w:r>
        <w:t>MIN). The catenane framework is constructed via a sequential self‐assembly strategy, involving metal‐coordination‐driven formation of a supramolecular polyhexagonal network, followed by host–guest complexation with linear poly(crown ether). The resulting architecture integrates densely distributed mechanical bonds with a continuous rigid skeleton, thereby enabling simultaneous dynamic adaptability and structural stability. Compared with its structurally analogous but non‐interlocked control,</w:t>
      </w:r>
      <w:r>
        <w:t xml:space="preserve"> </w:t>
      </w:r>
      <w:r>
        <w:t>CF</w:t>
      </w:r>
      <w:r>
        <w:t xml:space="preserve"> </w:t>
      </w:r>
      <w:r>
        <w:t>MIN demonstrates significantly improved stiffness, strength, and toughness. These enhancements arise from hierarchical force‐triggered dynamic processes within catenane framework, involving host–guest dissociation, ring sliding, and metal–ligand bond rupture, together facilitating efficient energy dissipation. Meanwhile, topological constraints of catenane framework, along with robust metal coordination, impart superior structural stability to</w:t>
      </w:r>
      <w:r>
        <w:t xml:space="preserve"> </w:t>
      </w:r>
      <w:r>
        <w:t>CF</w:t>
      </w:r>
      <w:r>
        <w:t xml:space="preserve"> </w:t>
      </w:r>
      <w:r>
        <w:t>MIN, allowing network to retain integrity at temperatures up to 180°C. This work demonstrates that integrating mechanical bonds into ordered skeletal architectures offers a promising strategy for designing robust, dynamically adaptive, and thermally stable polymeric materials.</w:t>
      </w:r>
    </w:p>
    <w:p>
      <w:pPr>
        <w:spacing w:before="120" w:after="120"/>
      </w:pPr>
      <w:r>
        <w:rPr>
          <w:sz w:val="18"/>
        </w:rPr>
        <w:t>——————————————————————————————————————————————————————————————————————</w:t>
      </w:r>
    </w:p>
    <w:p>
      <w:pPr>
        <w:spacing w:before="160" w:after="40" w:line="240" w:lineRule="auto"/>
      </w:pPr>
      <w:r>
        <w:rPr>
          <w:b/>
        </w:rPr>
        <w:t xml:space="preserve">[41] </w:t>
      </w:r>
      <w:hyperlink r:id="rId344">
        <w:r>
          <w:rPr>
            <w:color w:val="1155CC"/>
            <w:u w:val="single"/>
          </w:rPr>
          <w:t>用于预测材料与电路协同设计的铁电动态场驱动成核和生长模型</w:t>
        </w:r>
      </w:hyperlink>
    </w:p>
    <w:p>
      <w:pPr>
        <w:spacing w:before="0" w:after="80"/>
      </w:pPr>
      <w:r>
        <w:rPr>
          <w:i/>
          <w:sz w:val="20"/>
        </w:rPr>
        <w:t>EN: Ferroelectric Dynamic‐Field‐Driven Nucleation and Growth Model for Predictive Materials‐To‐Circuit Co‐Design</w:t>
      </w:r>
    </w:p>
    <w:p>
      <w:pPr>
        <w:spacing w:before="0" w:after="120"/>
      </w:pPr>
      <w:r>
        <w:rPr>
          <w:b/>
        </w:rPr>
        <w:t xml:space="preserve">Source: </w:t>
      </w:r>
      <w:r>
        <w:t>Wiley-Online-Library: Advanced Materials: Table of Contents</w:t>
      </w:r>
      <w:r>
        <w:t xml:space="preserve">    </w:t>
      </w:r>
      <w:r>
        <w:rPr>
          <w:b/>
        </w:rPr>
        <w:t xml:space="preserve">Pub date: </w:t>
      </w:r>
      <w:r>
        <w:t>2026-06-13 13:48:28+00:00</w:t>
      </w:r>
      <w:r>
        <w:t xml:space="preserve">    </w:t>
      </w:r>
      <w:r>
        <w:rPr>
          <w:b/>
        </w:rPr>
        <w:t xml:space="preserve">DOI: </w:t>
      </w:r>
      <w:hyperlink r:id="rId345">
        <w:r>
          <w:rPr>
            <w:color w:val="1155CC"/>
            <w:u w:val="single"/>
          </w:rPr>
          <w:t>10.1002/adma.73722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真实的铁电器件在混合且扭曲的时变电压下工作，但用于解释铁电切换的标准成核生长框架，尤其是 Kolmogorov-Avrami-Ishibashi (KAI) 和成核限制切换模型 (NLS)，是在恒定电场的严格限制假设下推导的。因此，铁电开关动力学的流行解释在实际操作条件下是失败的。在这里，我们介绍了一种紧凑的动态场驱动成核和生长（DFNG）模型，即使在任意电压波形下，该模型也能够定量拟合多种铁电材料之间的切换瞬态，以提取时变磁畴壁速度和生长维度。这种能力促进了其在跨越不同时间和频率尺度的复杂信号下的设备建模中的使用。将紧凑模型与应用相关波形和电路级仿真平台耦合，通过将成核和生长参数与下一代铁电技术的存储窗口、干扰误差、速度和能量耗散联系起来，促进预测材料电路协同设计框架。</w:t>
      </w:r>
    </w:p>
    <w:p>
      <w:pPr>
        <w:spacing w:before="0" w:after="200" w:lineRule="auto" w:line="276"/>
      </w:pPr>
      <w:r>
        <w:rPr>
          <w:b/>
        </w:rPr>
        <w:t xml:space="preserve">Abstract (EN): </w:t>
      </w:r>
      <w:r>
        <w:t>Real ferroelectric devices operate under mixed and distorted time‐varying voltages, yet the standard nucleation‐growth frameworks used to interpret ferroelectric switching, most notably the Kolmogorov‐Avrami‐Ishibashi (KAI) and nucleation‐limited switching models (NLS), are derived under the critically limiting assumption of a constant electric field. Thus, the prevailing interpretation of ferroelectric switching dynamics fails under real operating conditions. Here we introduce a compact dynamic‐field‐driven nucleation and growth (DFNG) model that enables quantitative fits to switching transients across multiple ferroelectric materials to extract time‐varying domain wall velocity and growth dimensionality, even under arbitrary voltage waveforms. This capability then motivates its use in device modeling under complex signals spanning disparate time and frequency scales. Coupling the compact model to application‐related waveforms and a circuit‐level simulation platform facilitates a predictive materials‐circuit co‐design framework by linking nucleation and growth parameters to memory window, disturb error, speed, and energy dissipation for next‐generation ferroelectric technologies.</w:t>
      </w:r>
    </w:p>
    <w:p>
      <w:pPr>
        <w:spacing w:before="120" w:after="120"/>
      </w:pPr>
      <w:r>
        <w:rPr>
          <w:sz w:val="18"/>
        </w:rPr>
        <w:t>——————————————————————————————————————————————————————————————————————</w:t>
      </w:r>
    </w:p>
    <w:p>
      <w:pPr>
        <w:spacing w:before="160" w:after="40" w:line="240" w:lineRule="auto"/>
      </w:pPr>
      <w:r>
        <w:rPr>
          <w:b/>
        </w:rPr>
        <w:t xml:space="preserve">[42] </w:t>
      </w:r>
      <w:hyperlink r:id="rId346">
        <w:r>
          <w:rPr>
            <w:color w:val="1155CC"/>
            <w:u w:val="single"/>
          </w:rPr>
          <w:t>用于传感器内神经形态视觉的仿生全光谱双向光电突触晶体管</w:t>
        </w:r>
      </w:hyperlink>
    </w:p>
    <w:p>
      <w:pPr>
        <w:spacing w:before="0" w:after="80"/>
      </w:pPr>
      <w:r>
        <w:rPr>
          <w:i/>
          <w:sz w:val="20"/>
        </w:rPr>
        <w:t>EN: Bio‐Inspired Full‐Spectrum Bidirectional Optoelectronic Synaptic Transistor for In‐Sensor Neuromorphic Vision</w:t>
      </w:r>
    </w:p>
    <w:p>
      <w:pPr>
        <w:spacing w:before="0" w:after="120"/>
      </w:pPr>
      <w:r>
        <w:rPr>
          <w:b/>
        </w:rPr>
        <w:t xml:space="preserve">Source: </w:t>
      </w:r>
      <w:r>
        <w:t>Wiley-Online-Library: Advanced Materials: Table of Contents</w:t>
      </w:r>
      <w:r>
        <w:t xml:space="preserve">    </w:t>
      </w:r>
      <w:r>
        <w:rPr>
          <w:b/>
        </w:rPr>
        <w:t xml:space="preserve">Pub date: </w:t>
      </w:r>
      <w:r>
        <w:t>2026-06-13 13:50:12+00:00</w:t>
      </w:r>
      <w:r>
        <w:t xml:space="preserve">    </w:t>
      </w:r>
      <w:r>
        <w:rPr>
          <w:b/>
        </w:rPr>
        <w:t xml:space="preserve">DOI: </w:t>
      </w:r>
      <w:hyperlink r:id="rId347">
        <w:r>
          <w:rPr>
            <w:color w:val="1155CC"/>
            <w:u w:val="single"/>
          </w:rPr>
          <w:t>10.1002/adma.73698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受鸟类视觉系统的启发，宽谱双向光电突触晶体管（OST）已成为神经形态视觉处理的变革平台。然而，当前的人工突触技术仍然受到依赖于波长选择性或极性依赖调制的分散控制范例的限制，限制了它们复杂视觉信息处理的能力。在这项研究中，开发了一种有机二维分子晶体（2DMC）异质结来实现高性能全谱双向OST。高质量的 2DMC 异质结构有利于有效的激子分离和扩散，产生显着的双极性特性和 6.3 × 10 的出色响应度</w:t>
      </w:r>
      <w:r>
        <w:rPr>
          <w:vertAlign w:val="subscript"/>
        </w:rPr>
        <w:t>4</w:t>
      </w:r>
      <w:r>
        <w:t>瓦</w:t>
      </w:r>
      <w:r>
        <w:t xml:space="preserve"> </w:t>
      </w:r>
      <w:r>
        <w:t>−1</w:t>
      </w:r>
      <w:r>
        <w:t xml:space="preserve"> </w:t>
      </w:r>
      <w:r>
        <w:t>弱光下。双极异质结构晶体管设计通过光谱调谐和栅极极性控制的双重调制机制实现兴奋性和抑制性突触行为之间的动态重新配置，成功模拟双向神经可塑性特征。该技术的实际可行性通过在广谱智能车载视觉系统中的实施得到了证明，该系统对复杂场景下的交通物体的分类精度达到了 &gt;90%。这项工作不仅为开发高性能双向光电突触提供了有效策略，而且为高级神经形态铺平了道路</w:t>
      </w:r>
    </w:p>
    <w:p>
      <w:pPr>
        <w:spacing w:before="0" w:after="200" w:lineRule="auto" w:line="276"/>
      </w:pPr>
      <w:r>
        <w:rPr>
          <w:b/>
        </w:rPr>
        <w:t xml:space="preserve">Abstract (EN): </w:t>
      </w:r>
      <w:r>
        <w:t>Inspired by avian visual systems, wide‐spectrum bidirectional optoelectronic synaptic transistors (OSTs) have emerged as a transformative platform for neuromorphic vision processing. However, current artificial synaptic technologies remain constrained by fragmented control paradigms that rely on wavelength‐selective or electrical polarity‐dependent modulation, restricting their capacity for complex visual information processing. In this study, an organic 2D molecular crystal (2DMC) heterojunction is developed to achieve high‐performance full‐spectrum bidirectional OSTs. The high‐quality 2DMC heterostructure facilitates efficient exciton separation and diffusion, yielding remarkable ambipolar characteristics with an exceptional responsivity of 6.3 × 10</w:t>
      </w:r>
      <w:r>
        <w:rPr>
          <w:vertAlign w:val="subscript"/>
        </w:rPr>
        <w:t>4</w:t>
      </w:r>
      <w:r>
        <w:t>A W</w:t>
      </w:r>
      <w:r>
        <w:t xml:space="preserve"> </w:t>
      </w:r>
      <w:r>
        <w:t>−1</w:t>
      </w:r>
      <w:r>
        <w:t xml:space="preserve"> </w:t>
      </w:r>
      <w:r>
        <w:t>under weak light. The bipolar heterostructure transistor design enables dynamic reconfiguration between excitatory and inhibitory synaptic behaviors through dual modulation mechanisms of spectral tuning and gate polarity control, successfully emulating bidirectional neuroplasticity features. The practical viability of this technology is demonstrated through implementation in a broad‐spectrum intelligent‐vehicle‐mounted vision system that achieves a classification accuracy of &amp;gt;90% for traffic objects across complex scenarios. This work not only provides an effective strategy for developing high‐performance bidirectional optoelectronic synapses but also paves the way for advanced neuromorphic computing and intelligent machine vision technologies.</w:t>
      </w:r>
    </w:p>
    <w:p>
      <w:pPr>
        <w:spacing w:before="120" w:after="120"/>
      </w:pPr>
      <w:r>
        <w:rPr>
          <w:sz w:val="18"/>
        </w:rPr>
        <w:t>——————————————————————————————————————————————————————————————————————</w:t>
      </w:r>
    </w:p>
    <w:p>
      <w:pPr>
        <w:spacing w:before="160" w:after="40" w:line="240" w:lineRule="auto"/>
      </w:pPr>
      <w:r>
        <w:rPr>
          <w:b/>
        </w:rPr>
        <w:t xml:space="preserve">[43] </w:t>
      </w:r>
      <w:hyperlink r:id="rId348">
        <w:r>
          <w:rPr>
            <w:color w:val="1155CC"/>
            <w:u w:val="single"/>
          </w:rPr>
          <w:t>通过单向末端 π 延伸和优化烷基分支位点的合理不对称受体工程通过抑制非辐射能量损失提供 20.7% 的二元光伏效率</w:t>
        </w:r>
      </w:hyperlink>
    </w:p>
    <w:p>
      <w:pPr>
        <w:spacing w:before="0" w:after="80"/>
      </w:pPr>
      <w:r>
        <w:rPr>
          <w:i/>
          <w:sz w:val="20"/>
        </w:rPr>
        <w:t>EN: Rational Asymmetric Acceptor Engineering via Unidirectional Terminal π‐Extension and Optimizing Alkyl Branching Sites Affords a Binary Photovoltaic Efficiency of 20.7% by Suppressed Nonradiative Energy Loss</w:t>
      </w:r>
    </w:p>
    <w:p>
      <w:pPr>
        <w:spacing w:before="0" w:after="120"/>
      </w:pPr>
      <w:r>
        <w:rPr>
          <w:b/>
        </w:rPr>
        <w:t xml:space="preserve">Source: </w:t>
      </w:r>
      <w:r>
        <w:t>Wiley-Online-Library: Advanced Materials: Table of Contents</w:t>
      </w:r>
      <w:r>
        <w:t xml:space="preserve">    </w:t>
      </w:r>
      <w:r>
        <w:rPr>
          <w:b/>
        </w:rPr>
        <w:t xml:space="preserve">Pub date: </w:t>
      </w:r>
      <w:r>
        <w:t>2026-06-13 13:51:31+00:00</w:t>
      </w:r>
      <w:r>
        <w:t xml:space="preserve">    </w:t>
      </w:r>
      <w:r>
        <w:rPr>
          <w:b/>
        </w:rPr>
        <w:t xml:space="preserve">DOI: </w:t>
      </w:r>
      <w:hyperlink r:id="rId349">
        <w:r>
          <w:rPr>
            <w:color w:val="1155CC"/>
            <w:u w:val="single"/>
          </w:rPr>
          <w:t>10.1002/adma.73646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具有低非辐射能量损失（Δ）的小分子受体（SMA）的巧妙分子工程</w:t>
      </w:r>
      <w:r>
        <w:t xml:space="preserve"> </w:t>
      </w:r>
      <w:r>
        <w:t>乙</w:t>
      </w:r>
      <w:r>
        <w:rPr>
          <w:vertAlign w:val="subscript"/>
        </w:rPr>
        <w:t>3</w:t>
      </w:r>
      <w:r>
        <w:t>）和增强的激子扩散长度（</w:t>
      </w:r>
      <w:r>
        <w:t xml:space="preserve"> </w:t>
      </w:r>
      <w:r>
        <w:t>L</w:t>
      </w:r>
      <w:r>
        <w:t xml:space="preserve"> </w:t>
      </w:r>
      <w:r>
        <w:t>D</w:t>
      </w:r>
      <w:r>
        <w:t xml:space="preserve"> </w:t>
      </w:r>
      <w:r>
        <w:t>）克服二元有机太阳能电池（OSC）的效率瓶颈仍然是一个严峻的挑战。这里，一系列对称 SMA（</w:t>
      </w:r>
      <w:r>
        <w:t xml:space="preserve"> </w:t>
      </w:r>
      <w:r>
        <w:t>TC1-F</w:t>
      </w:r>
      <w:r>
        <w:t xml:space="preserve"> </w:t>
      </w:r>
      <w:r>
        <w:t>到</w:t>
      </w:r>
      <w:r>
        <w:t xml:space="preserve"> </w:t>
      </w:r>
      <w:r>
        <w:t>TC4-F</w:t>
      </w:r>
      <w:r>
        <w:t xml:space="preserve"> </w:t>
      </w:r>
      <w:r>
        <w:t>）具有逐渐向外移动的分支位点和不对称/对称对应物（</w:t>
      </w:r>
      <w:r>
        <w:t xml:space="preserve"> </w:t>
      </w:r>
      <w:r>
        <w:t>A-TC3-F</w:t>
      </w:r>
      <w:r>
        <w:t xml:space="preserve"> </w:t>
      </w:r>
      <w:r>
        <w:t>和</w:t>
      </w:r>
      <w:r>
        <w:t xml:space="preserve"> </w:t>
      </w:r>
      <w:r>
        <w:t>TC3-NF</w:t>
      </w:r>
      <w:r>
        <w:t xml:space="preserve"> </w:t>
      </w:r>
      <w:r>
        <w:t>）结合单向/双向萘基末端，合成高效的二元 OSC。最优3ʳ</w:t>
      </w:r>
      <w:r>
        <w:t xml:space="preserve"> </w:t>
      </w:r>
      <w:r>
        <w:t>d</w:t>
      </w:r>
      <w:r>
        <w:t xml:space="preserve"> </w:t>
      </w:r>
      <w:r>
        <w:t>碳分支位点诱导出具有更紧密 π-π 堆积的独特三斜晶系。基于单向萘基末端的单晶创建了前所未有的 2D 层状网络/3D 互穿堆积，提供多维电荷传输路径，从而实现了改进的</w:t>
      </w:r>
      <w:r>
        <w:t xml:space="preserve"> </w:t>
      </w:r>
      <w:r>
        <w:t>L</w:t>
      </w:r>
      <w:r>
        <w:t xml:space="preserve"> </w:t>
      </w:r>
      <w:r>
        <w:t>D</w:t>
      </w:r>
      <w:r>
        <w:t xml:space="preserve"> </w:t>
      </w:r>
      <w:r>
        <w:t>和电子迁移率</w:t>
      </w:r>
      <w:r>
        <w:t xml:space="preserve"> </w:t>
      </w:r>
      <w:r>
        <w:t>A-TC3-F</w:t>
      </w:r>
      <w:r>
        <w:t xml:space="preserve"> </w:t>
      </w:r>
      <w:r>
        <w:t>整洁的电影。的</w:t>
      </w:r>
      <w:r>
        <w:t xml:space="preserve"> </w:t>
      </w:r>
      <w:r>
        <w:t>A-TC3-F</w:t>
      </w:r>
      <w:r>
        <w:t xml:space="preserve"> </w:t>
      </w:r>
      <w:r>
        <w:t>基共混物优化了成膜动力学，并表现出优异的有序分子堆积形态，从而产生更快的电荷传输。因此，最优</w:t>
      </w:r>
    </w:p>
    <w:p>
      <w:pPr>
        <w:spacing w:before="0" w:after="200" w:lineRule="auto" w:line="276"/>
      </w:pPr>
      <w:r>
        <w:rPr>
          <w:b/>
        </w:rPr>
        <w:t xml:space="preserve">Abstract (EN): </w:t>
      </w:r>
      <w:r>
        <w:t>Ingenious molecular engineering of small‐molecule acceptors (SMAs) with low nonradiative energy loss (Δ</w:t>
      </w:r>
      <w:r>
        <w:t xml:space="preserve"> </w:t>
      </w:r>
      <w:r>
        <w:t>E</w:t>
      </w:r>
      <w:r>
        <w:rPr>
          <w:vertAlign w:val="subscript"/>
        </w:rPr>
        <w:t>3</w:t>
      </w:r>
      <w:r>
        <w:t>) and enhanced exciton diffusion length (</w:t>
      </w:r>
      <w:r>
        <w:t xml:space="preserve"> </w:t>
      </w:r>
      <w:r>
        <w:t>L</w:t>
      </w:r>
      <w:r>
        <w:t xml:space="preserve"> </w:t>
      </w:r>
      <w:r>
        <w:t>D</w:t>
      </w:r>
      <w:r>
        <w:t xml:space="preserve"> </w:t>
      </w:r>
      <w:r>
        <w:t>) to overcome the efficiency bottleneck of binary organic solar cells (OSCs) remains a critical challenge. Herein, a series of symmetric SMAs (</w:t>
      </w:r>
      <w:r>
        <w:t xml:space="preserve"> </w:t>
      </w:r>
      <w:r>
        <w:t>TC1‐F</w:t>
      </w:r>
      <w:r>
        <w:t xml:space="preserve"> </w:t>
      </w:r>
      <w:r>
        <w:t>to</w:t>
      </w:r>
      <w:r>
        <w:t xml:space="preserve"> </w:t>
      </w:r>
      <w:r>
        <w:t>TC4‐F</w:t>
      </w:r>
      <w:r>
        <w:t xml:space="preserve"> </w:t>
      </w:r>
      <w:r>
        <w:t>) with progressively outward‐shifted branching sites and asymmetric/symmetric counterparts (</w:t>
      </w:r>
      <w:r>
        <w:t xml:space="preserve"> </w:t>
      </w:r>
      <w:r>
        <w:t>A‐TC3‐F</w:t>
      </w:r>
      <w:r>
        <w:t xml:space="preserve"> </w:t>
      </w:r>
      <w:r>
        <w:t>and</w:t>
      </w:r>
      <w:r>
        <w:t xml:space="preserve"> </w:t>
      </w:r>
      <w:r>
        <w:t>TC3‐NF</w:t>
      </w:r>
      <w:r>
        <w:t xml:space="preserve"> </w:t>
      </w:r>
      <w:r>
        <w:t>) incorporating unidirectional/bidirectional naphthyl‐based terminals, are synthesized for efficient binary OSCs. The optimal 3ʳ</w:t>
      </w:r>
      <w:r>
        <w:t xml:space="preserve"> </w:t>
      </w:r>
      <w:r>
        <w:t>d</w:t>
      </w:r>
      <w:r>
        <w:t xml:space="preserve"> </w:t>
      </w:r>
      <w:r>
        <w:t>carbon branching site induces a distinct triclinic crystallographic system with closer π‐π stacking. Unidirectional naphthyl terminal‐based single‐crystal creates an unprecedented 2D lamellar network/3D interpenetrated packing that provides multidimensional charge‐transport pathways, which enabled an improved</w:t>
      </w:r>
      <w:r>
        <w:t xml:space="preserve"> </w:t>
      </w:r>
      <w:r>
        <w:t>L</w:t>
      </w:r>
      <w:r>
        <w:t xml:space="preserve"> </w:t>
      </w:r>
      <w:r>
        <w:t>D</w:t>
      </w:r>
      <w:r>
        <w:t xml:space="preserve"> </w:t>
      </w:r>
      <w:r>
        <w:t>and electron mobility in</w:t>
      </w:r>
      <w:r>
        <w:t xml:space="preserve"> </w:t>
      </w:r>
      <w:r>
        <w:t>A‐TC3‐F</w:t>
      </w:r>
      <w:r>
        <w:t xml:space="preserve"> </w:t>
      </w:r>
      <w:r>
        <w:t>neat film. The</w:t>
      </w:r>
      <w:r>
        <w:t xml:space="preserve"> </w:t>
      </w:r>
      <w:r>
        <w:t>A‐TC3‐F</w:t>
      </w:r>
      <w:r>
        <w:t xml:space="preserve"> </w:t>
      </w:r>
      <w:r>
        <w:t>‐based blends optimize film formation kinetics and exhibit superior ordered molecular stacking morphology, yielding faster charge transport. Consequently, the optimized</w:t>
      </w:r>
      <w:r>
        <w:t xml:space="preserve"> </w:t>
      </w:r>
      <w:r>
        <w:t>A‐TC3‐F</w:t>
      </w:r>
      <w:r>
        <w:t xml:space="preserve"> </w:t>
      </w:r>
      <w:r>
        <w:t>‐based binary OSCs achieve a champion PCE of 20.70% and an ultralow Δ</w:t>
      </w:r>
      <w:r>
        <w:t xml:space="preserve"> </w:t>
      </w:r>
      <w:r>
        <w:t>E</w:t>
      </w:r>
      <w:r>
        <w:rPr>
          <w:vertAlign w:val="subscript"/>
        </w:rPr>
        <w:t>3</w:t>
      </w:r>
      <w:r>
        <w:t>of 0.191 eV, setting a new benchmark for binary OSCs with asymmetric terminal‐based SMAs. Our systematic work highlights an innovative pathway for precisely tailoring the side‐chain branching position and a unidirectional terminal π‐extension strategy to optimize molecular packing, mitigate trade‐offs of device parameters, and boost benchmark PCE and minimal Δ</w:t>
      </w:r>
      <w:r>
        <w:t xml:space="preserve"> </w:t>
      </w:r>
      <w:r>
        <w:t>E</w:t>
      </w:r>
      <w:r>
        <w:rPr>
          <w:vertAlign w:val="subscript"/>
        </w:rPr>
        <w:t>3</w:t>
      </w:r>
      <w:r>
        <w:t>of binary OSCs with asymmetric terminal‐based SMAs.</w:t>
      </w:r>
    </w:p>
    <w:p>
      <w:pPr>
        <w:spacing w:before="120" w:after="120"/>
      </w:pPr>
      <w:r>
        <w:rPr>
          <w:sz w:val="18"/>
        </w:rPr>
        <w:t>——————————————————————————————————————————————————————————————————————</w:t>
      </w:r>
    </w:p>
    <w:p>
      <w:pPr>
        <w:spacing w:before="160" w:after="40" w:line="240" w:lineRule="auto"/>
      </w:pPr>
      <w:r>
        <w:rPr>
          <w:b/>
        </w:rPr>
        <w:t xml:space="preserve">[44] </w:t>
      </w:r>
      <w:hyperlink r:id="rId350">
        <w:r>
          <w:rPr>
            <w:color w:val="1155CC"/>
            <w:u w:val="single"/>
          </w:rPr>
          <w:t>铁劫持特洛伊木马纳米平台通过免疫纤维化重塑对抗植入相关的生物膜感染</w:t>
        </w:r>
      </w:hyperlink>
    </w:p>
    <w:p>
      <w:pPr>
        <w:spacing w:before="0" w:after="80"/>
      </w:pPr>
      <w:r>
        <w:rPr>
          <w:i/>
          <w:sz w:val="20"/>
        </w:rPr>
        <w:t>EN: Iron‐Hijacking Trojan Horse Nanoplatform Combats Implant‐Associated Biofilm Infections Through Immuno‐Fibrotic Remodeling</w:t>
      </w:r>
    </w:p>
    <w:p>
      <w:pPr>
        <w:spacing w:before="0" w:after="120"/>
      </w:pPr>
      <w:r>
        <w:rPr>
          <w:b/>
        </w:rPr>
        <w:t xml:space="preserve">Source: </w:t>
      </w:r>
      <w:r>
        <w:t>Wiley-Online-Library: Advanced Materials: Table of Contents</w:t>
      </w:r>
      <w:r>
        <w:t xml:space="preserve">    </w:t>
      </w:r>
      <w:r>
        <w:rPr>
          <w:b/>
        </w:rPr>
        <w:t xml:space="preserve">Pub date: </w:t>
      </w:r>
      <w:r>
        <w:t>2026-06-13 13:53:00+00:00</w:t>
      </w:r>
      <w:r>
        <w:t xml:space="preserve">    </w:t>
      </w:r>
      <w:r>
        <w:rPr>
          <w:b/>
        </w:rPr>
        <w:t xml:space="preserve">DOI: </w:t>
      </w:r>
      <w:hyperlink r:id="rId351">
        <w:r>
          <w:rPr>
            <w:color w:val="1155CC"/>
            <w:u w:val="single"/>
          </w:rPr>
          <w:t>10.1002/adma.73711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生物膜弹性和纤维化驱动的免疫排斥的恶性循环，植入物相关的生物膜感染持续存在。为了打破这个循环，我们设计了一种光热纳米平台（CHPB@H），由嵌入可注射热敏壳聚糖水凝胶中的姜黄素空心普鲁士蓝（CHPB）纳米颗粒组成，用于近红外（NIR）触发的局部递送。在近红外辐射下，该平台释放铁离子和姜黄素，并自组装成铁姜黄素 (Fe-Cur) 复合物。这些复合物充当分子“特洛伊木马”，劫持细菌铁获取途径以诱导铁死亡。同时，CHPB 通过其固有的纳米酶活性清除活性氧 (ROS)，并抑制氧化应激驱动的成纤维细胞活化，从而拆除排除免疫效应细胞的纤维化屏障。这种双重作用可以消除生物膜并恢复免疫细胞对感染部位的浸润。在临床前动物模型中，该疗法清除已建立的植入物感染，重塑免疫纤维化微环境，并促进组织再生。这项工作建立了一种“清除和重塑”范式，将主动靶向铁死亡（通过铁劫持）与免疫纤维化重塑相结合，为复杂的植入物相关生物膜感染提供了可转化的策略。</w:t>
      </w:r>
    </w:p>
    <w:p>
      <w:pPr>
        <w:spacing w:before="0" w:after="200" w:lineRule="auto" w:line="276"/>
      </w:pPr>
      <w:r>
        <w:rPr>
          <w:b/>
        </w:rPr>
        <w:t xml:space="preserve">Abstract (EN): </w:t>
      </w:r>
      <w:r>
        <w:t>Implant‐associated biofilm infections persist due to a vicious cycle of biofilm resilience and fibrosis‐driven immune exclusion. To break this cycle, we engineered a photothermal nanoplatform (CHPB@H) consisting of curcumin‐loaded hollow Prussian blue (CHPB) nanoparticles embedded in an injectable thermosensitive chitosan hydrogel for near‐infrared (NIR)‐triggered local delivery. Upon NIR irradiation, the platform releases iron ions and curcumin that self‐assemble into Fe‐curcumin (Fe‐Cur) complexes. These complexes act as a molecular “Trojan horse” that hijacks bacterial iron‐acquisition pathways to induce ferroptosis. Concurrently, CHPB scavenges reactive oxygen species (ROS) via its intrinsic nanozyme activity and suppresses oxidative stress‐driven fibroblast activation, thereby dismantling the fibrotic barrier that excludes immune effector cells. This dual action eliminates biofilms and restores immune cell infiltration into the infection site. In preclinical animal models, the therapy clears established implant infections, remodels the immune‐fibrotic microenvironment, and promotes tissue regeneration. This work establishes a “clear‐and‐remodel” paradigm that integrates active targeted ferroptosis (via iron hijacking) with immuno‐fibrotic remodeling, offering a translatable strategy for complex implant‐associated biofilm infections.</w:t>
      </w:r>
    </w:p>
    <w:p>
      <w:pPr>
        <w:spacing w:before="120" w:after="120"/>
      </w:pPr>
      <w:r>
        <w:rPr>
          <w:sz w:val="18"/>
        </w:rPr>
        <w:t>——————————————————————————————————————————————————————————————————————</w:t>
      </w:r>
    </w:p>
    <w:p>
      <w:pPr>
        <w:spacing w:before="160" w:after="40" w:line="240" w:lineRule="auto"/>
      </w:pPr>
      <w:r>
        <w:rPr>
          <w:b/>
        </w:rPr>
        <w:t xml:space="preserve">[45] </w:t>
      </w:r>
      <w:hyperlink r:id="rId352">
        <w:r>
          <w:rPr>
            <w:color w:val="1155CC"/>
            <w:u w:val="single"/>
          </w:rPr>
          <w:t>动态键和空间位阻协同作用实现剪切硬化阻尼离子凝胶</w:t>
        </w:r>
      </w:hyperlink>
    </w:p>
    <w:p>
      <w:pPr>
        <w:spacing w:before="0" w:after="80"/>
      </w:pPr>
      <w:r>
        <w:rPr>
          <w:i/>
          <w:sz w:val="20"/>
        </w:rPr>
        <w:t>EN: Shear‐Stiffening Damping Ionogels Enabled by the Synergy of Dynamic Bonds and Steric Hindrance</w:t>
      </w:r>
    </w:p>
    <w:p>
      <w:pPr>
        <w:spacing w:before="0" w:after="120"/>
      </w:pPr>
      <w:r>
        <w:rPr>
          <w:b/>
        </w:rPr>
        <w:t xml:space="preserve">Source: </w:t>
      </w:r>
      <w:r>
        <w:t>Wiley-Online-Library: Advanced Materials: Table of Contents</w:t>
      </w:r>
      <w:r>
        <w:t xml:space="preserve">    </w:t>
      </w:r>
      <w:r>
        <w:rPr>
          <w:b/>
        </w:rPr>
        <w:t xml:space="preserve">Pub date: </w:t>
      </w:r>
      <w:r>
        <w:t>2026-06-13 13:54:00+00:00</w:t>
      </w:r>
      <w:r>
        <w:t xml:space="preserve">    </w:t>
      </w:r>
      <w:r>
        <w:rPr>
          <w:b/>
        </w:rPr>
        <w:t xml:space="preserve">DOI: </w:t>
      </w:r>
      <w:hyperlink r:id="rId353">
        <w:r>
          <w:rPr>
            <w:color w:val="1155CC"/>
            <w:u w:val="single"/>
          </w:rPr>
          <w:t>10.1002/adma.73746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强度冲击载荷会导致结构失效和防护材料能量耗散不足。聚合物材料固有的刚度与阻尼的权衡使得同时实现强阻尼和宽频率能量耗散变得极具挑战性。在这里，我们通过超支化聚合物离子液体（HPIL）的动态键和空间位阻的协同作用，开发了具有增强剪切硬化和阻尼能力的坚韧离子凝胶。高频范围内的动态键解离和低频范围内的粘性流HPIL的拓扑约束的协同耦合赋予离子凝胶具有宽频阻尼和明显的剪切硬化行为。制备的离子凝胶在很宽的频率范围（10</w:t>
      </w:r>
      <w:r>
        <w:t xml:space="preserve"> </w:t>
      </w:r>
      <w:r>
        <w:t>-</w:t>
      </w:r>
      <w:r>
        <w:rPr>
          <w:vertAlign w:val="subscript"/>
        </w:rPr>
        <w:t>3</w:t>
      </w:r>
      <w:r>
        <w:t>–10</w:t>
      </w:r>
      <w:r>
        <w:rPr>
          <w:vertAlign w:val="subscript"/>
        </w:rPr>
        <w:t>5</w:t>
      </w:r>
      <w:r>
        <w:t>拉德</w:t>
      </w:r>
      <w:r>
        <w:t xml:space="preserve"> </w:t>
      </w:r>
      <w:r>
        <w:t>-</w:t>
      </w:r>
      <w:r>
        <w:rPr>
          <w:vertAlign w:val="subscript"/>
        </w:rPr>
        <w:t>1</w:t>
      </w:r>
      <w:r>
        <w:t>）。 4000 秒的高冲击率</w:t>
      </w:r>
      <w:r>
        <w:t xml:space="preserve"> </w:t>
      </w:r>
      <w:r>
        <w:t>-</w:t>
      </w:r>
      <w:r>
        <w:rPr>
          <w:vertAlign w:val="subscript"/>
        </w:rPr>
        <w:t>1</w:t>
      </w:r>
      <w:r>
        <w:t>，它还具有高冲击强度 (248.6 MPa) 和韧性 (86.5 MJ m</w:t>
      </w:r>
      <w:r>
        <w:t xml:space="preserve"> </w:t>
      </w:r>
      <w:r>
        <w:t>-</w:t>
      </w:r>
      <w:r>
        <w:rPr>
          <w:vertAlign w:val="subscript"/>
        </w:rPr>
        <w:t>3</w:t>
      </w:r>
      <w:r>
        <w:t>）。该策略为下一代高性能阻尼离子凝胶的设计提供了参考。</w:t>
      </w:r>
    </w:p>
    <w:p>
      <w:pPr>
        <w:spacing w:before="0" w:after="200" w:lineRule="auto" w:line="276"/>
      </w:pPr>
      <w:r>
        <w:rPr>
          <w:b/>
        </w:rPr>
        <w:t xml:space="preserve">Abstract (EN): </w:t>
      </w:r>
      <w:r>
        <w:t>High‐rate impact loading causes structural failure and insufficient energy dissipation in protective materials. The intrinsic stiffness–damping trade‐off in polymer materials makes it highly challenging to simultaneously achieve strong damping and broad frequency energy dissipation. Here, we developed tough ionogels with enhanced shear‐stiffening and damping capabilities through the synergy of dynamic bonds and steric hindrance of hyperbranched polymeric ionic liquids (HPILs). The synergistic coupling of dynamic‐bond dissociation in the high‐frequency regime and the topological constraint of viscous‐flow HPILs in the low‐frequency regime endows the ionogels with broad‐frequency damping and pronounced shear‐stiffening behavior. The prepared ionogel shows an 842‐fold shear‐stiffening response and high damping (tan δ &amp;gt; 1) across a wide frequency range (10</w:t>
      </w:r>
      <w:r>
        <w:t xml:space="preserve"> </w:t>
      </w:r>
      <w:r>
        <w:t>−</w:t>
      </w:r>
      <w:r>
        <w:rPr>
          <w:vertAlign w:val="subscript"/>
        </w:rPr>
        <w:t>3</w:t>
      </w:r>
      <w:r>
        <w:t>–10</w:t>
      </w:r>
      <w:r>
        <w:rPr>
          <w:vertAlign w:val="subscript"/>
        </w:rPr>
        <w:t>5</w:t>
      </w:r>
      <w:r>
        <w:t>rad s</w:t>
      </w:r>
      <w:r>
        <w:t xml:space="preserve"> </w:t>
      </w:r>
      <w:r>
        <w:t>−</w:t>
      </w:r>
      <w:r>
        <w:rPr>
          <w:vertAlign w:val="subscript"/>
        </w:rPr>
        <w:t>1</w:t>
      </w:r>
      <w:r>
        <w:t>). At a high impact rate of 4000 s</w:t>
      </w:r>
      <w:r>
        <w:t xml:space="preserve"> </w:t>
      </w:r>
      <w:r>
        <w:t>−</w:t>
      </w:r>
      <w:r>
        <w:rPr>
          <w:vertAlign w:val="subscript"/>
        </w:rPr>
        <w:t>1</w:t>
      </w:r>
      <w:r>
        <w:t>, it also exhibits high impact strength (248.6 MPa) and toughness (86.5 MJ m</w:t>
      </w:r>
      <w:r>
        <w:t xml:space="preserve"> </w:t>
      </w:r>
      <w:r>
        <w:t>−</w:t>
      </w:r>
      <w:r>
        <w:rPr>
          <w:vertAlign w:val="subscript"/>
        </w:rPr>
        <w:t>3</w:t>
      </w:r>
      <w:r>
        <w:t>). This strategy provides a reference for the design of next‐generation high‐performance damping ionogels.</w:t>
      </w:r>
    </w:p>
    <w:p>
      <w:pPr>
        <w:spacing w:before="120" w:after="120"/>
      </w:pPr>
      <w:r>
        <w:rPr>
          <w:sz w:val="18"/>
        </w:rPr>
        <w:t>——————————————————————————————————————————————————————————————————————</w:t>
      </w:r>
    </w:p>
    <w:p>
      <w:pPr>
        <w:spacing w:before="160" w:after="40" w:line="240" w:lineRule="auto"/>
      </w:pPr>
      <w:r>
        <w:rPr>
          <w:b/>
        </w:rPr>
        <w:t xml:space="preserve">[46] </w:t>
      </w:r>
      <w:hyperlink r:id="rId354">
        <w:r>
          <w:rPr>
            <w:color w:val="1155CC"/>
            <w:u w:val="single"/>
          </w:rPr>
          <w:t>2-吲哚醇的脱芳香[3,3]-克莱森重排：合成 3,3-二取代二氢吲哚和相关吲哚生物碱的有效通用方案</w:t>
        </w:r>
      </w:hyperlink>
    </w:p>
    <w:p>
      <w:pPr>
        <w:spacing w:before="0" w:after="80"/>
      </w:pPr>
      <w:r>
        <w:rPr>
          <w:i/>
          <w:sz w:val="20"/>
        </w:rPr>
        <w:t>EN: Dearomative [3,3]‐Claisen Rearrangement of 2‐Indolyl Alcohols: An Efficient and General Protocol for Synthesizing 3,3‐Disubstituted Indolines and Related Indole Alkaloids</w:t>
      </w:r>
    </w:p>
    <w:p>
      <w:pPr>
        <w:spacing w:before="0" w:after="120"/>
      </w:pPr>
      <w:r>
        <w:rPr>
          <w:b/>
        </w:rPr>
        <w:t xml:space="preserve">Source: </w:t>
      </w:r>
      <w:r>
        <w:t>Wiley-Online-Library: Angewandte Chemie International Edition: Table of Contents</w:t>
      </w:r>
      <w:r>
        <w:t xml:space="preserve">    </w:t>
      </w:r>
      <w:r>
        <w:rPr>
          <w:b/>
        </w:rPr>
        <w:t xml:space="preserve">Pub date: </w:t>
      </w:r>
      <w:r>
        <w:t>2026-06-13 16:37:01+00:00</w:t>
      </w:r>
      <w:r>
        <w:t xml:space="preserve">    </w:t>
      </w:r>
      <w:r>
        <w:rPr>
          <w:b/>
        </w:rPr>
        <w:t xml:space="preserve">DOI: </w:t>
      </w:r>
      <w:hyperlink r:id="rId355">
        <w:r>
          <w:rPr>
            <w:color w:val="1155CC"/>
            <w:u w:val="single"/>
          </w:rPr>
          <w:t>10.1002/anie.7232106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吲哚的脱芳香反应长期以来一直是有机合成研究的焦点，因为它们能够将平面分子转化为三维结构。在这些反应中，脱芳香吲哚[3,3]-克莱森重排尤为突出，尽管它主要限于两类底物：2-烯丙氧基吲哚和3-吲哚醇。在此，我们报告了一种实用且可靠的 2-吲哚醇脱芳香 Meerwein-Eschenmoser-Claisen 重排，为有效构建广泛观察到的 3,3-二取代二氢吲哚结构单元提供了创新的解决方案，这种结构单元在天然产物和药物中普遍存在。该合成方法具有反应条件简单、底物范围广、合成效果好等特点。</w:t>
      </w:r>
      <w:r>
        <w:t xml:space="preserve"> </w:t>
      </w:r>
      <w:r>
        <w:t>E/Z</w:t>
      </w:r>
      <w:r>
        <w:t xml:space="preserve"> </w:t>
      </w:r>
      <w:r>
        <w:t>产品的选择性以及起始材料的出色手性转移。该方法的稳健性通过结构复杂的生物碱minfiensine的简洁不对称全合成得到证明，其中全合成的成功取决于脱芳香吲哚[3,3]-克莱森重排的策略转变以及钯催化的羰基化合物的区域选择性α-乙烯基化。</w:t>
      </w:r>
    </w:p>
    <w:p>
      <w:pPr>
        <w:spacing w:before="0" w:after="200" w:lineRule="auto" w:line="276"/>
      </w:pPr>
      <w:r>
        <w:rPr>
          <w:b/>
        </w:rPr>
        <w:t xml:space="preserve">Abstract (EN): </w:t>
      </w:r>
      <w:r>
        <w:t>Dearomative reactions of indoles have long been a focal point of research in organic synthesis due to their ability to transform planar molecules into three‐dimensional structures. Among these reactions, the dearomative indolic [3,3]‐Claisen rearrangement stands out, though it has been largely limited to two substrate classes: 2‐allyloxy indoles and 3‐indolyl alcohols. Herein, we report a practical and reliable dearomative Meerwein–Eschenmoser–Claisen rearrangement of 2‐indolyl alcohols, providing an innovative solution for the efficient construction of the widely observed structural unit of 3,3‐disubstituted indolines, prevalent in natural products and pharmaceuticals. This synthetic methodology features simple reaction conditions, broad substrate scope, good</w:t>
      </w:r>
      <w:r>
        <w:t xml:space="preserve"> </w:t>
      </w:r>
      <w:r>
        <w:t>E/Z</w:t>
      </w:r>
      <w:r>
        <w:t xml:space="preserve"> </w:t>
      </w:r>
      <w:r>
        <w:t>selectivity for products, and excellent chirality transfer from starting materials. The robustness of this methodology is demonstrated via the concise asymmetric total synthesis of the structurally complex alkaloid minfiensine, wherein the success of the total synthesis hinges on the strategic transformation of the dearomative indolic [3,3]‐Claisen rearrangement coupled with the palladium‐catalyzed regioselective α‐vinylation of carbonyl compounds.</w:t>
      </w:r>
    </w:p>
    <w:p>
      <w:pPr>
        <w:spacing w:before="120" w:after="120"/>
      </w:pPr>
      <w:r>
        <w:rPr>
          <w:sz w:val="18"/>
        </w:rPr>
        <w:t>——————————————————————————————————————————————————————————————————————</w:t>
      </w:r>
    </w:p>
    <w:p>
      <w:pPr>
        <w:spacing w:before="160" w:after="40" w:line="240" w:lineRule="auto"/>
      </w:pPr>
      <w:r>
        <w:rPr>
          <w:b/>
        </w:rPr>
        <w:t xml:space="preserve">[47] </w:t>
      </w:r>
      <w:hyperlink r:id="rId356">
        <w:r>
          <w:rPr>
            <w:color w:val="1155CC"/>
            <w:u w:val="single"/>
          </w:rPr>
          <w:t>界面电子调制重定向阳极自由基化学，实现电氧化木质素解聚中选择性 C─C 键断裂</w:t>
        </w:r>
      </w:hyperlink>
    </w:p>
    <w:p>
      <w:pPr>
        <w:spacing w:before="0" w:after="80"/>
      </w:pPr>
      <w:r>
        <w:rPr>
          <w:i/>
          <w:sz w:val="20"/>
        </w:rPr>
        <w:t>EN: Interfacial Electronic Modulation Redirects Anodic Radical Chemistry for Selective C─C Bond Cleavage in Electro‐Oxidative Lignin Depolymerization</w:t>
      </w:r>
    </w:p>
    <w:p>
      <w:pPr>
        <w:spacing w:before="0" w:after="120"/>
      </w:pPr>
      <w:r>
        <w:rPr>
          <w:b/>
        </w:rPr>
        <w:t xml:space="preserve">Source: </w:t>
      </w:r>
      <w:r>
        <w:t>Wiley-Online-Library: Angewandte Chemie International Edition: Table of Contents</w:t>
      </w:r>
      <w:r>
        <w:t xml:space="preserve">    </w:t>
      </w:r>
      <w:r>
        <w:rPr>
          <w:b/>
        </w:rPr>
        <w:t xml:space="preserve">Pub date: </w:t>
      </w:r>
      <w:r>
        <w:t>2026-06-13 16:37:48+00:00</w:t>
      </w:r>
      <w:r>
        <w:t xml:space="preserve">    </w:t>
      </w:r>
      <w:r>
        <w:rPr>
          <w:b/>
        </w:rPr>
        <w:t xml:space="preserve">DOI: </w:t>
      </w:r>
      <w:hyperlink r:id="rId357">
        <w:r>
          <w:rPr>
            <w:color w:val="1155CC"/>
            <w:u w:val="single"/>
          </w:rPr>
          <w:t>10.1002/anie.1876863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电氧化木质素解聚被认为是生产可再生芳烃的一条有前途的途径；然而，其选择性通常受到与阳极析氧和不受控制的过度氧化的竞争的限制。氧化铜/铜</w:t>
      </w:r>
      <w:r>
        <w:t xml:space="preserve"> </w:t>
      </w:r>
      <w:r>
        <w:t>0.92</w:t>
      </w:r>
      <w:r>
        <w:t xml:space="preserve"> </w:t>
      </w:r>
      <w:r>
        <w:t>钴</w:t>
      </w:r>
      <w:r>
        <w:t xml:space="preserve"> </w:t>
      </w:r>
      <w:r>
        <w:t>2.08</w:t>
      </w:r>
      <w:r>
        <w:t xml:space="preserve"> </w:t>
      </w:r>
      <w:r>
        <w:t>氧</w:t>
      </w:r>
      <w:r>
        <w:rPr>
          <w:vertAlign w:val="subscript"/>
        </w:rPr>
        <w:t>4</w:t>
      </w:r>
      <w:r>
        <w:t>开发了异质结构催化剂，2-苯氧基-1-苯基乙醇的转化率达到 88%，苯甲醛和苯酚的产率分别为 53% 和 27%。通过时间分辨分析和中间进料实验，发现了一条串联途径，涉及苄基氧化为 2-苯氧基苯乙酮，然后是 C</w:t>
      </w:r>
      <w:r>
        <w:t xml:space="preserve"> </w:t>
      </w:r>
      <w:r>
        <w:t>α</w:t>
      </w:r>
      <w:r>
        <w:t xml:space="preserve"> </w:t>
      </w:r>
      <w:r>
        <w:t>‐C</w:t>
      </w:r>
      <w:r>
        <w:t xml:space="preserve"> </w:t>
      </w:r>
      <w:r>
        <w:t>β</w:t>
      </w:r>
      <w:r>
        <w:t xml:space="preserve"> </w:t>
      </w:r>
      <w:r>
        <w:t>已确定分裂。原位拉曼光谱、FTIR 光谱以及 EPR 揭示了 Cu─Co 界面抑制了 OER 型 CoOOH 物质的积累，同时在反应条件下促进了以氧为中心的自由基化学反应。通过密度泛函理论，进一步表明界面电子调制增强了底物的吸附并降低了键断裂的势垒。相同的机械逻辑从模型底物扩展到酶水解木质素，其特征性单元间连接被削弱，而芳香产物被保留。这些发现确立了阳极自由基化学的界面控制作为电化学条件下选择性木质素键编辑的策略</w:t>
      </w:r>
    </w:p>
    <w:p>
      <w:pPr>
        <w:spacing w:before="0" w:after="200" w:lineRule="auto" w:line="276"/>
      </w:pPr>
      <w:r>
        <w:rPr>
          <w:b/>
        </w:rPr>
        <w:t xml:space="preserve">Abstract (EN): </w:t>
      </w:r>
      <w:r>
        <w:t>Electro‐oxidative lignin depolymerization is considered a promising route to renewable aromatics; however, its selectivity is often limited by competition with oxygen evolution and uncontrolled overoxidation at the anode. A CuO/Cu</w:t>
      </w:r>
      <w:r>
        <w:t xml:space="preserve"> </w:t>
      </w:r>
      <w:r>
        <w:t>0.92</w:t>
      </w:r>
      <w:r>
        <w:t xml:space="preserve"> </w:t>
      </w:r>
      <w:r>
        <w:t>Co</w:t>
      </w:r>
      <w:r>
        <w:t xml:space="preserve"> </w:t>
      </w:r>
      <w:r>
        <w:t>2.08</w:t>
      </w:r>
      <w:r>
        <w:t xml:space="preserve"> </w:t>
      </w:r>
      <w:r>
        <w:t>O</w:t>
      </w:r>
      <w:r>
        <w:rPr>
          <w:vertAlign w:val="subscript"/>
        </w:rPr>
        <w:t>4</w:t>
      </w:r>
      <w:r>
        <w:t>hetero structured catalyst was developed, with which 88% conversion of 2‐phenoxy‐1‐phenylethanol was achieved, affording benzaldehyde and phenol in 53% and 27% yields, respectively. By means of time‐resolved analysis and intermediate‐feeding experiments, a tandem pathway involving benzylic oxidation to 2‐phenoxyacetophenone followed by C</w:t>
      </w:r>
      <w:r>
        <w:t xml:space="preserve"> </w:t>
      </w:r>
      <w:r>
        <w:t>α</w:t>
      </w:r>
      <w:r>
        <w:t xml:space="preserve"> </w:t>
      </w:r>
      <w:r>
        <w:t>‐C</w:t>
      </w:r>
      <w:r>
        <w:t xml:space="preserve"> </w:t>
      </w:r>
      <w:r>
        <w:t>β</w:t>
      </w:r>
      <w:r>
        <w:t xml:space="preserve"> </w:t>
      </w:r>
      <w:r>
        <w:t>scission was identified. In situ Raman and FTIR spectroscopy, together with EPR, revealed that the Cu─Co interface suppresses the accumulation of OER‐type CoOOH species while promoting oxygen‐centered radical chemistry under reaction conditions. Through density functional theory, it was further shown that interfacial electronic modulation strengthens substrate adsorption and lowers the barrier for bond cleavage. The same mechanistic logic was extended from the model substrate to enzymatic hydrolysis lignin, for which characteristic interunit linkages are weakened while aromatic products are retained. These findings establish interfacial control of anodic radical chemistry as a strategy for selective lignin bond editing under electrochemical conditions.</w:t>
      </w:r>
    </w:p>
    <w:p>
      <w:pPr>
        <w:spacing w:before="120" w:after="120"/>
      </w:pPr>
      <w:r>
        <w:rPr>
          <w:sz w:val="18"/>
        </w:rPr>
        <w:t>——————————————————————————————————————————————————————————————————————</w:t>
      </w:r>
    </w:p>
    <w:p>
      <w:pPr>
        <w:spacing w:before="160" w:after="40" w:line="240" w:lineRule="auto"/>
      </w:pPr>
      <w:r>
        <w:rPr>
          <w:b/>
        </w:rPr>
        <w:t xml:space="preserve">[48] </w:t>
      </w:r>
      <w:hyperlink r:id="rId358">
        <w:r>
          <w:rPr>
            <w:color w:val="1155CC"/>
            <w:u w:val="single"/>
          </w:rPr>
          <w:t>通过可见光能量转移催化实现全氟萘的底物控制脱芳香环加成：可切换进入[2+2]、[4+2]和非对映会聚环负载管</w:t>
        </w:r>
      </w:hyperlink>
    </w:p>
    <w:p>
      <w:pPr>
        <w:spacing w:before="0" w:after="80"/>
      </w:pPr>
      <w:r>
        <w:rPr>
          <w:i/>
          <w:sz w:val="20"/>
        </w:rPr>
        <w:t>EN: Substrate‐Controlled Dearomative Cycloadditions of Perfluoronaphthalenes via Visible‐Light Energy Transfer Catalysis: Switchable Access to [2+2], [4+2], and Diastereoconvergent Cycloadducts</w:t>
      </w:r>
    </w:p>
    <w:p>
      <w:pPr>
        <w:spacing w:before="0" w:after="120"/>
      </w:pPr>
      <w:r>
        <w:rPr>
          <w:b/>
        </w:rPr>
        <w:t xml:space="preserve">Source: </w:t>
      </w:r>
      <w:r>
        <w:t>Wiley-Online-Library: Angewandte Chemie International Edition: Table of Contents</w:t>
      </w:r>
      <w:r>
        <w:t xml:space="preserve">    </w:t>
      </w:r>
      <w:r>
        <w:rPr>
          <w:b/>
        </w:rPr>
        <w:t xml:space="preserve">Pub date: </w:t>
      </w:r>
      <w:r>
        <w:t>2026-06-13 16:42:01+00:00</w:t>
      </w:r>
      <w:r>
        <w:t xml:space="preserve">    </w:t>
      </w:r>
      <w:r>
        <w:rPr>
          <w:b/>
        </w:rPr>
        <w:t xml:space="preserve">DOI: </w:t>
      </w:r>
      <w:hyperlink r:id="rId359">
        <w:r>
          <w:rPr>
            <w:color w:val="1155CC"/>
            <w:u w:val="single"/>
          </w:rPr>
          <w:t>10.1002/anie.1846299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我们报道了第一个底物控制的聚氟萘分子间脱芳环加成反应，其中烯烃偶联伙伴的取代模式控制环加成模式。可见光下能量转移（</w:t>
      </w:r>
      <w:r>
        <w:t xml:space="preserve"> </w:t>
      </w:r>
      <w:r>
        <w:t>VL</w:t>
      </w:r>
      <w:r>
        <w:t xml:space="preserve"> </w:t>
      </w:r>
      <w:r>
        <w:t>EnT)催化下，单取代烯烃与八氟萘反应选择性地生成双脱芳邻[2+2]环加合物。相比之下，1,1-二取代烯烃在其他相同的条件下提供了具有完全区域专一性的相应对位[4+2]环加合物。三取代烯烃参与非对映会聚[4+2]环加成，无论烯烃几何形状如何，都会产生单一非对映异构产物。这种温和、操作简单的策略提供了在单一合成步骤中从现成的起始材料直接获得结构多样的全氟化三维分子支架的方法，这些框架在药物发现和材料科学中日益重要。控制实验和密度泛函理论计算阐明了</w:t>
      </w:r>
      <w:r>
        <w:t xml:space="preserve"> </w:t>
      </w:r>
      <w:r>
        <w:t>VL</w:t>
      </w:r>
      <w:r>
        <w:t xml:space="preserve"> </w:t>
      </w:r>
      <w:r>
        <w:t>EnT催化和烯烃取代控制不同脱芳环加成模式之间的切换。</w:t>
      </w:r>
    </w:p>
    <w:p>
      <w:pPr>
        <w:spacing w:before="0" w:after="200" w:lineRule="auto" w:line="276"/>
      </w:pPr>
      <w:r>
        <w:rPr>
          <w:b/>
        </w:rPr>
        <w:t xml:space="preserve">Abstract (EN): </w:t>
      </w:r>
      <w:r>
        <w:t>We report the first substrate‐controlled intermolecular dearomative cycloaddition of polyfluoronapthalenes in which the substitution pattern of the olefin coupling partner governs the mode of cycloaddition. Under visible‐light energy transfer (</w:t>
      </w:r>
      <w:r>
        <w:t xml:space="preserve"> </w:t>
      </w:r>
      <w:r>
        <w:t>VL</w:t>
      </w:r>
      <w:r>
        <w:t xml:space="preserve"> </w:t>
      </w:r>
      <w:r>
        <w:t>EnT) catalysis, monosubstituted olefins react with octafluoronaphthalene to give dual dearomative ortho [2+2] cycloadducts selectively. In comparison, 1,1‐disubstituted olefins afford the corresponding para [4+2] cycloadducts with complete regiospecificity under otherwise identical conditions. Trisubstituted olefins engage in a diastereoconvergent [4+2] cycloaddition, delivering a single diastereomeric product regardless of the olefin geometry. This mild, operationally simple strategy provides direct access to structurally diverse, perfluorinated three‐dimensional molecular scaffolds, frameworks of increasing importance in drug discovery and materials science, from readily available starting materials in a single synthetic step. Control experiments and density functional theory calculations elucidated the</w:t>
      </w:r>
      <w:r>
        <w:t xml:space="preserve"> </w:t>
      </w:r>
      <w:r>
        <w:t>VL</w:t>
      </w:r>
      <w:r>
        <w:t xml:space="preserve"> </w:t>
      </w:r>
      <w:r>
        <w:t>EnT catalysis and olefin‐substitution‐controlled switching between distinct dearomative cycloaddition modes.</w:t>
      </w:r>
    </w:p>
    <w:p>
      <w:pPr>
        <w:spacing w:before="120" w:after="120"/>
      </w:pPr>
      <w:r>
        <w:rPr>
          <w:sz w:val="18"/>
        </w:rPr>
        <w:t>——————————————————————————————————————————————————————————————————————</w:t>
      </w:r>
    </w:p>
    <w:p>
      <w:pPr>
        <w:spacing w:before="160" w:after="40" w:line="240" w:lineRule="auto"/>
      </w:pPr>
      <w:r>
        <w:rPr>
          <w:b/>
        </w:rPr>
        <w:t xml:space="preserve">[49] </w:t>
      </w:r>
      <w:hyperlink r:id="rId360">
        <w:r>
          <w:rPr>
            <w:color w:val="1155CC"/>
            <w:u w:val="single"/>
          </w:rPr>
          <w:t>带有 PNCNP 钳形配体的 d2 Mo(IV) 烷基炔片段对炔烃的反应性：配位和催化炔烃复分解</w:t>
        </w:r>
      </w:hyperlink>
    </w:p>
    <w:p>
      <w:pPr>
        <w:spacing w:before="0" w:after="80"/>
      </w:pPr>
      <w:r>
        <w:rPr>
          <w:i/>
          <w:sz w:val="20"/>
        </w:rPr>
        <w:t>EN: Reactivity of a d2 Mo(IV) Alkylidyne Fragment Bearing a PNCNP Pincer Ligand Toward Alkynes: Coordination and Catalytic Alkyne Metathesis</w:t>
      </w:r>
    </w:p>
    <w:p>
      <w:pPr>
        <w:spacing w:before="0" w:after="120"/>
      </w:pPr>
      <w:r>
        <w:rPr>
          <w:b/>
        </w:rPr>
        <w:t xml:space="preserve">Source: </w:t>
      </w:r>
      <w:r>
        <w:t>Wiley-Online-Library: Angewandte Chemie International Edition: Table of Contents</w:t>
      </w:r>
      <w:r>
        <w:t xml:space="preserve">    </w:t>
      </w:r>
      <w:r>
        <w:rPr>
          <w:b/>
        </w:rPr>
        <w:t xml:space="preserve">Pub date: </w:t>
      </w:r>
      <w:r>
        <w:t>2026-06-13 16:43:26+00:00</w:t>
      </w:r>
      <w:r>
        <w:t xml:space="preserve">    </w:t>
      </w:r>
      <w:r>
        <w:rPr>
          <w:b/>
        </w:rPr>
        <w:t xml:space="preserve">DOI: </w:t>
      </w:r>
      <w:hyperlink r:id="rId361">
        <w:r>
          <w:rPr>
            <w:color w:val="1155CC"/>
            <w:u w:val="single"/>
          </w:rPr>
          <w:t>10.1002/anie.4887237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目前，几乎所有的炔复分解催化剂都是基于高价d</w:t>
      </w:r>
      <w:r>
        <w:rPr>
          <w:vertAlign w:val="subscript"/>
        </w:rPr>
        <w:t>0</w:t>
      </w:r>
      <w:r>
        <w:t>Schrock 型烷炔配合物。虽然非d</w:t>
      </w:r>
      <w:r>
        <w:rPr>
          <w:vertAlign w:val="subscript"/>
        </w:rPr>
        <w:t>0</w:t>
      </w:r>
      <w:r>
        <w:t>过渡金属亚烷基配合物也很常见，迄今为止，只有Re(V)亚烷基被报道能够催化炔烃复分解。在此，d的反应性</w:t>
      </w:r>
      <w:r>
        <w:rPr>
          <w:vertAlign w:val="subscript"/>
        </w:rPr>
        <w:t>2</w:t>
      </w:r>
      <w:r>
        <w:t>研究了带有面向炔烃的 PNCNP 钳配体的 Mo(IV) 亚烷基片段。合成并表征了一系列新型Mo碳炔-炔配合物。钳配体中 N-Me 部分的掺入降低了复分解过程的能垒。因此，涉及d的炔复分解反应的催化系统的第一个实例</w:t>
      </w:r>
      <w:r>
        <w:rPr>
          <w:vertAlign w:val="subscript"/>
        </w:rPr>
        <w:t>2</w:t>
      </w:r>
      <w:r>
        <w:t>开发了 Mo(IV) 亚烷基片段。</w:t>
      </w:r>
    </w:p>
    <w:p>
      <w:pPr>
        <w:spacing w:before="0" w:after="200" w:lineRule="auto" w:line="276"/>
      </w:pPr>
      <w:r>
        <w:rPr>
          <w:b/>
        </w:rPr>
        <w:t xml:space="preserve">Abstract (EN): </w:t>
      </w:r>
      <w:r>
        <w:t>Currently, almost all alkyne metathesis catalysts are based on high valent d</w:t>
      </w:r>
      <w:r>
        <w:rPr>
          <w:vertAlign w:val="subscript"/>
        </w:rPr>
        <w:t>0</w:t>
      </w:r>
      <w:r>
        <w:t>Schrock‐type alkylidyne complexes. Although non‐d</w:t>
      </w:r>
      <w:r>
        <w:rPr>
          <w:vertAlign w:val="subscript"/>
        </w:rPr>
        <w:t>0</w:t>
      </w:r>
      <w:r>
        <w:t>transition‐metal alkylidyne complexes are also common, to date, only Re(V) alkylidyne have been reported to be capable of catalyzing alkyne metathesis. Herein, the reactivity of a d</w:t>
      </w:r>
      <w:r>
        <w:rPr>
          <w:vertAlign w:val="subscript"/>
        </w:rPr>
        <w:t>2</w:t>
      </w:r>
      <w:r>
        <w:t>Mo(IV) alkylidyne fragment bearing a PNCNP pincer ligand toward alkynes was studied. A series of novel Mo carbyne‐alkyne complexes was synthesized and characterized. The incorporation of N‐Me moieties in the pincer ligand reduced the energy barrier of the metathesis process. Accordingly, the first example of a catalytic system for alkyne metathesis reaction involving a d</w:t>
      </w:r>
      <w:r>
        <w:rPr>
          <w:vertAlign w:val="subscript"/>
        </w:rPr>
        <w:t>2</w:t>
      </w:r>
      <w:r>
        <w:t>Mo(IV) alkylidyne fragment was developed.</w:t>
      </w:r>
    </w:p>
    <w:p>
      <w:pPr>
        <w:spacing w:before="120" w:after="120"/>
      </w:pPr>
      <w:r>
        <w:rPr>
          <w:sz w:val="18"/>
        </w:rPr>
        <w:t>——————————————————————————————————————————————————————————————————————</w:t>
      </w:r>
    </w:p>
    <w:p>
      <w:pPr>
        <w:spacing w:before="160" w:after="40" w:line="240" w:lineRule="auto"/>
      </w:pPr>
      <w:r>
        <w:rPr>
          <w:b/>
        </w:rPr>
        <w:t xml:space="preserve">[50] </w:t>
      </w:r>
      <w:hyperlink r:id="rId362">
        <w:r>
          <w:rPr>
            <w:color w:val="1155CC"/>
            <w:u w:val="single"/>
          </w:rPr>
          <w:t>质子化触发解锁层间氮化碳用于快速制备纳米片</w:t>
        </w:r>
      </w:hyperlink>
    </w:p>
    <w:p>
      <w:pPr>
        <w:spacing w:before="0" w:after="80"/>
      </w:pPr>
      <w:r>
        <w:rPr>
          <w:i/>
          <w:sz w:val="20"/>
        </w:rPr>
        <w:t>EN: Protonation‐Triggered Unlocking of Interlayer Carbon Nitride for Rapid Nanosheet Preparation</w:t>
      </w:r>
    </w:p>
    <w:p>
      <w:pPr>
        <w:spacing w:before="0" w:after="120"/>
      </w:pPr>
      <w:r>
        <w:rPr>
          <w:b/>
        </w:rPr>
        <w:t xml:space="preserve">Source: </w:t>
      </w:r>
      <w:r>
        <w:t>Wiley-Online-Library: Angewandte Chemie International Edition: Table of Contents</w:t>
      </w:r>
      <w:r>
        <w:t xml:space="preserve">    </w:t>
      </w:r>
      <w:r>
        <w:rPr>
          <w:b/>
        </w:rPr>
        <w:t xml:space="preserve">Pub date: </w:t>
      </w:r>
      <w:r>
        <w:t>2026-06-13 16:48:33+00:00</w:t>
      </w:r>
      <w:r>
        <w:t xml:space="preserve">    </w:t>
      </w:r>
      <w:r>
        <w:rPr>
          <w:b/>
        </w:rPr>
        <w:t xml:space="preserve">DOI: </w:t>
      </w:r>
      <w:hyperlink r:id="rId363">
        <w:r>
          <w:rPr>
            <w:color w:val="1155CC"/>
            <w:u w:val="single"/>
          </w:rPr>
          <w:t>10.1002/anie.9245386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石墨氮化碳（g-C）的内在拓扑和电子优点</w:t>
      </w:r>
      <w:r>
        <w:rPr>
          <w:vertAlign w:val="subscript"/>
        </w:rPr>
        <w:t>3</w:t>
      </w:r>
      <w:r>
        <w:t>氮</w:t>
      </w:r>
      <w:r>
        <w:rPr>
          <w:vertAlign w:val="subscript"/>
        </w:rPr>
        <w:t>4</w:t>
      </w:r>
      <w:r>
        <w:t>）从根本上被强的π-π堆积相互作用和氢键相互作用所掩盖。在不损害结构完整性的情况下克服这些非共价屏障仍然是一项艰巨的化学挑战。在此，我们报告了一种通过质子化的靶向静电解耦策略，可快速解锁 g-C 的层内框架</w:t>
      </w:r>
      <w:r>
        <w:rPr>
          <w:vertAlign w:val="subscript"/>
        </w:rPr>
        <w:t>3</w:t>
      </w:r>
      <w:r>
        <w:t>氮</w:t>
      </w:r>
      <w:r>
        <w:rPr>
          <w:vertAlign w:val="subscript"/>
        </w:rPr>
        <w:t>4</w:t>
      </w:r>
      <w:r>
        <w:t>在环境条件下形成离散的、高度结晶的二维（2D）纳米片。利用三氟甲磺酸，杂环氮位点的选择性质子化引起显着的层间静电斥力和同时的层内电子重构，实现了前所未有的200 mg·mL的生产效率</w:t>
      </w:r>
      <w:r>
        <w:t xml:space="preserve"> </w:t>
      </w:r>
      <w:r>
        <w:t>−1</w:t>
      </w:r>
      <w:r>
        <w:t xml:space="preserve"> </w:t>
      </w:r>
      <w:r>
        <w:t>·小时</w:t>
      </w:r>
      <w:r>
        <w:t xml:space="preserve"> </w:t>
      </w:r>
      <w:r>
        <w:t>−1</w:t>
      </w:r>
      <w:r>
        <w:t xml:space="preserve"> </w:t>
      </w:r>
      <w:r>
        <w:t>。至关重要的是，剥离纳米片的高纵横比和结构保真度使得能够明确地直接观察纯 g-C 中固有的溶致液晶相变</w:t>
      </w:r>
      <w:r>
        <w:rPr>
          <w:vertAlign w:val="subscript"/>
        </w:rPr>
        <w:t>3</w:t>
      </w:r>
      <w:r>
        <w:t>氮</w:t>
      </w:r>
      <w:r>
        <w:rPr>
          <w:vertAlign w:val="subscript"/>
        </w:rPr>
        <w:t>4</w:t>
      </w:r>
      <w:r>
        <w:t>，解决了长期以来关于其介观组装行为的模糊性。此外，2D 纳米片的光催化过氧化氢生产活性提高了 50 倍以上。</w:t>
      </w:r>
    </w:p>
    <w:p>
      <w:pPr>
        <w:spacing w:before="0" w:after="200" w:lineRule="auto" w:line="276"/>
      </w:pPr>
      <w:r>
        <w:rPr>
          <w:b/>
        </w:rPr>
        <w:t xml:space="preserve">Abstract (EN): </w:t>
      </w:r>
      <w:r>
        <w:t>The intrinsic topological and electronic merits of graphitic carbon nitride (g‑C</w:t>
      </w:r>
      <w:r>
        <w:rPr>
          <w:vertAlign w:val="subscript"/>
        </w:rPr>
        <w:t>3</w:t>
      </w:r>
      <w:r>
        <w:t>N</w:t>
      </w:r>
      <w:r>
        <w:rPr>
          <w:vertAlign w:val="subscript"/>
        </w:rPr>
        <w:t>4</w:t>
      </w:r>
      <w:r>
        <w:t>) are fundamentally obscured by strong π‐π stacking interactions and hydrogen‐bonding interactions. Overcoming these noncovalent barriers without compromising the structural integrity remains a formidable chemical challenge. Herein, we report a targeted electrostatic decoupling strategy via protonation that rapidly unlocks the intralayer framework of g‑C</w:t>
      </w:r>
      <w:r>
        <w:rPr>
          <w:vertAlign w:val="subscript"/>
        </w:rPr>
        <w:t>3</w:t>
      </w:r>
      <w:r>
        <w:t>N</w:t>
      </w:r>
      <w:r>
        <w:rPr>
          <w:vertAlign w:val="subscript"/>
        </w:rPr>
        <w:t>4</w:t>
      </w:r>
      <w:r>
        <w:t>into discrete, highly crystalline two‐dimensional (2D) nanosheets under ambient conditions. By utilizing trifluoromethanesulfonic acid, selective protonation at the heterocyclic nitrogen sites induces pronounced interlayer electrostatic repulsion and simultaneous intralayer electronic reconstruction, achieving an unprecedented production efficiency of 200 mg·mL</w:t>
      </w:r>
      <w:r>
        <w:t xml:space="preserve"> </w:t>
      </w:r>
      <w:r>
        <w:t>−1</w:t>
      </w:r>
      <w:r>
        <w:t xml:space="preserve"> </w:t>
      </w:r>
      <w:r>
        <w:t>·h</w:t>
      </w:r>
      <w:r>
        <w:t xml:space="preserve"> </w:t>
      </w:r>
      <w:r>
        <w:t>−1</w:t>
      </w:r>
      <w:r>
        <w:t xml:space="preserve"> </w:t>
      </w:r>
      <w:r>
        <w:t>. Crucially, the high aspect ratio and structural fidelity of the as‐exfoliated nanosheets enable unambiguous direct observation of the intrinsic lyotropic liquid‐crystalline phase transition in pure g‑C</w:t>
      </w:r>
      <w:r>
        <w:rPr>
          <w:vertAlign w:val="subscript"/>
        </w:rPr>
        <w:t>3</w:t>
      </w:r>
      <w:r>
        <w:t>N</w:t>
      </w:r>
      <w:r>
        <w:rPr>
          <w:vertAlign w:val="subscript"/>
        </w:rPr>
        <w:t>4</w:t>
      </w:r>
      <w:r>
        <w:t>, resolving long‐standing ambiguities regarding its mesoscopic assembly behavior. Furthermore, the 2D nanosheets display over 50‐fold enhancement in photocatalytic hydrogen peroxide production activity compared to their bulk counterpart, attributed to the reduced thickness and significantly increased exposure of active sites. This work not only provides an efficient route for the exfoliation of layered polymers but also opens new opportunities for their solution‐phase processing.</w:t>
      </w:r>
    </w:p>
    <w:p>
      <w:pPr>
        <w:spacing w:before="120" w:after="120"/>
      </w:pPr>
      <w:r>
        <w:rPr>
          <w:sz w:val="18"/>
        </w:rPr>
        <w:t>——————————————————————————————————————————————————————————————————————</w:t>
      </w:r>
    </w:p>
    <w:p>
      <w:pPr>
        <w:spacing w:before="160" w:after="40" w:line="240" w:lineRule="auto"/>
      </w:pPr>
      <w:r>
        <w:rPr>
          <w:b/>
        </w:rPr>
        <w:t xml:space="preserve">[51] </w:t>
      </w:r>
      <w:hyperlink r:id="rId364">
        <w:r>
          <w:rPr>
            <w:color w:val="1155CC"/>
            <w:u w:val="single"/>
          </w:rPr>
          <w:t>原位 X 射线光电子能谱揭示甲醇转化为碳氢化合物过程中 ZSM-5 催化剂中焦炭的空间演化</w:t>
        </w:r>
      </w:hyperlink>
    </w:p>
    <w:p>
      <w:pPr>
        <w:spacing w:before="0" w:after="80"/>
      </w:pPr>
      <w:r>
        <w:rPr>
          <w:i/>
          <w:sz w:val="20"/>
        </w:rPr>
        <w:t>EN: Spatial Evolution of Coke in ZSM‐5 Catalysts During Methanol‐to‐Hydrocarbons Conversion Revealed by In Situ X‐Ray Photoelectron Spectroscopy</w:t>
      </w:r>
    </w:p>
    <w:p>
      <w:pPr>
        <w:spacing w:before="0" w:after="120"/>
      </w:pPr>
      <w:r>
        <w:rPr>
          <w:b/>
        </w:rPr>
        <w:t xml:space="preserve">Source: </w:t>
      </w:r>
      <w:r>
        <w:t>Wiley-Online-Library: Angewandte Chemie International Edition: Table of Contents</w:t>
      </w:r>
      <w:r>
        <w:t xml:space="preserve">    </w:t>
      </w:r>
      <w:r>
        <w:rPr>
          <w:b/>
        </w:rPr>
        <w:t xml:space="preserve">Pub date: </w:t>
      </w:r>
      <w:r>
        <w:t>2026-06-13 16:51:38+00:00</w:t>
      </w:r>
      <w:r>
        <w:t xml:space="preserve">    </w:t>
      </w:r>
      <w:r>
        <w:rPr>
          <w:b/>
        </w:rPr>
        <w:t xml:space="preserve">DOI: </w:t>
      </w:r>
      <w:hyperlink r:id="rId365">
        <w:r>
          <w:rPr>
            <w:color w:val="1155CC"/>
            <w:u w:val="single"/>
          </w:rPr>
          <w:t>10.1002/anie.7876229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除了评估化学途径外，了解沸石中失活焦炭物质的空间演化对于提高其在化学和燃料生产过程中的催化效率至关重要。在这项研究中，基于同步加速器的原位X射线光电子能谱实验提供了对甲醇转化为碳氢化合物过程中不同Si/Al比的ZSM-5催化剂上焦炭沉积的见解，这是一个工业相关的反应。探测深度约 1 nm 的表面敏感 C 1s X 射线光电子能谱表明，酸性较低的 ZSM-5 沸石在晶体表面表现出更明显的焦炭积累，并比酸性较高的沸石促进高度凝聚的石墨状结构的形成。使用拉曼、原位红外和焦炭分析仪分析焦化动力学、晶格变形和焦炭成分</w:t>
      </w:r>
      <w:r>
        <w:t xml:space="preserve"> </w:t>
      </w:r>
      <w:r>
        <w:t>操作</w:t>
      </w:r>
      <w:r>
        <w:t xml:space="preserve"> </w:t>
      </w:r>
      <w:r>
        <w:t>紫外可见光谱进一步支持低酸度、缓慢失活的催化剂中增强的表面结焦以及高酸度、快速失活的催化剂中更显着的微孔焦炭形成。结果表明，酸位点密度控制着焦炭的动力学和优先位置，揭示了焦炭引起的沸石催化剂失活的基本纳米级过程。</w:t>
      </w:r>
    </w:p>
    <w:p>
      <w:pPr>
        <w:spacing w:before="0" w:after="200" w:lineRule="auto" w:line="276"/>
      </w:pPr>
      <w:r>
        <w:rPr>
          <w:b/>
        </w:rPr>
        <w:t xml:space="preserve">Abstract (EN): </w:t>
      </w:r>
      <w:r>
        <w:t>Along with assessing chemical pathways, understanding the spatial evolution of deactivating coke species in zeolites is essential for enhancing their catalytic efficiency in processes for chemical and fuel production. In this study, synchrotron‐based in situ X‐ray photoemission spectroscopy experiments provide insights into the coke deposition on ZSM‐5 catalysts with different Si/Al ratios during methanol‐to‐hydrocarbons conversion, which is an industrially relevant reaction. Surface‐sensitive C 1s X‐ray photoemission spectroscopy with a probing depth ≈1 nm demonstrates that the less acidic ZSM‐5 zeolites exhibit a more pronounced coke accumulation on crystal surfaces and promote the formation of highly condensed, graphite‐like structures than the higher acidic ones. Analysis of coking kinetics, lattice deformation, and coke composition using Raman, in situ infrared, and</w:t>
      </w:r>
      <w:r>
        <w:t xml:space="preserve"> </w:t>
      </w:r>
      <w:r>
        <w:t>operando</w:t>
      </w:r>
      <w:r>
        <w:t xml:space="preserve"> </w:t>
      </w:r>
      <w:r>
        <w:t>UV‐vis spectroscopies further supports enhanced surface coking in low‐acidity, slowly deactivating catalysts and more prominent micropore coke formation in high‐acidity, fast‐deactivating catalysts. The results indicate that acid site density governs both the kinetics and the preferential location of coke, shedding light on the fundamental nanoscale processes underlying coke‐induced deactivation of zeolite catalysts.</w:t>
      </w:r>
    </w:p>
    <w:p>
      <w:pPr>
        <w:spacing w:before="120" w:after="120"/>
      </w:pPr>
      <w:r>
        <w:rPr>
          <w:sz w:val="18"/>
        </w:rPr>
        <w:t>——————————————————————————————————————————————————————————————————————</w:t>
      </w:r>
    </w:p>
    <w:p>
      <w:pPr>
        <w:spacing w:before="160" w:after="40" w:line="240" w:lineRule="auto"/>
      </w:pPr>
      <w:r>
        <w:rPr>
          <w:b/>
        </w:rPr>
        <w:t xml:space="preserve">[52] </w:t>
      </w:r>
      <w:hyperlink r:id="rId366">
        <w:r>
          <w:rPr>
            <w:color w:val="1155CC"/>
            <w:u w:val="single"/>
          </w:rPr>
          <w:t>固体表面上分子吸附物的预测登记优化</w:t>
        </w:r>
      </w:hyperlink>
    </w:p>
    <w:p>
      <w:pPr>
        <w:spacing w:before="0" w:after="80"/>
      </w:pPr>
      <w:r>
        <w:rPr>
          <w:i/>
          <w:sz w:val="20"/>
        </w:rPr>
        <w:t>EN: Predictive Registry Optimization of Molecular Adsorbates on Solid Surfaces</w:t>
      </w:r>
    </w:p>
    <w:p>
      <w:pPr>
        <w:spacing w:before="0" w:after="120"/>
      </w:pPr>
      <w:r>
        <w:rPr>
          <w:b/>
        </w:rPr>
        <w:t xml:space="preserve">Source: </w:t>
      </w:r>
      <w:r>
        <w:t>Wiley-Online-Library: Angewandte Chemie International Edition: Table of Contents</w:t>
      </w:r>
      <w:r>
        <w:t xml:space="preserve">    </w:t>
      </w:r>
      <w:r>
        <w:rPr>
          <w:b/>
        </w:rPr>
        <w:t xml:space="preserve">Pub date: </w:t>
      </w:r>
      <w:r>
        <w:t>2026-06-13 16:52:42+00:00</w:t>
      </w:r>
      <w:r>
        <w:t xml:space="preserve">    </w:t>
      </w:r>
      <w:r>
        <w:rPr>
          <w:b/>
        </w:rPr>
        <w:t xml:space="preserve">DOI: </w:t>
      </w:r>
      <w:hyperlink r:id="rId367">
        <w:r>
          <w:rPr>
            <w:color w:val="1155CC"/>
            <w:u w:val="single"/>
          </w:rPr>
          <w:t>10.1002/anie.1693717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了解和预测大有机分子如何吸附在晶体基底上对于设计电子、催化和超分子化学中的功能表面至关重要。由于尺寸和构象的多样性，标准的量子化学方法通常无法处理大的 π 共轭分子。我们提出了一种物理上直观的、可推广的配准分析，通过在类似蒙特卡罗的方法中最大化表面取向氢原子（“尖峰”）和周期性石墨六边形中心（“口袋”）之间的重叠来克服这个问题。受石墨上烷烃模型的启发，该框架扩展到结构复杂的体系结构，以高分辨率分配吸附几何形状，而无需昂贵的计算。应用于 STM 数据的注册评分能够确定阻转异构体的绝对构象，证明几何注册是预测表面大分子排列的适用措施。</w:t>
      </w:r>
    </w:p>
    <w:p>
      <w:pPr>
        <w:spacing w:before="0" w:after="200" w:lineRule="auto" w:line="276"/>
      </w:pPr>
      <w:r>
        <w:rPr>
          <w:b/>
        </w:rPr>
        <w:t xml:space="preserve">Abstract (EN): </w:t>
      </w:r>
      <w:r>
        <w:t>Understanding and predicting how large organic molecules adsorb on crystalline substrates is essential for designing functional surfaces in electronics, catalysis, and supramolecular chemistry. Standard quantum‐chemical approaches often fail for large π‐conjugated molecules due to size and conformational diversity. We present a physically intuitive, generalizable registry analysis that overcomes this by maximizing the overlap between surface‐oriented hydrogen atoms (“spikes”) and the periodic graphite hexagon centers (“pockets”) in a Monte Carlo‐like approach. Inspired by the alkane‐on‐graphite model, the framework extends to structurally complex architectures to assign adsorption geometries with high resolution, without costly computations. Registry scoring applied to STM data enabled determining the absolute conformation of atropisomers, demonstrating geometric registry as an applicable measure for predicting large‐molecule arrangements on surfaces.</w:t>
      </w:r>
    </w:p>
    <w:p>
      <w:pPr>
        <w:spacing w:before="120" w:after="120"/>
      </w:pPr>
      <w:r>
        <w:rPr>
          <w:sz w:val="18"/>
        </w:rPr>
        <w:t>——————————————————————————————————————————————————————————————————————</w:t>
      </w:r>
    </w:p>
    <w:p>
      <w:pPr>
        <w:spacing w:before="160" w:after="40" w:line="240" w:lineRule="auto"/>
      </w:pPr>
      <w:r>
        <w:rPr>
          <w:b/>
        </w:rPr>
        <w:t xml:space="preserve">[53] </w:t>
      </w:r>
      <w:hyperlink r:id="rId368">
        <w:r>
          <w:rPr>
            <w:color w:val="1155CC"/>
            <w:u w:val="single"/>
          </w:rPr>
          <w:t>原位同步 SERS-SEIRAS 揭示了氧还原反应中阳离子调节的界面水和中间体</w:t>
        </w:r>
      </w:hyperlink>
    </w:p>
    <w:p>
      <w:pPr>
        <w:spacing w:before="0" w:after="80"/>
      </w:pPr>
      <w:r>
        <w:rPr>
          <w:i/>
          <w:sz w:val="20"/>
        </w:rPr>
        <w:t>EN: In Situ Synchronized SERS‐SEIRAS Unveils Cation‐Regulated Interfacial Water and Intermediates in the Oxygen Reduction Reaction</w:t>
      </w:r>
    </w:p>
    <w:p>
      <w:pPr>
        <w:spacing w:before="0" w:after="120"/>
      </w:pPr>
      <w:r>
        <w:rPr>
          <w:b/>
        </w:rPr>
        <w:t xml:space="preserve">Source: </w:t>
      </w:r>
      <w:r>
        <w:t>Wiley-Online-Library: Angewandte Chemie International Edition: Table of Contents</w:t>
      </w:r>
      <w:r>
        <w:t xml:space="preserve">    </w:t>
      </w:r>
      <w:r>
        <w:rPr>
          <w:b/>
        </w:rPr>
        <w:t xml:space="preserve">Pub date: </w:t>
      </w:r>
      <w:r>
        <w:t>2026-06-13 16:53:16+00:00</w:t>
      </w:r>
      <w:r>
        <w:t xml:space="preserve">    </w:t>
      </w:r>
      <w:r>
        <w:rPr>
          <w:b/>
        </w:rPr>
        <w:t xml:space="preserve">DOI: </w:t>
      </w:r>
      <w:hyperlink r:id="rId369">
        <w:r>
          <w:rPr>
            <w:color w:val="1155CC"/>
            <w:u w:val="single"/>
          </w:rPr>
          <w:t>10.1002/anie.8900381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界面水通过调节氧中间体的吸附和介导质子耦合电子转移（PCET），在碱性氧还原反应（ORR）中发挥着至关重要但人们知之甚少的作用。然而，由于缺乏将界面水与吸附中间体动态关联的技术，使得很难阐明控制中间体物种演化的机制。在这里，我们报告了一个同步的、位点一致的 SERS-SEIRAS 平台，该平台可跟踪界面水和表面吸附物质（OOH</w:t>
      </w:r>
      <w:r>
        <w:t xml:space="preserve"> </w:t>
      </w:r>
      <w:r>
        <w:t>广告</w:t>
      </w:r>
      <w:r>
        <w:t xml:space="preserve"> </w:t>
      </w:r>
      <w:r>
        <w:t>和羟基</w:t>
      </w:r>
      <w:r>
        <w:t xml:space="preserve"> </w:t>
      </w:r>
      <w:r>
        <w:t>广告</w:t>
      </w:r>
      <w:r>
        <w:t xml:space="preserve"> </w:t>
      </w:r>
      <w:r>
        <w:t>）在阳离子依赖性 ORR 期间实时进行。我们的结果表明，降低阳离子水合能会导致形成具有弱氢键、低取向约束和高动态灵活性的界面水层，从而减弱其与 OOH 的相互作用</w:t>
      </w:r>
      <w:r>
        <w:t xml:space="preserve"> </w:t>
      </w:r>
      <w:r>
        <w:t>广告</w:t>
      </w:r>
      <w:r>
        <w:t xml:space="preserve"> </w:t>
      </w:r>
      <w:r>
        <w:t>和羟基</w:t>
      </w:r>
      <w:r>
        <w:t xml:space="preserve"> </w:t>
      </w:r>
      <w:r>
        <w:t>广告</w:t>
      </w:r>
      <w:r>
        <w:t xml:space="preserve"> </w:t>
      </w:r>
      <w:r>
        <w:t>。这种结构增强了水和氧的运输并削弱了 OH</w:t>
      </w:r>
      <w:r>
        <w:t xml:space="preserve"> </w:t>
      </w:r>
      <w:r>
        <w:t>广告</w:t>
      </w:r>
      <w:r>
        <w:t xml:space="preserve"> </w:t>
      </w:r>
      <w:r>
        <w:t>溶剂化，从而减少 OH</w:t>
      </w:r>
      <w:r>
        <w:t xml:space="preserve"> </w:t>
      </w:r>
      <w:r>
        <w:t>广告</w:t>
      </w:r>
      <w:r>
        <w:t xml:space="preserve"> </w:t>
      </w:r>
      <w:r>
        <w:t>覆盖并加速最后的 PCET 步骤。我们的结果揭示了阳离子如何重塑界面氢键网络来控制 ORR 动力学。更广泛地说，这项工作展示了多光谱耦合用于探测动态电催化界面的能力，并提供了一种通过电解质和催化剂来提高催化剂性能的策略。</w:t>
      </w:r>
    </w:p>
    <w:p>
      <w:pPr>
        <w:spacing w:before="0" w:after="200" w:lineRule="auto" w:line="276"/>
      </w:pPr>
      <w:r>
        <w:rPr>
          <w:b/>
        </w:rPr>
        <w:t xml:space="preserve">Abstract (EN): </w:t>
      </w:r>
      <w:r>
        <w:t>Interfacial water plays a crucial yet poorly understood role in the alkaline oxygen reduction reaction (ORR) by modulating the adsorption of oxygen intermediates and mediating proton‐coupled electron transfer (PCET). However, the lack of techniques to dynamically correlate interfacial water with adsorbed intermediates makes it difficult to elucidate the mechanism governing the evolution of intermediate species. Here, we report a synchronized, site‐consistent SERS–SEIRAS platform that tracks interfacial water and surface‐adsorbed species (OOH</w:t>
      </w:r>
      <w:r>
        <w:t xml:space="preserve"> </w:t>
      </w:r>
      <w:r>
        <w:t>ad</w:t>
      </w:r>
      <w:r>
        <w:t xml:space="preserve"> </w:t>
      </w:r>
      <w:r>
        <w:t>and OH</w:t>
      </w:r>
      <w:r>
        <w:t xml:space="preserve"> </w:t>
      </w:r>
      <w:r>
        <w:t>ad</w:t>
      </w:r>
      <w:r>
        <w:t xml:space="preserve"> </w:t>
      </w:r>
      <w:r>
        <w:t>) in real time during cation‐dependent ORR. Our results show that decreasing cation hydration energy induces the formation of an interfacial water layer with weak hydrogen bonding, low orientation constraints, and high dynamic flexibility, which diminishes its interactions with OOH</w:t>
      </w:r>
      <w:r>
        <w:t xml:space="preserve"> </w:t>
      </w:r>
      <w:r>
        <w:t>ad</w:t>
      </w:r>
      <w:r>
        <w:t xml:space="preserve"> </w:t>
      </w:r>
      <w:r>
        <w:t>and OH</w:t>
      </w:r>
      <w:r>
        <w:t xml:space="preserve"> </w:t>
      </w:r>
      <w:r>
        <w:t>ad</w:t>
      </w:r>
      <w:r>
        <w:t xml:space="preserve"> </w:t>
      </w:r>
      <w:r>
        <w:t>. This structure enhances water and oxygen transport and weakens OH</w:t>
      </w:r>
      <w:r>
        <w:t xml:space="preserve"> </w:t>
      </w:r>
      <w:r>
        <w:t>ad</w:t>
      </w:r>
      <w:r>
        <w:t xml:space="preserve"> </w:t>
      </w:r>
      <w:r>
        <w:t>solvation, thereby reducing OH</w:t>
      </w:r>
      <w:r>
        <w:t xml:space="preserve"> </w:t>
      </w:r>
      <w:r>
        <w:t>ad</w:t>
      </w:r>
      <w:r>
        <w:t xml:space="preserve"> </w:t>
      </w:r>
      <w:r>
        <w:t>coverage and accelerating the final PCET step. Our results reveal how cations reshape the interfacial hydrogen‐bond network to control ORR kinetics. More broadly, this work demonstrates the power of multi‐spectroscopic coupling for probing dynamic electrocatalytic interfaces and offers a strategy for improving catalyst performance via electrolyte and interface engineering.</w:t>
      </w:r>
    </w:p>
    <w:p>
      <w:pPr>
        <w:spacing w:before="120" w:after="120"/>
      </w:pPr>
      <w:r>
        <w:rPr>
          <w:sz w:val="18"/>
        </w:rPr>
        <w:t>——————————————————————————————————————————————————————————————————————</w:t>
      </w:r>
    </w:p>
    <w:p>
      <w:pPr>
        <w:spacing w:before="160" w:after="40" w:line="240" w:lineRule="auto"/>
      </w:pPr>
      <w:r>
        <w:rPr>
          <w:b/>
        </w:rPr>
        <w:t xml:space="preserve">[54] </w:t>
      </w:r>
      <w:hyperlink r:id="rId370">
        <w:r>
          <w:rPr>
            <w:color w:val="1155CC"/>
            <w:u w:val="single"/>
          </w:rPr>
          <w:t>增强 cGAS-STING 激活的耐缺氧光敏剂的分子修剪策略</w:t>
        </w:r>
      </w:hyperlink>
    </w:p>
    <w:p>
      <w:pPr>
        <w:spacing w:before="0" w:after="80"/>
      </w:pPr>
      <w:r>
        <w:rPr>
          <w:i/>
          <w:sz w:val="20"/>
        </w:rPr>
        <w:t>EN: A Molecular Trimming Strategy for Hypoxia‐Tolerant Photosensitizers With Enhanced cGAS‐STING Activation</w:t>
      </w:r>
    </w:p>
    <w:p>
      <w:pPr>
        <w:spacing w:before="0" w:after="120"/>
      </w:pPr>
      <w:r>
        <w:rPr>
          <w:b/>
        </w:rPr>
        <w:t xml:space="preserve">Source: </w:t>
      </w:r>
      <w:r>
        <w:t>Wiley-Online-Library: Angewandte Chemie International Edition: Table of Contents</w:t>
      </w:r>
      <w:r>
        <w:t xml:space="preserve">    </w:t>
      </w:r>
      <w:r>
        <w:rPr>
          <w:b/>
        </w:rPr>
        <w:t xml:space="preserve">Pub date: </w:t>
      </w:r>
      <w:r>
        <w:t>2026-06-13 16:57:45+00:00</w:t>
      </w:r>
      <w:r>
        <w:t xml:space="preserve">    </w:t>
      </w:r>
      <w:r>
        <w:rPr>
          <w:b/>
        </w:rPr>
        <w:t xml:space="preserve">DOI: </w:t>
      </w:r>
      <w:hyperlink r:id="rId371">
        <w:r>
          <w:rPr>
            <w:color w:val="1155CC"/>
            <w:u w:val="single"/>
          </w:rPr>
          <w:t>10.1002/anie.1516189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开发用于光免疫疗法的有效光敏剂是非常理想的，但仍然具有挑战性，特别是考虑到传统分子设计中普遍依赖 π 共轭延伸。在此，我们提出了一种违反直觉的“π桥修剪”策略来构建高性能Ir(III)配合物光敏剂。与传统的π延伸方法不同，三环稠合</w:t>
      </w:r>
      <w:r>
        <w:t xml:space="preserve"> </w:t>
      </w:r>
      <w:r>
        <w:t>TTz-Ir</w:t>
      </w:r>
      <w:r>
        <w:t xml:space="preserve"> </w:t>
      </w:r>
      <w:r>
        <w:t>优于其 π 扩展五环稠合类似物</w:t>
      </w:r>
      <w:r>
        <w:t xml:space="preserve"> </w:t>
      </w:r>
      <w:r>
        <w:t>TBTz-Ir</w:t>
      </w:r>
      <w:r>
        <w:t xml:space="preserve"> </w:t>
      </w:r>
      <w:r>
        <w:t>在多个方面，包括摩尔吸收率、溶解度、光催化活性和光细胞毒性。机理研究表明，其优异的性能</w:t>
      </w:r>
      <w:r>
        <w:t xml:space="preserve"> </w:t>
      </w:r>
      <w:r>
        <w:t>TTz-Ir</w:t>
      </w:r>
      <w:r>
        <w:t xml:space="preserve"> </w:t>
      </w:r>
      <w:r>
        <w:t>源于其更长的三重态寿命、更有效的电荷分离以及有利于 I 型活性氧 (ROS) 生成的传输。在光照射下，</w:t>
      </w:r>
      <w:r>
        <w:t xml:space="preserve"> </w:t>
      </w:r>
      <w:r>
        <w:t>TTz-Ir</w:t>
      </w:r>
      <w:r>
        <w:t xml:space="preserve"> </w:t>
      </w:r>
      <w:r>
        <w:t>不仅产生</w:t>
      </w:r>
      <w:r>
        <w:rPr>
          <w:vertAlign w:val="subscript"/>
        </w:rPr>
        <w:t>1</w:t>
      </w:r>
      <w:r>
        <w:t>氧</w:t>
      </w:r>
      <w:r>
        <w:rPr>
          <w:vertAlign w:val="subscript"/>
        </w:rPr>
        <w:t>2</w:t>
      </w:r>
      <w:r>
        <w:t>通过能量转移，还可以有效地产生 I 型 ROS，例如 O</w:t>
      </w:r>
      <w:r>
        <w:rPr>
          <w:vertAlign w:val="subscript"/>
        </w:rPr>
        <w:t>2</w:t>
      </w:r>
      <w:r>
        <w:t>•−</w:t>
      </w:r>
      <w:r>
        <w:t>, H</w:t>
      </w:r>
      <w:r>
        <w:rPr>
          <w:vertAlign w:val="subscript"/>
        </w:rPr>
        <w:t>2</w:t>
      </w:r>
      <w:r>
        <w:t>氧</w:t>
      </w:r>
      <w:r>
        <w:rPr>
          <w:vertAlign w:val="subscript"/>
        </w:rPr>
        <w:t>2</w:t>
      </w:r>
      <w:r>
        <w:t>和•OH，主要通过氧还原反应（ORR）和水氧化反应（WOR）途径，确保即使在缺氧条件下也具有强大的光细胞毒性。这些 ROS 会诱导线粒体和核 DNA 损伤</w:t>
      </w:r>
    </w:p>
    <w:p>
      <w:pPr>
        <w:spacing w:before="0" w:after="200" w:lineRule="auto" w:line="276"/>
      </w:pPr>
      <w:r>
        <w:rPr>
          <w:b/>
        </w:rPr>
        <w:t xml:space="preserve">Abstract (EN): </w:t>
      </w:r>
      <w:r>
        <w:t>The development of effective photosensitizers for photo‐immunotherapy is highly desirable yet remains challenging, particularly given the prevailing reliance on π‐conjugation extension in conventional molecular design. Herein, we propose a counterintuitive “π‐bridge trimming” strategy to construct high‐performance Ir(III) complexes photosensitizers. Unlike the conventional π‐extension approach, the three‐ring fused</w:t>
      </w:r>
      <w:r>
        <w:t xml:space="preserve"> </w:t>
      </w:r>
      <w:r>
        <w:t>TTz‐Ir</w:t>
      </w:r>
      <w:r>
        <w:t xml:space="preserve"> </w:t>
      </w:r>
      <w:r>
        <w:t>outperforms its π‐extended five‐ring fused analog</w:t>
      </w:r>
      <w:r>
        <w:t xml:space="preserve"> </w:t>
      </w:r>
      <w:r>
        <w:t>TBTz‐Ir</w:t>
      </w:r>
      <w:r>
        <w:t xml:space="preserve"> </w:t>
      </w:r>
      <w:r>
        <w:t>in multiple aspects, including molar absorptivity, solubility, photocatalytic activity, and photocytotoxicity. Mechanistic studies revealed that the superior performance of</w:t>
      </w:r>
      <w:r>
        <w:t xml:space="preserve"> </w:t>
      </w:r>
      <w:r>
        <w:t>TTz‐Ir</w:t>
      </w:r>
      <w:r>
        <w:t xml:space="preserve"> </w:t>
      </w:r>
      <w:r>
        <w:t>stems from its longer triplet‐state lifetime, more efficient charge separation, and transport favoring type I reactive oxygen species (ROS) generation. Upon light irradiation,</w:t>
      </w:r>
      <w:r>
        <w:t xml:space="preserve"> </w:t>
      </w:r>
      <w:r>
        <w:t>TTz‐Ir</w:t>
      </w:r>
      <w:r>
        <w:t xml:space="preserve"> </w:t>
      </w:r>
      <w:r>
        <w:t>not only produces</w:t>
      </w:r>
      <w:r>
        <w:rPr>
          <w:vertAlign w:val="subscript"/>
        </w:rPr>
        <w:t>1</w:t>
      </w:r>
      <w:r>
        <w:t>O</w:t>
      </w:r>
      <w:r>
        <w:rPr>
          <w:vertAlign w:val="subscript"/>
        </w:rPr>
        <w:t>2</w:t>
      </w:r>
      <w:r>
        <w:t>via energy transfer, but also efficiently generates type I ROS such as O</w:t>
      </w:r>
      <w:r>
        <w:rPr>
          <w:vertAlign w:val="subscript"/>
        </w:rPr>
        <w:t>2</w:t>
      </w:r>
      <w:r>
        <w:t>•−</w:t>
      </w:r>
      <w:r>
        <w:t>, H</w:t>
      </w:r>
      <w:r>
        <w:rPr>
          <w:vertAlign w:val="subscript"/>
        </w:rPr>
        <w:t>2</w:t>
      </w:r>
      <w:r>
        <w:t>O</w:t>
      </w:r>
      <w:r>
        <w:rPr>
          <w:vertAlign w:val="subscript"/>
        </w:rPr>
        <w:t>2</w:t>
      </w:r>
      <w:r>
        <w:t>, and •OH, primarily through oxygen reduction reaction (ORR) and water oxidation reaction (WOR) pathways, ensuring robust photocytotoxicity even under hypoxia. These ROS induces mitochondrial and nuclear DNA damage, leading to activation of the cGAS‐STING pathway and robust antitumor immunity. When encapsulated into DSPE‐PEG</w:t>
      </w:r>
      <w:r>
        <w:rPr>
          <w:vertAlign w:val="subscript"/>
        </w:rPr>
        <w:t>2000</w:t>
      </w:r>
      <w:r>
        <w:t>‐Biotin,</w:t>
      </w:r>
      <w:r>
        <w:t xml:space="preserve"> </w:t>
      </w:r>
      <w:r>
        <w:t>TTz‐Ir NPs</w:t>
      </w:r>
      <w:r>
        <w:t xml:space="preserve"> </w:t>
      </w:r>
      <w:r>
        <w:t>achieve effective tumor accumulation and significant tumor suppression in vivo. This work provides a novel molecular design paradigm and efficient metal complexes for photo‐immunotherapy.</w:t>
      </w:r>
    </w:p>
    <w:p>
      <w:pPr>
        <w:spacing w:before="120" w:after="120"/>
      </w:pPr>
      <w:r>
        <w:rPr>
          <w:sz w:val="18"/>
        </w:rPr>
        <w:t>——————————————————————————————————————————————————————————————————————</w:t>
      </w:r>
    </w:p>
    <w:p>
      <w:pPr>
        <w:spacing w:before="160" w:after="40" w:line="240" w:lineRule="auto"/>
      </w:pPr>
      <w:r>
        <w:rPr>
          <w:b/>
        </w:rPr>
        <w:t xml:space="preserve">[55] </w:t>
      </w:r>
      <w:hyperlink r:id="rId372">
        <w:r>
          <w:rPr>
            <w:color w:val="1155CC"/>
            <w:u w:val="single"/>
          </w:rPr>
          <w:t>将有机抗衡阳离子纳入聚庚嗪酰亚胺网络以促进光催化 H2O2 演化过程中的质子耦合电子转移</w:t>
        </w:r>
      </w:hyperlink>
    </w:p>
    <w:p>
      <w:pPr>
        <w:spacing w:before="0" w:after="80"/>
      </w:pPr>
      <w:r>
        <w:rPr>
          <w:i/>
          <w:sz w:val="20"/>
        </w:rPr>
        <w:t>EN: Incorporation of Organic Counter‐Cations Into Poly(Heptazine Imide) Networks for Promoting Proton‐Coupled Electron Transfer During Photocatalytic H2O2 Evolution</w:t>
      </w:r>
    </w:p>
    <w:p>
      <w:pPr>
        <w:spacing w:before="0" w:after="120"/>
      </w:pPr>
      <w:r>
        <w:rPr>
          <w:b/>
        </w:rPr>
        <w:t xml:space="preserve">Source: </w:t>
      </w:r>
      <w:r>
        <w:t>Wiley-Online-Library: Angewandte Chemie International Edition: Table of Contents</w:t>
      </w:r>
      <w:r>
        <w:t xml:space="preserve">    </w:t>
      </w:r>
      <w:r>
        <w:rPr>
          <w:b/>
        </w:rPr>
        <w:t xml:space="preserve">Pub date: </w:t>
      </w:r>
      <w:r>
        <w:t>2026-06-13 16:58:17+00:00</w:t>
      </w:r>
      <w:r>
        <w:t xml:space="preserve">    </w:t>
      </w:r>
      <w:r>
        <w:rPr>
          <w:b/>
        </w:rPr>
        <w:t xml:space="preserve">DOI: </w:t>
      </w:r>
      <w:hyperlink r:id="rId373">
        <w:r>
          <w:rPr>
            <w:color w:val="1155CC"/>
            <w:u w:val="single"/>
          </w:rPr>
          <w:t>10.1002/anie.202524638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氮基鎓离子，例如甲基铵 (MA</w:t>
      </w:r>
      <w:r>
        <w:t xml:space="preserve"> </w:t>
      </w:r>
      <w:r>
        <w:t>+</w:t>
      </w:r>
      <w:r>
        <w:t xml:space="preserve"> </w:t>
      </w:r>
      <w:r>
        <w:t>), 甲脒 (FA</w:t>
      </w:r>
      <w:r>
        <w:t xml:space="preserve"> </w:t>
      </w:r>
      <w:r>
        <w:t>+</w:t>
      </w:r>
      <w:r>
        <w:t xml:space="preserve"> </w:t>
      </w:r>
      <w:r>
        <w:t>）和四甲基铵（TMA</w:t>
      </w:r>
      <w:r>
        <w:t xml:space="preserve"> </w:t>
      </w:r>
      <w:r>
        <w:t>+</w:t>
      </w:r>
      <w:r>
        <w:t xml:space="preserve"> </w:t>
      </w:r>
      <w:r>
        <w:t>）通过质子化酸碱反应策略用作聚（庚嗪酰亚胺）（PHI）网络中的抗衡离子。这将创建所有有机 PHI。化学成分分析证实了目标物种的成功适应，导致每个理想的 PHI 晶胞最多掺入 1 个阳离子。结构表征证实了晶相与母体 Na-PHI 的一致性。光催化H</w:t>
      </w:r>
      <w:r>
        <w:rPr>
          <w:vertAlign w:val="subscript"/>
        </w:rPr>
        <w:t>2</w:t>
      </w:r>
      <w:r>
        <w:t>氧</w:t>
      </w:r>
      <w:r>
        <w:rPr>
          <w:vertAlign w:val="subscript"/>
        </w:rPr>
        <w:t>2</w:t>
      </w:r>
      <w:r>
        <w:t>选择进化作为模型反应。在环境条件下，MA</w:t>
      </w:r>
      <w:r>
        <w:t xml:space="preserve"> </w:t>
      </w:r>
      <w:r>
        <w:t>+</w:t>
      </w:r>
      <w:r>
        <w:t xml:space="preserve"> </w:t>
      </w:r>
      <w:r>
        <w:t>‐PHI 显示出最佳性能，产生 7.6 mmol g</w:t>
      </w:r>
      <w:r>
        <w:t xml:space="preserve"> </w:t>
      </w:r>
      <w:r>
        <w:t>-</w:t>
      </w:r>
      <w:r>
        <w:rPr>
          <w:vertAlign w:val="subscript"/>
        </w:rPr>
        <w:t>1</w:t>
      </w:r>
      <w:r>
        <w:t>H</w:t>
      </w:r>
      <w:r>
        <w:rPr>
          <w:vertAlign w:val="subscript"/>
        </w:rPr>
        <w:t>2</w:t>
      </w:r>
      <w:r>
        <w:t>氧</w:t>
      </w:r>
      <w:r>
        <w:rPr>
          <w:vertAlign w:val="subscript"/>
        </w:rPr>
        <w:t>2</w:t>
      </w:r>
      <w:r>
        <w:t>427 nm LED 照射 1 小时后，AQY 为 13.9%，活性比 Na-PHI 类似物增强 42%。当施加 3 bar 的额外氧气压力时，H</w:t>
      </w:r>
      <w:r>
        <w:rPr>
          <w:vertAlign w:val="subscript"/>
        </w:rPr>
        <w:t>2</w:t>
      </w:r>
      <w:r>
        <w:t>氧</w:t>
      </w:r>
      <w:r>
        <w:rPr>
          <w:vertAlign w:val="subscript"/>
        </w:rPr>
        <w:t>2</w:t>
      </w:r>
      <w:r>
        <w:t>产量增加至 36.5 mmol g</w:t>
      </w:r>
      <w:r>
        <w:t xml:space="preserve"> </w:t>
      </w:r>
      <w:r>
        <w:t>-</w:t>
      </w:r>
      <w:r>
        <w:rPr>
          <w:vertAlign w:val="subscript"/>
        </w:rPr>
        <w:t>1</w:t>
      </w:r>
      <w:r>
        <w:t>，而 AQY 按比例增加至 ∼66.8%，是迄今为止报告的最高产出之一。光化学和光充电电子</w:t>
      </w:r>
    </w:p>
    <w:p>
      <w:pPr>
        <w:spacing w:before="0" w:after="200" w:lineRule="auto" w:line="276"/>
      </w:pPr>
      <w:r>
        <w:rPr>
          <w:b/>
        </w:rPr>
        <w:t xml:space="preserve">Abstract (EN): </w:t>
      </w:r>
      <w:r>
        <w:t>Nitrogen based onium ions such as methylammonium (MA</w:t>
      </w:r>
      <w:r>
        <w:t xml:space="preserve"> </w:t>
      </w:r>
      <w:r>
        <w:t>+</w:t>
      </w:r>
      <w:r>
        <w:t xml:space="preserve"> </w:t>
      </w:r>
      <w:r>
        <w:t>), formamidinium (FA</w:t>
      </w:r>
      <w:r>
        <w:t xml:space="preserve"> </w:t>
      </w:r>
      <w:r>
        <w:t>+</w:t>
      </w:r>
      <w:r>
        <w:t xml:space="preserve"> </w:t>
      </w:r>
      <w:r>
        <w:t>), and tetramethylammonium (TMA</w:t>
      </w:r>
      <w:r>
        <w:t xml:space="preserve"> </w:t>
      </w:r>
      <w:r>
        <w:t>+</w:t>
      </w:r>
      <w:r>
        <w:t xml:space="preserve"> </w:t>
      </w:r>
      <w:r>
        <w:t>) were used as counterions in poly(heptazine imide) (PHI) networks via a protonation‐acid base reaction strategy. This creates all organic PHIs. Chemical composition analysis confirmed the successful accommodation of target species, resulting in a maximum incorporation of 1 cation per ideal PHI unit cell. Structural characterization confirmed crystal phase consistency to that of parent Na‐PHI. Photocatalytic H</w:t>
      </w:r>
      <w:r>
        <w:rPr>
          <w:vertAlign w:val="subscript"/>
        </w:rPr>
        <w:t>2</w:t>
      </w:r>
      <w:r>
        <w:t>O</w:t>
      </w:r>
      <w:r>
        <w:rPr>
          <w:vertAlign w:val="subscript"/>
        </w:rPr>
        <w:t>2</w:t>
      </w:r>
      <w:r>
        <w:t>evolution was chosen as a model reaction. Under ambient conditions, MA</w:t>
      </w:r>
      <w:r>
        <w:t xml:space="preserve"> </w:t>
      </w:r>
      <w:r>
        <w:t>+</w:t>
      </w:r>
      <w:r>
        <w:t xml:space="preserve"> </w:t>
      </w:r>
      <w:r>
        <w:t>‐PHI showed the best performance, producing 7.6 mmol g</w:t>
      </w:r>
      <w:r>
        <w:t xml:space="preserve"> </w:t>
      </w:r>
      <w:r>
        <w:t>−</w:t>
      </w:r>
      <w:r>
        <w:rPr>
          <w:vertAlign w:val="subscript"/>
        </w:rPr>
        <w:t>1</w:t>
      </w:r>
      <w:r>
        <w:t>H</w:t>
      </w:r>
      <w:r>
        <w:rPr>
          <w:vertAlign w:val="subscript"/>
        </w:rPr>
        <w:t>2</w:t>
      </w:r>
      <w:r>
        <w:t>O</w:t>
      </w:r>
      <w:r>
        <w:rPr>
          <w:vertAlign w:val="subscript"/>
        </w:rPr>
        <w:t>2</w:t>
      </w:r>
      <w:r>
        <w:t>after 1 h of 427 nm LED irradiation, corresponding to an AQY of 13.9% and a 42% activity enhancement over the Na‐PHI analogue. When an additional oxygen pressure of 3 bars is applied, the H</w:t>
      </w:r>
      <w:r>
        <w:rPr>
          <w:vertAlign w:val="subscript"/>
        </w:rPr>
        <w:t>2</w:t>
      </w:r>
      <w:r>
        <w:t>O</w:t>
      </w:r>
      <w:r>
        <w:rPr>
          <w:vertAlign w:val="subscript"/>
        </w:rPr>
        <w:t>2</w:t>
      </w:r>
      <w:r>
        <w:t>yield increased to 36.5 mmol g</w:t>
      </w:r>
      <w:r>
        <w:t xml:space="preserve"> </w:t>
      </w:r>
      <w:r>
        <w:t>−</w:t>
      </w:r>
      <w:r>
        <w:rPr>
          <w:vertAlign w:val="subscript"/>
        </w:rPr>
        <w:t>1</w:t>
      </w:r>
      <w:r>
        <w:t>, while AQY increased proportionally to ∼66.8%, being one of highest outputs reported to date. Photochemical and photo‐charging experiments suggest that methylammonium moieties stabilize photoelectrons though coulombic interaction in an effective manner, while proton conductivity and photocatalytic experiments point out toward a PCET driven mechanism responsible for the recorded H</w:t>
      </w:r>
      <w:r>
        <w:rPr>
          <w:vertAlign w:val="subscript"/>
        </w:rPr>
        <w:t>2</w:t>
      </w:r>
      <w:r>
        <w:t>O</w:t>
      </w:r>
      <w:r>
        <w:rPr>
          <w:vertAlign w:val="subscript"/>
        </w:rPr>
        <w:t>2</w:t>
      </w:r>
      <w:r>
        <w:t>rate enhancements. These results showcase that counterion replacement, as applied in organic perovskites, also improves carbon nitride photosynthesis.</w:t>
      </w:r>
    </w:p>
    <w:p>
      <w:pPr>
        <w:spacing w:before="120" w:after="120"/>
      </w:pPr>
      <w:r>
        <w:rPr>
          <w:sz w:val="18"/>
        </w:rPr>
        <w:t>——————————————————————————————————————————————————————————————————————</w:t>
      </w:r>
    </w:p>
    <w:p>
      <w:pPr>
        <w:spacing w:before="160" w:after="40" w:line="240" w:lineRule="auto"/>
      </w:pPr>
      <w:r>
        <w:rPr>
          <w:b/>
        </w:rPr>
        <w:t xml:space="preserve">[56] </w:t>
      </w:r>
      <w:hyperlink r:id="rId374">
        <w:r>
          <w:rPr>
            <w:color w:val="1155CC"/>
            <w:u w:val="single"/>
          </w:rPr>
          <w:t>4-甲酰基-N-甲基吡啶介导的 N 末端半胱氨酸修饰/去除促进一锅法多重肽连接</w:t>
        </w:r>
      </w:hyperlink>
    </w:p>
    <w:p>
      <w:pPr>
        <w:spacing w:before="0" w:after="80"/>
      </w:pPr>
      <w:r>
        <w:rPr>
          <w:i/>
          <w:sz w:val="20"/>
        </w:rPr>
        <w:t>EN: 4‐Formyl‐N‐Methylpyridinium‐Mediated N‐Terminal Cysteine Modification/Removal Facilitates One‐Pot Multiplex Peptide Ligation</w:t>
      </w:r>
    </w:p>
    <w:p>
      <w:pPr>
        <w:spacing w:before="0" w:after="120"/>
      </w:pPr>
      <w:r>
        <w:rPr>
          <w:b/>
        </w:rPr>
        <w:t xml:space="preserve">Source: </w:t>
      </w:r>
      <w:r>
        <w:t>Wiley-Online-Library: Angewandte Chemie International Edition: Table of Contents</w:t>
      </w:r>
      <w:r>
        <w:t xml:space="preserve">    </w:t>
      </w:r>
      <w:r>
        <w:rPr>
          <w:b/>
        </w:rPr>
        <w:t xml:space="preserve">Pub date: </w:t>
      </w:r>
      <w:r>
        <w:t>2026-06-13 17:01:24+00:00</w:t>
      </w:r>
      <w:r>
        <w:t xml:space="preserve">    </w:t>
      </w:r>
      <w:r>
        <w:rPr>
          <w:b/>
        </w:rPr>
        <w:t xml:space="preserve">DOI: </w:t>
      </w:r>
      <w:hyperlink r:id="rId375">
        <w:r>
          <w:rPr>
            <w:color w:val="1155CC"/>
            <w:u w:val="single"/>
          </w:rPr>
          <w:t>10.1002/anie.3532271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具有位点特异性修饰的蛋白质的化学合成仍然是化学生物学中的基本挑战。一锅肽连接策略已成为提高合成效率的强大工具，主要依赖于 N 末端半胱氨酸 (Cys) 保护。然而，目前的Cys脱保护条件在反应过程中需要各种试剂或pH值调整，使得下游处理变得繁琐。在此，报道了一种使用 2-(N-甲基吡啶鎓-4-基)-噻唑烷 (4-NMP-Thz) 作为新型 N 末端 Cys 保护基团的可见光介导的脱保护策略。该反应由 [Ru(bpy) 催化</w:t>
      </w:r>
      <w:r>
        <w:rPr>
          <w:vertAlign w:val="subscript"/>
        </w:rPr>
        <w:t>3</w:t>
      </w:r>
      <w:r>
        <w:t>]氯</w:t>
      </w:r>
      <w:r>
        <w:rPr>
          <w:vertAlign w:val="subscript"/>
        </w:rPr>
        <w:t>2</w:t>
      </w:r>
      <w:r>
        <w:t>在生理 pH (6.0–8.0) 下，可实现顺利的一锅多段肽组装。该策略展示了与天然化学连接 (NCL) 和脱硫条件的完全正交性，无需中间纯化或 pH 调节。该方法用于促进 400 个氨基酸 (aa) 糖基化 MUC1 糖蛋白的高效一锅合成，该糖蛋白带有 40 个 O-糖基修饰，而使用先前报道的技术很难制备该糖蛋白。与较短的 MUC1 糖肽相比，400 个氨基酸的 MUC1 显着增强了抗原免疫原性。这种简化的方法为构建复杂的翻译后修饰蛋白质建立了一个强大的平台。</w:t>
      </w:r>
    </w:p>
    <w:p>
      <w:pPr>
        <w:spacing w:before="0" w:after="200" w:lineRule="auto" w:line="276"/>
      </w:pPr>
      <w:r>
        <w:rPr>
          <w:b/>
        </w:rPr>
        <w:t xml:space="preserve">Abstract (EN): </w:t>
      </w:r>
      <w:r>
        <w:t>The chemical synthesis of proteins with site‐specific modifications remains a fundamental challenge in chemical biology. One‐pot peptide ligation strategies have emerged as powerful tools to enhance synthetic efficiency, primarily relying on N‐terminal cysteine (Cys) protection. However, current Cys deprotection conditions require various reagents or pH adjustments during the reaction, rendering downstream processing cumbersome. Here, a visible‐light‐mediated deprotection strategy using 2‐(N‐methylpyridinium‐4‐yl)‐thiazolidine (4‐NMP‐Thz) as a novel N‐terminal Cys‐protecting group is reported. This reaction, catalyzed by [Ru(bpy)</w:t>
      </w:r>
      <w:r>
        <w:rPr>
          <w:vertAlign w:val="subscript"/>
        </w:rPr>
        <w:t>3</w:t>
      </w:r>
      <w:r>
        <w:t>]Cl</w:t>
      </w:r>
      <w:r>
        <w:rPr>
          <w:vertAlign w:val="subscript"/>
        </w:rPr>
        <w:t>2</w:t>
      </w:r>
      <w:r>
        <w:t>at physiological pH (6.0–8.0), enables smooth one‐pot multi‐segment peptide assembly. The strategy demonstrates complete orthogonality to native chemical ligation (NCL) and desulfurization conditions, eliminating the requirement for intermediate purification or pH adjustment. This methodology was used to facilitate an efficient one‐pot synthesis of a 400‐amino acid (aa) glycosylated MUC1 glycoprotein bearing 40 O‐glycosyl modifications that is difficult to prepare using previously reported techniques. The 400‐aa MUC1 significantly enhanced antigenic immunogenicity compared with shorter MUC1 glycopeptides. This streamlined approach establishes a robust platform for the construction of complex post‐translationally modified proteins.</w:t>
      </w:r>
    </w:p>
    <w:p>
      <w:pPr>
        <w:spacing w:before="120" w:after="120"/>
      </w:pPr>
      <w:r>
        <w:rPr>
          <w:sz w:val="18"/>
        </w:rPr>
        <w:t>——————————————————————————————————————————————————————————————————————</w:t>
      </w:r>
    </w:p>
    <w:p>
      <w:pPr>
        <w:spacing w:before="160" w:after="40" w:line="240" w:lineRule="auto"/>
      </w:pPr>
      <w:r>
        <w:rPr>
          <w:b/>
        </w:rPr>
        <w:t xml:space="preserve">[57] </w:t>
      </w:r>
      <w:hyperlink r:id="rId376">
        <w:r>
          <w:rPr>
            <w:color w:val="1155CC"/>
            <w:u w:val="single"/>
          </w:rPr>
          <w:t>通过基于二硫化物的聚合诱导微相分离实现 3D 打印纳米多孔热固性材料</w:t>
        </w:r>
      </w:hyperlink>
    </w:p>
    <w:p>
      <w:pPr>
        <w:spacing w:before="0" w:after="80"/>
      </w:pPr>
      <w:r>
        <w:rPr>
          <w:i/>
          <w:sz w:val="20"/>
        </w:rPr>
        <w:t>EN: 3D‐Printable Nanoporous Thermosets via Disulfide‐Based Polymerization‐Induced Microphase Separation</w:t>
      </w:r>
    </w:p>
    <w:p>
      <w:pPr>
        <w:spacing w:before="0" w:after="120"/>
      </w:pPr>
      <w:r>
        <w:rPr>
          <w:b/>
        </w:rPr>
        <w:t xml:space="preserve">Source: </w:t>
      </w:r>
      <w:r>
        <w:t>Wiley-Online-Library: Angewandte Chemie International Edition: Table of Contents</w:t>
      </w:r>
      <w:r>
        <w:t xml:space="preserve">    </w:t>
      </w:r>
      <w:r>
        <w:rPr>
          <w:b/>
        </w:rPr>
        <w:t xml:space="preserve">Pub date: </w:t>
      </w:r>
      <w:r>
        <w:t>2026-06-13 17:03:29+00:00</w:t>
      </w:r>
      <w:r>
        <w:t xml:space="preserve">    </w:t>
      </w:r>
      <w:r>
        <w:rPr>
          <w:b/>
        </w:rPr>
        <w:t xml:space="preserve">DOI: </w:t>
      </w:r>
      <w:hyperlink r:id="rId377">
        <w:r>
          <w:rPr>
            <w:color w:val="1155CC"/>
            <w:u w:val="single"/>
          </w:rPr>
          <w:t>10.1002/anie.8227484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互连的纳米多孔聚合物网络是需要快速质量传输的应用的核心，但它们通过聚合诱导微相分离（PIMS）制造仍然受到固定的宏观CTA极性、有限的配方兼容性以及难以转化为增材制造的限制。在这里，我们通过引入 PIMS 策略来解决这些限制，该策略利用具有系统可调节亲水性的化学可降解宏 CTA。这些大CTA是通过α-硫辛酸或硫辛酸乙酯与各种丙烯酸酯的可逆加成断裂链转移共聚合成的。这种多样化的宏观 CTA 库使得能够制备跨多种单体和交联剂化学物质的微相分离材料，这些材料很容易通过选择性二硫键裂解转化为具有明确孔径（24-42 nm）的纳米多孔热固性材料。重要的是，这些光固化树脂与液晶显示器 3D 打印兼容，允许制造复杂的分层结构，可以直接蚀刻以生成嵌入式纳米级孔隙，同时保持结构完整性。总的来说，可调谐和可降解的宏 CTA 将 3D 打印形状因素与可编程纳米级结构结合起来，为用于分离、催化和先进制造的分层结构材料提供了通用途径。</w:t>
      </w:r>
    </w:p>
    <w:p>
      <w:pPr>
        <w:spacing w:before="0" w:after="200" w:lineRule="auto" w:line="276"/>
      </w:pPr>
      <w:r>
        <w:rPr>
          <w:b/>
        </w:rPr>
        <w:t xml:space="preserve">Abstract (EN): </w:t>
      </w:r>
      <w:r>
        <w:t>Interconnected nanoporous polymer networks are central to applications that demand rapid mass transport, yet their fabrication by polymerization‐induced microphase separation (PIMS) remains constrained by fixed macroCTA polarity, limited formulation compatibility, and difficult translation to additive manufacturing. Here, we address these limitations by introducing a PIMS strategy utilizing chemically degradable macroCTAs with systematically tunable hydrophilicity. These macroCTAs were synthesized via reversible addition−fragmentation chain‐transfer copolymerization of α‐lipoic acid or ethyl lipoate with various acrylates. This diverse library of macroCTAs enabled the preparation of microphase‐separated materials across a broad range of monomer and crosslinker chemistries, which were readily converted into nanoporous thermosets with well‐defined pore sizes (24–42 nm) via selective disulfide cleavage. Critically, these photocurable resins are compatible with liquid‐crystal display 3D printing, allowing the fabrication of complex, hierarchical architectures that can be directly etched to generate embedded nanoscale porosity while preserving structural integrity. Collectively, tunable and degradable macroCTAs bridge 3D‐printable form factors with programmable nanoscale structure, providing a general route to hierarchically structured materials for separations, catalysis, and advanced manufacturing.</w:t>
      </w:r>
    </w:p>
    <w:p>
      <w:pPr>
        <w:spacing w:before="120" w:after="120"/>
      </w:pPr>
      <w:r>
        <w:rPr>
          <w:sz w:val="18"/>
        </w:rPr>
        <w:t>——————————————————————————————————————————————————————————————————————</w:t>
      </w:r>
    </w:p>
    <w:p>
      <w:pPr>
        <w:spacing w:before="160" w:after="40" w:line="240" w:lineRule="auto"/>
      </w:pPr>
      <w:r>
        <w:rPr>
          <w:b/>
        </w:rPr>
        <w:t xml:space="preserve">[58] </w:t>
      </w:r>
      <w:hyperlink r:id="rId378">
        <w:r>
          <w:rPr>
            <w:color w:val="1155CC"/>
            <w:u w:val="single"/>
          </w:rPr>
          <w:t>用于机械可重构生物皮逻辑门控合成的成纤维细胞模拟木质素聚合物体</w:t>
        </w:r>
      </w:hyperlink>
    </w:p>
    <w:p>
      <w:pPr>
        <w:spacing w:before="0" w:after="80"/>
      </w:pPr>
      <w:r>
        <w:rPr>
          <w:i/>
          <w:sz w:val="20"/>
        </w:rPr>
        <w:t>EN: Fibroblast‐Mimetic Lignin Polymersomes for Logic‐Gated Synthesis of Mechanically Reconfigurable Bioskins</w:t>
      </w:r>
    </w:p>
    <w:p>
      <w:pPr>
        <w:spacing w:before="0" w:after="120"/>
      </w:pPr>
      <w:r>
        <w:rPr>
          <w:b/>
        </w:rPr>
        <w:t xml:space="preserve">Source: </w:t>
      </w:r>
      <w:r>
        <w:t>Wiley-Online-Library: Angewandte Chemie International Edition: Table of Contents</w:t>
      </w:r>
      <w:r>
        <w:t xml:space="preserve">    </w:t>
      </w:r>
      <w:r>
        <w:rPr>
          <w:b/>
        </w:rPr>
        <w:t xml:space="preserve">Pub date: </w:t>
      </w:r>
      <w:r>
        <w:t>2026-06-13 17:10:15+00:00</w:t>
      </w:r>
      <w:r>
        <w:t xml:space="preserve">    </w:t>
      </w:r>
      <w:r>
        <w:rPr>
          <w:b/>
        </w:rPr>
        <w:t xml:space="preserve">DOI: </w:t>
      </w:r>
      <w:hyperlink r:id="rId379">
        <w:r>
          <w:rPr>
            <w:color w:val="1155CC"/>
            <w:u w:val="single"/>
          </w:rPr>
          <w:t>10.1002/anie.6127627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衰老是不可避免的，并且伴随着皮肤弹性的逐渐丧失。嵌入细胞外基质内的成纤维细胞通过膜结合配体精细调节皮肤力学。创建模拟成纤维细胞功能的合成组件既有吸引力又具有挑战性。在这里，我们提出了一种策略，将木质素与二乙烯基配体共组装以生成模拟成纤​​维细胞的聚合物囊泡，从而能够对散装材料进行精确编程，以在不同的生理阶段模拟人类皮肤。由于木质素聚合物囊泡是由相对较弱的π-π堆积驱动的，疏水性配体可以有效地插入芳环之间，并且它们的界面分布可以通过分子工程来调节。聚合物囊泡可以以布尔逻辑门方式（或、与和非）进行编程，以合成具有定制机械性能的仿皮肤凝胶，类似于成纤维细胞的行为。此外，该平台还能够按需、高分辨率地 3D 打印复杂的生物皮肤结构。这项工作为从分子到宏观尺度的合成和精确控制组装提供了仿生范例。</w:t>
      </w:r>
    </w:p>
    <w:p>
      <w:pPr>
        <w:spacing w:before="0" w:after="200" w:lineRule="auto" w:line="276"/>
      </w:pPr>
      <w:r>
        <w:rPr>
          <w:b/>
        </w:rPr>
        <w:t xml:space="preserve">Abstract (EN): </w:t>
      </w:r>
      <w:r>
        <w:t>Ageing is inevitable and accompanied by progressive loss of skin elasticity. Fibroblasts, embedded within the extracellular matrix, finely regulate skin mechanics via membrane‐bound ligands. Creating synthetic assemblies that mimic fibroblast function is appealing yet challenging. Here, we present a strategy that co‐assembles lignin with divinyl ligands to generate fibroblast‐mimicking polymersomes, enabling precise programming of bulk materials to emulate human skin across distinct physiological stages. Because lignin polymersomes are driven by relatively weak π–π stacking, hydrophobic ligands efficiently intercalate among aromatic rings, and their interfacial distribution can be tuned via molecular engineering. The polymersomes can be programmed in a Boolean logic‑gate manner (OR, AND, and NOT) to synthesize skin‐mimetic gels with tailored mechanical properties, analogous to fibroblast behavior. Furthermore, the platform enables on‑demand, high‑resolution 3D printing of complex bioskin architectures. This work provides a biomimetic paradigm for the synthesis and precise control over assembly from the molecular to the macroscopic scale.</w:t>
      </w:r>
    </w:p>
    <w:p>
      <w:pPr>
        <w:spacing w:before="120" w:after="120"/>
      </w:pPr>
      <w:r>
        <w:rPr>
          <w:sz w:val="18"/>
        </w:rPr>
        <w:t>——————————————————————————————————————————————————————————————————————</w:t>
      </w:r>
    </w:p>
    <w:p>
      <w:pPr>
        <w:spacing w:before="160" w:after="40" w:line="240" w:lineRule="auto"/>
      </w:pPr>
      <w:r>
        <w:rPr>
          <w:b/>
        </w:rPr>
        <w:t xml:space="preserve">[59] </w:t>
      </w:r>
      <w:hyperlink r:id="rId380">
        <w:r>
          <w:rPr>
            <w:color w:val="1155CC"/>
            <w:u w:val="single"/>
          </w:rPr>
          <w:t>苝二酰亚胺衍生的双（大环）配体通过直接湾区钯化提供手性多核 Pd(II) 配合物</w:t>
        </w:r>
      </w:hyperlink>
    </w:p>
    <w:p>
      <w:pPr>
        <w:spacing w:before="0" w:after="80"/>
      </w:pPr>
      <w:r>
        <w:rPr>
          <w:i/>
          <w:sz w:val="20"/>
        </w:rPr>
        <w:t>EN: Perylene Diimide‐Derived Bis(Macrocyclic) Ligand Affords Chiral Multinuclear Pd(II) Complexes via Direct Bay‐Region Palladation</w:t>
      </w:r>
    </w:p>
    <w:p>
      <w:pPr>
        <w:spacing w:before="0" w:after="120"/>
      </w:pPr>
      <w:r>
        <w:rPr>
          <w:b/>
        </w:rPr>
        <w:t xml:space="preserve">Source: </w:t>
      </w:r>
      <w:r>
        <w:t>Wiley-Online-Library: Angewandte Chemie International Edition: Table of Contents</w:t>
      </w:r>
      <w:r>
        <w:t xml:space="preserve">    </w:t>
      </w:r>
      <w:r>
        <w:rPr>
          <w:b/>
        </w:rPr>
        <w:t xml:space="preserve">Pub date: </w:t>
      </w:r>
      <w:r>
        <w:t>2026-06-13 17:11:22+00:00</w:t>
      </w:r>
      <w:r>
        <w:t xml:space="preserve">    </w:t>
      </w:r>
      <w:r>
        <w:rPr>
          <w:b/>
        </w:rPr>
        <w:t xml:space="preserve">DOI: </w:t>
      </w:r>
      <w:hyperlink r:id="rId381">
        <w:r>
          <w:rPr>
            <w:color w:val="1155CC"/>
            <w:u w:val="single"/>
          </w:rPr>
          <w:t>10.1002/anie.8176990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大环配体为结构明确的多金属结构提供了强大的途径，但酰亚胺官能化多环芳香族染料的直接π核金属化仍然难以控制。在此，我们提出了一种新的富氮双（大环）配体的设计和合成（</w:t>
      </w:r>
      <w:r>
        <w:rPr>
          <w:vertAlign w:val="subscript"/>
        </w:rPr>
        <w:t>1</w:t>
      </w:r>
      <w:r>
        <w:t>）基于苝二酰亚胺（PDI）支架。 Pd(II) 与该配体的配位触发了 PDI 海湾区域的直接 C─H 钯化，产生两种不同的复合物——双 Pd 和四 Pd 物质（</w:t>
      </w:r>
      <w:r>
        <w:t xml:space="preserve"> </w:t>
      </w:r>
      <w:r>
        <w:t>1-Pd</w:t>
      </w:r>
      <w:r>
        <w:rPr>
          <w:vertAlign w:val="subscript"/>
        </w:rPr>
        <w:t>2</w:t>
      </w:r>
      <w:r>
        <w:t xml:space="preserve"> </w:t>
      </w:r>
      <w:r>
        <w:t>和</w:t>
      </w:r>
      <w:r>
        <w:t xml:space="preserve"> </w:t>
      </w:r>
      <w:r>
        <w:t>1-Pd</w:t>
      </w:r>
      <w:r>
        <w:rPr>
          <w:vertAlign w:val="subscript"/>
        </w:rPr>
        <w:t>4</w:t>
      </w:r>
      <w:r>
        <w:t xml:space="preserve"> </w:t>
      </w:r>
      <w:r>
        <w:t>）——每个都具有大环空腔内不对称协调、桥接的 Pd 中心。此外，钯化会扭曲 PDI 核心并在大环框架中诱导构象手性。超快瞬态吸收测量进一步揭示了整个系列中激发态响应的系统变化。此外，OTTLE 光谱电化学研究表明，直接钯化可产生强烈的氧化还原响应性低能光学态，并在还原的 Pd 配合物中显着增强近红外吸收。这项工作为苝二酰亚胺染料的直接金属化提供了一条可行的合成路线，实现了强染料-金属电子耦合并建立了功能可调的手性多核配合物</w:t>
      </w:r>
    </w:p>
    <w:p>
      <w:pPr>
        <w:spacing w:before="0" w:after="200" w:lineRule="auto" w:line="276"/>
      </w:pPr>
      <w:r>
        <w:rPr>
          <w:b/>
        </w:rPr>
        <w:t xml:space="preserve">Abstract (EN): </w:t>
      </w:r>
      <w:r>
        <w:t>Macrocyclic ligands provide powerful access to structurally defined multi‐metallic architectures, yet direct π‐core metalation of imide‐functionalized polycyclic aromatic dyes remains difficult to control. Herein, we present the design and synthesis of a new nitrogen‐rich bis(macrocyclic) ligand (</w:t>
      </w:r>
      <w:r>
        <w:rPr>
          <w:vertAlign w:val="subscript"/>
        </w:rPr>
        <w:t>1</w:t>
      </w:r>
      <w:r>
        <w:t>) based on a perylene diimide (PDI) scaffold. Coordination of Pd(II) to this ligand triggers direct C─H palladation at the bay region of the PDI, yielding two distinct complexes—a bis‑Pd and a tetra‑Pd species (</w:t>
      </w:r>
      <w:r>
        <w:t xml:space="preserve"> </w:t>
      </w:r>
      <w:r>
        <w:t>1‐Pd</w:t>
      </w:r>
      <w:r>
        <w:rPr>
          <w:vertAlign w:val="subscript"/>
        </w:rPr>
        <w:t>2</w:t>
      </w:r>
      <w:r>
        <w:t xml:space="preserve"> </w:t>
      </w:r>
      <w:r>
        <w:t>and</w:t>
      </w:r>
      <w:r>
        <w:t xml:space="preserve"> </w:t>
      </w:r>
      <w:r>
        <w:t>1‐Pd</w:t>
      </w:r>
      <w:r>
        <w:rPr>
          <w:vertAlign w:val="subscript"/>
        </w:rPr>
        <w:t>4</w:t>
      </w:r>
      <w:r>
        <w:t xml:space="preserve"> </w:t>
      </w:r>
      <w:r>
        <w:t>)—each featuring asymmetrically coordinated, bridged Pd centers within the macrocyclic cavities. Furthermore, palladation distorts the PDI core and induces conformational chirality in the macrocyclic framework. Ultrafast transient absorption measurements further reveal systematic changes in the excited‐state response across the series. In addition, OTTLE spectroelectrochemical studies show that direct palladation creates strongly redox‐responsive low‐energy optical states, with markedly enhanced near‐IR absorption in the reduced Pd complexes. This work provides a feasible synthetic route for the direct metalation of perylene diimide dyes, enabling strong dye‐metal electronic coupling and establishing such chiral multinuclear complexes as functionally tunable multi‐metallic π‐systems.</w:t>
      </w:r>
    </w:p>
    <w:p>
      <w:pPr>
        <w:spacing w:before="120" w:after="120"/>
      </w:pPr>
      <w:r>
        <w:rPr>
          <w:sz w:val="18"/>
        </w:rPr>
        <w:t>——————————————————————————————————————————————————————————————————————</w:t>
      </w:r>
    </w:p>
    <w:p>
      <w:pPr>
        <w:spacing w:before="160" w:after="40" w:line="240" w:lineRule="auto"/>
      </w:pPr>
      <w:r>
        <w:rPr>
          <w:b/>
        </w:rPr>
        <w:t xml:space="preserve">[60] </w:t>
      </w:r>
      <w:hyperlink r:id="rId382">
        <w:r>
          <w:rPr>
            <w:color w:val="1155CC"/>
            <w:u w:val="single"/>
          </w:rPr>
          <w:t>大量研究暗示从卷烟转向电子烟存在风险</w:t>
        </w:r>
      </w:hyperlink>
    </w:p>
    <w:p>
      <w:pPr>
        <w:spacing w:before="0" w:after="80"/>
      </w:pPr>
      <w:r>
        <w:rPr>
          <w:i/>
          <w:sz w:val="20"/>
        </w:rPr>
        <w:t>EN: Huge study hints at risks of switching from tobacco cigarettes to vapes</w:t>
      </w:r>
    </w:p>
    <w:p>
      <w:pPr>
        <w:spacing w:before="0" w:after="120"/>
      </w:pPr>
      <w:r>
        <w:rPr>
          <w:b/>
        </w:rPr>
        <w:t xml:space="preserve">Source: </w:t>
      </w:r>
      <w:r>
        <w:t>Nature</w:t>
      </w:r>
      <w:r>
        <w:t xml:space="preserve">    </w:t>
      </w:r>
      <w:r>
        <w:rPr>
          <w:b/>
        </w:rPr>
        <w:t xml:space="preserve">Pub date: </w:t>
      </w:r>
      <w:r>
        <w:t>2026-06-14 00:00:00+00:00</w:t>
      </w:r>
      <w:r>
        <w:t xml:space="preserve">    </w:t>
      </w:r>
      <w:r>
        <w:rPr>
          <w:b/>
        </w:rPr>
        <w:t xml:space="preserve">DOI: </w:t>
      </w:r>
      <w:hyperlink r:id="rId383">
        <w:r>
          <w:rPr>
            <w:color w:val="1155CC"/>
            <w:u w:val="single"/>
          </w:rPr>
          <w:t>10.1038/d41586-026-01834-9</w:t>
        </w:r>
      </w:hyperlink>
    </w:p>
    <w:p>
      <w:pPr>
        <w:spacing w:before="0" w:after="120"/>
      </w:pPr>
      <w:r>
        <w:rPr>
          <w:b/>
        </w:rPr>
        <w:t xml:space="preserve">Notes: </w:t>
      </w:r>
      <w:r>
        <w:t>abstract_source=nature_html</w:t>
      </w:r>
    </w:p>
    <w:p>
      <w:pPr>
        <w:spacing w:before="0" w:after="80" w:lineRule="auto" w:line="276"/>
      </w:pPr>
      <w:r>
        <w:rPr>
          <w:b/>
        </w:rPr>
        <w:t xml:space="preserve">摘要（ZH）: </w:t>
      </w:r>
      <w:r>
        <w:t>吸电子烟的人患肺癌的风险高于完全戒烟的人。吸电子烟的人患肺癌的风险高于完全戒烟的人。</w:t>
      </w:r>
    </w:p>
    <w:p>
      <w:pPr>
        <w:spacing w:before="0" w:after="200" w:lineRule="auto" w:line="276"/>
      </w:pPr>
      <w:r>
        <w:rPr>
          <w:b/>
        </w:rPr>
        <w:t xml:space="preserve">Abstract (EN): </w:t>
      </w:r>
      <w:r>
        <w:t>Lung cancer risk was higher in people who took up electronic cigarettes than in those who quit smoking completely. Lung cancer risk was higher in people who took up electronic cigarettes than in those who quit smoking completely.</w:t>
      </w:r>
    </w:p>
    <w:p>
      <w:pPr>
        <w:spacing w:before="120" w:after="120"/>
      </w:pPr>
      <w:r>
        <w:rPr>
          <w:sz w:val="18"/>
        </w:rPr>
        <w:t>——————————————————————————————————————————————————————————————————————</w:t>
      </w:r>
    </w:p>
    <w:p>
      <w:pPr>
        <w:spacing w:before="160" w:after="40" w:line="240" w:lineRule="auto"/>
      </w:pPr>
      <w:r>
        <w:rPr>
          <w:b/>
        </w:rPr>
        <w:t xml:space="preserve">[61] </w:t>
      </w:r>
      <w:hyperlink r:id="rId384">
        <w:r>
          <w:rPr>
            <w:color w:val="1155CC"/>
            <w:u w:val="single"/>
          </w:rPr>
          <w:t>伊拉克、沙特阿拉伯和西班牙的可再生能源政策分析：使用 HOMER 和记录的系统性能数据进行多维评估</w:t>
        </w:r>
      </w:hyperlink>
    </w:p>
    <w:p>
      <w:pPr>
        <w:spacing w:before="0" w:after="80"/>
      </w:pPr>
      <w:r>
        <w:rPr>
          <w:i/>
          <w:sz w:val="20"/>
        </w:rPr>
        <w:t>EN: Renewable energy policy analysis in Iraq, Saudi Arabia, and Spain: A multi-dimensional assessment using HOMER and documented system performance data</w:t>
      </w:r>
    </w:p>
    <w:p>
      <w:pPr>
        <w:spacing w:before="0" w:after="120"/>
      </w:pPr>
      <w:r>
        <w:rPr>
          <w:b/>
        </w:rPr>
        <w:t xml:space="preserve">Source: </w:t>
      </w:r>
      <w:r>
        <w:t>ScienceDirect Publication: Energy Policy</w:t>
      </w:r>
      <w:r>
        <w:t xml:space="preserve">    </w:t>
      </w:r>
      <w:r>
        <w:rPr>
          <w:b/>
        </w:rPr>
        <w:t xml:space="preserve">Pub date: </w:t>
      </w:r>
      <w:r>
        <w:t>2026-06-14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[62] </w:t>
      </w:r>
      <w:hyperlink r:id="rId385">
        <w:r>
          <w:rPr>
            <w:color w:val="1155CC"/>
            <w:u w:val="single"/>
          </w:rPr>
          <w:t>附带影响：中美紧张局势和第三国能源转型</w:t>
        </w:r>
      </w:hyperlink>
    </w:p>
    <w:p>
      <w:pPr>
        <w:spacing w:before="0" w:after="80"/>
      </w:pPr>
      <w:r>
        <w:rPr>
          <w:i/>
          <w:sz w:val="20"/>
        </w:rPr>
        <w:t>EN: Collateral impact: U.S.-China tensions and energy transition in third countries</w:t>
      </w:r>
    </w:p>
    <w:p>
      <w:pPr>
        <w:spacing w:before="0" w:after="120"/>
      </w:pPr>
      <w:r>
        <w:rPr>
          <w:b/>
        </w:rPr>
        <w:t xml:space="preserve">Source: </w:t>
      </w:r>
      <w:r>
        <w:t>ScienceDirect Publication: Energy Policy</w:t>
      </w:r>
      <w:r>
        <w:t xml:space="preserve">    </w:t>
      </w:r>
      <w:r>
        <w:rPr>
          <w:b/>
        </w:rPr>
        <w:t xml:space="preserve">Pub date: </w:t>
      </w:r>
      <w:r>
        <w:t>2026-06-14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[63] </w:t>
      </w:r>
      <w:hyperlink r:id="rId386">
        <w:r>
          <w:rPr>
            <w:color w:val="1155CC"/>
            <w:u w:val="single"/>
          </w:rPr>
          <w:t>绿色证书和碳排放交易如何影响清洁能源投资？进化博弈模型的证据</w:t>
        </w:r>
      </w:hyperlink>
    </w:p>
    <w:p>
      <w:pPr>
        <w:spacing w:before="0" w:after="80"/>
      </w:pPr>
      <w:r>
        <w:rPr>
          <w:i/>
          <w:sz w:val="20"/>
        </w:rPr>
        <w:t>EN: How do green certificate and carbon emission trading impact clean energy investment? Evidence from evolutionary game modeling</w:t>
      </w:r>
    </w:p>
    <w:p>
      <w:pPr>
        <w:spacing w:before="0" w:after="120"/>
      </w:pPr>
      <w:r>
        <w:rPr>
          <w:b/>
        </w:rPr>
        <w:t xml:space="preserve">Source: </w:t>
      </w:r>
      <w:r>
        <w:t>ScienceDirect Publication: Energy Policy</w:t>
      </w:r>
      <w:r>
        <w:t xml:space="preserve">    </w:t>
      </w:r>
      <w:r>
        <w:rPr>
          <w:b/>
        </w:rPr>
        <w:t xml:space="preserve">Pub date: </w:t>
      </w:r>
      <w:r>
        <w:t>2026-06-14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[64] </w:t>
      </w:r>
      <w:hyperlink r:id="rId387">
        <w:r>
          <w:rPr>
            <w:color w:val="1155CC"/>
            <w:u w:val="single"/>
          </w:rPr>
          <w:t>能源和电力系统中的数字孪生：架构、应用程序、支持工具和公用事业规模实施的可行路线图</w:t>
        </w:r>
      </w:hyperlink>
    </w:p>
    <w:p>
      <w:pPr>
        <w:spacing w:before="0" w:after="80"/>
      </w:pPr>
      <w:r>
        <w:rPr>
          <w:i/>
          <w:sz w:val="20"/>
        </w:rPr>
        <w:t>EN: Digital Twins in energy and power systems: architectures, applications, enabling tools, and actionable roadmap for utility-scale implementation</w:t>
      </w:r>
    </w:p>
    <w:p>
      <w:pPr>
        <w:spacing w:before="0" w:after="120"/>
      </w:pPr>
      <w:r>
        <w:rPr>
          <w:b/>
        </w:rPr>
        <w:t xml:space="preserve">Source: </w:t>
      </w:r>
      <w:r>
        <w:t>ScienceDirect Publication: Applied Energy</w:t>
      </w:r>
      <w:r>
        <w:t xml:space="preserve">    </w:t>
      </w:r>
      <w:r>
        <w:rPr>
          <w:b/>
        </w:rPr>
        <w:t xml:space="preserve">Pub date: </w:t>
      </w:r>
      <w:r>
        <w:t>2026-06-14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[65] </w:t>
      </w:r>
      <w:hyperlink r:id="rId388">
        <w:r>
          <w:rPr>
            <w:color w:val="1155CC"/>
            <w:u w:val="single"/>
          </w:rPr>
          <w:t>配电网的动态运行范围：当前的进展、挑战和未来的机遇</w:t>
        </w:r>
      </w:hyperlink>
    </w:p>
    <w:p>
      <w:pPr>
        <w:spacing w:before="0" w:after="80"/>
      </w:pPr>
      <w:r>
        <w:rPr>
          <w:i/>
          <w:sz w:val="20"/>
        </w:rPr>
        <w:t>EN: Dynamic operating envelopes in distribution grids: Current advances, challenges, and future opportunities</w:t>
      </w:r>
    </w:p>
    <w:p>
      <w:pPr>
        <w:spacing w:before="0" w:after="120"/>
      </w:pPr>
      <w:r>
        <w:rPr>
          <w:b/>
        </w:rPr>
        <w:t xml:space="preserve">Source: </w:t>
      </w:r>
      <w:r>
        <w:t>ScienceDirect Publication: Applied Energy</w:t>
      </w:r>
      <w:r>
        <w:t xml:space="preserve">    </w:t>
      </w:r>
      <w:r>
        <w:rPr>
          <w:b/>
        </w:rPr>
        <w:t xml:space="preserve">Pub date: </w:t>
      </w:r>
      <w:r>
        <w:t>2026-06-14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[66] </w:t>
      </w:r>
      <w:hyperlink r:id="rId389">
        <w:r>
          <w:rPr>
            <w:color w:val="1155CC"/>
            <w:u w:val="single"/>
          </w:rPr>
          <w:t>最佳输电扩张适度降低了美国电力的脱碳成本</w:t>
        </w:r>
      </w:hyperlink>
    </w:p>
    <w:p>
      <w:pPr>
        <w:spacing w:before="0" w:after="80"/>
      </w:pPr>
      <w:r>
        <w:rPr>
          <w:i/>
          <w:sz w:val="20"/>
        </w:rPr>
        <w:t>EN: Optimal transmission expansion modestly reduces decarbonization costs of U.S. electricity</w:t>
      </w:r>
    </w:p>
    <w:p>
      <w:pPr>
        <w:spacing w:before="0" w:after="120"/>
      </w:pPr>
      <w:r>
        <w:rPr>
          <w:b/>
        </w:rPr>
        <w:t xml:space="preserve">Source: </w:t>
      </w:r>
      <w:r>
        <w:t>ScienceDirect Publication: Applied Energy</w:t>
      </w:r>
      <w:r>
        <w:t xml:space="preserve">    </w:t>
      </w:r>
      <w:r>
        <w:rPr>
          <w:b/>
        </w:rPr>
        <w:t xml:space="preserve">Pub date: </w:t>
      </w:r>
      <w:r>
        <w:t>2026-06-14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[67] </w:t>
      </w:r>
      <w:hyperlink r:id="rId390">
        <w:r>
          <w:rPr>
            <w:color w:val="1155CC"/>
            <w:u w:val="single"/>
          </w:rPr>
          <w:t>考虑作弊行为的基于PLF-IADP的多数据中心协调调度优化</w:t>
        </w:r>
      </w:hyperlink>
    </w:p>
    <w:p>
      <w:pPr>
        <w:spacing w:before="0" w:after="80"/>
      </w:pPr>
      <w:r>
        <w:rPr>
          <w:i/>
          <w:sz w:val="20"/>
        </w:rPr>
        <w:t>EN: PLF-IADP-based coordinated scheduling optimization for multiple data centers considering cheating behaviors</w:t>
      </w:r>
    </w:p>
    <w:p>
      <w:pPr>
        <w:spacing w:before="0" w:after="120"/>
      </w:pPr>
      <w:r>
        <w:rPr>
          <w:b/>
        </w:rPr>
        <w:t xml:space="preserve">Source: </w:t>
      </w:r>
      <w:r>
        <w:t>ScienceDirect Publication: Applied Energy</w:t>
      </w:r>
      <w:r>
        <w:t xml:space="preserve">    </w:t>
      </w:r>
      <w:r>
        <w:rPr>
          <w:b/>
        </w:rPr>
        <w:t xml:space="preserve">Pub date: </w:t>
      </w:r>
      <w:r>
        <w:t>2026-06-14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[68] </w:t>
      </w:r>
      <w:hyperlink r:id="rId391">
        <w:r>
          <w:rPr>
            <w:color w:val="1155CC"/>
            <w:u w:val="single"/>
          </w:rPr>
          <w:t>彻底改变下一代人工智能数据中心的热管理：挑战和突破性创新</w:t>
        </w:r>
      </w:hyperlink>
    </w:p>
    <w:p>
      <w:pPr>
        <w:spacing w:before="0" w:after="80"/>
      </w:pPr>
      <w:r>
        <w:rPr>
          <w:i/>
          <w:sz w:val="20"/>
        </w:rPr>
        <w:t>EN: Revolutionizing thermal Management in Next-Generation AI data centers: Challenges and breakthrough innovations</w:t>
      </w:r>
    </w:p>
    <w:p>
      <w:pPr>
        <w:spacing w:before="0" w:after="120"/>
      </w:pPr>
      <w:r>
        <w:rPr>
          <w:b/>
        </w:rPr>
        <w:t xml:space="preserve">Source: </w:t>
      </w:r>
      <w:r>
        <w:t>ScienceDirect Publication: Applied Energy</w:t>
      </w:r>
      <w:r>
        <w:t xml:space="preserve">    </w:t>
      </w:r>
      <w:r>
        <w:rPr>
          <w:b/>
        </w:rPr>
        <w:t xml:space="preserve">Pub date: </w:t>
      </w:r>
      <w:r>
        <w:t>2026-06-14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[69] </w:t>
      </w:r>
      <w:hyperlink r:id="rId392">
        <w:r>
          <w:rPr>
            <w:color w:val="1155CC"/>
            <w:u w:val="single"/>
          </w:rPr>
          <w:t>分层激励：当地充值对太阳能采用和福利的影响</w:t>
        </w:r>
      </w:hyperlink>
    </w:p>
    <w:p>
      <w:pPr>
        <w:spacing w:before="0" w:after="80"/>
      </w:pPr>
      <w:r>
        <w:rPr>
          <w:i/>
          <w:sz w:val="20"/>
        </w:rPr>
        <w:t>EN: Layering incentives: The impact of local top-ups on solar adoption and welfare</w:t>
      </w:r>
    </w:p>
    <w:p>
      <w:pPr>
        <w:spacing w:before="0" w:after="120"/>
      </w:pPr>
      <w:r>
        <w:rPr>
          <w:b/>
        </w:rPr>
        <w:t xml:space="preserve">Source: </w:t>
      </w:r>
      <w:r>
        <w:t>ScienceDirect Publication: Energy Policy</w:t>
      </w:r>
      <w:r>
        <w:t xml:space="preserve">    </w:t>
      </w:r>
      <w:r>
        <w:rPr>
          <w:b/>
        </w:rPr>
        <w:t xml:space="preserve">Pub date: </w:t>
      </w:r>
      <w:r>
        <w:t>2026-06-14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[70] </w:t>
      </w:r>
      <w:hyperlink r:id="rId393">
        <w:r>
          <w:rPr>
            <w:color w:val="1155CC"/>
            <w:u w:val="single"/>
          </w:rPr>
          <w:t>物理信息引导的暂态电压稳定性评估训练方法</w:t>
        </w:r>
      </w:hyperlink>
    </w:p>
    <w:p>
      <w:pPr>
        <w:spacing w:before="0" w:after="80"/>
      </w:pPr>
      <w:r>
        <w:rPr>
          <w:i/>
          <w:sz w:val="20"/>
        </w:rPr>
        <w:t>EN: Physical information-guided training method for transient voltage stability assessment</w:t>
      </w:r>
    </w:p>
    <w:p>
      <w:pPr>
        <w:spacing w:before="0" w:after="120"/>
      </w:pPr>
      <w:r>
        <w:rPr>
          <w:b/>
        </w:rPr>
        <w:t xml:space="preserve">Source: </w:t>
      </w:r>
      <w:r>
        <w:t>ScienceDirect Publication: Applied Energy</w:t>
      </w:r>
      <w:r>
        <w:t xml:space="preserve">    </w:t>
      </w:r>
      <w:r>
        <w:rPr>
          <w:b/>
        </w:rPr>
        <w:t xml:space="preserve">Pub date: </w:t>
      </w:r>
      <w:r>
        <w:t>2026-06-14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[71] </w:t>
      </w:r>
      <w:hyperlink r:id="rId394">
        <w:r>
          <w:rPr>
            <w:color w:val="1155CC"/>
            <w:u w:val="single"/>
          </w:rPr>
          <w:t>双极有机发光晶体管的最新进展：材料和器件</w:t>
        </w:r>
      </w:hyperlink>
    </w:p>
    <w:p>
      <w:pPr>
        <w:spacing w:before="0" w:after="80"/>
      </w:pPr>
      <w:r>
        <w:rPr>
          <w:i/>
          <w:sz w:val="20"/>
        </w:rPr>
        <w:t>EN: Recent advances in ambipolar organic light-emitting transistors: materials and devices</w:t>
      </w:r>
    </w:p>
    <w:p>
      <w:pPr>
        <w:spacing w:before="0" w:after="120"/>
      </w:pPr>
      <w:r>
        <w:rPr>
          <w:b/>
        </w:rPr>
        <w:t xml:space="preserve">Source: </w:t>
      </w:r>
      <w:r>
        <w:t>RSC - Chem. Soc. Rev. latest articles</w:t>
      </w:r>
      <w:r>
        <w:t xml:space="preserve">    </w:t>
      </w:r>
      <w:r>
        <w:rPr>
          <w:b/>
        </w:rPr>
        <w:t xml:space="preserve">Pub date: </w:t>
      </w:r>
      <w:r>
        <w:t>2026-06-14 23:00:00+00:00</w:t>
      </w:r>
    </w:p>
    <w:p>
      <w:pPr>
        <w:spacing w:before="0" w:after="120"/>
      </w:pPr>
      <w:r>
        <w:rPr>
          <w:b/>
        </w:rPr>
        <w:t xml:space="preserve">Notes: </w:t>
      </w:r>
      <w:r>
        <w:t>abstract_source=rsc_html</w:t>
      </w:r>
    </w:p>
    <w:p>
      <w:pPr>
        <w:spacing w:before="0" w:after="80" w:lineRule="auto" w:line="276"/>
      </w:pPr>
      <w:r>
        <w:rPr>
          <w:b/>
        </w:rPr>
        <w:t xml:space="preserve">摘要（ZH）: </w:t>
      </w:r>
      <w:r>
        <w:t>在有机发光晶体管（OLET）中实现平衡双极传输对于实现高性能电致发光和推进集成光电子学至关重要。然而，由于大多数有机半导体的电荷注入和传输不平衡，这一目标仍然具有挑战性。令人鼓舞的是，通过两种互补的方法已经做出了巨大的努力：开发双极高迁移率发射半导体的分子工程，以及补偿材料限制的器件架构优化。后者包括不对称电极、界面改性层、多层器件结构和双栅器件结构。本综述从材料和器件的角度总结了双极性 OLET 的最新进展，重点关注内在分子特性和外在器件设计之间的相互作用。最后，我们简要讨论了实现高效双极性 OLET 所面临的持续挑战和未来前景。</w:t>
      </w:r>
    </w:p>
    <w:p>
      <w:pPr>
        <w:spacing w:before="0" w:after="200" w:lineRule="auto" w:line="276"/>
      </w:pPr>
      <w:r>
        <w:rPr>
          <w:b/>
        </w:rPr>
        <w:t xml:space="preserve">Abstract (EN): </w:t>
      </w:r>
      <w:r>
        <w:t>Achieving balanced ambipolar transport in organic light-emitting transistors (OLETs) is crucial for realizing high-performance electroluminescence and advancing integrated optoelectronics. However, this goal remains challenging due to the imbalanced charge injection and transport for most organic semiconductors. Encouragingly, significant effort has been made through two complementary approaches: molecular engineering to develop ambipolar high-mobility emissive semiconductors, and device architecture optimization to compensate for material limitations. The latter encompasses asymmetric electrodes, interface modification layers, multi-layer device structures, and dual-gate device structures. This review summarizes recent advances in ambipolar OLETs from both materials and device perspectives, with emphasis on the interplay between intrinsic molecular properties and extrinsic device design. Finally, we briefly discuss the persistent challenges and future prospects for achieving high-efficiency ambipolar OLETs.</w:t>
      </w:r>
    </w:p>
    <w:p>
      <w:pPr>
        <w:spacing w:before="120" w:after="120"/>
      </w:pPr>
      <w:r>
        <w:rPr>
          <w:sz w:val="18"/>
        </w:rPr>
        <w:t>——————————————————————————————————————————————————————————————————————</w:t>
      </w:r>
    </w:p>
    <w:p>
      <w:pPr>
        <w:spacing w:before="160" w:after="40" w:line="240" w:lineRule="auto"/>
      </w:pPr>
      <w:r>
        <w:rPr>
          <w:b/>
        </w:rPr>
        <w:t xml:space="preserve">[72] </w:t>
      </w:r>
      <w:hyperlink r:id="rId395">
        <w:r>
          <w:rPr>
            <w:color w:val="1155CC"/>
            <w:u w:val="single"/>
          </w:rPr>
          <w:t>在现场和实验室中，有时最简单的工具就是最好的</w:t>
        </w:r>
      </w:hyperlink>
    </w:p>
    <w:p>
      <w:pPr>
        <w:spacing w:before="0" w:after="80"/>
      </w:pPr>
      <w:r>
        <w:rPr>
          <w:i/>
          <w:sz w:val="20"/>
        </w:rPr>
        <w:t>EN: In the field — and in the lab — sometimes the simplest tool is best</w:t>
      </w:r>
    </w:p>
    <w:p>
      <w:pPr>
        <w:spacing w:before="0" w:after="120"/>
      </w:pPr>
      <w:r>
        <w:rPr>
          <w:b/>
        </w:rPr>
        <w:t xml:space="preserve">Source: </w:t>
      </w:r>
      <w:r>
        <w:t>Nature</w:t>
      </w:r>
      <w:r>
        <w:t xml:space="preserve">    </w:t>
      </w:r>
      <w:r>
        <w:rPr>
          <w:b/>
        </w:rPr>
        <w:t xml:space="preserve">Pub date: </w:t>
      </w:r>
      <w:r>
        <w:t>2026-06-15 00:00:00+00:00</w:t>
      </w:r>
      <w:r>
        <w:t xml:space="preserve">    </w:t>
      </w:r>
      <w:r>
        <w:rPr>
          <w:b/>
        </w:rPr>
        <w:t xml:space="preserve">DOI: </w:t>
      </w:r>
      <w:hyperlink r:id="rId396">
        <w:r>
          <w:rPr>
            <w:color w:val="1155CC"/>
            <w:u w:val="single"/>
          </w:rPr>
          <w:t>10.1038/d41586-026-01885-y</w:t>
        </w:r>
      </w:hyperlink>
    </w:p>
    <w:p>
      <w:pPr>
        <w:spacing w:before="0" w:after="120"/>
      </w:pPr>
      <w:r>
        <w:rPr>
          <w:b/>
        </w:rPr>
        <w:t xml:space="preserve">Notes: </w:t>
      </w:r>
      <w:r>
        <w:t>abstract_source=nature_html</w:t>
      </w:r>
    </w:p>
    <w:p>
      <w:pPr>
        <w:spacing w:before="0" w:after="80" w:lineRule="auto" w:line="276"/>
      </w:pPr>
      <w:r>
        <w:rPr>
          <w:b/>
        </w:rPr>
        <w:t xml:space="preserve">摘要（ZH）: </w:t>
      </w:r>
      <w:r>
        <w:t>技术带来了前所未有的创新，但普通的家居用品可以帮助提高研究的可重复性和可获取性。技术带来了前所未有的创新，但普通的家居用品可以帮助提高研究的可重复性和可获取性。</w:t>
      </w:r>
    </w:p>
    <w:p>
      <w:pPr>
        <w:spacing w:before="0" w:after="200" w:lineRule="auto" w:line="276"/>
      </w:pPr>
      <w:r>
        <w:rPr>
          <w:b/>
        </w:rPr>
        <w:t xml:space="preserve">Abstract (EN): </w:t>
      </w:r>
      <w:r>
        <w:t>Technology has led to unprecedented innovation, but common household items can help make research more reproducible — and accessible. Technology has led to unprecedented innovation, but common household items can help make research more reproducible — and accessible.</w:t>
      </w:r>
    </w:p>
    <w:p>
      <w:pPr>
        <w:spacing w:before="120" w:after="120"/>
      </w:pPr>
      <w:r>
        <w:rPr>
          <w:sz w:val="18"/>
        </w:rPr>
        <w:t>——————————————————————————————————————————————————————————————————————</w:t>
      </w:r>
    </w:p>
    <w:p>
      <w:pPr>
        <w:spacing w:before="160" w:after="40" w:line="240" w:lineRule="auto"/>
      </w:pPr>
      <w:r>
        <w:rPr>
          <w:b/>
        </w:rPr>
        <w:t xml:space="preserve">[73] </w:t>
      </w:r>
      <w:hyperlink r:id="rId397">
        <w:r>
          <w:rPr>
            <w:color w:val="1155CC"/>
            <w:u w:val="single"/>
          </w:rPr>
          <w:t>为什么人们应该共同努力塑造经济</w:t>
        </w:r>
      </w:hyperlink>
    </w:p>
    <w:p>
      <w:pPr>
        <w:spacing w:before="0" w:after="80"/>
      </w:pPr>
      <w:r>
        <w:rPr>
          <w:i/>
          <w:sz w:val="20"/>
        </w:rPr>
        <w:t>EN: Why people should work together to shape the economy</w:t>
      </w:r>
    </w:p>
    <w:p>
      <w:pPr>
        <w:spacing w:before="0" w:after="120"/>
      </w:pPr>
      <w:r>
        <w:rPr>
          <w:b/>
        </w:rPr>
        <w:t xml:space="preserve">Source: </w:t>
      </w:r>
      <w:r>
        <w:t>Nature</w:t>
      </w:r>
      <w:r>
        <w:t xml:space="preserve">    </w:t>
      </w:r>
      <w:r>
        <w:rPr>
          <w:b/>
        </w:rPr>
        <w:t xml:space="preserve">Pub date: </w:t>
      </w:r>
      <w:r>
        <w:t>2026-06-15 00:00:00+00:00</w:t>
      </w:r>
      <w:r>
        <w:t xml:space="preserve">    </w:t>
      </w:r>
      <w:r>
        <w:rPr>
          <w:b/>
        </w:rPr>
        <w:t xml:space="preserve">DOI: </w:t>
      </w:r>
      <w:hyperlink r:id="rId398">
        <w:r>
          <w:rPr>
            <w:color w:val="1155CC"/>
            <w:u w:val="single"/>
          </w:rPr>
          <w:t>10.1038/d41586-026-01889-8</w:t>
        </w:r>
      </w:hyperlink>
    </w:p>
    <w:p>
      <w:pPr>
        <w:spacing w:before="0" w:after="120"/>
      </w:pPr>
      <w:r>
        <w:rPr>
          <w:b/>
        </w:rPr>
        <w:t xml:space="preserve">Notes: </w:t>
      </w:r>
      <w:r>
        <w:t>abstract_source=nature_html</w:t>
      </w:r>
    </w:p>
    <w:p>
      <w:pPr>
        <w:spacing w:before="0" w:after="80" w:lineRule="auto" w:line="276"/>
      </w:pPr>
      <w:r>
        <w:rPr>
          <w:b/>
        </w:rPr>
        <w:t xml:space="preserve">摘要（ZH）: </w:t>
      </w:r>
      <w:r>
        <w:t>经济学家阐述了社区如何指导经济决策，而不仅仅是承受其后果。经济学家阐述了社区如何指导经济决策，而不仅仅是承受其后果。</w:t>
      </w:r>
    </w:p>
    <w:p>
      <w:pPr>
        <w:spacing w:before="0" w:after="200" w:lineRule="auto" w:line="276"/>
      </w:pPr>
      <w:r>
        <w:rPr>
          <w:b/>
        </w:rPr>
        <w:t xml:space="preserve">Abstract (EN): </w:t>
      </w:r>
      <w:r>
        <w:t>An economist sets out how communities can direct economic decisions and not just endure their consequences. An economist sets out how communities can direct economic decisions and not just endure their consequences.</w:t>
      </w:r>
    </w:p>
    <w:p>
      <w:pPr>
        <w:spacing w:before="120" w:after="120"/>
      </w:pPr>
      <w:r>
        <w:rPr>
          <w:sz w:val="18"/>
        </w:rPr>
        <w:t>——————————————————————————————————————————————————————————————————————</w:t>
      </w:r>
    </w:p>
    <w:p>
      <w:pPr>
        <w:spacing w:before="160" w:after="40" w:line="240" w:lineRule="auto"/>
      </w:pPr>
      <w:r>
        <w:rPr>
          <w:b/>
        </w:rPr>
        <w:t xml:space="preserve">[74] </w:t>
      </w:r>
      <w:hyperlink r:id="rId399">
        <w:r>
          <w:rPr>
            <w:color w:val="1155CC"/>
            <w:u w:val="single"/>
          </w:rPr>
          <w:t>“每个盒子都已被打开”：伦敦植物园将 700 万个标本数字化</w:t>
        </w:r>
      </w:hyperlink>
    </w:p>
    <w:p>
      <w:pPr>
        <w:spacing w:before="0" w:after="80"/>
      </w:pPr>
      <w:r>
        <w:rPr>
          <w:i/>
          <w:sz w:val="20"/>
        </w:rPr>
        <w:t>EN: ‘Every box has been opened’: London botanic gardens digitizes 7 million specimens</w:t>
      </w:r>
    </w:p>
    <w:p>
      <w:pPr>
        <w:spacing w:before="0" w:after="120"/>
      </w:pPr>
      <w:r>
        <w:rPr>
          <w:b/>
        </w:rPr>
        <w:t xml:space="preserve">Source: </w:t>
      </w:r>
      <w:r>
        <w:t>Nature</w:t>
      </w:r>
      <w:r>
        <w:t xml:space="preserve">    </w:t>
      </w:r>
      <w:r>
        <w:rPr>
          <w:b/>
        </w:rPr>
        <w:t xml:space="preserve">Pub date: </w:t>
      </w:r>
      <w:r>
        <w:t>2026-06-15 00:00:00+00:00</w:t>
      </w:r>
      <w:r>
        <w:t xml:space="preserve">    </w:t>
      </w:r>
      <w:r>
        <w:rPr>
          <w:b/>
        </w:rPr>
        <w:t xml:space="preserve">DOI: </w:t>
      </w:r>
      <w:hyperlink r:id="rId400">
        <w:r>
          <w:rPr>
            <w:color w:val="1155CC"/>
            <w:u w:val="single"/>
          </w:rPr>
          <w:t>10.1038/d41586-026-01917-7</w:t>
        </w:r>
      </w:hyperlink>
    </w:p>
    <w:p>
      <w:pPr>
        <w:spacing w:before="0" w:after="120"/>
      </w:pPr>
      <w:r>
        <w:rPr>
          <w:b/>
        </w:rPr>
        <w:t xml:space="preserve">Notes: </w:t>
      </w:r>
      <w:r>
        <w:t>abstract_source=nature_html</w:t>
      </w:r>
    </w:p>
    <w:p>
      <w:pPr>
        <w:spacing w:before="0" w:after="80" w:lineRule="auto" w:line="276"/>
      </w:pPr>
      <w:r>
        <w:rPr>
          <w:b/>
        </w:rPr>
        <w:t xml:space="preserve">摘要（ZH）: </w:t>
      </w:r>
      <w:r>
        <w:t>随着邱园植物园完成对其藏品的扫描，人工智能工具可以帮助应对生物多样性丧失。随着邱园植物园完成对其藏品的扫描，人工智能工具可以帮助应对生物多样性丧失。</w:t>
      </w:r>
    </w:p>
    <w:p>
      <w:pPr>
        <w:spacing w:before="0" w:after="200" w:lineRule="auto" w:line="276"/>
      </w:pPr>
      <w:r>
        <w:rPr>
          <w:b/>
        </w:rPr>
        <w:t xml:space="preserve">Abstract (EN): </w:t>
      </w:r>
      <w:r>
        <w:t>As Kew Botanic Gardens completes a scan of its collections, AI tools could help in the fight against biodiversity loss. As Kew Botanic Gardens completes a scan of its collections, AI tools could help in the fight against biodiversity loss.</w:t>
      </w:r>
    </w:p>
    <w:p>
      <w:pPr>
        <w:spacing w:before="120" w:after="120"/>
      </w:pPr>
      <w:r>
        <w:rPr>
          <w:sz w:val="18"/>
        </w:rPr>
        <w:t>——————————————————————————————————————————————————————————————————————</w:t>
      </w:r>
    </w:p>
    <w:p>
      <w:pPr>
        <w:spacing w:before="160" w:after="40" w:line="240" w:lineRule="auto"/>
      </w:pPr>
      <w:r>
        <w:rPr>
          <w:b/>
        </w:rPr>
        <w:t xml:space="preserve">[75] </w:t>
      </w:r>
      <w:hyperlink r:id="rId401">
        <w:r>
          <w:rPr>
            <w:color w:val="1155CC"/>
            <w:u w:val="single"/>
          </w:rPr>
          <w:t>家庭脑植入让患有运动神经元疾病的男子恢复了日常生活</w:t>
        </w:r>
      </w:hyperlink>
    </w:p>
    <w:p>
      <w:pPr>
        <w:spacing w:before="0" w:after="80"/>
      </w:pPr>
      <w:r>
        <w:rPr>
          <w:i/>
          <w:sz w:val="20"/>
        </w:rPr>
        <w:t>EN: At-home brain implant gives man with motor neuron disease his daily life back</w:t>
      </w:r>
    </w:p>
    <w:p>
      <w:pPr>
        <w:spacing w:before="0" w:after="120"/>
      </w:pPr>
      <w:r>
        <w:rPr>
          <w:b/>
        </w:rPr>
        <w:t xml:space="preserve">Source: </w:t>
      </w:r>
      <w:r>
        <w:t>Nature</w:t>
      </w:r>
      <w:r>
        <w:t xml:space="preserve">    </w:t>
      </w:r>
      <w:r>
        <w:rPr>
          <w:b/>
        </w:rPr>
        <w:t xml:space="preserve">Pub date: </w:t>
      </w:r>
      <w:r>
        <w:t>2026-06-15 00:00:00+00:00</w:t>
      </w:r>
      <w:r>
        <w:t xml:space="preserve">    </w:t>
      </w:r>
      <w:r>
        <w:rPr>
          <w:b/>
        </w:rPr>
        <w:t xml:space="preserve">DOI: </w:t>
      </w:r>
      <w:hyperlink r:id="rId402">
        <w:r>
          <w:rPr>
            <w:color w:val="1155CC"/>
            <w:u w:val="single"/>
          </w:rPr>
          <w:t>10.1038/d41586-026-01863-4</w:t>
        </w:r>
      </w:hyperlink>
    </w:p>
    <w:p>
      <w:pPr>
        <w:spacing w:before="0" w:after="120"/>
      </w:pPr>
      <w:r>
        <w:rPr>
          <w:b/>
        </w:rPr>
        <w:t xml:space="preserve">Notes: </w:t>
      </w:r>
      <w:r>
        <w:t>abstract_source=nature_html</w:t>
      </w:r>
    </w:p>
    <w:p>
      <w:pPr>
        <w:spacing w:before="0" w:after="80" w:lineRule="auto" w:line="276"/>
      </w:pPr>
      <w:r>
        <w:rPr>
          <w:b/>
        </w:rPr>
        <w:t xml:space="preserve">摘要（ZH）: </w:t>
      </w:r>
      <w:r>
        <w:t>近两年来，该设备帮助一名患有运动神经元疾病的男子沟通和控制他的计算机。近两年来，该设备帮助一名患有运动神经元疾病的男子沟通和控制他的计算机。</w:t>
      </w:r>
    </w:p>
    <w:p>
      <w:pPr>
        <w:spacing w:before="0" w:after="200" w:lineRule="auto" w:line="276"/>
      </w:pPr>
      <w:r>
        <w:rPr>
          <w:b/>
        </w:rPr>
        <w:t xml:space="preserve">Abstract (EN): </w:t>
      </w:r>
      <w:r>
        <w:t>The device has helped a man with motor neuron disease communicate and control his computer for nearly two years. The device has helped a man with motor neuron disease communicate and control his computer for nearly two years.</w:t>
      </w:r>
    </w:p>
    <w:p>
      <w:pPr>
        <w:spacing w:before="120" w:after="120"/>
      </w:pPr>
      <w:r>
        <w:rPr>
          <w:sz w:val="18"/>
        </w:rPr>
        <w:t>——————————————————————————————————————————————————————————————————————</w:t>
      </w:r>
    </w:p>
    <w:p>
      <w:pPr>
        <w:spacing w:before="160" w:after="40" w:line="240" w:lineRule="auto"/>
      </w:pPr>
      <w:r>
        <w:rPr>
          <w:b/>
        </w:rPr>
        <w:t xml:space="preserve">[76] </w:t>
      </w:r>
      <w:hyperlink r:id="rId403">
        <w:r>
          <w:rPr>
            <w:color w:val="1155CC"/>
            <w:u w:val="single"/>
          </w:rPr>
          <w:t>人工智能如何揭示从蜂鸟到美洲狮等动物的秘密生活</w:t>
        </w:r>
      </w:hyperlink>
    </w:p>
    <w:p>
      <w:pPr>
        <w:spacing w:before="0" w:after="80"/>
      </w:pPr>
      <w:r>
        <w:rPr>
          <w:i/>
          <w:sz w:val="20"/>
        </w:rPr>
        <w:t>EN: How AI is revealing the secret lives of animals from hummingbirds to pumas</w:t>
      </w:r>
    </w:p>
    <w:p>
      <w:pPr>
        <w:spacing w:before="0" w:after="120"/>
      </w:pPr>
      <w:r>
        <w:rPr>
          <w:b/>
        </w:rPr>
        <w:t xml:space="preserve">Source: </w:t>
      </w:r>
      <w:r>
        <w:t>Nature</w:t>
      </w:r>
      <w:r>
        <w:t xml:space="preserve">    </w:t>
      </w:r>
      <w:r>
        <w:rPr>
          <w:b/>
        </w:rPr>
        <w:t xml:space="preserve">Pub date: </w:t>
      </w:r>
      <w:r>
        <w:t>2026-06-15 00:00:00+00:00</w:t>
      </w:r>
      <w:r>
        <w:t xml:space="preserve">    </w:t>
      </w:r>
      <w:r>
        <w:rPr>
          <w:b/>
        </w:rPr>
        <w:t xml:space="preserve">DOI: </w:t>
      </w:r>
      <w:hyperlink r:id="rId404">
        <w:r>
          <w:rPr>
            <w:color w:val="1155CC"/>
            <w:u w:val="single"/>
          </w:rPr>
          <w:t>10.1038/d41586-026-01887-w</w:t>
        </w:r>
      </w:hyperlink>
    </w:p>
    <w:p>
      <w:pPr>
        <w:spacing w:before="0" w:after="120"/>
      </w:pPr>
      <w:r>
        <w:rPr>
          <w:b/>
        </w:rPr>
        <w:t xml:space="preserve">Notes: </w:t>
      </w:r>
      <w:r>
        <w:t>abstract_source=nature_html</w:t>
      </w:r>
    </w:p>
    <w:p>
      <w:pPr>
        <w:spacing w:before="0" w:after="80" w:lineRule="auto" w:line="276"/>
      </w:pPr>
      <w:r>
        <w:rPr>
          <w:b/>
        </w:rPr>
        <w:t xml:space="preserve">摘要（ZH）: </w:t>
      </w:r>
      <w:r>
        <w:t>机器学习和其他技术的进步正在帮助研究人员追踪野生动物的运动、地标和社会实践。机器学习和其他技术的进步正在帮助研究人员追踪野生动物的运动、地标和社会实践。</w:t>
      </w:r>
    </w:p>
    <w:p>
      <w:pPr>
        <w:spacing w:before="0" w:after="200" w:lineRule="auto" w:line="276"/>
      </w:pPr>
      <w:r>
        <w:rPr>
          <w:b/>
        </w:rPr>
        <w:t xml:space="preserve">Abstract (EN): </w:t>
      </w:r>
      <w:r>
        <w:t>Advances in machine learning and other technologies are helping researchers to trace the movements, landmarks and social practices of wildlife. Advances in machine learning and other technologies are helping researchers to trace the movements, landmarks and social practices of wildlife.</w:t>
      </w:r>
    </w:p>
    <w:p>
      <w:pPr>
        <w:spacing w:before="120" w:after="120"/>
      </w:pPr>
      <w:r>
        <w:rPr>
          <w:sz w:val="18"/>
        </w:rPr>
        <w:t>——————————————————————————————————————————————————————————————————————</w:t>
      </w:r>
    </w:p>
    <w:p>
      <w:pPr>
        <w:spacing w:before="160" w:after="40" w:line="240" w:lineRule="auto"/>
      </w:pPr>
      <w:r>
        <w:rPr>
          <w:b/>
        </w:rPr>
        <w:t xml:space="preserve">[77] </w:t>
      </w:r>
      <w:hyperlink r:id="rId405">
        <w:r>
          <w:rPr>
            <w:color w:val="1155CC"/>
            <w:u w:val="single"/>
          </w:rPr>
          <w:t>登革热病毒的全球源库动态和地方性传播边缘地区的流行病建立</w:t>
        </w:r>
      </w:hyperlink>
    </w:p>
    <w:p>
      <w:pPr>
        <w:spacing w:before="0" w:after="80"/>
      </w:pPr>
      <w:r>
        <w:rPr>
          <w:i/>
          <w:sz w:val="20"/>
        </w:rPr>
        <w:t>EN: Global source-sink dynamics of dengue viruses and epidemic establishment in areas on the fringe of endemic transmission</w:t>
      </w:r>
    </w:p>
    <w:p>
      <w:pPr>
        <w:spacing w:before="0" w:after="120"/>
      </w:pPr>
      <w:r>
        <w:rPr>
          <w:b/>
        </w:rPr>
        <w:t xml:space="preserve">Source: </w:t>
      </w:r>
      <w:r>
        <w:t>National Science Review Advance Access</w:t>
      </w:r>
      <w:r>
        <w:t xml:space="preserve">    </w:t>
      </w:r>
      <w:r>
        <w:rPr>
          <w:b/>
        </w:rPr>
        <w:t xml:space="preserve">Pub date: </w:t>
      </w:r>
      <w:r>
        <w:t>2026-06-15 00:00:00+00:00</w:t>
      </w:r>
      <w:r>
        <w:t xml:space="preserve">    </w:t>
      </w:r>
      <w:r>
        <w:rPr>
          <w:b/>
        </w:rPr>
        <w:t xml:space="preserve">DOI: </w:t>
      </w:r>
      <w:hyperlink r:id="rId406">
        <w:r>
          <w:rPr>
            <w:color w:val="1155CC"/>
            <w:u w:val="single"/>
          </w:rPr>
          <w:t>10.1093/nsr/nwag372</w:t>
        </w:r>
      </w:hyperlink>
    </w:p>
    <w:p>
      <w:pPr>
        <w:spacing w:before="0" w:after="120"/>
      </w:pPr>
      <w:r>
        <w:rPr>
          <w:b/>
        </w:rPr>
        <w:t xml:space="preserve">Notes: </w:t>
      </w:r>
      <w:r>
        <w:t>abstract_source=rss_oup</w:t>
      </w:r>
    </w:p>
    <w:p>
      <w:pPr>
        <w:spacing w:before="0" w:after="80" w:lineRule="auto" w:line="276"/>
      </w:pPr>
      <w:r>
        <w:rPr>
          <w:b/>
        </w:rPr>
        <w:t xml:space="preserve">摘要（ZH）: </w:t>
      </w:r>
      <w:r>
        <w:t>登革热病毒（DENV）的全球扩张对公共卫生构成了重大威胁，但其传播动态仍知之甚少。通过将全球遗传、流行病学和流动性数据整合到系统动力学框架内，我们表明登革热病毒循环遵循源-汇模型，热带流行地区充当持久性病毒储存库（“源”），在温带地区（“汇”）传播流行病。除华南地区外，大多数地方性传播边缘地区都表现出类似汇的特征。与高强度的源-汇方向相比，我们确定了从华南到亚洲流行的低强度传播路线，以及华南地区偶尔发生的 DENV1 越冬事件。总之，这些发现表明华南地区处于流行地区和非流行地区之间的中间状态。这些全球 DENV 路径主要由航空旅行驱动，并因与 COVID-19 大流行相关的扰动而被重塑。我们的研究结果强调，登革热在一个完全相互关联的全球系统中传播，需要从局部控制转向全球协调的干预工作，并强调在边缘地区的人-媒介界面进行全年基因组监测的重要性。</w:t>
      </w:r>
    </w:p>
    <w:p>
      <w:pPr>
        <w:spacing w:before="0" w:after="200" w:lineRule="auto" w:line="276"/>
      </w:pPr>
      <w:r>
        <w:rPr>
          <w:b/>
        </w:rPr>
        <w:t xml:space="preserve">Abstract (EN): </w:t>
      </w:r>
      <w:r>
        <w:t>The global expansion of dengue virus (DENV) poses a major public health threat, yet its circulation dynamics remain poorly understood. By integrating global genetic, epidemiological, and mobility data within a phylodynamic framework, we show that DENV circulation follows a source-sink model, with tropical endemic regions acting as persistent viral reservoirs (‘sources’) that seed epidemics in temperate areas (‘sinks’). Most areas at the fringe of endemic transmission exhibit sink-like characteristics with exception of South China. We identity a low-intensity dispersal route from South China to endemic Asia compared with the high-intensity source-to-sink direction, along with occasional DENV1 overwintering events in South China. Together, these findings suggest that South China occupies an intermediate state between endemic and non-endemic areas. These global DENV pathways were primarily driven by air travel and were reshaped by COVID-19 pandemic-related perturbations. Our findings highlight that dengue circulates within a fully interconnected global system that requires a shift from localized control to globally coordinated intervention efforts, as well as emphasize the importance of year-round genomic surveillance at the human-vector interface in fringe areas.</w:t>
      </w:r>
    </w:p>
    <w:p>
      <w:pPr>
        <w:spacing w:before="120" w:after="120"/>
      </w:pPr>
      <w:r>
        <w:rPr>
          <w:sz w:val="18"/>
        </w:rPr>
        <w:t>——————————————————————————————————————————————————————————————————————</w:t>
      </w:r>
    </w:p>
    <w:p>
      <w:pPr>
        <w:spacing w:before="160" w:after="40" w:line="240" w:lineRule="auto"/>
      </w:pPr>
      <w:r>
        <w:rPr>
          <w:b/>
        </w:rPr>
        <w:t xml:space="preserve">[78] </w:t>
      </w:r>
      <w:hyperlink r:id="rId407">
        <w:r>
          <w:rPr>
            <w:color w:val="1155CC"/>
            <w:u w:val="single"/>
          </w:rPr>
          <w:t>企业感知到的政治不稳定是否会影响能源贫困？</w:t>
        </w:r>
      </w:hyperlink>
    </w:p>
    <w:p>
      <w:pPr>
        <w:spacing w:before="0" w:after="80"/>
      </w:pPr>
      <w:r>
        <w:rPr>
          <w:i/>
          <w:sz w:val="20"/>
        </w:rPr>
        <w:t>EN: Does firms’ perceived political instability affect energy poverty?</w:t>
      </w:r>
    </w:p>
    <w:p>
      <w:pPr>
        <w:spacing w:before="0" w:after="120"/>
      </w:pPr>
      <w:r>
        <w:rPr>
          <w:b/>
        </w:rPr>
        <w:t xml:space="preserve">Source: </w:t>
      </w:r>
      <w:r>
        <w:t>ScienceDirect Publication: Energy Policy</w:t>
      </w:r>
      <w:r>
        <w:t xml:space="preserve">    </w:t>
      </w:r>
      <w:r>
        <w:rPr>
          <w:b/>
        </w:rPr>
        <w:t xml:space="preserve">Pub date: </w:t>
      </w:r>
      <w:r>
        <w:t>2026-06-15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[79] </w:t>
      </w:r>
      <w:hyperlink r:id="rId408">
        <w:r>
          <w:rPr>
            <w:color w:val="1155CC"/>
            <w:u w:val="single"/>
          </w:rPr>
          <w:t>大脑的高能效信息处理动力学</w:t>
        </w:r>
      </w:hyperlink>
    </w:p>
    <w:p>
      <w:pPr>
        <w:spacing w:before="0" w:after="80"/>
      </w:pPr>
      <w:r>
        <w:rPr>
          <w:i/>
          <w:sz w:val="20"/>
        </w:rPr>
        <w:t>EN: Highly energy efficient information handling dynamics of brain</w:t>
      </w:r>
    </w:p>
    <w:p>
      <w:pPr>
        <w:spacing w:before="0" w:after="120"/>
      </w:pPr>
      <w:r>
        <w:rPr>
          <w:b/>
        </w:rPr>
        <w:t xml:space="preserve">Source: </w:t>
      </w:r>
      <w:r>
        <w:t>National Science Review Advance Access</w:t>
      </w:r>
      <w:r>
        <w:t xml:space="preserve">    </w:t>
      </w:r>
      <w:r>
        <w:rPr>
          <w:b/>
        </w:rPr>
        <w:t xml:space="preserve">Pub date: </w:t>
      </w:r>
      <w:r>
        <w:t>2026-06-15 00:00:00+00:00</w:t>
      </w:r>
      <w:r>
        <w:t xml:space="preserve">    </w:t>
      </w:r>
      <w:r>
        <w:rPr>
          <w:b/>
        </w:rPr>
        <w:t xml:space="preserve">DOI: </w:t>
      </w:r>
      <w:hyperlink r:id="rId409">
        <w:r>
          <w:rPr>
            <w:color w:val="1155CC"/>
            <w:u w:val="single"/>
          </w:rPr>
          <w:t>10.1093/nsr/nwag373</w:t>
        </w:r>
      </w:hyperlink>
    </w:p>
    <w:p>
      <w:pPr>
        <w:spacing w:before="0" w:after="120"/>
      </w:pPr>
      <w:r>
        <w:rPr>
          <w:b/>
        </w:rPr>
        <w:t xml:space="preserve">Notes: </w:t>
      </w:r>
      <w:r>
        <w:t>abstract_source=rss_oup</w:t>
      </w:r>
    </w:p>
    <w:p>
      <w:pPr>
        <w:spacing w:before="0" w:after="80" w:lineRule="auto" w:line="276"/>
      </w:pPr>
      <w:r>
        <w:rPr>
          <w:b/>
        </w:rPr>
        <w:t xml:space="preserve">摘要（ZH）: </w:t>
      </w:r>
      <w:r>
        <w:t>人工智能可以在特定任务上超越人类，但能源成本极高。在这里，我们证明大脑可以将神经元聚集成球体，以实现节能的超长时间电生理活动。混沌动力学和分形理论论证了大脑在时空结构中神经元的全局协作下通过形成电生理奇异吸引子来记忆和处理信息的原理。然后可以构建基于神经球的大脑信息处理动力学，预测人脑的存储容量为 7.48×1018 Byte（比之前的估计高出 3 个数量级），计算能力为 6.24×1018 FLOPS（约 78 000 个现代 GPU），根据兰道尔原理，能源效率高达 79%，比最新计算机芯片高 8 个数量级。</w:t>
      </w:r>
    </w:p>
    <w:p>
      <w:pPr>
        <w:spacing w:before="0" w:after="200" w:lineRule="auto" w:line="276"/>
      </w:pPr>
      <w:r>
        <w:rPr>
          <w:b/>
        </w:rPr>
        <w:t xml:space="preserve">Abstract (EN): </w:t>
      </w:r>
      <w:r>
        <w:t>Artificial intelligence can outperform humans in specific tasks but at extremely high energy cost. Here we show that brain can agglomerate neurons into sphere to achieve energy-efficient ultra-long period electrophysiological activities. Chaos dynamics and fractal theory demonstrated the principle of brain to memorize and process information through formation of electrophysiological strange attractors under the global cooperation of neurons in the spatio-temporal structure. Then the neural sphere based information handling dynamics of brain can be constructed, predicting a storage capacity of 7.48×1018 Byte (3 orders higher than the previous estimates) and a computational power of 6.24×1018 FLOPS (≈ 78 000 modern GPUs) for human brain with a surprising energy efficiency up to 79% via Landauer’s principle, 8-order higher than that of the latest computer chips.</w:t>
      </w:r>
    </w:p>
    <w:p>
      <w:pPr>
        <w:spacing w:before="120" w:after="120"/>
      </w:pPr>
      <w:r>
        <w:rPr>
          <w:sz w:val="18"/>
        </w:rPr>
        <w:t>——————————————————————————————————————————————————————————————————————</w:t>
      </w:r>
    </w:p>
    <w:p>
      <w:pPr>
        <w:spacing w:before="160" w:after="40" w:line="240" w:lineRule="auto"/>
      </w:pPr>
      <w:r>
        <w:rPr>
          <w:b/>
        </w:rPr>
        <w:t xml:space="preserve">[80] </w:t>
      </w:r>
      <w:hyperlink r:id="rId410">
        <w:r>
          <w:rPr>
            <w:color w:val="1155CC"/>
            <w:u w:val="single"/>
          </w:rPr>
          <w:t>土壤宏基因组和有机质化学的大陆尺度整合揭示了普遍存在的微生物化学顽抗碳分解能力</w:t>
        </w:r>
      </w:hyperlink>
    </w:p>
    <w:p>
      <w:pPr>
        <w:spacing w:before="0" w:after="80"/>
      </w:pPr>
      <w:r>
        <w:rPr>
          <w:i/>
          <w:sz w:val="20"/>
        </w:rPr>
        <w:t>EN: Continental-scale integration of soil metagenomes and organic matter chemistry reveals ubiquitous microbial capacity for chemically-recalcitrant carbon decomposition</w:t>
      </w:r>
    </w:p>
    <w:p>
      <w:pPr>
        <w:spacing w:before="0" w:after="120"/>
      </w:pPr>
      <w:r>
        <w:rPr>
          <w:b/>
        </w:rPr>
        <w:t xml:space="preserve">Source: </w:t>
      </w:r>
      <w:r>
        <w:t>Earth and environmental sciences : Nature Communications subject feeds</w:t>
      </w:r>
      <w:r>
        <w:t xml:space="preserve">    </w:t>
      </w:r>
      <w:r>
        <w:rPr>
          <w:b/>
        </w:rPr>
        <w:t xml:space="preserve">Pub date: </w:t>
      </w:r>
      <w:r>
        <w:t>2026-06-15 00:00:00+00:00</w:t>
      </w:r>
    </w:p>
    <w:p>
      <w:pPr>
        <w:spacing w:before="0" w:after="120"/>
      </w:pPr>
      <w:r>
        <w:rPr>
          <w:b/>
        </w:rPr>
        <w:t xml:space="preserve">Notes: </w:t>
      </w:r>
      <w:r>
        <w:t>abstract_source=nature_html</w:t>
      </w:r>
    </w:p>
    <w:p>
      <w:pPr>
        <w:spacing w:before="0" w:after="80" w:lineRule="auto" w:line="276"/>
      </w:pPr>
      <w:r>
        <w:rPr>
          <w:b/>
        </w:rPr>
        <w:t xml:space="preserve">摘要（ZH）: </w:t>
      </w:r>
      <w:r>
        <w:t>微生物对土壤有机质（SOM）的分解是预测陆地碳-大气反馈的一个主要不确定性，部分原因是我们对跨环境梯度解聚不同碳库所涉及的微生物多样性缺乏了解。我们使用大陆规模的数据集将鸟枪法宏基因组与高分辨率 SOM 化学配对，组装 0.76 Tbp 的原核 MAG（828 个基因组），并从使用 106 个土壤的呼吸速率选择的 47 个标准化美国土壤核心中识别出 66,727 个 SOM 分子，从而解决了这一差距。整合这些数据集揭示了微生物解聚先前被认为稳定的化学顽抗性 SOM 的广泛潜力。我们发现了两个丰富的细菌目（根瘤菌目和Chthoniobacterales）和一个古菌目（亚硝化球菌目）所属属之间的​​互补代谢特化。这种代谢分配在土壤深度和活动水平上是一致的，表明复杂的 SOM 通过不同但互补的生化策略进行协调分解。傅里叶变换离子回旋共振质谱 (FTICR-MS) 和代谢模型的通量平衡分析表明，土壤中这些分子的丰度支持了化学顽抗化合物解聚的代谢潜力。我们的结果表明，表面上稳定的 SOM 的很大一部分仍然容易受到微生物分解的影响，这是当前地球系统模型中未捕获的机制。</w:t>
      </w:r>
    </w:p>
    <w:p>
      <w:pPr>
        <w:spacing w:before="0" w:after="200" w:lineRule="auto" w:line="276"/>
      </w:pPr>
      <w:r>
        <w:rPr>
          <w:b/>
        </w:rPr>
        <w:t xml:space="preserve">Abstract (EN): </w:t>
      </w:r>
      <w:r>
        <w:t>Soil organic matter (SOM) decomposition by microorganisms is a major uncertainty in predicting terrestrial carbon–atmosphere feedbacks, partly because we lack understanding of the microbial diversity involved in depolymerizing different carbon pools across environmental gradients. We address this gap using a continental-scale dataset pairing shotgun metagenomes with high-resolution SOM chemistry, assembling 0.76 Tbp of prokaryotic MAGs (828 genomes) and identifying 66,727 SOM molecules from 47 standardized U.S. soil cores selected using respiration rates from 106 soils. Integrating these datasets reveals widespread microbial potential for depolymerizing chemically-recalcitrant SOM previously considered stable. We uncover complementary metabolic specialization between genera affiliated with two abundant bacterial orders, Rhizobiales and Chthoniobacterales, and an archaeal order, Nitrososphaerales. This metabolic partitioning is consistent across soil depths and activity levels, suggesting coordinated decomposition of complex SOM through distinct but complementary biochemical strategies. The metabolic potential for depolymerization of chemically-recalcitrant compounds is supported by the abundance of these molecules across the soils, as indicated by Fourier-Transform Ion Cyclotron Resonance Mass Spectrometry (FTICR-MS), and by flux balance analysis of metabolic models. Our results show that a substantial portion of ostensibly stable SOM remains vulnerable to microbial decomposition, a mechanism not captured in current Earth System Models.</w:t>
      </w:r>
    </w:p>
    <w:p>
      <w:pPr>
        <w:spacing w:before="120" w:after="120"/>
      </w:pPr>
      <w:r>
        <w:rPr>
          <w:sz w:val="18"/>
        </w:rPr>
        <w:t>——————————————————————————————————————————————————————————————————————</w:t>
      </w:r>
    </w:p>
    <w:p>
      <w:pPr>
        <w:spacing w:before="160" w:after="40" w:line="240" w:lineRule="auto"/>
      </w:pPr>
      <w:r>
        <w:rPr>
          <w:b/>
        </w:rPr>
        <w:t xml:space="preserve">[81] </w:t>
      </w:r>
      <w:hyperlink r:id="rId411">
        <w:r>
          <w:rPr>
            <w:color w:val="1155CC"/>
            <w:u w:val="single"/>
          </w:rPr>
          <w:t>限制南亚高压和亚非夏季季风降雨的近期预测</w:t>
        </w:r>
      </w:hyperlink>
    </w:p>
    <w:p>
      <w:pPr>
        <w:spacing w:before="0" w:after="80"/>
      </w:pPr>
      <w:r>
        <w:rPr>
          <w:i/>
          <w:sz w:val="20"/>
        </w:rPr>
        <w:t>EN: Constraining near-term projections of the South Asian high and Afro-Asian summer monsoon rainfall</w:t>
      </w:r>
    </w:p>
    <w:p>
      <w:pPr>
        <w:spacing w:before="0" w:after="120"/>
      </w:pPr>
      <w:r>
        <w:rPr>
          <w:b/>
        </w:rPr>
        <w:t xml:space="preserve">Source: </w:t>
      </w:r>
      <w:r>
        <w:t>Earth and environmental sciences : Nature Communications subject feeds</w:t>
      </w:r>
      <w:r>
        <w:t xml:space="preserve">    </w:t>
      </w:r>
      <w:r>
        <w:rPr>
          <w:b/>
        </w:rPr>
        <w:t xml:space="preserve">Pub date: </w:t>
      </w:r>
      <w:r>
        <w:t>2026-06-15 00:00:00+00:00</w:t>
      </w:r>
    </w:p>
    <w:p>
      <w:pPr>
        <w:spacing w:before="0" w:after="120"/>
      </w:pPr>
      <w:r>
        <w:rPr>
          <w:b/>
        </w:rPr>
        <w:t xml:space="preserve">Notes: </w:t>
      </w:r>
      <w:r>
        <w:t>abstract_source=nature_html</w:t>
      </w:r>
    </w:p>
    <w:p>
      <w:pPr>
        <w:spacing w:before="0" w:after="80" w:lineRule="auto" w:line="276"/>
      </w:pPr>
      <w:r>
        <w:rPr>
          <w:b/>
        </w:rPr>
        <w:t xml:space="preserve">摘要（ZH）: </w:t>
      </w:r>
      <w:r>
        <w:t>亚非夏季季风降水 (AfroASMP) 的可靠预测对于维持区域发展和管理数十亿人的气候风险至关重要。 AfroASMP 复杂的历史变化凸显了动力环流的核心作用，以及与百年全球变暖相关的有利热力学条件。在这里，我们发现过去 60 年中 AfroASMP 高达 90% 的方差是由南亚高压 (SAH) 动态主导的，南亚高压是一种横跨西非到西太平洋的广泛的上对流层模式。使用多模型加权方案，受约束的近期 SAH 预计在三种排放情景（SSP1-2.6、SSP2-4.5、SSP5-8.5）中的振幅比原始模拟更大。基于南亚高压的约束表明，AfroASMP 减少了 10-50 毫米，其中在 SSP5-8.5 下，非洲异常潮湿条件的减少幅度最大（62%），而非洲和华北地区的干燥条件则增加（&gt;10%）。该框架为气候适应和政策决策提供了有依据的证据。</w:t>
      </w:r>
    </w:p>
    <w:p>
      <w:pPr>
        <w:spacing w:before="0" w:after="200" w:lineRule="auto" w:line="276"/>
      </w:pPr>
      <w:r>
        <w:rPr>
          <w:b/>
        </w:rPr>
        <w:t xml:space="preserve">Abstract (EN): </w:t>
      </w:r>
      <w:r>
        <w:t>Reliable projections of Afro-Asian summer monsoon precipitation (AfroASMP) are critical for sustaining regional development and managing climate risks for billions of people. The complex historical variability of AfroASMP highlights the central role of dynamical circulations, alongside the favorable thermodynamic conditions associated with the centurial global warming. Here, we identify that up to 90% of the variance in AfroASMP over past six decades is dynamically dominated by the South Asian High (SAH), an extensive upper-tropospheric mode spanning West Africa to the western Pacific. Using a multi-model weighting scheme, the constrained near-term SAH projects a larger amplitude than raw simulations across three emission scenarios (SSP1-2.6, SSP2-4.5, SSP5-8.5). SAH-based constraints indicate a reduction in AfroASMP of 10–50 mm, with the largest decrease in abnormally wet conditions over Africa (62%) under SSP5-8.5, and increases in dry conditions over Africa and North China (&gt;10%). The framework offers physically grounded evidence for climate adaptation and policy decisions.</w:t>
      </w:r>
    </w:p>
    <w:p>
      <w:pPr>
        <w:spacing w:before="120" w:after="120"/>
      </w:pPr>
      <w:r>
        <w:rPr>
          <w:sz w:val="18"/>
        </w:rPr>
        <w:t>——————————————————————————————————————————————————————————————————————</w:t>
      </w:r>
    </w:p>
    <w:p>
      <w:pPr>
        <w:spacing w:before="160" w:after="40" w:line="240" w:lineRule="auto"/>
      </w:pPr>
      <w:r>
        <w:rPr>
          <w:b/>
        </w:rPr>
        <w:t xml:space="preserve">[82] </w:t>
      </w:r>
      <w:hyperlink r:id="rId412">
        <w:r>
          <w:rPr>
            <w:color w:val="1155CC"/>
            <w:u w:val="single"/>
          </w:rPr>
          <w:t>每日简报：铁器时代的人骨在埋葬前被制成工具</w:t>
        </w:r>
      </w:hyperlink>
    </w:p>
    <w:p>
      <w:pPr>
        <w:spacing w:before="0" w:after="80"/>
      </w:pPr>
      <w:r>
        <w:rPr>
          <w:i/>
          <w:sz w:val="20"/>
        </w:rPr>
        <w:t>EN: Daily briefing: Iron-Age human bones were made into tools before interment</w:t>
      </w:r>
    </w:p>
    <w:p>
      <w:pPr>
        <w:spacing w:before="0" w:after="120"/>
      </w:pPr>
      <w:r>
        <w:rPr>
          <w:b/>
        </w:rPr>
        <w:t xml:space="preserve">Source: </w:t>
      </w:r>
      <w:r>
        <w:t>Nature</w:t>
      </w:r>
      <w:r>
        <w:t xml:space="preserve">    </w:t>
      </w:r>
      <w:r>
        <w:rPr>
          <w:b/>
        </w:rPr>
        <w:t xml:space="preserve">Pub date: </w:t>
      </w:r>
      <w:r>
        <w:t>2026-06-15 00:00:00+00:00</w:t>
      </w:r>
      <w:r>
        <w:t xml:space="preserve">    </w:t>
      </w:r>
      <w:r>
        <w:rPr>
          <w:b/>
        </w:rPr>
        <w:t xml:space="preserve">DOI: </w:t>
      </w:r>
      <w:hyperlink r:id="rId413">
        <w:r>
          <w:rPr>
            <w:color w:val="1155CC"/>
            <w:u w:val="single"/>
          </w:rPr>
          <w:t>10.1038/d41586-026-01929-3</w:t>
        </w:r>
      </w:hyperlink>
    </w:p>
    <w:p>
      <w:pPr>
        <w:spacing w:before="0" w:after="120"/>
      </w:pPr>
      <w:r>
        <w:rPr>
          <w:b/>
        </w:rPr>
        <w:t xml:space="preserve">Notes: </w:t>
      </w:r>
      <w:r>
        <w:t>abstract_source=nature_html</w:t>
      </w:r>
    </w:p>
    <w:p>
      <w:pPr>
        <w:spacing w:before="0" w:after="80" w:lineRule="auto" w:line="276"/>
      </w:pPr>
      <w:r>
        <w:rPr>
          <w:b/>
        </w:rPr>
        <w:t xml:space="preserve">摘要（ZH）: </w:t>
      </w:r>
      <w:r>
        <w:t>新发现的骨头暗示了铁器时代的英国人如何对待死者。此外，人工智能模型在研究层面的问题和构成伟大科学工具的日常用品方面未能击败人类数学家。新发现的骨头暗示了铁器时代的英国人如何对待死者。此外，人工智能模型在研究层面的问题和构成伟大科学工具的日常用品方面未能击败人类数学家。</w:t>
      </w:r>
    </w:p>
    <w:p>
      <w:pPr>
        <w:spacing w:before="0" w:after="200" w:lineRule="auto" w:line="276"/>
      </w:pPr>
      <w:r>
        <w:rPr>
          <w:b/>
        </w:rPr>
        <w:t xml:space="preserve">Abstract (EN): </w:t>
      </w:r>
      <w:r>
        <w:t>Newly uncovered bones hint at how Iron Age Britons treated their dead. Plus, AI models have failed to beat human mathematicians at research-level problems and the everyday items that make great scientific tools. Newly uncovered bones hint at how Iron Age Britons treated their dead. Plus, AI models have failed to beat human mathematicians at research-level problems and the everyday items that make great scientific tools.</w:t>
      </w:r>
    </w:p>
    <w:p>
      <w:pPr>
        <w:spacing w:before="120" w:after="120"/>
      </w:pPr>
      <w:r>
        <w:rPr>
          <w:sz w:val="18"/>
        </w:rPr>
        <w:t>——————————————————————————————————————————————————————————————————————</w:t>
      </w:r>
    </w:p>
    <w:p>
      <w:pPr>
        <w:spacing w:before="160" w:after="40" w:line="240" w:lineRule="auto"/>
      </w:pPr>
      <w:r>
        <w:rPr>
          <w:b/>
        </w:rPr>
        <w:t xml:space="preserve">[83] </w:t>
      </w:r>
      <w:hyperlink r:id="rId414">
        <w:r>
          <w:rPr>
            <w:color w:val="1155CC"/>
            <w:u w:val="single"/>
          </w:rPr>
          <w:t>酮的碳环编辑通过自由基介导的双向 C-C 键裂解/偶联策略进行</w:t>
        </w:r>
      </w:hyperlink>
    </w:p>
    <w:p>
      <w:pPr>
        <w:spacing w:before="0" w:after="80"/>
      </w:pPr>
      <w:r>
        <w:rPr>
          <w:i/>
          <w:sz w:val="20"/>
        </w:rPr>
        <w:t>EN: Carbocycle editing of ketones proceeds via a radical-mediated bidirectional C-C bond cleavage/coupling strategy</w:t>
      </w:r>
    </w:p>
    <w:p>
      <w:pPr>
        <w:spacing w:before="0" w:after="120"/>
      </w:pPr>
      <w:r>
        <w:rPr>
          <w:b/>
        </w:rPr>
        <w:t xml:space="preserve">Source: </w:t>
      </w:r>
      <w:r>
        <w:t>Physical sciences : Nature Communications subject feeds</w:t>
      </w:r>
      <w:r>
        <w:t xml:space="preserve">    </w:t>
      </w:r>
      <w:r>
        <w:rPr>
          <w:b/>
        </w:rPr>
        <w:t xml:space="preserve">Pub date: </w:t>
      </w:r>
      <w:r>
        <w:t>2026-06-15 00:00:00+00:00</w:t>
      </w:r>
    </w:p>
    <w:p>
      <w:pPr>
        <w:spacing w:before="0" w:after="120"/>
      </w:pPr>
      <w:r>
        <w:rPr>
          <w:b/>
        </w:rPr>
        <w:t xml:space="preserve">Notes: </w:t>
      </w:r>
      <w:r>
        <w:t>abstract_source=nature_html</w:t>
      </w:r>
    </w:p>
    <w:p>
      <w:pPr>
        <w:spacing w:before="0" w:after="80" w:lineRule="auto" w:line="276"/>
      </w:pPr>
      <w:r>
        <w:rPr>
          <w:b/>
        </w:rPr>
        <w:t xml:space="preserve">摘要（ZH）: </w:t>
      </w:r>
      <w:r>
        <w:t>1,n-双官能化烷基关键分子是有机合成、功能材料和药物中的关键组成部分。然而，它们的制备目前主要依赖于从头合成，这受到步骤经济性低和官能团相容性差的阻碍。在此，我们报告了一种基于自由基介导的双向 C-C 键断裂的有效方法，该方法使简单的环酮能够通过形成偕二过氧化物而充当潜在的双自由基关键。它采用逐步可控的串联过程，涉及烷氧基自由基诱导的β-断裂和酰氧基自由基介导的脱羧，以实现碳环的开环、碳收缩和双向官能化。这种碳环编辑方案具有可持续的金属催化、广泛的底物范围和出色的官能团兼容性。值得注意的是，级联反应能够轻松、选择性地编辑各种复杂的天然产物和药物分子。这种双向 C-C 键断裂/偶联策略允许快速、模块化合成结构多样的烷基 1,n-二硫氰化物、1,n-二叠氮化物、1,n-二卤化物和不对称 1,n-硫氰酸酯叠氮化物 (n ≥ 4)。</w:t>
      </w:r>
    </w:p>
    <w:p>
      <w:pPr>
        <w:spacing w:before="0" w:after="200" w:lineRule="auto" w:line="276"/>
      </w:pPr>
      <w:r>
        <w:rPr>
          <w:b/>
        </w:rPr>
        <w:t xml:space="preserve">Abstract (EN): </w:t>
      </w:r>
      <w:r>
        <w:t>1,n-Difunctionalized alkyl linchpins are pivotal building blocks in organic synthesis, functional materials, and pharmaceuticals. However, their preparation currently relies predominantly on de novo synthesis, which is hampered by low step-economy and poor functional group compatibility. Herein, we report an efficient method based on a radical-mediated bidirectional C-C bond cleavage, which enables simple cyclic ketones to function as potential diradical linchpins via the formation of gem-diperoxides. It employs a stepwise and controllable tandem process involving alkoxy radical-induced β-scission and acyloxy radical-mediated decarboxylation, to achieve ring-opening, carbon shrinkage, and bidirectional functionalization of carbocycles. This carbocycle editing protocol features sustainable metal catalysis, a broad substrate scope, and excellent functional group compatibility. Notably, the cascade reaction enables facile and selective editing of various complex natural products and drug molecules. This bidirectional C-C bond cleavage/coupling strategy allows for rapid and modular synthesis of structurally diverse alkyl 1,n-dithiocyanides, 1,n-diazides, 1,n-dihalides, and unsymmetric 1,n-thiocyanate-azides (n ≥ 4).</w:t>
      </w:r>
    </w:p>
    <w:p>
      <w:pPr>
        <w:spacing w:before="120" w:after="120"/>
      </w:pPr>
      <w:r>
        <w:rPr>
          <w:sz w:val="18"/>
        </w:rPr>
        <w:t>——————————————————————————————————————————————————————————————————————</w:t>
      </w:r>
    </w:p>
    <w:p>
      <w:pPr>
        <w:spacing w:before="160" w:after="40" w:line="240" w:lineRule="auto"/>
      </w:pPr>
      <w:r>
        <w:rPr>
          <w:b/>
        </w:rPr>
        <w:t xml:space="preserve">[84] </w:t>
      </w:r>
      <w:hyperlink r:id="rId415">
        <w:r>
          <w:rPr>
            <w:color w:val="1155CC"/>
            <w:u w:val="single"/>
          </w:rPr>
          <w:t>N-甲胺仲胺后期修饰的烷基交换平台</w:t>
        </w:r>
      </w:hyperlink>
    </w:p>
    <w:p>
      <w:pPr>
        <w:spacing w:before="0" w:after="80"/>
      </w:pPr>
      <w:r>
        <w:rPr>
          <w:i/>
          <w:sz w:val="20"/>
        </w:rPr>
        <w:t>EN: An alkyl-swap platform for late-stage modification of secondary N-methylamines</w:t>
      </w:r>
    </w:p>
    <w:p>
      <w:pPr>
        <w:spacing w:before="0" w:after="120"/>
      </w:pPr>
      <w:r>
        <w:rPr>
          <w:b/>
        </w:rPr>
        <w:t xml:space="preserve">Source: </w:t>
      </w:r>
      <w:r>
        <w:t>Nature Chemistry</w:t>
      </w:r>
      <w:r>
        <w:t xml:space="preserve">    </w:t>
      </w:r>
      <w:r>
        <w:rPr>
          <w:b/>
        </w:rPr>
        <w:t xml:space="preserve">Pub date: </w:t>
      </w:r>
      <w:r>
        <w:t>2026-06-15 00:00:00+00:00</w:t>
      </w:r>
      <w:r>
        <w:t xml:space="preserve">    </w:t>
      </w:r>
      <w:r>
        <w:rPr>
          <w:b/>
        </w:rPr>
        <w:t xml:space="preserve">DOI: </w:t>
      </w:r>
      <w:hyperlink r:id="rId416">
        <w:r>
          <w:rPr>
            <w:color w:val="1155CC"/>
            <w:u w:val="single"/>
          </w:rPr>
          <w:t>10.1038/s41557-026-02178-7</w:t>
        </w:r>
      </w:hyperlink>
    </w:p>
    <w:p>
      <w:pPr>
        <w:spacing w:before="0" w:after="120"/>
      </w:pPr>
      <w:r>
        <w:rPr>
          <w:b/>
        </w:rPr>
        <w:t xml:space="preserve">Notes: </w:t>
      </w:r>
      <w:r>
        <w:t>abstract_source=nature_html</w:t>
      </w:r>
    </w:p>
    <w:p>
      <w:pPr>
        <w:spacing w:before="0" w:after="80" w:lineRule="auto" w:line="276"/>
      </w:pPr>
      <w:r>
        <w:rPr>
          <w:b/>
        </w:rPr>
        <w:t xml:space="preserve">摘要（ZH）: </w:t>
      </w:r>
      <w:r>
        <w:t>用简单的、未活化的烯烃和炔烃选择性官能化未受保护的胺仍然是当代合成中的一个挑战。在这里，我们提出了一种对仲 N-甲胺进行外围修饰的策略，该策略补充了最先进的方法并耐受各种官能团和天然胺底物。该方法适用于后期功能化背景，包括完全功能化、未受保护的结构单元和复杂肽的直接生物共轭。该方法释放的逆合成灵活性还使得能够在单个合成步骤中制备多种商业化、高收入的药物。该图像的替代文本可能是使用人工智能生成的。</w:t>
      </w:r>
    </w:p>
    <w:p>
      <w:pPr>
        <w:spacing w:before="0" w:after="200" w:lineRule="auto" w:line="276"/>
      </w:pPr>
      <w:r>
        <w:rPr>
          <w:b/>
        </w:rPr>
        <w:t xml:space="preserve">Abstract (EN): </w:t>
      </w:r>
      <w:r>
        <w:t>The selective functionalization of unprotected amines with simple, unactivated alkenes and alkynes remains a challenge in contemporary synthesis. Here we present a strategy for the peripheral modification of secondary N-methylamines that complements state-of-the-art approaches and tolerates a wide range of functional groups and native amine substrates. This method is primed for application in late-stage functionalization contexts, including the direct bioconjugation of fully functionalized, unprotected building blocks and complex peptides. The retrosynthetic flexibility unlocked by this method also enables the preparation of several commercial, high-grossing pharmaceuticals in a single synthetic step.The alternative text for this image may have been generated using AI.</w:t>
      </w:r>
    </w:p>
    <w:p>
      <w:pPr>
        <w:spacing w:before="120" w:after="120"/>
      </w:pPr>
      <w:r>
        <w:rPr>
          <w:sz w:val="18"/>
        </w:rPr>
        <w:t>——————————————————————————————————————————————————————————————————————</w:t>
      </w:r>
    </w:p>
    <w:p>
      <w:pPr>
        <w:spacing w:before="160" w:after="40" w:line="240" w:lineRule="auto"/>
      </w:pPr>
      <w:r>
        <w:rPr>
          <w:b/>
        </w:rPr>
        <w:t xml:space="preserve">[85] </w:t>
      </w:r>
      <w:hyperlink r:id="rId417">
        <w:r>
          <w:rPr>
            <w:color w:val="1155CC"/>
            <w:u w:val="single"/>
          </w:rPr>
          <w:t>铁器时代的骨骼被削成工具</w:t>
        </w:r>
      </w:hyperlink>
    </w:p>
    <w:p>
      <w:pPr>
        <w:spacing w:before="0" w:after="80"/>
      </w:pPr>
      <w:r>
        <w:rPr>
          <w:i/>
          <w:sz w:val="20"/>
        </w:rPr>
        <w:t>EN: Bones of Iron Age skeleton were whittled into tools</w:t>
      </w:r>
    </w:p>
    <w:p>
      <w:pPr>
        <w:spacing w:before="0" w:after="120"/>
      </w:pPr>
      <w:r>
        <w:rPr>
          <w:b/>
        </w:rPr>
        <w:t xml:space="preserve">Source: </w:t>
      </w:r>
      <w:r>
        <w:t>Nature</w:t>
      </w:r>
      <w:r>
        <w:t xml:space="preserve">    </w:t>
      </w:r>
      <w:r>
        <w:rPr>
          <w:b/>
        </w:rPr>
        <w:t xml:space="preserve">Pub date: </w:t>
      </w:r>
      <w:r>
        <w:t>2026-06-15 00:00:00+00:00</w:t>
      </w:r>
      <w:r>
        <w:t xml:space="preserve">    </w:t>
      </w:r>
      <w:r>
        <w:rPr>
          <w:b/>
        </w:rPr>
        <w:t xml:space="preserve">DOI: </w:t>
      </w:r>
      <w:hyperlink r:id="rId418">
        <w:r>
          <w:rPr>
            <w:color w:val="1155CC"/>
            <w:u w:val="single"/>
          </w:rPr>
          <w:t>10.1038/d41586-026-01833-w</w:t>
        </w:r>
      </w:hyperlink>
    </w:p>
    <w:p>
      <w:pPr>
        <w:spacing w:before="0" w:after="120"/>
      </w:pPr>
      <w:r>
        <w:rPr>
          <w:b/>
        </w:rPr>
        <w:t xml:space="preserve">Notes: </w:t>
      </w:r>
      <w:r>
        <w:t>abstract_source=nature_html</w:t>
      </w:r>
    </w:p>
    <w:p>
      <w:pPr>
        <w:spacing w:before="0" w:after="80" w:lineRule="auto" w:line="276"/>
      </w:pPr>
      <w:r>
        <w:rPr>
          <w:b/>
        </w:rPr>
        <w:t xml:space="preserve">摘要（ZH）: </w:t>
      </w:r>
      <w:r>
        <w:t>这名女性死后，她的大脑被移除，但她的遗体被小心翼翼地重新组装起来以供安葬。这名女性死后，她的大脑被移除，但她的遗体被小心翼翼地重新组装起来以供安葬。</w:t>
      </w:r>
    </w:p>
    <w:p>
      <w:pPr>
        <w:spacing w:before="0" w:after="200" w:lineRule="auto" w:line="276"/>
      </w:pPr>
      <w:r>
        <w:rPr>
          <w:b/>
        </w:rPr>
        <w:t xml:space="preserve">Abstract (EN): </w:t>
      </w:r>
      <w:r>
        <w:t>The female individual’s brain was removed after her death, but her remains were carefully reassembled for her interment. The female individual’s brain was removed after her death, but her remains were carefully reassembled for her interment.</w:t>
      </w:r>
    </w:p>
    <w:p>
      <w:pPr>
        <w:spacing w:before="120" w:after="120"/>
      </w:pPr>
      <w:r>
        <w:rPr>
          <w:sz w:val="18"/>
        </w:rPr>
        <w:t>——————————————————————————————————————————————————————————————————————</w:t>
      </w:r>
    </w:p>
    <w:p>
      <w:pPr>
        <w:spacing w:before="160" w:after="40" w:line="240" w:lineRule="auto"/>
      </w:pPr>
      <w:r>
        <w:rPr>
          <w:b/>
        </w:rPr>
        <w:t xml:space="preserve">[86] </w:t>
      </w:r>
      <w:hyperlink r:id="rId419">
        <w:r>
          <w:rPr>
            <w:color w:val="1155CC"/>
            <w:u w:val="single"/>
          </w:rPr>
          <w:t>铜催化双对映聚合自由基 C(sp3)-P 交叉偶联用于构建 P- 和 P,C- 立体中心</w:t>
        </w:r>
      </w:hyperlink>
    </w:p>
    <w:p>
      <w:pPr>
        <w:spacing w:before="0" w:after="80"/>
      </w:pPr>
      <w:r>
        <w:rPr>
          <w:i/>
          <w:sz w:val="20"/>
        </w:rPr>
        <w:t>EN: Copper-catalyzed doubly enantioconvergent radical C(sp3)–P cross-coupling for the construction of P- and P,C-stereogenic centers</w:t>
      </w:r>
    </w:p>
    <w:p>
      <w:pPr>
        <w:spacing w:before="0" w:after="120"/>
      </w:pPr>
      <w:r>
        <w:rPr>
          <w:b/>
        </w:rPr>
        <w:t xml:space="preserve">Source: </w:t>
      </w:r>
      <w:r>
        <w:t>Chem</w:t>
      </w:r>
      <w:r>
        <w:t xml:space="preserve">    </w:t>
      </w:r>
      <w:r>
        <w:rPr>
          <w:b/>
        </w:rPr>
        <w:t xml:space="preserve">Pub date: </w:t>
      </w:r>
      <w:r>
        <w:t>2026-06-15 00:00:00+00:00</w:t>
      </w:r>
      <w:r>
        <w:t xml:space="preserve">    </w:t>
      </w:r>
      <w:r>
        <w:rPr>
          <w:b/>
        </w:rPr>
        <w:t xml:space="preserve">DOI: </w:t>
      </w:r>
      <w:hyperlink r:id="rId420">
        <w:r>
          <w:rPr>
            <w:color w:val="1155CC"/>
            <w:u w:val="single"/>
          </w:rPr>
          <w:t>10.1016/j.chempr.2026.103100</w:t>
        </w:r>
      </w:hyperlink>
    </w:p>
    <w:p>
      <w:pPr>
        <w:spacing w:before="0" w:after="120"/>
      </w:pPr>
      <w:r>
        <w:rPr>
          <w:b/>
        </w:rPr>
        <w:t xml:space="preserve">Notes: </w:t>
      </w:r>
      <w:r>
        <w:t>abstract_source=rss_cell</w:t>
      </w:r>
    </w:p>
    <w:p>
      <w:pPr>
        <w:spacing w:before="0" w:after="80" w:lineRule="auto" w:line="276"/>
      </w:pPr>
      <w:r>
        <w:rPr>
          <w:b/>
        </w:rPr>
        <w:t xml:space="preserve">摘要（ZH）: </w:t>
      </w:r>
      <w:r>
        <w:t>Liu及其同事报道了外消旋二氧化膦和H-次膦酸盐与烷基溴的铜催化对映自由基C(sp3)-P交叉偶联，从而能够有效合成P-立体磷化合物。相同的催化平台进一步使得能够由外消旋H-次膦酸盐和外消旋仲苄基溴构建邻位P,C-立体中心的双对映会聚结构。该方法为以磷为中心的手性提供了一种通用且实用的方法，并可能启发其他以杂原子为中心的立体系统的相关策略的开发。</w:t>
      </w:r>
    </w:p>
    <w:p>
      <w:pPr>
        <w:spacing w:before="0" w:after="200" w:lineRule="auto" w:line="276"/>
      </w:pPr>
      <w:r>
        <w:rPr>
          <w:b/>
        </w:rPr>
        <w:t xml:space="preserve">Abstract (EN): </w:t>
      </w:r>
      <w:r>
        <w:t>Liu and colleagues report a copper-catalyzed enantioconvergent radical C(sp³)–P cross-coupling of racemic secondary phosphine oxides and H-phosphinates with alkyl bromides in order to enable the efficient synthesis of P-stereogenic phosphorus compounds. The same catalytic platform further enables the doubly enantioconvergent construction of vicinal P,C-stereocenters from racemic H-phosphinates and racemic secondary benzyl bromides. This method provides a general and practical approach to phosphorus-centered chirality and may inspire the development of related strategies for other heteroatom-centered stereogenic systems.</w:t>
      </w:r>
    </w:p>
    <w:p>
      <w:pPr>
        <w:spacing w:before="120" w:after="120"/>
      </w:pPr>
      <w:r>
        <w:rPr>
          <w:sz w:val="18"/>
        </w:rPr>
        <w:t>——————————————————————————————————————————————————————————————————————</w:t>
      </w:r>
    </w:p>
    <w:p>
      <w:pPr>
        <w:spacing w:before="160" w:after="40" w:line="240" w:lineRule="auto"/>
      </w:pPr>
      <w:r>
        <w:rPr>
          <w:b/>
        </w:rPr>
        <w:t xml:space="preserve">[87] </w:t>
      </w:r>
      <w:hyperlink r:id="rId421">
        <w:r>
          <w:rPr>
            <w:color w:val="1155CC"/>
            <w:u w:val="single"/>
          </w:rPr>
          <w:t>扭曲三层石墨烯中热力学相关特征与超导性之间的联系</w:t>
        </w:r>
      </w:hyperlink>
    </w:p>
    <w:p>
      <w:pPr>
        <w:spacing w:before="0" w:after="80"/>
      </w:pPr>
      <w:r>
        <w:rPr>
          <w:i/>
          <w:sz w:val="20"/>
        </w:rPr>
        <w:t>EN: Link between thermodynamic correlation signatures and superconductivity in twisted trilayer graphene</w:t>
      </w:r>
    </w:p>
    <w:p>
      <w:pPr>
        <w:spacing w:before="0" w:after="120"/>
      </w:pPr>
      <w:r>
        <w:rPr>
          <w:b/>
        </w:rPr>
        <w:t xml:space="preserve">Source: </w:t>
      </w:r>
      <w:r>
        <w:t>Nature Nanotechnology</w:t>
      </w:r>
      <w:r>
        <w:t xml:space="preserve">    </w:t>
      </w:r>
      <w:r>
        <w:rPr>
          <w:b/>
        </w:rPr>
        <w:t xml:space="preserve">Pub date: </w:t>
      </w:r>
      <w:r>
        <w:t>2026-06-15 00:00:00+00:00</w:t>
      </w:r>
      <w:r>
        <w:t xml:space="preserve">    </w:t>
      </w:r>
      <w:r>
        <w:rPr>
          <w:b/>
        </w:rPr>
        <w:t xml:space="preserve">DOI: </w:t>
      </w:r>
      <w:hyperlink r:id="rId422">
        <w:r>
          <w:rPr>
            <w:color w:val="1155CC"/>
            <w:u w:val="single"/>
          </w:rPr>
          <w:t>10.1038/s41565-026-02155-8</w:t>
        </w:r>
      </w:hyperlink>
    </w:p>
    <w:p>
      <w:pPr>
        <w:spacing w:before="0" w:after="120"/>
      </w:pPr>
      <w:r>
        <w:rPr>
          <w:b/>
        </w:rPr>
        <w:t xml:space="preserve">Notes: </w:t>
      </w:r>
      <w:r>
        <w:t>abstract_source=nature_html</w:t>
      </w:r>
    </w:p>
    <w:p>
      <w:pPr>
        <w:spacing w:before="0" w:after="80" w:lineRule="auto" w:line="276"/>
      </w:pPr>
      <w:r>
        <w:rPr>
          <w:b/>
        </w:rPr>
        <w:t xml:space="preserve">摘要（ZH）: </w:t>
      </w:r>
      <w:r>
        <w:t>扭曲的石墨烯多层表现出很强的电子相关性，从而产生了一系列的实验特征。然而，这些特征如何相互关联以及与微观基态的关系，以及扭转角和能带结构如何重塑它们，仍然知之甚少。在这里，我们通过将扭曲三层石墨烯中的局部热力学和输运测量与不等角度和平电子带相关联来研究这种相互作用。我们使用扫描单电子晶体管通过选择具有平滑局部扭转角演化的区域来绘制样品中电子-电子相互作用的影响。我们观察到带隙相关绝缘体态和逆电子压缩性中的不对称振荡，两者都表现出明显的电子空穴不对称性，导带和价带具有不同的“魔”角。随后在同一区域进行的输运测量揭示了具有类似电子空穴不对称性的强大超导性。我们的测量表明超导性并不直接与相关的绝缘体状态相关。相反，它的临界温度与压缩性振荡的强度密切相关，表明两者之间有共同的起源或联系。通过将局部探针与输运测量相结合，我们揭示了超导性和热力学相关特征之间的联系，而这两种技术单独来看并不明显。这些发现凸显了我们双重方法的力量。</w:t>
      </w:r>
    </w:p>
    <w:p>
      <w:pPr>
        <w:spacing w:before="0" w:after="200" w:lineRule="auto" w:line="276"/>
      </w:pPr>
      <w:r>
        <w:rPr>
          <w:b/>
        </w:rPr>
        <w:t xml:space="preserve">Abstract (EN): </w:t>
      </w:r>
      <w:r>
        <w:t>Twisted graphene multilayers exhibit strong electronic correlations leading to a range of experimental signatures. Yet how these signatures relate to each other and to the microscopic ground states—and how twist angle and band structure reshape them—remains poorly understood. Here we study this interplay by correlating local thermodynamic and transport measurements in twisted trilayer graphene with unequal angles and flat electronic bands. We use a scanning single-electron transistor to map the impact of electron–electron interactions in the sample by selecting a region with smooth local twist angle evolution. We observe gapped correlated insulator states and asymmetric oscillations in the inverse electronic compressibility, both exhibiting pronounced electron–hole asymmetry with distinct ‘magic’ angles for conduction and valence bands. Subsequent transport measurements in the same region reveal robust superconductivity with a similar electron–hole asymmetry. Our measurements indicate that superconductivity is not directly tied to the correlated insulator states. Instead, its critical temperature correlates closely with the strength of the compressibility oscillations, suggesting a common origin or link between the two. By combining a local probe with transport measurements, we uncover connections between superconductivity and thermodynamic correlation signatures that are not apparent from either technique in isolation. These findings highlight the power of our dual approach.</w:t>
      </w:r>
    </w:p>
    <w:p>
      <w:pPr>
        <w:spacing w:before="120" w:after="120"/>
      </w:pPr>
      <w:r>
        <w:rPr>
          <w:sz w:val="18"/>
        </w:rPr>
        <w:t>——————————————————————————————————————————————————————————————————————</w:t>
      </w:r>
    </w:p>
    <w:p>
      <w:pPr>
        <w:spacing w:before="160" w:after="40" w:line="240" w:lineRule="auto"/>
      </w:pPr>
      <w:r>
        <w:rPr>
          <w:b/>
        </w:rPr>
        <w:t xml:space="preserve">[88] </w:t>
      </w:r>
      <w:hyperlink r:id="rId423">
        <w:r>
          <w:rPr>
            <w:color w:val="1155CC"/>
            <w:u w:val="single"/>
          </w:rPr>
          <w:t>细胞反应器中介孔蛋白质晶体的程序合成</w:t>
        </w:r>
      </w:hyperlink>
    </w:p>
    <w:p>
      <w:pPr>
        <w:spacing w:before="0" w:after="80"/>
      </w:pPr>
      <w:r>
        <w:rPr>
          <w:i/>
          <w:sz w:val="20"/>
        </w:rPr>
        <w:t>EN: Programmed synthesis of mesoporous protein crystals in cellular reactors</w:t>
      </w:r>
    </w:p>
    <w:p>
      <w:pPr>
        <w:spacing w:before="0" w:after="120"/>
      </w:pPr>
      <w:r>
        <w:rPr>
          <w:b/>
        </w:rPr>
        <w:t xml:space="preserve">Source: </w:t>
      </w:r>
      <w:r>
        <w:t>Nature Nanotechnology</w:t>
      </w:r>
      <w:r>
        <w:t xml:space="preserve">    </w:t>
      </w:r>
      <w:r>
        <w:rPr>
          <w:b/>
        </w:rPr>
        <w:t xml:space="preserve">Pub date: </w:t>
      </w:r>
      <w:r>
        <w:t>2026-06-15 00:00:00+00:00</w:t>
      </w:r>
      <w:r>
        <w:t xml:space="preserve">    </w:t>
      </w:r>
      <w:r>
        <w:rPr>
          <w:b/>
        </w:rPr>
        <w:t xml:space="preserve">DOI: </w:t>
      </w:r>
      <w:hyperlink r:id="rId424">
        <w:r>
          <w:rPr>
            <w:color w:val="1155CC"/>
            <w:u w:val="single"/>
          </w:rPr>
          <w:t>10.1038/s41565-026-02198-x</w:t>
        </w:r>
      </w:hyperlink>
    </w:p>
    <w:p>
      <w:pPr>
        <w:spacing w:before="0" w:after="120"/>
      </w:pPr>
      <w:r>
        <w:rPr>
          <w:b/>
        </w:rPr>
        <w:t xml:space="preserve">Notes: </w:t>
      </w:r>
      <w:r>
        <w:t>abstract_source=nature_html</w:t>
      </w:r>
    </w:p>
    <w:p>
      <w:pPr>
        <w:spacing w:before="0" w:after="80" w:lineRule="auto" w:line="276"/>
      </w:pPr>
      <w:r>
        <w:rPr>
          <w:b/>
        </w:rPr>
        <w:t xml:space="preserve">摘要（ZH）: </w:t>
      </w:r>
      <w:r>
        <w:t>蛋白质晶体是天然衍生的介孔材料，具有多种结构和理化性质。在这里，我们介绍了一个细胞内合成平台，可以实现可控和可编程的蛋白质结晶。在活细胞中，我们发现，在初始成核后，稳定的蛋白质表达控制晶体生长，从而在活细胞中产生可预测的、可调节的动力学。利用这一功能，我们将 HaloTag 和点击化学相结合，以实现多种客体材料的模块化、可编程固定，空间图案分辨率低至约 100 nm。我们进一步证明了固定材料在生理相关液体中的顺序释放。作为概念验证，我们对颗粒进行编程，使其在不同的层中携带人类成纤维细胞生长因子，从而在细胞培养物中引发设计的振荡 Akt 信号传导模式。这项工作概述了一种生产介孔材料的可编程方法，并可能在催化和生物医学中应用。</w:t>
      </w:r>
    </w:p>
    <w:p>
      <w:pPr>
        <w:spacing w:before="0" w:after="200" w:lineRule="auto" w:line="276"/>
      </w:pPr>
      <w:r>
        <w:rPr>
          <w:b/>
        </w:rPr>
        <w:t xml:space="preserve">Abstract (EN): </w:t>
      </w:r>
      <w:r>
        <w:t>Protein crystals are naturally derived mesoporous materials with versatile structures and physicochemical properties. Here we introduce an intracellular synthesis platform that enables controllable and programmable protein crystallization. In live cells, we show that, after initial nucleation, steady protein expression governs crystal growth, yielding predictable, tunable dynamics in live cells. Exploiting this feature, we combined HaloTag and click chemistries to achieve modular, programmable immobilization of diverse guest materials with spatial patterning down to ~100 nm resolution. We further demonstrated the sequential release of immobilized materials in physiologically relevant fluids. As a proof of concept, we programmed particles to carry human fibroblast growth factors in distinct layers, which elicited designed oscillatory Akt signalling patterns in cell culture. This work outlines a programmable method for producing mesoporous materials, with possible applications in catalysis and biomedicine.</w:t>
      </w:r>
    </w:p>
    <w:p>
      <w:pPr>
        <w:spacing w:before="120" w:after="120"/>
      </w:pPr>
      <w:r>
        <w:rPr>
          <w:sz w:val="18"/>
        </w:rPr>
        <w:t>——————————————————————————————————————————————————————————————————————</w:t>
      </w:r>
    </w:p>
    <w:p>
      <w:pPr>
        <w:spacing w:before="160" w:after="40" w:line="240" w:lineRule="auto"/>
      </w:pPr>
      <w:r>
        <w:rPr>
          <w:b/>
        </w:rPr>
        <w:t xml:space="preserve">[89] </w:t>
      </w:r>
      <w:hyperlink r:id="rId425">
        <w:r>
          <w:rPr>
            <w:color w:val="1155CC"/>
            <w:u w:val="single"/>
          </w:rPr>
          <w:t>使用脂质纳米颗粒进行体内和体外高效引物编辑</w:t>
        </w:r>
      </w:hyperlink>
    </w:p>
    <w:p>
      <w:pPr>
        <w:spacing w:before="0" w:after="80"/>
      </w:pPr>
      <w:r>
        <w:rPr>
          <w:i/>
          <w:sz w:val="20"/>
        </w:rPr>
        <w:t>EN: Efficient prime editing in vivo and in vitro using lipid nanoparticles</w:t>
      </w:r>
    </w:p>
    <w:p>
      <w:pPr>
        <w:spacing w:before="0" w:after="120"/>
      </w:pPr>
      <w:r>
        <w:rPr>
          <w:b/>
        </w:rPr>
        <w:t xml:space="preserve">Source: </w:t>
      </w:r>
      <w:r>
        <w:t>Nature Nanotechnology</w:t>
      </w:r>
      <w:r>
        <w:t xml:space="preserve">    </w:t>
      </w:r>
      <w:r>
        <w:rPr>
          <w:b/>
        </w:rPr>
        <w:t xml:space="preserve">Pub date: </w:t>
      </w:r>
      <w:r>
        <w:t>2026-06-15 00:00:00+00:00</w:t>
      </w:r>
      <w:r>
        <w:t xml:space="preserve">    </w:t>
      </w:r>
      <w:r>
        <w:rPr>
          <w:b/>
        </w:rPr>
        <w:t xml:space="preserve">DOI: </w:t>
      </w:r>
      <w:hyperlink r:id="rId426">
        <w:r>
          <w:rPr>
            <w:color w:val="1155CC"/>
            <w:u w:val="single"/>
          </w:rPr>
          <w:t>10.1038/s41565-026-02200-6</w:t>
        </w:r>
      </w:hyperlink>
    </w:p>
    <w:p>
      <w:pPr>
        <w:spacing w:before="0" w:after="120"/>
      </w:pPr>
      <w:r>
        <w:rPr>
          <w:b/>
        </w:rPr>
        <w:t xml:space="preserve">Notes: </w:t>
      </w:r>
      <w:r>
        <w:t>abstract_source=nature_html</w:t>
      </w:r>
    </w:p>
    <w:p>
      <w:pPr>
        <w:spacing w:before="0" w:after="80" w:lineRule="auto" w:line="276"/>
      </w:pPr>
      <w:r>
        <w:rPr>
          <w:b/>
        </w:rPr>
        <w:t xml:space="preserve">摘要（ZH）: </w:t>
      </w:r>
      <w:r>
        <w:t>Prime编辑是一种多功能的临床基因组编辑方法，可以在包括人类细胞在内的生命系统基因组的指定位置进行精确替换、小插入和删除。尽管体内RNA的非病毒脂质纳米颗粒（LNP）递送已成为动物和患者基因编辑的首选方法，但其在复杂的三组分引物编辑系统中的应用产生了较低的编辑效率。在这里，我们开发了一个系统的prime编辑LNP（PE-LNP）优化平台，解决了货物设计中限制编辑效率的关键瓶颈。这种可推广的工作流程产生的 PE-LNP 可以在小鼠肝脏中以 2 mg kg−1 的单剂量实现 49% 的平均体内引物编辑。我们将我们的工作流程应用于小鼠模型中 PAH R408W（苯丙酮尿症的病因）的校正，并实现了主要编辑效率和预期具有疗效的血清苯丙氨酸水平。我们还表明，与 DNA 递送方法相比，PE-LNP 最大限度地减少了脱靶编辑，仅诱导肝酶短暂升高，并且可以重复给药以提高编辑效率。这些 PE-LNP 系统通过提供瞬时表达来最大程度地减少脱靶编辑、未观察到长期毒性和高水平的非病毒体内肝脏启动编辑，为病毒递送提供了一种有吸引力的替代方案。</w:t>
      </w:r>
    </w:p>
    <w:p>
      <w:pPr>
        <w:spacing w:before="0" w:after="200" w:lineRule="auto" w:line="276"/>
      </w:pPr>
      <w:r>
        <w:rPr>
          <w:b/>
        </w:rPr>
        <w:t xml:space="preserve">Abstract (EN): </w:t>
      </w:r>
      <w:r>
        <w:t>Prime editing is a versatile clinical genome editing method that enables precise substitutions, small insertions and deletions at specified locations in the genomes of living systems including human cells. Although non-viral lipid nanoparticle (LNP) delivery of RNA in vivo has become a preferred method for gene editing in animals and patients, its application to complex, three-component prime editing systems has yielded low editing efficiencies. Here we developed a systematic prime editing LNP (PE-LNP) optimization platform that addresses key bottlenecks in cargo design that limit editing efficiency. This generalizable workflow yielded PE-LNPs that can achieve 49% average in vivo prime editing in the bulk mouse liver with a single dose of 2 mg kg−1. We applied our workflow to the correction of PAH R408W, a cause of phenylketonuria, in a mouse model and achieved prime editing efficiencies and serum phenylalanine levels anticipated to be curative. We also show that PE-LNPs minimize off-target editing compared with DNA delivery methods, induce only transient elevation of liver enzymes and can be dosed repeatedly to improve editing efficiencies. These PE-LNP systems provide an attractive alternative to viral delivery by offering transient expression that minimizes off-target editing, no observed long-term toxicity and high levels of non-viral in vivo liver prime editing.</w:t>
      </w:r>
    </w:p>
    <w:p>
      <w:pPr>
        <w:spacing w:before="120" w:after="120"/>
      </w:pPr>
      <w:r>
        <w:rPr>
          <w:sz w:val="18"/>
        </w:rPr>
        <w:t>——————————————————————————————————————————————————————————————————————</w:t>
      </w:r>
    </w:p>
    <w:p>
      <w:pPr>
        <w:spacing w:before="160" w:after="40" w:line="240" w:lineRule="auto"/>
      </w:pPr>
      <w:r>
        <w:rPr>
          <w:b/>
        </w:rPr>
        <w:t xml:space="preserve">[90] </w:t>
      </w:r>
      <w:hyperlink r:id="rId427">
        <w:r>
          <w:rPr>
            <w:color w:val="1155CC"/>
            <w:u w:val="single"/>
          </w:rPr>
          <w:t>用于全钙钛矿串联太阳能电池模块的纳米晶体定制重组</w:t>
        </w:r>
      </w:hyperlink>
    </w:p>
    <w:p>
      <w:pPr>
        <w:spacing w:before="0" w:after="80"/>
      </w:pPr>
      <w:r>
        <w:rPr>
          <w:i/>
          <w:sz w:val="20"/>
        </w:rPr>
        <w:t>EN: Nanocrystal-tailored recombination for all-perovskite tandem solar modules</w:t>
      </w:r>
    </w:p>
    <w:p>
      <w:pPr>
        <w:spacing w:before="0" w:after="120"/>
      </w:pPr>
      <w:r>
        <w:rPr>
          <w:b/>
        </w:rPr>
        <w:t xml:space="preserve">Source: </w:t>
      </w:r>
      <w:r>
        <w:t>Nature</w:t>
      </w:r>
      <w:r>
        <w:t xml:space="preserve">    </w:t>
      </w:r>
      <w:r>
        <w:rPr>
          <w:b/>
        </w:rPr>
        <w:t xml:space="preserve">Pub date: </w:t>
      </w:r>
      <w:r>
        <w:t>2026-06-15 00:00:00+00:00</w:t>
      </w:r>
      <w:r>
        <w:t xml:space="preserve">    </w:t>
      </w:r>
      <w:r>
        <w:rPr>
          <w:b/>
        </w:rPr>
        <w:t xml:space="preserve">DOI: </w:t>
      </w:r>
      <w:hyperlink r:id="rId428">
        <w:r>
          <w:rPr>
            <w:color w:val="1155CC"/>
            <w:u w:val="single"/>
          </w:rPr>
          <w:t>10.1038/s41586-026-10768-1</w:t>
        </w:r>
      </w:hyperlink>
    </w:p>
    <w:p>
      <w:pPr>
        <w:spacing w:before="0" w:after="120"/>
      </w:pPr>
      <w:r>
        <w:rPr>
          <w:b/>
        </w:rPr>
        <w:t xml:space="preserve">Notes: </w:t>
      </w:r>
      <w:r>
        <w:t>abstract_source=nature_html</w:t>
      </w:r>
    </w:p>
    <w:p>
      <w:pPr>
        <w:spacing w:before="0" w:after="80" w:lineRule="auto" w:line="276"/>
      </w:pPr>
      <w:r>
        <w:rPr>
          <w:b/>
        </w:rPr>
        <w:t xml:space="preserve">摘要（ZH）: </w:t>
      </w:r>
      <w:r>
        <w:t>全钙钛矿串联太阳能模块的商业化因对传统金基隧道复合结（TRJ）1,2 的依赖而受到阻碍。具体来说，这种 TRJ 引入了大量的近红外寄生吸收 3 并遭受界面不稳定 4 的影响，限制了光电流的产生和操作耐久性。在这里，我们开发了一种基于表面工程氧化铟（In2O3）纳米晶体的溶液处理互连层，具有高光学透明度，其中受控的纳米晶体形态和定制的配体化学能够实现平滑的界面接触和有利的能级对准。重要的是，我们在铅锡（Pb-Sn）钙钛矿前驱体中引入了膦酸添加剂，它可以协同改善与In2O3复合层的电子接触，从而增强空穴提取。此外，该添加剂还可调节钙钛矿结晶，以减轻成膜过程中的残余应变，确保高质量的大面积沉积。这种协调的界面和结晶工程策略同时提高了互连层的载流子复合效率，改善了载流子提取，并促进全钙钛矿串联中的大面积薄膜均匀性。结果，根据日本电气安全协会的测量，65cm2全钙钛矿串联太阳能组件的认证功率转换效率为26.2%5，开路电压为2.182V，填充因子为77.4%，平均子电池性能的短路电流密度为15.6mA cm-2。</w:t>
      </w:r>
    </w:p>
    <w:p>
      <w:pPr>
        <w:spacing w:before="0" w:after="200" w:lineRule="auto" w:line="276"/>
      </w:pPr>
      <w:r>
        <w:rPr>
          <w:b/>
        </w:rPr>
        <w:t xml:space="preserve">Abstract (EN): </w:t>
      </w:r>
      <w:r>
        <w:t>The commercialization of all-perovskite tandem solar modules is hindered by the reliance on the conventional gold-based tunnel recombination junction (TRJ)1,2. Specifically, this TRJ introduces substantial near-infrared parasitic absorption3 and suffers from interfacial instability4, limiting both photocurrent generation and operational durability. Here, we develop a solution-processed interconnecting layer based on surface-engineered indium oxide (In2O3) nanocrystals featuring high optical transparency, wherein controlled nanocrystal morphology and tailored ligand chemistry enable smooth interfacial contact and favorable energy level alignment. Critically, we introduce a phosphonic acid additive into the lead–tin (Pb–Sn) perovskite precursor, which synergistically improves the electronic contact with the In2O3 recombination layer, thereby enhancing hole extraction. In addition, the additive regulates perovskite crystallization to mitigate residual strain during film formation, ensuring high-quality large-area deposits. This coordinated interfacial and crystallization engineering strategy simultaneously enhances carrier recombination efficiency at the interconnection layer, improves carrier extraction, and promotes large-area film uniformity in all-perovskite tandems. As a result, a 65-cm2 all-perovskite tandem solar module achieves a certified power conversion efficiency of 26.2%5, with an open-circuit voltage of 2.182 V, a fill factor of 77.4%, and a short-circuit current density of 15.6 mA cm-2 in terms of averaged subcell performance, measured by Japan Electrical Safety and Environment Technology Laboratories (JET). This marks a significant advance toward scalable perovskite tandem photovoltaics.</w:t>
      </w:r>
    </w:p>
    <w:p>
      <w:pPr>
        <w:spacing w:before="120" w:after="120"/>
      </w:pPr>
      <w:r>
        <w:rPr>
          <w:sz w:val="18"/>
        </w:rPr>
        <w:t>——————————————————————————————————————————————————————————————————————</w:t>
      </w:r>
    </w:p>
    <w:p>
      <w:pPr>
        <w:spacing w:before="160" w:after="40" w:line="240" w:lineRule="auto"/>
      </w:pPr>
      <w:r>
        <w:rPr>
          <w:b/>
        </w:rPr>
        <w:t xml:space="preserve">[91] </w:t>
      </w:r>
      <w:hyperlink r:id="rId429">
        <w:r>
          <w:rPr>
            <w:color w:val="1155CC"/>
            <w:u w:val="single"/>
          </w:rPr>
          <w:t>纳米空间选择性蛋白质降解调节乳酸代谢以增强肝癌的抗肿瘤免疫力</w:t>
        </w:r>
      </w:hyperlink>
    </w:p>
    <w:p>
      <w:pPr>
        <w:spacing w:before="0" w:after="80"/>
      </w:pPr>
      <w:r>
        <w:rPr>
          <w:i/>
          <w:sz w:val="20"/>
        </w:rPr>
        <w:t>EN: Nano-enabled spatially selective protein degradation modulates lactate metabolism to potentiate antitumor immunity in liver cancer</w:t>
      </w:r>
    </w:p>
    <w:p>
      <w:pPr>
        <w:spacing w:before="0" w:after="120"/>
      </w:pPr>
      <w:r>
        <w:rPr>
          <w:b/>
        </w:rPr>
        <w:t xml:space="preserve">Source: </w:t>
      </w:r>
      <w:r>
        <w:t>Nature Nanotechnology</w:t>
      </w:r>
      <w:r>
        <w:t xml:space="preserve">    </w:t>
      </w:r>
      <w:r>
        <w:rPr>
          <w:b/>
        </w:rPr>
        <w:t xml:space="preserve">Pub date: </w:t>
      </w:r>
      <w:r>
        <w:t>2026-06-15 00:00:00+00:00</w:t>
      </w:r>
      <w:r>
        <w:t xml:space="preserve">    </w:t>
      </w:r>
      <w:r>
        <w:rPr>
          <w:b/>
        </w:rPr>
        <w:t xml:space="preserve">DOI: </w:t>
      </w:r>
      <w:hyperlink r:id="rId430">
        <w:r>
          <w:rPr>
            <w:color w:val="1155CC"/>
            <w:u w:val="single"/>
          </w:rPr>
          <w:t>10.1038/s41565-026-02196-z</w:t>
        </w:r>
      </w:hyperlink>
    </w:p>
    <w:p>
      <w:pPr>
        <w:spacing w:before="0" w:after="120"/>
      </w:pPr>
      <w:r>
        <w:rPr>
          <w:b/>
        </w:rPr>
        <w:t xml:space="preserve">Notes: </w:t>
      </w:r>
      <w:r>
        <w:t>abstract_source=nature_html</w:t>
      </w:r>
    </w:p>
    <w:p>
      <w:pPr>
        <w:spacing w:before="0" w:after="80" w:lineRule="auto" w:line="276"/>
      </w:pPr>
      <w:r>
        <w:rPr>
          <w:b/>
        </w:rPr>
        <w:t xml:space="preserve">摘要（ZH）: </w:t>
      </w:r>
      <w:r>
        <w:t>癌症代谢失调在一定程度上是由单羧酸转运蛋白 1 (MCT1) 和 4 (MCT4) 过量乳酸输出驱动的，会产生酸性肿瘤微环境，抑制抗肿瘤免疫并降低治疗效果。尽管已经探索了针对 MCT1 和/或 MCT4 的小分子抑制剂，但其临床转化受到全身毒性的限制。在这里，我们开发了基于聚合物的溶酶体靶向嵌合体，该嵌合体选择性降解肝癌细胞中与 MCT1 和 MCT4 共表达的伴侣蛋白 CD147，减少乳酸外流并重新编程肿瘤微环境中的乳酸代谢。我们进一步设计了基于聚合物的酸响应性 CD147 靶向溶酶体嵌合体，以实现酸性条件下受控的肿瘤内释放。在几种原位肝癌模型中，全身施用基于聚合物的酸响应性 CD147 靶向溶酶体嵌合体显着抑制了肿瘤进展。此外，这些靶向CD147的溶酶体嵌合体增强了多激酶抑制、免疫疗法和放射疗法的功效，保持了良好的安全性。总的来说，我们的纳米空间选择性策略可调节体内乳酸代谢，增强抗肿瘤免疫力并提高标准癌症治疗的疗效。</w:t>
      </w:r>
    </w:p>
    <w:p>
      <w:pPr>
        <w:spacing w:before="0" w:after="200" w:lineRule="auto" w:line="276"/>
      </w:pPr>
      <w:r>
        <w:rPr>
          <w:b/>
        </w:rPr>
        <w:t xml:space="preserve">Abstract (EN): </w:t>
      </w:r>
      <w:r>
        <w:t>Dysregulated cancer metabolism, driven in part by excessive lactate export through monocarboxylate transporters 1 (MCT1) and 4 (MCT4), generates an acidic tumour microenvironment that suppresses antitumour immunity and diminishes therapeutic efficacy. Although small-molecule inhibitors targeting MCT1 and/or MCT4 have been explored, their clinical translation is limited by systemic toxicity. Here we developed polymer-based lysosome-targeting chimeras that selectively degrade CD147, a chaperone protein co-expressed with MCT1 and MCT4, in liver cancer cells, reducing lactate efflux and reprogramming lactate metabolism within the tumour microenvironment. We further engineered polymer-based acid-responsive CD147-targeting lysosome-targeting chimeras to achieve controlled intra-tumoural release under acidic conditions. Systemic administration of polymer-based acid-responsive CD147-targeting lysosome-targeting chimeras significantly suppressed tumour progression in several orthotopic liver cancer models. Moreover, these CD147-targeting lysosome-targeting chimeras potentiated the efficacy of multi-kinase inhibition, immunotherapy and radiotherapy, maintaining a favourable safety profile. Collectively, our nano-enabled spatially selective strategy modulates lactate metabolism in vivo, augmenting antitumour immunity and improving the efficacy of standard-of-care cancer therapies.</w:t>
      </w:r>
    </w:p>
    <w:p>
      <w:pPr>
        <w:spacing w:before="120" w:after="120"/>
      </w:pPr>
      <w:r>
        <w:rPr>
          <w:sz w:val="18"/>
        </w:rPr>
        <w:t>——————————————————————————————————————————————————————————————————————</w:t>
      </w:r>
    </w:p>
    <w:p>
      <w:pPr>
        <w:spacing w:before="160" w:after="40" w:line="240" w:lineRule="auto"/>
      </w:pPr>
      <w:r>
        <w:rPr>
          <w:b/>
        </w:rPr>
        <w:t xml:space="preserve">[92] </w:t>
      </w:r>
      <w:hyperlink r:id="rId431">
        <w:r>
          <w:rPr>
            <w:color w:val="1155CC"/>
            <w:u w:val="single"/>
          </w:rPr>
          <w:t>死亡率与臭氧和二氧化氮综合氧化能力的关联</w:t>
        </w:r>
      </w:hyperlink>
    </w:p>
    <w:p>
      <w:pPr>
        <w:spacing w:before="0" w:after="80"/>
      </w:pPr>
      <w:r>
        <w:rPr>
          <w:i/>
          <w:sz w:val="20"/>
        </w:rPr>
        <w:t>EN: Association of mortality and combined oxidative capacity of ozone and nitrogen dioxide</w:t>
      </w:r>
    </w:p>
    <w:p>
      <w:pPr>
        <w:spacing w:before="0" w:after="120"/>
      </w:pPr>
      <w:r>
        <w:rPr>
          <w:b/>
        </w:rPr>
        <w:t xml:space="preserve">Source: </w:t>
      </w:r>
      <w:r>
        <w:t>Nature Sustainability</w:t>
      </w:r>
      <w:r>
        <w:t xml:space="preserve">    </w:t>
      </w:r>
      <w:r>
        <w:rPr>
          <w:b/>
        </w:rPr>
        <w:t xml:space="preserve">Pub date: </w:t>
      </w:r>
      <w:r>
        <w:t>2026-06-15 00:00:00+00:00</w:t>
      </w:r>
      <w:r>
        <w:t xml:space="preserve">    </w:t>
      </w:r>
      <w:r>
        <w:rPr>
          <w:b/>
        </w:rPr>
        <w:t xml:space="preserve">DOI: </w:t>
      </w:r>
      <w:hyperlink r:id="rId432">
        <w:r>
          <w:rPr>
            <w:color w:val="1155CC"/>
            <w:u w:val="single"/>
          </w:rPr>
          <w:t>10.1038/s41893-026-01875-y</w:t>
        </w:r>
      </w:hyperlink>
    </w:p>
    <w:p>
      <w:pPr>
        <w:spacing w:before="0" w:after="120"/>
      </w:pPr>
      <w:r>
        <w:rPr>
          <w:b/>
        </w:rPr>
        <w:t xml:space="preserve">Notes: </w:t>
      </w:r>
      <w:r>
        <w:t>abstract_source=nature_html</w:t>
      </w:r>
    </w:p>
    <w:p>
      <w:pPr>
        <w:spacing w:before="0" w:after="80" w:lineRule="auto" w:line="276"/>
      </w:pPr>
      <w:r>
        <w:rPr>
          <w:b/>
        </w:rPr>
        <w:t xml:space="preserve">摘要（ZH）: </w:t>
      </w:r>
      <w:r>
        <w:t>臭氧 (O3) 和二氧化氮 (NO2) 是两种常见的气态污染物，它们都具有对人类健康产生影响的氧化特性，并且具有密不可分的化学关系，组合起来可能会对公共健康产生明显的影响。我们研究了 1985 年至 2020 年间 23 个国家或地区 380 个城市中 O3 和 NO2 的综合氧化能力（用 Oxwt 表示，O3 和 NO2 浓度的平均值以其标准电极电位加权）与总死亡率、心血管死亡率和呼吸系统死亡率的短期关联。在 2 天内 (LAG01)，Oxwt 浓度增加 10 ppb 与增加 0.82% 相关总死亡率（95%置信区间（CI）：0.55%，1.10%），心血管死亡率为1.09%（95% CI：0.83%，1.35%），呼吸系统死亡率为0.88%（95% CI：0.31%，1.45%）。我们还观察到这种关联因地理区域和研究时期而异。 Oxwt 造成的死亡人数多于 O3 或 NO2 造成的死亡人数，但少于两者的总和。因此，Oxwt 可能是一个有价值的指标，可用于公共卫生工作，以捕捉 O3 和 NO2 的综合影响。</w:t>
      </w:r>
    </w:p>
    <w:p>
      <w:pPr>
        <w:spacing w:before="0" w:after="200" w:lineRule="auto" w:line="276"/>
      </w:pPr>
      <w:r>
        <w:rPr>
          <w:b/>
        </w:rPr>
        <w:t xml:space="preserve">Abstract (EN): </w:t>
      </w:r>
      <w:r>
        <w:t>Ozone (O3) and nitrogen dioxide (NO2) are two common gaseous pollutants that both possess oxidizing properties with consequences for human health and have an inextricable chemical relationship that could have distinct public health impacts when considered in combination. We examined the short-term associations of the combined oxidative capacity of O3 and NO2 (represented by Oxwt, the average of O3 and NO2 concentrations weighted by their standard electrode potential) with total, cardiovascular and respiratory mortality in 380 cities across 23 countries or regions between 1985 and 2020. Over 2 days (LAG01), a 10-ppb increase in Oxwt concentration was associated with an increase of 0.82% (95% confidence interval (CI): 0.55%, 1.10%) in total mortality, 1.09% (95% CI: 0.83%, 1.35%) in cardiovascular mortality and 0.88% (95% CI: 0.31%, 1.45%) in respiratory mortality. We also observed variations in this association by geographic region and study period. More deaths were attributable to Oxwt than to either O3 or NO2 but fewer than the sum of the two. Thus, Oxwt might be a valuable indicator for use in public health efforts to capture the combined effects of O3 and NO2.</w:t>
      </w:r>
    </w:p>
    <w:p>
      <w:pPr>
        <w:spacing w:before="120" w:after="120"/>
      </w:pPr>
      <w:r>
        <w:rPr>
          <w:sz w:val="18"/>
        </w:rPr>
        <w:t>——————————————————————————————————————————————————————————————————————</w:t>
      </w:r>
    </w:p>
    <w:p>
      <w:pPr>
        <w:spacing w:before="160" w:after="40" w:line="240" w:lineRule="auto"/>
      </w:pPr>
      <w:r>
        <w:rPr>
          <w:b/>
        </w:rPr>
        <w:t xml:space="preserve">[93] </w:t>
      </w:r>
      <w:hyperlink r:id="rId433">
        <w:r>
          <w:rPr>
            <w:color w:val="1155CC"/>
            <w:u w:val="single"/>
          </w:rPr>
          <w:t>纳米级忆阻器的材料考虑</w:t>
        </w:r>
      </w:hyperlink>
    </w:p>
    <w:p>
      <w:pPr>
        <w:spacing w:before="0" w:after="80"/>
      </w:pPr>
      <w:r>
        <w:rPr>
          <w:i/>
          <w:sz w:val="20"/>
        </w:rPr>
        <w:t>EN: Material considerations of memristors at the nanoscale</w:t>
      </w:r>
    </w:p>
    <w:p>
      <w:pPr>
        <w:spacing w:before="0" w:after="120"/>
      </w:pPr>
      <w:r>
        <w:rPr>
          <w:b/>
        </w:rPr>
        <w:t xml:space="preserve">Source: </w:t>
      </w:r>
      <w:r>
        <w:t>Nature Materials</w:t>
      </w:r>
      <w:r>
        <w:t xml:space="preserve">    </w:t>
      </w:r>
      <w:r>
        <w:rPr>
          <w:b/>
        </w:rPr>
        <w:t xml:space="preserve">Pub date: </w:t>
      </w:r>
      <w:r>
        <w:t>2026-06-15 00:00:00+00:00</w:t>
      </w:r>
      <w:r>
        <w:t xml:space="preserve">    </w:t>
      </w:r>
      <w:r>
        <w:rPr>
          <w:b/>
        </w:rPr>
        <w:t xml:space="preserve">DOI: </w:t>
      </w:r>
      <w:hyperlink r:id="rId434">
        <w:r>
          <w:rPr>
            <w:color w:val="1155CC"/>
            <w:u w:val="single"/>
          </w:rPr>
          <w:t>10.1038/s41563-026-02634-2</w:t>
        </w:r>
      </w:hyperlink>
    </w:p>
    <w:p>
      <w:pPr>
        <w:spacing w:before="0" w:after="120"/>
      </w:pPr>
      <w:r>
        <w:rPr>
          <w:b/>
        </w:rPr>
        <w:t xml:space="preserve">Notes: </w:t>
      </w:r>
      <w:r>
        <w:t>abstract_source=nature_html</w:t>
      </w:r>
    </w:p>
    <w:p>
      <w:pPr>
        <w:spacing w:before="0" w:after="80" w:lineRule="auto" w:line="276"/>
      </w:pPr>
      <w:r>
        <w:rPr>
          <w:b/>
        </w:rPr>
        <w:t xml:space="preserve">摘要（ZH）: </w:t>
      </w:r>
      <w:r>
        <w:t>保加利亚科学院电化学与能源系统研究所和尤利希研究中心教授伊利亚·瓦洛夫 (Ilia Valov) 在接受 Nature Materials 采访时探讨了纳米级结构、成分、电化学以及忆阻器的特性和功能之间的关系。</w:t>
      </w:r>
    </w:p>
    <w:p>
      <w:pPr>
        <w:spacing w:before="0" w:after="200" w:lineRule="auto" w:line="276"/>
      </w:pPr>
      <w:r>
        <w:rPr>
          <w:b/>
        </w:rPr>
        <w:t xml:space="preserve">Abstract (EN): </w:t>
      </w:r>
      <w:r>
        <w:t>Ilia Valov, a professor at the Institute of Electrochemistry and Energy Systems, Bulgarian Academy of Sciences, and at the Forschungszentrum Jülich, talks to Nature Materials about the relationship between nanoscale structure, composition, electrochemistry and the properties and functionalities of memristors.</w:t>
      </w:r>
    </w:p>
    <w:p>
      <w:pPr>
        <w:spacing w:before="120" w:after="120"/>
      </w:pPr>
      <w:r>
        <w:rPr>
          <w:sz w:val="18"/>
        </w:rPr>
        <w:t>——————————————————————————————————————————————————————————————————————</w:t>
      </w:r>
    </w:p>
    <w:p>
      <w:pPr>
        <w:spacing w:before="160" w:after="40" w:line="240" w:lineRule="auto"/>
      </w:pPr>
      <w:r>
        <w:rPr>
          <w:b/>
        </w:rPr>
        <w:t xml:space="preserve">[94] </w:t>
      </w:r>
      <w:hyperlink r:id="rId435">
        <w:r>
          <w:rPr>
            <w:color w:val="1155CC"/>
            <w:u w:val="single"/>
          </w:rPr>
          <w:t>磁性半导体中的激子自旋扭矩</w:t>
        </w:r>
      </w:hyperlink>
    </w:p>
    <w:p>
      <w:pPr>
        <w:spacing w:before="0" w:after="80"/>
      </w:pPr>
      <w:r>
        <w:rPr>
          <w:i/>
          <w:sz w:val="20"/>
        </w:rPr>
        <w:t>EN: Excitonic spin torque in a magnetic semiconductor</w:t>
      </w:r>
    </w:p>
    <w:p>
      <w:pPr>
        <w:spacing w:before="0" w:after="120"/>
      </w:pPr>
      <w:r>
        <w:rPr>
          <w:b/>
        </w:rPr>
        <w:t xml:space="preserve">Source: </w:t>
      </w:r>
      <w:r>
        <w:t>Nature Materials</w:t>
      </w:r>
      <w:r>
        <w:t xml:space="preserve">    </w:t>
      </w:r>
      <w:r>
        <w:rPr>
          <w:b/>
        </w:rPr>
        <w:t xml:space="preserve">Pub date: </w:t>
      </w:r>
      <w:r>
        <w:t>2026-06-15 00:00:00+00:00</w:t>
      </w:r>
      <w:r>
        <w:t xml:space="preserve">    </w:t>
      </w:r>
      <w:r>
        <w:rPr>
          <w:b/>
        </w:rPr>
        <w:t xml:space="preserve">DOI: </w:t>
      </w:r>
      <w:hyperlink r:id="rId436">
        <w:r>
          <w:rPr>
            <w:color w:val="1155CC"/>
            <w:u w:val="single"/>
          </w:rPr>
          <w:t>10.1038/s41563-026-02643-1</w:t>
        </w:r>
      </w:hyperlink>
    </w:p>
    <w:p>
      <w:pPr>
        <w:spacing w:before="0" w:after="120"/>
      </w:pPr>
      <w:r>
        <w:rPr>
          <w:b/>
        </w:rPr>
        <w:t xml:space="preserve">Notes: </w:t>
      </w:r>
      <w:r>
        <w:t>abstract_source=nature_html</w:t>
      </w:r>
    </w:p>
    <w:p>
      <w:pPr>
        <w:spacing w:before="0" w:after="80" w:lineRule="auto" w:line="276"/>
      </w:pPr>
      <w:r>
        <w:rPr>
          <w:b/>
        </w:rPr>
        <w:t xml:space="preserve">摘要（ZH）: </w:t>
      </w:r>
      <w:r>
        <w:t>激子是半导体中的电子激发，介导光与物质之间的相互作用。它们支撑着从光电子学到非线性光学和传感器的各种现象。在这里，我们展示了二维磁性半导体 CrSBr 中的束缚激子库所施加的自旋扭矩，该自旋扭矩一致地充当类阻尼和反阻尼扭矩。至关重要的是，这种激子自旋扭矩驱动磁势能表面上的非平凡轨迹，从而能够通过单个光脉冲在反铁磁配置之间快速且重复地切换。与通过异质结构对称性和界面设计固定的传统自旋扭矩不同，这种激子自旋扭矩是一种固有的材料特性。我们的研究结果确立了激子作为光自旋电子器件、双向量子传感器、自旋电子存储器和非平衡磁相变研究的实用控制旋钮。</w:t>
      </w:r>
    </w:p>
    <w:p>
      <w:pPr>
        <w:spacing w:before="0" w:after="200" w:lineRule="auto" w:line="276"/>
      </w:pPr>
      <w:r>
        <w:rPr>
          <w:b/>
        </w:rPr>
        <w:t xml:space="preserve">Abstract (EN): </w:t>
      </w:r>
      <w:r>
        <w:t>Excitons are electronic excitations in semiconductors that mediate the interaction between light and matter. They underpin a wide range of phenomena from optoelectronics to nonlinear optics and sensors. Here we show that a bound exciton reservoir in the two-dimensional magnetic semiconductor CrSBr exerts a spin torque that coherently acts as damping-like and anti-damping-like torques. Crucially, this excitonic spin torque drives a non-trivial trajectory on the magnetic potential energy surface, enabling rapid and repeated switching between antiferromagnetic configurations from a single optical pulse. Unlike traditional spin torques that are fixed by heterostructure symmetry and interface design, this excitonic spin torque is an intrinsic material property. Our results establish excitons as a practical control knob for optospintronic devices, bidirectional quantum transducers, spintronic memory and studies of non-equilibrium magnetic phase transitions.</w:t>
      </w:r>
    </w:p>
    <w:p>
      <w:pPr>
        <w:spacing w:before="120" w:after="120"/>
      </w:pPr>
      <w:r>
        <w:rPr>
          <w:sz w:val="18"/>
        </w:rPr>
        <w:t>——————————————————————————————————————————————————————————————————————</w:t>
      </w:r>
    </w:p>
    <w:p>
      <w:pPr>
        <w:spacing w:before="160" w:after="40" w:line="240" w:lineRule="auto"/>
      </w:pPr>
      <w:r>
        <w:rPr>
          <w:b/>
        </w:rPr>
        <w:t xml:space="preserve">[95] </w:t>
      </w:r>
      <w:hyperlink r:id="rId437">
        <w:r>
          <w:rPr>
            <w:color w:val="1155CC"/>
            <w:u w:val="single"/>
          </w:rPr>
          <w:t>减肥药物的最新好处：提高睾酮和精子质量</w:t>
        </w:r>
      </w:hyperlink>
    </w:p>
    <w:p>
      <w:pPr>
        <w:spacing w:before="0" w:after="80"/>
      </w:pPr>
      <w:r>
        <w:rPr>
          <w:i/>
          <w:sz w:val="20"/>
        </w:rPr>
        <w:t>EN: The latest benefit of obesity drugs: boosting testosterone and sperm quality</w:t>
      </w:r>
    </w:p>
    <w:p>
      <w:pPr>
        <w:spacing w:before="0" w:after="120"/>
      </w:pPr>
      <w:r>
        <w:rPr>
          <w:b/>
        </w:rPr>
        <w:t xml:space="preserve">Source: </w:t>
      </w:r>
      <w:r>
        <w:t>Nature</w:t>
      </w:r>
      <w:r>
        <w:t xml:space="preserve">    </w:t>
      </w:r>
      <w:r>
        <w:rPr>
          <w:b/>
        </w:rPr>
        <w:t xml:space="preserve">Pub date: </w:t>
      </w:r>
      <w:r>
        <w:t>2026-06-15 00:00:00+00:00</w:t>
      </w:r>
      <w:r>
        <w:t xml:space="preserve">    </w:t>
      </w:r>
      <w:r>
        <w:rPr>
          <w:b/>
        </w:rPr>
        <w:t xml:space="preserve">DOI: </w:t>
      </w:r>
      <w:hyperlink r:id="rId438">
        <w:r>
          <w:rPr>
            <w:color w:val="1155CC"/>
            <w:u w:val="single"/>
          </w:rPr>
          <w:t>10.1038/d41586-026-01867-0</w:t>
        </w:r>
      </w:hyperlink>
    </w:p>
    <w:p>
      <w:pPr>
        <w:spacing w:before="0" w:after="120"/>
      </w:pPr>
      <w:r>
        <w:rPr>
          <w:b/>
        </w:rPr>
        <w:t xml:space="preserve">Notes: </w:t>
      </w:r>
      <w:r>
        <w:t>abstract_source=nature_html</w:t>
      </w:r>
    </w:p>
    <w:p>
      <w:pPr>
        <w:spacing w:before="0" w:after="80" w:lineRule="auto" w:line="276"/>
      </w:pPr>
      <w:r>
        <w:rPr>
          <w:b/>
        </w:rPr>
        <w:t xml:space="preserve">摘要（ZH）: </w:t>
      </w:r>
      <w:r>
        <w:t>初步研究发现，服用 GLP-1 药物的人睾酮水平会升高或稳定。初步研究发现，服用 GLP-1 药物的人睾酮水平会升高或稳定。</w:t>
      </w:r>
    </w:p>
    <w:p>
      <w:pPr>
        <w:spacing w:before="0" w:after="200" w:lineRule="auto" w:line="276"/>
      </w:pPr>
      <w:r>
        <w:rPr>
          <w:b/>
        </w:rPr>
        <w:t xml:space="preserve">Abstract (EN): </w:t>
      </w:r>
      <w:r>
        <w:t>Preliminary study finds that testosterone levels increase or stabilize in people taking GLP-1 medications. Preliminary study finds that testosterone levels increase or stabilize in people taking GLP-1 medications.</w:t>
      </w:r>
    </w:p>
    <w:p>
      <w:pPr>
        <w:spacing w:before="120" w:after="120"/>
      </w:pPr>
      <w:r>
        <w:rPr>
          <w:sz w:val="18"/>
        </w:rPr>
        <w:t>——————————————————————————————————————————————————————————————————————</w:t>
      </w:r>
    </w:p>
    <w:p>
      <w:pPr>
        <w:spacing w:before="160" w:after="40" w:line="240" w:lineRule="auto"/>
      </w:pPr>
      <w:r>
        <w:rPr>
          <w:b/>
        </w:rPr>
        <w:t xml:space="preserve">[96] </w:t>
      </w:r>
      <w:hyperlink r:id="rId439">
        <w:r>
          <w:rPr>
            <w:color w:val="1155CC"/>
            <w:u w:val="single"/>
          </w:rPr>
          <w:t>通过 N-杂环卡宾催化的酰基插入 Smiles 重排实现芳烃双官能化</w:t>
        </w:r>
      </w:hyperlink>
    </w:p>
    <w:p>
      <w:pPr>
        <w:spacing w:before="0" w:after="80"/>
      </w:pPr>
      <w:r>
        <w:rPr>
          <w:i/>
          <w:sz w:val="20"/>
        </w:rPr>
        <w:t>EN: Arene difunctionalization through an acyl-inserting Smiles rearrangement enabled by N-heterocyclic carbene catalysis</w:t>
      </w:r>
    </w:p>
    <w:p>
      <w:pPr>
        <w:spacing w:before="0" w:after="120"/>
      </w:pPr>
      <w:r>
        <w:rPr>
          <w:b/>
        </w:rPr>
        <w:t xml:space="preserve">Source: </w:t>
      </w:r>
      <w:r>
        <w:t>Physical sciences : Nature Communications subject feeds</w:t>
      </w:r>
      <w:r>
        <w:t xml:space="preserve">    </w:t>
      </w:r>
      <w:r>
        <w:rPr>
          <w:b/>
        </w:rPr>
        <w:t xml:space="preserve">Pub date: </w:t>
      </w:r>
      <w:r>
        <w:t>2026-06-15 00:00:00+00:00</w:t>
      </w:r>
    </w:p>
    <w:p>
      <w:pPr>
        <w:spacing w:before="0" w:after="120"/>
      </w:pPr>
      <w:r>
        <w:rPr>
          <w:b/>
        </w:rPr>
        <w:t xml:space="preserve">Notes: </w:t>
      </w:r>
      <w:r>
        <w:t>abstract_source=nature_html</w:t>
      </w:r>
    </w:p>
    <w:p>
      <w:pPr>
        <w:spacing w:before="0" w:after="80" w:lineRule="auto" w:line="276"/>
      </w:pPr>
      <w:r>
        <w:rPr>
          <w:b/>
        </w:rPr>
        <w:t xml:space="preserve">摘要（ZH）: </w:t>
      </w:r>
      <w:r>
        <w:t>芳烃双官能化提供了一种强大的策略，可以在一个步骤中同时安装两个官能团。尽管最近取得了进展，ipso/对位选择性芳烃转化仍然不发达。在此，我们报告了一种解决这一挑战的 N-杂环卡宾 (NHC) 催化的激进方案。该过程的特点是产生独特的酰基插入 Smiles 重排，其中自由基 Meisenheimer 中间体在重芳构化之前被 NHC 结合自由基拦截。随后的酮去质子化重新生成离子型 Meisenheimer 中间体，从而完成重排并提供 1,4-双官能化芳烃。该有机催化方案表现出广泛的底物范围，耐受不同的官能团，并以优异的产率提供酰化苯胺衍生物（96 个示例，产率高达 98%）。苯并[b]氮杂卓的扩环策略和类药物分子的后期功能化进一步展示了合成潜力。实验和计算相结合的研究的机理见解揭示了独特的反应性和观察到的优异的位点选择性。</w:t>
      </w:r>
    </w:p>
    <w:p>
      <w:pPr>
        <w:spacing w:before="0" w:after="200" w:lineRule="auto" w:line="276"/>
      </w:pPr>
      <w:r>
        <w:rPr>
          <w:b/>
        </w:rPr>
        <w:t xml:space="preserve">Abstract (EN): </w:t>
      </w:r>
      <w:r>
        <w:t>Arene difunctionalization offers a powerful strategy for the simultaneous installation of two functional groups in a single step. Despite recent advances, ipso/para-selective arene transformations remain underdeveloped. Herein, we report an N-heterocyclic carbene (NHC)-catalyzed radical protocol that addresses this challenge. The process features a unique generation of acyl-inserting Smiles rearrangement, wherein radical Meisenheimer intermediates are intercepted by NHC-bound radicals prior to rearomatization. Subsequent ketone deprotonation regenerates ionic Meisenheimer intermediates, thereby completing the rearrangement and affording 1,4-difunctionalized arenes. This organocatalytic protocol exhibits broad substrate scope, tolerates diverse functional groups, and delivers acylated aniline derivatives in excellent yields (96 examples, up to 98% yield). The synthetic potential is further showcased by a ring-expansion strategy to benzo[b]azepines and by late-stage functionalization of drug-like molecules. Mechanistic insights from combined experimental and computational studies shed light on the unique reactivity and the observed excellent site-selectivity.</w:t>
      </w:r>
    </w:p>
    <w:p>
      <w:pPr>
        <w:spacing w:before="120" w:after="120"/>
      </w:pPr>
      <w:r>
        <w:rPr>
          <w:sz w:val="18"/>
        </w:rPr>
        <w:t>——————————————————————————————————————————————————————————————————————</w:t>
      </w:r>
    </w:p>
    <w:p>
      <w:pPr>
        <w:spacing w:before="160" w:after="40" w:line="240" w:lineRule="auto"/>
      </w:pPr>
      <w:r>
        <w:rPr>
          <w:b/>
        </w:rPr>
        <w:t xml:space="preserve">[97] </w:t>
      </w:r>
      <w:hyperlink r:id="rId440">
        <w:r>
          <w:rPr>
            <w:color w:val="1155CC"/>
            <w:u w:val="single"/>
          </w:rPr>
          <w:t>采用近临界密度泡沫的跃迁辐射场增强激光质子加速</w:t>
        </w:r>
      </w:hyperlink>
    </w:p>
    <w:p>
      <w:pPr>
        <w:spacing w:before="0" w:after="80"/>
      </w:pPr>
      <w:r>
        <w:rPr>
          <w:i/>
          <w:sz w:val="20"/>
        </w:rPr>
        <w:t>EN: Transition Radiation Field Enhanced Laser Proton Acceleration Employing Near-Critical-Density Foam</w:t>
      </w:r>
    </w:p>
    <w:p>
      <w:pPr>
        <w:spacing w:before="0" w:after="120"/>
      </w:pPr>
      <w:r>
        <w:rPr>
          <w:b/>
        </w:rPr>
        <w:t xml:space="preserve">Source: </w:t>
      </w:r>
      <w:r>
        <w:t>Physical sciences : Nature Communications subject feeds</w:t>
      </w:r>
      <w:r>
        <w:t xml:space="preserve">    </w:t>
      </w:r>
      <w:r>
        <w:rPr>
          <w:b/>
        </w:rPr>
        <w:t xml:space="preserve">Pub date: </w:t>
      </w:r>
      <w:r>
        <w:t>2026-06-15 00:00:00+00:00</w:t>
      </w:r>
    </w:p>
    <w:p>
      <w:pPr>
        <w:spacing w:before="0" w:after="120"/>
      </w:pPr>
      <w:r>
        <w:rPr>
          <w:b/>
        </w:rPr>
        <w:t xml:space="preserve">Notes: </w:t>
      </w:r>
      <w:r>
        <w:t>abstract_source=nature_html</w:t>
      </w:r>
    </w:p>
    <w:p>
      <w:pPr>
        <w:spacing w:before="0" w:after="80" w:lineRule="auto" w:line="276"/>
      </w:pPr>
      <w:r>
        <w:rPr>
          <w:b/>
        </w:rPr>
        <w:t xml:space="preserve">摘要（ZH）: </w:t>
      </w:r>
      <w:r>
        <w:t>具有超快时间特性的激光驱动质子引起了从闪光辐射肿瘤学到紧凑型加速器等领域的极大兴趣。来自激光诱导加速场的质子的高效能量耦合是复杂的，结合多个场贡献的混合加速机制被证明对于优化质子能量至关重要。在这里，我们报告了一种激光质子加速方案，其中质子能量可以通过由高能和大电荷电子束建立的过渡辐射场（TRF）来增强。使用近临界密度等离子体，我们通过实验产生电荷高达 ~30 nC (&gt;13 MeV) 的电子束。当这些电子离开目标时，它们会发射强烈的 TRF，能量在 0.1-15 THz 范围内高达 0.6 J，对应于 1012-13 V m-1 的加速场。当与电荷分离场 (CSF) 叠加时，质子截止能量提高两倍以上，达到 90 MeV。所得光谱在高能区域表现出独特的平台形特征。多维动力学模拟证实了 TRF 和 CSF 在增强质子能量和塑造光谱结构方面的协同作用。该方案为相对论电子束和加速场之间的耦合提供了新的见解，并促进更有效的激光驱动质子加速。</w:t>
      </w:r>
    </w:p>
    <w:p>
      <w:pPr>
        <w:spacing w:before="0" w:after="200" w:lineRule="auto" w:line="276"/>
      </w:pPr>
      <w:r>
        <w:rPr>
          <w:b/>
        </w:rPr>
        <w:t xml:space="preserve">Abstract (EN): </w:t>
      </w:r>
      <w:r>
        <w:t>Laser-driven protons with ultrafast temporal properties attract great interest in fields ranging from flash radiation oncology to compact accelerators. High-efficiency energy coupling of protons from laser-induced accelerating fields is complex, hybrid acceleration mechanisms that combine multiple field contributions prove critical for optimizing proton energy. Here, we report a laser proton acceleration scheme in which proton energy can be enhanced by a transition radiation field (TRF) built by high-energy and large-charged electron bunches. Using near-critical-density plasmas, we experimentally produce electron beams with charges up to ~30 nC (&gt;13 MeV). As these electrons exit the target, they emit intense TRF with energy up to 0.6 J in 0.1-15 THz range, corresponding to an acceleration field of 1012–13 V m–1. When superposed with the charge-separation field (CSF), proton cut-off energy is boosted by more than a factor of two, reaching 90 MeV. The resulting spectra exhibit a distinctive plateau-shaped feature in the high-energy regime. Multi-dimensional kinetic simulations confirm the synergistic role of the TRF and CSF in both enhancing the proton energy and shaping the spectral structure. This scheme provides new insights into the coupling between relativistic electron beams and acceleration fields and facilitates more efficient laser-driven proton acceleration.</w:t>
      </w:r>
    </w:p>
    <w:p>
      <w:pPr>
        <w:spacing w:before="120" w:after="120"/>
      </w:pPr>
      <w:r>
        <w:rPr>
          <w:sz w:val="18"/>
        </w:rPr>
        <w:t>——————————————————————————————————————————————————————————————————————</w:t>
      </w:r>
    </w:p>
    <w:p>
      <w:pPr>
        <w:spacing w:before="160" w:after="40" w:line="240" w:lineRule="auto"/>
      </w:pPr>
      <w:r>
        <w:rPr>
          <w:b/>
        </w:rPr>
        <w:t xml:space="preserve">[98] </w:t>
      </w:r>
      <w:hyperlink r:id="rId441">
        <w:r>
          <w:rPr>
            <w:color w:val="1155CC"/>
            <w:u w:val="single"/>
          </w:rPr>
          <w:t>高分辨率纳米孔肽传感、分析和序列组装</w:t>
        </w:r>
      </w:hyperlink>
    </w:p>
    <w:p>
      <w:pPr>
        <w:spacing w:before="0" w:after="80"/>
      </w:pPr>
      <w:r>
        <w:rPr>
          <w:i/>
          <w:sz w:val="20"/>
        </w:rPr>
        <w:t>EN: High-resolution nanopore peptide sensing, profiling and sequence assembly</w:t>
      </w:r>
    </w:p>
    <w:p>
      <w:pPr>
        <w:spacing w:before="0" w:after="120"/>
      </w:pPr>
      <w:r>
        <w:rPr>
          <w:b/>
        </w:rPr>
        <w:t xml:space="preserve">Source: </w:t>
      </w:r>
      <w:r>
        <w:t>Nature Nanotechnology</w:t>
      </w:r>
      <w:r>
        <w:t xml:space="preserve">    </w:t>
      </w:r>
      <w:r>
        <w:rPr>
          <w:b/>
        </w:rPr>
        <w:t xml:space="preserve">Pub date: </w:t>
      </w:r>
      <w:r>
        <w:t>2026-06-15 00:00:00+00:00</w:t>
      </w:r>
      <w:r>
        <w:t xml:space="preserve">    </w:t>
      </w:r>
      <w:r>
        <w:rPr>
          <w:b/>
        </w:rPr>
        <w:t xml:space="preserve">DOI: </w:t>
      </w:r>
      <w:hyperlink r:id="rId442">
        <w:r>
          <w:rPr>
            <w:color w:val="1155CC"/>
            <w:u w:val="single"/>
          </w:rPr>
          <w:t>10.1038/s41565-026-02192-3</w:t>
        </w:r>
      </w:hyperlink>
    </w:p>
    <w:p>
      <w:pPr>
        <w:spacing w:before="0" w:after="120"/>
      </w:pPr>
      <w:r>
        <w:rPr>
          <w:b/>
        </w:rPr>
        <w:t xml:space="preserve">Notes: </w:t>
      </w:r>
      <w:r>
        <w:t>abstract_source=nature_html</w:t>
      </w:r>
    </w:p>
    <w:p>
      <w:pPr>
        <w:spacing w:before="0" w:after="80" w:lineRule="auto" w:line="276"/>
      </w:pPr>
      <w:r>
        <w:rPr>
          <w:b/>
        </w:rPr>
        <w:t xml:space="preserve">摘要（ZH）: </w:t>
      </w:r>
      <w:r>
        <w:t>随着纳米孔核酸测序的成功，纳米孔已被探索作为蛋白质分析的潜在平台。然而，蛋白质测序在技术上仍然具有挑战性，并且尚未建立用于蛋白质组学的用途。这里显示镍固定的耻垢分枝杆菌孔蛋白 A (MspA-NTA-Ni) 纳米孔能够鉴定一系列蛋白质组分析物，包括氨基酸和长度最多 39 个氨基酸的肽。在相同条件下，记录了对应于20个蛋白氨基酸、4个翻译后修饰氨基酸、32个肽、6个修饰肽、11个生物活性肽和2个新抗原肽的信号。基于机器学习的分析可以对这些分析物进行分类，在研究数据集中验证准确度高达 97.4%。 MspA-NTA-Ni 纳米孔支持直接肽鉴定和酶水解后的肽分析。作为概念证明，使用外肽酶和内肽酶消化参考肽以生成重叠的肽片段。纳米孔测量与机器学习预测相结合，能够识别片段组成和部分序列，从而重建原始肽序列。这种基于水解的方法显示出对序列改变（包括突变、缺失和翻译后修饰）的敏感性，表明了靶向肽表征的潜在实用性。</w:t>
      </w:r>
    </w:p>
    <w:p>
      <w:pPr>
        <w:spacing w:before="0" w:after="200" w:lineRule="auto" w:line="276"/>
      </w:pPr>
      <w:r>
        <w:rPr>
          <w:b/>
        </w:rPr>
        <w:t xml:space="preserve">Abstract (EN): </w:t>
      </w:r>
      <w:r>
        <w:t>Nanopores have been explored as a potential platform for protein analysis following the success of nanopore nucleic acid sequencing. However, protein sequencing remains technically challenging and has not yet been established for proteomics use. Here a nickel-immobilized Mycobacterium smegmatis porin A (MspA-NTA-Ni) nanopore is shown to enable the identification of a range of proteomic analytes, including amino acids and peptides up to 39 amino acids in length. Under identical conditions, signals corresponding to 20 proteinogenic amino acids, 4 post-translationally modified amino acids, 32 peptides, 6 modified peptides, 11 bioactive peptides and 2 neoantigen peptides were recorded. Machine-learning-based analysis enabled classification of these analytes with a validation accuracy of up to 97.4% within the studied dataset. The MspA-NTA-Ni nanopore supports both direct peptide identification and peptide profiling following enzymatic hydrolysis. As a proof of concept, a reference peptide was digested using exo- and endopeptidases to generate overlapping peptide fragments. Nanopore measurements combined with machine learning predictions enabled the identification of fragment compositions and partial sequences, allowing reconstruction of the original peptide sequence. This hydrolysis-based approach shows sensitivity to sequence alterations, including mutations, deletions and post-translational modifications, indicating potential utility for targeted peptide characterization.</w:t>
      </w:r>
    </w:p>
    <w:p>
      <w:pPr>
        <w:spacing w:before="120" w:after="120"/>
      </w:pPr>
      <w:r>
        <w:rPr>
          <w:sz w:val="18"/>
        </w:rPr>
        <w:t>——————————————————————————————————————————————————————————————————————</w:t>
      </w:r>
    </w:p>
    <w:p>
      <w:pPr>
        <w:spacing w:before="160" w:after="40" w:line="240" w:lineRule="auto"/>
      </w:pPr>
      <w:r>
        <w:rPr>
          <w:b/>
        </w:rPr>
        <w:t xml:space="preserve">[99] </w:t>
      </w:r>
      <w:hyperlink r:id="rId443">
        <w:r>
          <w:rPr>
            <w:color w:val="1155CC"/>
            <w:u w:val="single"/>
          </w:rPr>
          <w:t>考虑配电网电压约束的大规模电动汽车智能充电的物理强化学习</w:t>
        </w:r>
      </w:hyperlink>
    </w:p>
    <w:p>
      <w:pPr>
        <w:spacing w:before="0" w:after="80"/>
      </w:pPr>
      <w:r>
        <w:rPr>
          <w:i/>
          <w:sz w:val="20"/>
        </w:rPr>
        <w:t>EN: Physics-informed reinforcement learning for large-scale EV smart charging considering distribution network voltage constraints</w:t>
      </w:r>
    </w:p>
    <w:p>
      <w:pPr>
        <w:spacing w:before="0" w:after="120"/>
      </w:pPr>
      <w:r>
        <w:rPr>
          <w:b/>
        </w:rPr>
        <w:t xml:space="preserve">Source: </w:t>
      </w:r>
      <w:r>
        <w:t>ScienceDirect Publication: Applied Energy</w:t>
      </w:r>
      <w:r>
        <w:t xml:space="preserve">    </w:t>
      </w:r>
      <w:r>
        <w:rPr>
          <w:b/>
        </w:rPr>
        <w:t xml:space="preserve">Pub date: </w:t>
      </w:r>
      <w:r>
        <w:t>2026-06-15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[100] </w:t>
      </w:r>
      <w:hyperlink r:id="rId444">
        <w:r>
          <w:rPr>
            <w:color w:val="1155CC"/>
            <w:u w:val="single"/>
          </w:rPr>
          <w:t>温度诱导分层：一种通过低凝固点溶剂中体积变化均匀分层多层 Ti3C2TX 的方法</w:t>
        </w:r>
      </w:hyperlink>
    </w:p>
    <w:p>
      <w:pPr>
        <w:spacing w:before="0" w:after="80"/>
      </w:pPr>
      <w:r>
        <w:rPr>
          <w:i/>
          <w:sz w:val="20"/>
        </w:rPr>
        <w:t>EN: Temperature-induced delamination: A method for uniformly delaminating multilayer Ti3C2Tx via volume changes in low-freezing-point solvents</w:t>
      </w:r>
    </w:p>
    <w:p>
      <w:pPr>
        <w:spacing w:before="0" w:after="120"/>
      </w:pPr>
      <w:r>
        <w:rPr>
          <w:b/>
        </w:rPr>
        <w:t xml:space="preserve">Source: </w:t>
      </w:r>
      <w:r>
        <w:t>Matter</w:t>
      </w:r>
      <w:r>
        <w:t xml:space="preserve">    </w:t>
      </w:r>
      <w:r>
        <w:rPr>
          <w:b/>
        </w:rPr>
        <w:t xml:space="preserve">Pub date: </w:t>
      </w:r>
      <w:r>
        <w:t>2026-06-15 00:00:00+00:00</w:t>
      </w:r>
      <w:r>
        <w:t xml:space="preserve">    </w:t>
      </w:r>
      <w:r>
        <w:rPr>
          <w:b/>
        </w:rPr>
        <w:t xml:space="preserve">DOI: </w:t>
      </w:r>
      <w:hyperlink r:id="rId445">
        <w:r>
          <w:rPr>
            <w:color w:val="1155CC"/>
            <w:u w:val="single"/>
          </w:rPr>
          <w:t>10.1016/j.matt.2026.102865</w:t>
        </w:r>
      </w:hyperlink>
    </w:p>
    <w:p>
      <w:pPr>
        <w:spacing w:before="0" w:after="120"/>
      </w:pPr>
      <w:r>
        <w:rPr>
          <w:b/>
        </w:rPr>
        <w:t xml:space="preserve">Notes: </w:t>
      </w:r>
      <w:r>
        <w:t>abstract_source=rss_cell</w:t>
      </w:r>
    </w:p>
    <w:p>
      <w:pPr>
        <w:spacing w:before="0" w:after="80" w:lineRule="auto" w:line="276"/>
      </w:pPr>
      <w:r>
        <w:rPr>
          <w:b/>
        </w:rPr>
        <w:t xml:space="preserve">摘要（ZH）: </w:t>
      </w:r>
      <w:r>
        <w:t>将 MXene 剥离成大的、完整的单层仍然具有挑战性。杨等人。引入了一种温度诱导分层（TIDE）策略，该策略利用水-乙醇溶剂的可逆膨胀和收缩来产生温和的“分子杰克”效应。这种可持续的物理方法可以高产率生产大面积、高导电性的 Ti3C2TX 单层和少层颗粒，为高质量二维材料提供了一条可扩展的途径。</w:t>
      </w:r>
    </w:p>
    <w:p>
      <w:pPr>
        <w:spacing w:before="0" w:after="200" w:lineRule="auto" w:line="276"/>
      </w:pPr>
      <w:r>
        <w:rPr>
          <w:b/>
        </w:rPr>
        <w:t xml:space="preserve">Abstract (EN): </w:t>
      </w:r>
      <w:r>
        <w:t>Exfoliating MXenes into large, intact monolayers remains challenging. Yang et al. introduce a temperature-induced delamination (TIDE) strategy that harnesses reversible expansion and contraction of a water-ethanol solvent to generate a gentle “molecular jack” effect. This sustainable physical approach produces large-area, highly conductive Ti3C2Tx monolayers and few-layer particles with high yield, offering a scalable route to high-quality two-dimensional materials.</w:t>
      </w:r>
    </w:p>
    <w:p>
      <w:pPr>
        <w:spacing w:before="120" w:after="120"/>
      </w:pPr>
      <w:r>
        <w:rPr>
          <w:sz w:val="18"/>
        </w:rPr>
        <w:t>——————————————————————————————————————————————————————————————————————</w:t>
      </w:r>
    </w:p>
    <w:p>
      <w:pPr>
        <w:spacing w:before="160" w:after="40" w:line="240" w:lineRule="auto"/>
      </w:pPr>
      <w:r>
        <w:rPr>
          <w:b/>
        </w:rPr>
        <w:t xml:space="preserve">[101] </w:t>
      </w:r>
      <w:hyperlink r:id="rId446">
        <w:r>
          <w:rPr>
            <w:color w:val="1155CC"/>
            <w:u w:val="single"/>
          </w:rPr>
          <w:t>打破对称性产生低损耗面外可调谐微波电介质</w:t>
        </w:r>
      </w:hyperlink>
    </w:p>
    <w:p>
      <w:pPr>
        <w:spacing w:before="0" w:after="80"/>
      </w:pPr>
      <w:r>
        <w:rPr>
          <w:i/>
          <w:sz w:val="20"/>
        </w:rPr>
        <w:t>EN: Breaking symmetry yields a low-loss out-of-plane tunable microwave dielectric</w:t>
      </w:r>
    </w:p>
    <w:p>
      <w:pPr>
        <w:spacing w:before="0" w:after="120"/>
      </w:pPr>
      <w:r>
        <w:rPr>
          <w:b/>
        </w:rPr>
        <w:t xml:space="preserve">Source: </w:t>
      </w:r>
      <w:r>
        <w:t>Nature Electronics</w:t>
      </w:r>
      <w:r>
        <w:t xml:space="preserve">    </w:t>
      </w:r>
      <w:r>
        <w:rPr>
          <w:b/>
        </w:rPr>
        <w:t xml:space="preserve">Pub date: </w:t>
      </w:r>
      <w:r>
        <w:t>2026-06-15 00:00:00+00:00</w:t>
      </w:r>
      <w:r>
        <w:t xml:space="preserve">    </w:t>
      </w:r>
      <w:r>
        <w:rPr>
          <w:b/>
        </w:rPr>
        <w:t xml:space="preserve">DOI: </w:t>
      </w:r>
      <w:hyperlink r:id="rId447">
        <w:r>
          <w:rPr>
            <w:color w:val="1155CC"/>
            <w:u w:val="single"/>
          </w:rPr>
          <w:t>10.1038/s41928-026-01651-y</w:t>
        </w:r>
      </w:hyperlink>
    </w:p>
    <w:p>
      <w:pPr>
        <w:spacing w:before="0" w:after="120"/>
      </w:pPr>
      <w:r>
        <w:rPr>
          <w:b/>
        </w:rPr>
        <w:t xml:space="preserve">Notes: </w:t>
      </w:r>
      <w:r>
        <w:t>abstract_source=nature_html</w:t>
      </w:r>
    </w:p>
    <w:p>
      <w:pPr>
        <w:spacing w:before="0" w:after="80" w:lineRule="auto" w:line="276"/>
      </w:pPr>
      <w:r>
        <w:rPr>
          <w:b/>
        </w:rPr>
        <w:t xml:space="preserve">摘要（ZH）: </w:t>
      </w:r>
      <w:r>
        <w:t>电压可调电容器（变容二极管）是微波电路中的关键元件。可调谐介电变容器的性能优于竞争技术，但通常会遭受高介电损耗。相比之下，鲁德尔斯登-波普尔介电薄膜可以提供低微波损耗。不幸的是，它们的晶体对称性通常与平面外平行板变容二极管设计不兼容，与平面内器件设计相比，平面外平行板变容二极管设计可以最小化尺寸并最大化可调谐电介质中的电场。在这里，我们表明，通过打破这种晶体对称性，可以创建与平行板变容二极管设计兼容的低损耗、可调谐鲁德尔斯登-波普尔介电薄膜。我们研究的薄膜与广泛研究的可调谐微波电介质 Ba0.45Sr0.55TiO3 类似，但每个正钙钛矿晶胞都具有 Ba0.45Sr0.55O 岩盐层。 n = 8 的薄膜表现出可调谐性和损耗的最佳组合，材料品质因数约为 200，在 250 kV cm−1 的外加电场下相对可调谐性为 51%，这导致在 10 GHz 时介电调谐品质因数为 100。</w:t>
      </w:r>
    </w:p>
    <w:p>
      <w:pPr>
        <w:spacing w:before="0" w:after="200" w:lineRule="auto" w:line="276"/>
      </w:pPr>
      <w:r>
        <w:rPr>
          <w:b/>
        </w:rPr>
        <w:t xml:space="preserve">Abstract (EN): </w:t>
      </w:r>
      <w:r>
        <w:t>Voltage-tunable capacitors (varactors) are key components in microwave circuits. Tunable dielectric varactors can outperform competing technologies but typically suffer from high dielectric loss. Ruddlesden–Popper dielectric thin films can, by contrast, offer low microwave loss. Unfortunately, their crystallographic symmetry is usually not compatible with an out-of-plane parallel-plate varactor design, which can minimize size and maximize the electric field in the tunable dielectric compared with an in-plane device design. Here we show that a low-loss and tunable Ruddlesden–Popper dielectric thin film that is compatible with the parallel-plate varactor design can be created by breaking this crystallographic symmetry. We study films that are similar to the widely studied tunable microwave dielectric Ba0.45Sr0.55TiO3 but have a Ba0.45Sr0.55O rock-salt layer for every n-perovskite unit cells. The film with n = 8 exhibit an optimum combination of tunability and loss, with a material quality factor of around 200 and a relative tunability of 51% at an applied electric field of 250 kV cm−1, which results in a dielectric tuning figure of merit of 100 at 10 GHz.</w:t>
      </w:r>
    </w:p>
    <w:p>
      <w:pPr>
        <w:spacing w:before="120" w:after="120"/>
      </w:pPr>
      <w:r>
        <w:rPr>
          <w:sz w:val="18"/>
        </w:rPr>
        <w:t>——————————————————————————————————————————————————————————————————————</w:t>
      </w:r>
    </w:p>
    <w:p>
      <w:pPr>
        <w:spacing w:before="160" w:after="40" w:line="240" w:lineRule="auto"/>
      </w:pPr>
      <w:r>
        <w:rPr>
          <w:b/>
        </w:rPr>
        <w:t xml:space="preserve">[102] </w:t>
      </w:r>
      <w:hyperlink r:id="rId448">
        <w:r>
          <w:rPr>
            <w:color w:val="1155CC"/>
            <w:u w:val="single"/>
          </w:rPr>
          <w:t>用于连续内部监测的小型化可摄入温度传感器</w:t>
        </w:r>
      </w:hyperlink>
    </w:p>
    <w:p>
      <w:pPr>
        <w:spacing w:before="0" w:after="80"/>
      </w:pPr>
      <w:r>
        <w:rPr>
          <w:i/>
          <w:sz w:val="20"/>
        </w:rPr>
        <w:t>EN: A miniaturized ingestible temperature sensor for continuous internal monitoring</w:t>
      </w:r>
    </w:p>
    <w:p>
      <w:pPr>
        <w:spacing w:before="0" w:after="120"/>
      </w:pPr>
      <w:r>
        <w:rPr>
          <w:b/>
        </w:rPr>
        <w:t xml:space="preserve">Source: </w:t>
      </w:r>
      <w:r>
        <w:t>Nature Electronics</w:t>
      </w:r>
      <w:r>
        <w:t xml:space="preserve">    </w:t>
      </w:r>
      <w:r>
        <w:rPr>
          <w:b/>
        </w:rPr>
        <w:t xml:space="preserve">Pub date: </w:t>
      </w:r>
      <w:r>
        <w:t>2026-06-15 00:00:00+00:00</w:t>
      </w:r>
      <w:r>
        <w:t xml:space="preserve">    </w:t>
      </w:r>
      <w:r>
        <w:rPr>
          <w:b/>
        </w:rPr>
        <w:t xml:space="preserve">DOI: </w:t>
      </w:r>
      <w:hyperlink r:id="rId449">
        <w:r>
          <w:rPr>
            <w:color w:val="1155CC"/>
            <w:u w:val="single"/>
          </w:rPr>
          <w:t>10.1038/s41928-026-01643-y</w:t>
        </w:r>
      </w:hyperlink>
    </w:p>
    <w:p>
      <w:pPr>
        <w:spacing w:before="0" w:after="120"/>
      </w:pPr>
      <w:r>
        <w:rPr>
          <w:b/>
        </w:rPr>
        <w:t xml:space="preserve">Notes: </w:t>
      </w:r>
      <w:r>
        <w:t>abstract_source=nature_html</w:t>
      </w:r>
    </w:p>
    <w:p>
      <w:pPr>
        <w:spacing w:before="0" w:after="80" w:lineRule="auto" w:line="276"/>
      </w:pPr>
      <w:r>
        <w:rPr>
          <w:b/>
        </w:rPr>
        <w:t xml:space="preserve">摘要（ZH）: </w:t>
      </w:r>
      <w:r>
        <w:t>可摄入电子系统提供了一种微创方法来持续监测核心体温，从而提供对一系列健康状况的重要见解。然而，可摄入传感器的尺寸通常限制其使用，特别是在儿科人群中。在这里，我们报告了一种用于连续内部监测的小型化可摄入温度传感器。该器件集成了 1 mm × 1 mm 低功耗 (10 nW) 集成电路、用于无线反向散射通信的 5 mm × 5 mm 天线和纽扣电池。该完全封装的系统直径仅为 6 毫米，高度仅为 4 毫米，尺寸与美国食品和药物管理局批准的渗透控释口服给药系统一致，并且比视频胶囊内窥镜设备更小，从而最大限度地降低胃肠道滞留的风险。我们在不同的生理和病理生理条件下评估猪模型中的传感器。这包括用于动态多日监测、炎症引起的胃肠道运输改变的场景以及与血管内装置一起部署以进行血管导航和引导。</w:t>
      </w:r>
    </w:p>
    <w:p>
      <w:pPr>
        <w:spacing w:before="0" w:after="200" w:lineRule="auto" w:line="276"/>
      </w:pPr>
      <w:r>
        <w:rPr>
          <w:b/>
        </w:rPr>
        <w:t xml:space="preserve">Abstract (EN): </w:t>
      </w:r>
      <w:r>
        <w:t>Ingestible electronic systems offer a minimally invasive means to continuously monitor core body temperature, providing critical insights into a range of health conditions. However, the size of ingestible sensors often limits their use, particularly in paediatric populations. Here we report a miniaturized ingestible temperature sensor for continuous internal monitoring. The device integrates a 1 mm × 1 mm low-power (10 nW) integrated circuit, a 5 mm × 5 mm antenna for wireless backscatter communication and a coin-cell battery. The fully encapsulated system measures just 6 mm in diameter and 4 mm in height, dimensions aligned with those of US Food and Drug Administration-approved osmotic controlled-release oral delivery system and smaller than video capsule endoscopy devices, thus minimizing the risk of gastrointestinal retention. We evaluate the sensor in swine models under diverse physiological and pathophysiological conditions. This includes use in ambulatory multi-day monitoring, scenarios with inflammation-induced altered gastrointestinal transit and deployment alongside intravascular devices for vascular navigation and guidance.</w:t>
      </w:r>
    </w:p>
    <w:p>
      <w:pPr>
        <w:spacing w:before="120" w:after="120"/>
      </w:pPr>
      <w:r>
        <w:rPr>
          <w:sz w:val="18"/>
        </w:rPr>
        <w:t>——————————————————————————————————————————————————————————————————————</w:t>
      </w:r>
    </w:p>
    <w:p>
      <w:pPr>
        <w:spacing w:before="160" w:after="40" w:line="240" w:lineRule="auto"/>
      </w:pPr>
      <w:r>
        <w:rPr>
          <w:b/>
        </w:rPr>
        <w:t xml:space="preserve">[103] </w:t>
      </w:r>
      <w:hyperlink r:id="rId450">
        <w:r>
          <w:rPr>
            <w:color w:val="1155CC"/>
            <w:u w:val="single"/>
          </w:rPr>
          <w:t>具有热化控制激子管理的高效有机光伏</w:t>
        </w:r>
      </w:hyperlink>
    </w:p>
    <w:p>
      <w:pPr>
        <w:spacing w:before="0" w:after="80"/>
      </w:pPr>
      <w:r>
        <w:rPr>
          <w:i/>
          <w:sz w:val="20"/>
        </w:rPr>
        <w:t>EN: Efficient organic photovoltaics with thermalization-controlled exciton management</w:t>
      </w:r>
    </w:p>
    <w:p>
      <w:pPr>
        <w:spacing w:before="0" w:after="120"/>
      </w:pPr>
      <w:r>
        <w:rPr>
          <w:b/>
        </w:rPr>
        <w:t xml:space="preserve">Source: </w:t>
      </w:r>
      <w:r>
        <w:t>Joule</w:t>
      </w:r>
      <w:r>
        <w:t xml:space="preserve">    </w:t>
      </w:r>
      <w:r>
        <w:rPr>
          <w:b/>
        </w:rPr>
        <w:t xml:space="preserve">Pub date: </w:t>
      </w:r>
      <w:r>
        <w:t>2026-06-15 00:00:00+00:00</w:t>
      </w:r>
      <w:r>
        <w:t xml:space="preserve">    </w:t>
      </w:r>
      <w:r>
        <w:rPr>
          <w:b/>
        </w:rPr>
        <w:t xml:space="preserve">DOI: </w:t>
      </w:r>
      <w:hyperlink r:id="rId451">
        <w:r>
          <w:rPr>
            <w:color w:val="1155CC"/>
            <w:u w:val="single"/>
          </w:rPr>
          <w:t>10.1016/j.joule.2026.102520</w:t>
        </w:r>
      </w:hyperlink>
    </w:p>
    <w:p>
      <w:pPr>
        <w:spacing w:before="0" w:after="120"/>
      </w:pPr>
      <w:r>
        <w:rPr>
          <w:b/>
        </w:rPr>
        <w:t xml:space="preserve">Notes: </w:t>
      </w:r>
      <w:r>
        <w:t>abstract_source=rss_cell</w:t>
      </w:r>
    </w:p>
    <w:p>
      <w:pPr>
        <w:spacing w:before="0" w:after="80" w:lineRule="auto" w:line="276"/>
      </w:pPr>
      <w:r>
        <w:rPr>
          <w:b/>
        </w:rPr>
        <w:t xml:space="preserve">摘要（ZH）: </w:t>
      </w:r>
      <w:r>
        <w:t>热化损失限制了有机光伏 (OPV) 的性能。我们报告了一种紫外线吸收 TADF 材料 BPhA-QAO，它专门调节聚合物供体。它调节供体能量水平以延长单线态激子寿命，缩小用于三线态到单线态激子回收的单线态-三线态间隙，抑制热损失，并提供经认证的 20.18% 的 PCE，为高性能 OPV 提供通用策略。</w:t>
      </w:r>
    </w:p>
    <w:p>
      <w:pPr>
        <w:spacing w:before="0" w:after="200" w:lineRule="auto" w:line="276"/>
      </w:pPr>
      <w:r>
        <w:rPr>
          <w:b/>
        </w:rPr>
        <w:t xml:space="preserve">Abstract (EN): </w:t>
      </w:r>
      <w:r>
        <w:t>Thermalization losses limit organic photovoltaic (OPV) performance. We report a UV-absorbing TADF material, BPhA-QAO, that specifically modulates polymer donors. It regulates donor energy levels to prolong singlet exciton lifetime, narrows the singlet-triplet gap for triplet-to-singlet exciton recycling, suppresses thermal losses, and delivers a certified PCE of 20.18%, offering a universal strategy for high-performance OPVs.</w:t>
      </w:r>
    </w:p>
    <w:p>
      <w:pPr>
        <w:spacing w:before="120" w:after="120"/>
      </w:pPr>
      <w:r>
        <w:rPr>
          <w:sz w:val="18"/>
        </w:rPr>
        <w:t>——————————————————————————————————————————————————————————————————————</w:t>
      </w:r>
    </w:p>
    <w:p>
      <w:pPr>
        <w:spacing w:before="160" w:after="40" w:line="240" w:lineRule="auto"/>
      </w:pPr>
      <w:r>
        <w:rPr>
          <w:b/>
        </w:rPr>
        <w:t xml:space="preserve">[104] </w:t>
      </w:r>
      <w:hyperlink r:id="rId452">
        <w:r>
          <w:rPr>
            <w:color w:val="1155CC"/>
            <w:u w:val="single"/>
          </w:rPr>
          <w:t>重新思考绿色电网的稳定性，而不仅仅是气候</w:t>
        </w:r>
      </w:hyperlink>
    </w:p>
    <w:p>
      <w:pPr>
        <w:spacing w:before="0" w:after="80"/>
      </w:pPr>
      <w:r>
        <w:rPr>
          <w:i/>
          <w:sz w:val="20"/>
        </w:rPr>
        <w:t>EN: Rethinking the green power grid for stability, not just for climate</w:t>
      </w:r>
    </w:p>
    <w:p>
      <w:pPr>
        <w:spacing w:before="0" w:after="120"/>
      </w:pPr>
      <w:r>
        <w:rPr>
          <w:b/>
        </w:rPr>
        <w:t xml:space="preserve">Source: </w:t>
      </w:r>
      <w:r>
        <w:t>Joule</w:t>
      </w:r>
      <w:r>
        <w:t xml:space="preserve">    </w:t>
      </w:r>
      <w:r>
        <w:rPr>
          <w:b/>
        </w:rPr>
        <w:t xml:space="preserve">Pub date: </w:t>
      </w:r>
      <w:r>
        <w:t>2026-06-15 00:00:00+00:00</w:t>
      </w:r>
      <w:r>
        <w:t xml:space="preserve">    </w:t>
      </w:r>
      <w:r>
        <w:rPr>
          <w:b/>
        </w:rPr>
        <w:t xml:space="preserve">DOI: </w:t>
      </w:r>
      <w:hyperlink r:id="rId453">
        <w:r>
          <w:rPr>
            <w:color w:val="1155CC"/>
            <w:u w:val="single"/>
          </w:rPr>
          <w:t>10.1016/j.joule.2026.102522</w:t>
        </w:r>
      </w:hyperlink>
    </w:p>
    <w:p>
      <w:pPr>
        <w:spacing w:before="0" w:after="120"/>
      </w:pPr>
      <w:r>
        <w:rPr>
          <w:b/>
        </w:rPr>
        <w:t xml:space="preserve">Notes: </w:t>
      </w:r>
      <w:r>
        <w:t>abstract_source=rss_cell</w:t>
      </w:r>
    </w:p>
    <w:p>
      <w:pPr>
        <w:spacing w:before="0" w:after="80" w:lineRule="auto" w:line="276"/>
      </w:pPr>
      <w:r>
        <w:rPr>
          <w:b/>
        </w:rPr>
        <w:t xml:space="preserve">摘要（ZH）: </w:t>
      </w:r>
      <w:r>
        <w:t>2025 年伊比利亚大停电再次引发人们对可再生能源发电比例较高的电网恢复能力的担忧。该评论认为，可再生能源发电不仅可以促进脱碳，还可以通过合成惯性、先进的基于逆变器的控制和协调的输电规划来增强电网稳定性。储能和电力电子技术的快速进步使这种转变变得越来越可行。</w:t>
      </w:r>
    </w:p>
    <w:p>
      <w:pPr>
        <w:spacing w:before="0" w:after="200" w:lineRule="auto" w:line="276"/>
      </w:pPr>
      <w:r>
        <w:rPr>
          <w:b/>
        </w:rPr>
        <w:t xml:space="preserve">Abstract (EN): </w:t>
      </w:r>
      <w:r>
        <w:t>The 2025 Iberian blackout has renewed concerns about the resilience of power grids with high shares of renewable generation. This commentary argues that renewable generation can not only advance decarbonization but also strengthen grid stability through synthetic inertia, advanced inverter-based control, and coordinated transmission planning. Rapid advances in energy storage and power electronics make this transition increasingly viable.</w:t>
      </w:r>
    </w:p>
    <w:p>
      <w:pPr>
        <w:spacing w:before="120" w:after="120"/>
      </w:pPr>
      <w:r>
        <w:rPr>
          <w:sz w:val="18"/>
        </w:rPr>
        <w:t>——————————————————————————————————————————————————————————————————————</w:t>
      </w:r>
    </w:p>
    <w:p>
      <w:pPr>
        <w:spacing w:before="160" w:after="40" w:line="240" w:lineRule="auto"/>
      </w:pPr>
      <w:r>
        <w:rPr>
          <w:b/>
        </w:rPr>
        <w:t xml:space="preserve">[105] </w:t>
      </w:r>
      <w:hyperlink r:id="rId454">
        <w:r>
          <w:rPr>
            <w:color w:val="1155CC"/>
            <w:u w:val="single"/>
          </w:rPr>
          <w:t>用非线性光学观察可调谐手性自旋纹理</w:t>
        </w:r>
      </w:hyperlink>
    </w:p>
    <w:p>
      <w:pPr>
        <w:spacing w:before="0" w:after="80"/>
      </w:pPr>
      <w:r>
        <w:rPr>
          <w:i/>
          <w:sz w:val="20"/>
        </w:rPr>
        <w:t>EN: Observation of tunable chiral spin textures with nonlinear optics</w:t>
      </w:r>
    </w:p>
    <w:p>
      <w:pPr>
        <w:spacing w:before="0" w:after="120"/>
      </w:pPr>
      <w:r>
        <w:rPr>
          <w:b/>
        </w:rPr>
        <w:t xml:space="preserve">Source: </w:t>
      </w:r>
      <w:r>
        <w:t>Physical sciences : Nature Communications subject feeds</w:t>
      </w:r>
      <w:r>
        <w:t xml:space="preserve">    </w:t>
      </w:r>
      <w:r>
        <w:rPr>
          <w:b/>
        </w:rPr>
        <w:t xml:space="preserve">Pub date: </w:t>
      </w:r>
      <w:r>
        <w:t>2026-06-15 00:00:00+00:00</w:t>
      </w:r>
    </w:p>
    <w:p>
      <w:pPr>
        <w:spacing w:before="0" w:after="120"/>
      </w:pPr>
      <w:r>
        <w:rPr>
          <w:b/>
        </w:rPr>
        <w:t xml:space="preserve">Notes: </w:t>
      </w:r>
      <w:r>
        <w:t>abstract_source=nature_html</w:t>
      </w:r>
    </w:p>
    <w:p>
      <w:pPr>
        <w:spacing w:before="0" w:after="80" w:lineRule="auto" w:line="276"/>
      </w:pPr>
      <w:r>
        <w:rPr>
          <w:b/>
        </w:rPr>
        <w:t xml:space="preserve">摘要（ZH）: </w:t>
      </w:r>
      <w:r>
        <w:t>手性自旋纹理，例如自旋螺旋和斯格明子，是通过实现超薄、节能存储器以及高密度数据存储和处理来推进自旋电子学的关键。然而，由于缺乏合适的主体材料以及与这些复杂的手性磁态表征相关的巨大实验挑战，它们的实现仍然受到阻碍。在这里，我们报告了用非线性光学观察范德华磁体 CrPS4 中可调谐手性磁性纹理的情况。这些可调谐纹理在不同磁场和温度下由层间和层内自旋耦合驱动，表现出强烈的手性三阶非线性光学响应。这些明显的手性非线性光学响应凸显了非线性光学读出在探测非共线磁序方面的效力和高灵敏度。此外，我们的研究结果将范德华磁体及其异质结构定位为可重构自旋光子学和自旋电子学的特殊平台，通过独特的层内和层间自旋耦合特性以及光子和电子之间的有效自旋相互作用统一光学、电学和磁学特性。</w:t>
      </w:r>
    </w:p>
    <w:p>
      <w:pPr>
        <w:spacing w:before="0" w:after="200" w:lineRule="auto" w:line="276"/>
      </w:pPr>
      <w:r>
        <w:rPr>
          <w:b/>
        </w:rPr>
        <w:t xml:space="preserve">Abstract (EN): </w:t>
      </w:r>
      <w:r>
        <w:t>Chiral spin textures, such as spin spirals and skyrmions, are key to advancing spintronics by enabling ultrathin, energy-efficient memory, and high-density data storage and processing. However, their realization remains hindered by the scarcity of suitable host materials and the formidable experimental challenges associated with the characterization of these intricate chiral magnetic states. Here, we report the observation of tunable chiral magnetic textures in van der Waals magnet CrPS4 with nonlinear optics. These tunable textures exhibit strong chiral third-order nonlinear optical responses, driven by interlayer and intralayer spin couplings under varying magnetic fields and temperatures. These pronounced chiral nonlinear optical responses highlight the potency and high sensitivity of the nonlinear optical readout for probing non-collinear magnetic orders. Moreover, our findings position van der Waals magnets and their heterostructures as an exceptional platform for reconfigurable spin-photonics and spintronics, unifying optical, electrical, and magnetic properties through unique intralayer and interlayer spin coupling properties and effective spin interaction between photons and electrons.</w:t>
      </w:r>
    </w:p>
    <w:p>
      <w:pPr>
        <w:spacing w:before="120" w:after="120"/>
      </w:pPr>
      <w:r>
        <w:rPr>
          <w:sz w:val="18"/>
        </w:rPr>
        <w:t>——————————————————————————————————————————————————————————————————————</w:t>
      </w:r>
    </w:p>
    <w:p>
      <w:pPr>
        <w:spacing w:before="160" w:after="40" w:line="240" w:lineRule="auto"/>
      </w:pPr>
      <w:r>
        <w:rPr>
          <w:b/>
        </w:rPr>
        <w:t xml:space="preserve">[106] </w:t>
      </w:r>
      <w:hyperlink r:id="rId455">
        <w:r>
          <w:rPr>
            <w:color w:val="1155CC"/>
            <w:u w:val="single"/>
          </w:rPr>
          <w:t>用于埃级气体筛分的具有固有面内孔的石墨炔限域膜</w:t>
        </w:r>
      </w:hyperlink>
    </w:p>
    <w:p>
      <w:pPr>
        <w:spacing w:before="0" w:after="80"/>
      </w:pPr>
      <w:r>
        <w:rPr>
          <w:i/>
          <w:sz w:val="20"/>
        </w:rPr>
        <w:t>EN: Graphdiyne confined-membrane with intrinsic in-plane-pores for angstrom-scale gas sieving</w:t>
      </w:r>
    </w:p>
    <w:p>
      <w:pPr>
        <w:spacing w:before="0" w:after="120"/>
      </w:pPr>
      <w:r>
        <w:rPr>
          <w:b/>
        </w:rPr>
        <w:t xml:space="preserve">Source: </w:t>
      </w:r>
      <w:r>
        <w:t>Physical sciences : Nature Communications subject feeds</w:t>
      </w:r>
      <w:r>
        <w:t xml:space="preserve">    </w:t>
      </w:r>
      <w:r>
        <w:rPr>
          <w:b/>
        </w:rPr>
        <w:t xml:space="preserve">Pub date: </w:t>
      </w:r>
      <w:r>
        <w:t>2026-06-15 00:00:00+00:00</w:t>
      </w:r>
    </w:p>
    <w:p>
      <w:pPr>
        <w:spacing w:before="0" w:after="120"/>
      </w:pPr>
      <w:r>
        <w:rPr>
          <w:b/>
        </w:rPr>
        <w:t xml:space="preserve">Notes: </w:t>
      </w:r>
      <w:r>
        <w:t>abstract_source=nature_html</w:t>
      </w:r>
    </w:p>
    <w:p>
      <w:pPr>
        <w:spacing w:before="0" w:after="80" w:lineRule="auto" w:line="276"/>
      </w:pPr>
      <w:r>
        <w:rPr>
          <w:b/>
        </w:rPr>
        <w:t xml:space="preserve">摘要（ZH）: </w:t>
      </w:r>
      <w:r>
        <w:t>石墨炔（GDY）是一种新兴的碳同素异形体，具有固有且明确的面内纳米孔，作为分子筛膜具有很高的潜力。然而，由于制造具有垂直可及的面内孔的连续膜的挑战，实验验证其精密分离能力受到了阻碍。在这里，我们开发了一种限制驱动的孔配准合成策略，使 GDY 在共价有机框架 (COF) 的对齐介观通道内模板化生长，产生受限的 GDY 纳米膜。所得的 GDY⊕COF 膜对于将 3 埃气体分子（H2、He）与较大分子分离具有高选择性。理论计算表明，选择性源于独特的 GDY 框架内严格的尺寸排除和放大的电子极化效应的协同作用。由于GDY代表了具有可调孔径和功能的广泛石墨炔材料家族，这项工作不仅解决了石墨膜中小气体分离的挑战，而且还建立了开发先进石墨炔家族材料分离膜的通用策略。</w:t>
      </w:r>
    </w:p>
    <w:p>
      <w:pPr>
        <w:spacing w:before="0" w:after="200" w:lineRule="auto" w:line="276"/>
      </w:pPr>
      <w:r>
        <w:rPr>
          <w:b/>
        </w:rPr>
        <w:t xml:space="preserve">Abstract (EN): </w:t>
      </w:r>
      <w:r>
        <w:t>Graphdiyne (GDY), an emerging carbon allotrope with inherent and well-defined in-plane nanopores, holds high potential as a molecular sieve membrane. However, experimentally validating its precision separation capability has been hindered by the challenges in fabricating continuous membranes with vertically accessible intraplane pores. Here, we develop a confinement-driven pore-registered synthesis strategy that enables the templated growth of GDY within the aligned meso-channels of covalent organic framework (COF), producing confined GDY nanomembranes. The resulting GDY⊕COF membrane exhibits high selectivity for separating 3-Angstrom gas molecules (H2, He) from larger molecules. Theoretical calculations reveal the selectivity originates from a synergy of strict size exclusion and an amplified electronic polarization effect within the unique GDY framework. As GDY represents an extensive family of graphyne materials with tuneable pore size and functions, this work not only addresses the challenge of small gas separation in graphitic membranes but also establishes a versatile strategy for developing advanced graphyne-family materials separation membranes.</w:t>
      </w:r>
    </w:p>
    <w:p>
      <w:pPr>
        <w:spacing w:before="120" w:after="120"/>
      </w:pPr>
      <w:r>
        <w:rPr>
          <w:sz w:val="18"/>
        </w:rPr>
        <w:t>——————————————————————————————————————————————————————————————————————</w:t>
      </w:r>
    </w:p>
    <w:p>
      <w:pPr>
        <w:spacing w:before="160" w:after="40" w:line="240" w:lineRule="auto"/>
      </w:pPr>
      <w:r>
        <w:rPr>
          <w:b/>
        </w:rPr>
        <w:t xml:space="preserve">[107] </w:t>
      </w:r>
      <w:hyperlink r:id="rId456">
        <w:r>
          <w:rPr>
            <w:color w:val="1155CC"/>
            <w:u w:val="single"/>
          </w:rPr>
          <w:t>打破连续性以防止灾难性的建筑物倒塌</w:t>
        </w:r>
      </w:hyperlink>
    </w:p>
    <w:p>
      <w:pPr>
        <w:spacing w:before="0" w:after="80"/>
      </w:pPr>
      <w:r>
        <w:rPr>
          <w:i/>
          <w:sz w:val="20"/>
        </w:rPr>
        <w:t>EN: Breaking continuity to prevent catastrophic building collapse</w:t>
      </w:r>
    </w:p>
    <w:p>
      <w:pPr>
        <w:spacing w:before="0" w:after="120"/>
      </w:pPr>
      <w:r>
        <w:rPr>
          <w:b/>
        </w:rPr>
        <w:t xml:space="preserve">Source: </w:t>
      </w:r>
      <w:r>
        <w:t>Physical sciences : Nature Communications subject feeds</w:t>
      </w:r>
      <w:r>
        <w:t xml:space="preserve">    </w:t>
      </w:r>
      <w:r>
        <w:rPr>
          <w:b/>
        </w:rPr>
        <w:t xml:space="preserve">Pub date: </w:t>
      </w:r>
      <w:r>
        <w:t>2026-06-15 00:00:00+00:00</w:t>
      </w:r>
    </w:p>
    <w:p>
      <w:pPr>
        <w:spacing w:before="0" w:after="120"/>
      </w:pPr>
      <w:r>
        <w:rPr>
          <w:b/>
        </w:rPr>
        <w:t xml:space="preserve">Notes: </w:t>
      </w:r>
      <w:r>
        <w:t>abstract_source=nature_html</w:t>
      </w:r>
    </w:p>
    <w:p>
      <w:pPr>
        <w:spacing w:before="0" w:after="80" w:lineRule="auto" w:line="276"/>
      </w:pPr>
      <w:r>
        <w:rPr>
          <w:b/>
        </w:rPr>
        <w:t xml:space="preserve">摘要（ZH）: </w:t>
      </w:r>
      <w:r>
        <w:t>预测建筑物在其生命周期中将面临的所有危险变得越来越困难，这凸显了设计能够承受不可预见的损坏的坚固结构的必要性。通常，通过在结构系统内提供连续性来追求稳健性。虽然这种策略在预期情况下表现良好，但当初始损坏很大时，它会增加灾难性崩溃传播的风险。通过高保真模拟，我们首先确定并描述了在高度连续的建筑结构（例如由现浇钢筋混凝土制成的结构）中导致连续性倒塌传播的关键机制。基于这种理解，我们开发了：1) 一种设计方法，采用定制的力调节保险丝，在连续性变得有害时中断连续性；2) 一种实验装置，允许通过仅测试建筑物的代表性部分来评估系统级倒塌传播。总的来说，我们的工作表明，即使在本质上连续的结构中，连续性也可以选择性地脱离，并提供了一种经济有效的方法来测试下一代解决方案以应对不可预见的极端事件。</w:t>
      </w:r>
    </w:p>
    <w:p>
      <w:pPr>
        <w:spacing w:before="0" w:after="200" w:lineRule="auto" w:line="276"/>
      </w:pPr>
      <w:r>
        <w:rPr>
          <w:b/>
        </w:rPr>
        <w:t xml:space="preserve">Abstract (EN): </w:t>
      </w:r>
      <w:r>
        <w:t>It is increasingly difficult to predict all the hazards that buildings will face over their lifetime, highlighting the need to design robust structures that can tolerate unforeseen damage. Typically, robustness is pursued by providing continuity within a structural system. While this strategy performs well in expected scenarios, it increases the risk of catastrophic collapse propagation when initial damage is large. Using high-fidelity simulations, we first identified and characterised the key mechanisms responsible for continuity-enabled collapse propagation in highly continuous building structures such as those made of cast-in-place reinforced concrete. Building on this understanding, we developed: 1) a design approach that employs bespoke force-regulating fuses to interrupt continuity when it becomes detrimental, and 2) an experimental setup that allows system-level collapse propagation to be evaluated by testing only a representative part of a building. Overall, our work shows that continuity can be selectively disengaged even in intrinsically continuous structures and provides a cost-effective way of testing the next generation of solutions against unforeseen extreme events.</w:t>
      </w:r>
    </w:p>
    <w:p>
      <w:pPr>
        <w:spacing w:before="120" w:after="120"/>
      </w:pPr>
      <w:r>
        <w:rPr>
          <w:sz w:val="18"/>
        </w:rPr>
        <w:t>——————————————————————————————————————————————————————————————————————</w:t>
      </w:r>
    </w:p>
    <w:p>
      <w:pPr>
        <w:spacing w:before="160" w:after="40" w:line="240" w:lineRule="auto"/>
      </w:pPr>
      <w:r>
        <w:rPr>
          <w:b/>
        </w:rPr>
        <w:t xml:space="preserve">[108] </w:t>
      </w:r>
      <w:hyperlink r:id="rId457">
        <w:r>
          <w:rPr>
            <w:color w:val="1155CC"/>
            <w:u w:val="single"/>
          </w:rPr>
          <w:t>几何标准将 HIV-1 衣壳结构与其生物物理特性和功能联系起来</w:t>
        </w:r>
      </w:hyperlink>
    </w:p>
    <w:p>
      <w:pPr>
        <w:spacing w:before="0" w:after="80"/>
      </w:pPr>
      <w:r>
        <w:rPr>
          <w:i/>
          <w:sz w:val="20"/>
        </w:rPr>
        <w:t>EN: A geometric criterion links HIV-1 capsid topography to its biophysical properties and function</w:t>
      </w:r>
    </w:p>
    <w:p>
      <w:pPr>
        <w:spacing w:before="0" w:after="120"/>
      </w:pPr>
      <w:r>
        <w:rPr>
          <w:b/>
        </w:rPr>
        <w:t xml:space="preserve">Source: </w:t>
      </w:r>
      <w:r>
        <w:t>Physical sciences : Nature Communications subject feeds</w:t>
      </w:r>
      <w:r>
        <w:t xml:space="preserve">    </w:t>
      </w:r>
      <w:r>
        <w:rPr>
          <w:b/>
        </w:rPr>
        <w:t xml:space="preserve">Pub date: </w:t>
      </w:r>
      <w:r>
        <w:t>2026-06-15 00:00:00+00:00</w:t>
      </w:r>
    </w:p>
    <w:p>
      <w:pPr>
        <w:spacing w:before="0" w:after="120"/>
      </w:pPr>
      <w:r>
        <w:rPr>
          <w:b/>
        </w:rPr>
        <w:t xml:space="preserve">Notes: </w:t>
      </w:r>
      <w:r>
        <w:t>abstract_source=nature_html</w:t>
      </w:r>
    </w:p>
    <w:p>
      <w:pPr>
        <w:spacing w:before="0" w:after="80" w:lineRule="auto" w:line="276"/>
      </w:pPr>
      <w:r>
        <w:rPr>
          <w:b/>
        </w:rPr>
        <w:t xml:space="preserve">摘要（ZH）: </w:t>
      </w:r>
      <w:r>
        <w:t>病毒衣壳结构的数学模型是现代病毒学的支柱，有助于理解病毒机制和设计抗病毒干预措施。传统上，HIV-1 衣壳核心几何形状被表示为富勒烯晶格，类似于 Caspar-Klug 理论中球形病毒的二十面体模型。然而，最近的研究表明，许多病毒衣壳偏离了这种理想化的晶格，具有重要的功能意义。在这里，我们表明圆锥形 HIV-1 核心几何形状也是如此，其中六聚体和五聚体边界形成伪平铺而不是完美对齐的富勒烯网络。我们引入了一种三角几何标准，该标准可以量化 HIV-1 原子模型与其理想化富勒烯主链的局部偏差。使用这个标准，我们提出理想化（富勒烯）和实际（数据衍生）衣壳模型之间几何组织的差异对衣壳的生物物理特性有影响。我们还讨论了使用几何标准作为关于辅因子结合的预测工具以及衣壳表面与界面挫败响应耦合的隐含几何变化。我们的结果建立了一个连接衣壳几何形状、曲率和生物物理功能的定量框架，为组装抑制剂设计和慢病毒载体工程提供了新的视角。</w:t>
      </w:r>
    </w:p>
    <w:p>
      <w:pPr>
        <w:spacing w:before="0" w:after="200" w:lineRule="auto" w:line="276"/>
      </w:pPr>
      <w:r>
        <w:rPr>
          <w:b/>
        </w:rPr>
        <w:t xml:space="preserve">Abstract (EN): </w:t>
      </w:r>
      <w:r>
        <w:t>Mathematical models of virus capsid structure are pillars of modern virology, aiding the understanding of viral mechanisms and the design of antiviral interventions. Traditionally, the HIV-1 capsid core geometry is represented as a fullerene lattice, akin to the icosahedral models of spherical viruses in Caspar-Klug theory. However, recent studies revealed that many viral capsids deviate from such idealised lattices, with important functional implication. Here we show that this is the case also for the conical HIV-1 core geometries, in which the hexamer and pentamer boundaries form a pseudo-tiling rather than a perfectly aligned fullerene network. We introduce a triangular geometric criterion that quantifies local deviations of an HIV-1 atomic model from its idealised fullerene backbone. Using this criterion, we present that this difference in geometric organisation between idealised (fullerene) and actual (data-derived) capsid model has implications for the capsid’s biophysical properties. We also discuss the use of the geometric criterion as a predictive tool regarding cofactor binding and implied geometric changes in the capsid surface coupled to the interfacial frustration response. Our results establish a quantitative framework linking capsid geometry, curvature, and biophysical function, offering new perspectives for assembly inhibitor design and lentiviral vector engineering.</w:t>
      </w:r>
    </w:p>
    <w:p>
      <w:pPr>
        <w:spacing w:before="120" w:after="120"/>
      </w:pPr>
      <w:r>
        <w:rPr>
          <w:sz w:val="18"/>
        </w:rPr>
        <w:t>——————————————————————————————————————————————————————————————————————</w:t>
      </w:r>
    </w:p>
    <w:p>
      <w:pPr>
        <w:spacing w:before="160" w:after="40" w:line="240" w:lineRule="auto"/>
      </w:pPr>
      <w:r>
        <w:rPr>
          <w:b/>
        </w:rPr>
        <w:t xml:space="preserve">[109] </w:t>
      </w:r>
      <w:hyperlink r:id="rId458">
        <w:r>
          <w:rPr>
            <w:color w:val="1155CC"/>
            <w:u w:val="single"/>
          </w:rPr>
          <w:t>利用纳米颗粒蛋白电晕推进血浆蛋白质组分析</w:t>
        </w:r>
      </w:hyperlink>
    </w:p>
    <w:p>
      <w:pPr>
        <w:spacing w:before="0" w:after="80"/>
      </w:pPr>
      <w:r>
        <w:rPr>
          <w:i/>
          <w:sz w:val="20"/>
        </w:rPr>
        <w:t>EN: Leveraging nanoparticle protein corona to advance plasma proteome profiling</w:t>
      </w:r>
    </w:p>
    <w:p>
      <w:pPr>
        <w:spacing w:before="0" w:after="120"/>
      </w:pPr>
      <w:r>
        <w:rPr>
          <w:b/>
        </w:rPr>
        <w:t xml:space="preserve">Source: </w:t>
      </w:r>
      <w:r>
        <w:t>Physical sciences : Nature Communications subject feeds</w:t>
      </w:r>
      <w:r>
        <w:t xml:space="preserve">    </w:t>
      </w:r>
      <w:r>
        <w:rPr>
          <w:b/>
        </w:rPr>
        <w:t xml:space="preserve">Pub date: </w:t>
      </w:r>
      <w:r>
        <w:t>2026-06-15 00:00:00+00:00</w:t>
      </w:r>
    </w:p>
    <w:p>
      <w:pPr>
        <w:spacing w:before="0" w:after="120"/>
      </w:pPr>
      <w:r>
        <w:rPr>
          <w:b/>
        </w:rPr>
        <w:t xml:space="preserve">Notes: </w:t>
      </w:r>
      <w:r>
        <w:t>abstract_source=nature_html</w:t>
      </w:r>
    </w:p>
    <w:p>
      <w:pPr>
        <w:spacing w:before="0" w:after="80" w:lineRule="auto" w:line="276"/>
      </w:pPr>
      <w:r>
        <w:rPr>
          <w:b/>
        </w:rPr>
        <w:t xml:space="preserve">摘要（ZH）: </w:t>
      </w:r>
      <w:r>
        <w:t>血浆蛋白质组是潜在生物标志物的丰富库，但其分析受到超过十个数量级的蛋白质浓度动态范围的阻碍。传统的分级分离和富集方法在检测因丰富蛋白质的存在而掩盖的稀有蛋白质时通常存在局限性。一种有前途的前沿技术已经出现，可以克服这些限制：利用纳米颗粒蛋白冠来富集低丰度血浆蛋白，并揭示以前无法访问的蛋白质组层。本视角强调了蛋白质电晕技术在增强蛋白质组覆盖方面的能力，解决了其当前的局限性，并概述了蛋白质形态分析和因果推断的未来方向。</w:t>
      </w:r>
    </w:p>
    <w:p>
      <w:pPr>
        <w:spacing w:before="0" w:after="200" w:lineRule="auto" w:line="276"/>
      </w:pPr>
      <w:r>
        <w:rPr>
          <w:b/>
        </w:rPr>
        <w:t xml:space="preserve">Abstract (EN): </w:t>
      </w:r>
      <w:r>
        <w:t>The blood plasma proteome is a rich reservoir of potential biomarkers, yet its analysis is hindered by a protein concentration dynamic range exceeding ten orders of magnitude. Traditional fractionation and enrichment methods often present limitations in detecting rare proteins masked by the presence of abundant proteins. A promising frontier technology has emerged to overcome such limitations: leveraging nanoparticle protein coronas to enrich low-abundance plasma proteins and unveil previously inaccessible layers of the proteome. This Perspective highlights the capabilities of the protein corona technology in enhancing proteome coverage, addresses its current limitations and outlines future directions in proteoform analysis and causal inference.</w:t>
      </w:r>
    </w:p>
    <w:p>
      <w:pPr>
        <w:spacing w:before="120" w:after="120"/>
      </w:pPr>
      <w:r>
        <w:rPr>
          <w:sz w:val="18"/>
        </w:rPr>
        <w:t>——————————————————————————————————————————————————————————————————————</w:t>
      </w:r>
    </w:p>
    <w:p>
      <w:pPr>
        <w:spacing w:before="160" w:after="40" w:line="240" w:lineRule="auto"/>
      </w:pPr>
      <w:r>
        <w:rPr>
          <w:b/>
        </w:rPr>
        <w:t xml:space="preserve">[110] </w:t>
      </w:r>
      <w:hyperlink r:id="rId459">
        <w:r>
          <w:rPr>
            <w:color w:val="1155CC"/>
            <w:u w:val="single"/>
          </w:rPr>
          <w:t>深度学习完成了美国洪水灾害地图，揭示了数百万人面临着以前未被认识到的风险</w:t>
        </w:r>
      </w:hyperlink>
    </w:p>
    <w:p>
      <w:pPr>
        <w:spacing w:before="0" w:after="80"/>
      </w:pPr>
      <w:r>
        <w:rPr>
          <w:i/>
          <w:sz w:val="20"/>
        </w:rPr>
        <w:t>EN: Deep learning completes US flood hazard maps revealing millions exposed to previously unrecognized risk</w:t>
      </w:r>
    </w:p>
    <w:p>
      <w:pPr>
        <w:spacing w:before="0" w:after="120"/>
      </w:pPr>
      <w:r>
        <w:rPr>
          <w:b/>
        </w:rPr>
        <w:t xml:space="preserve">Source: </w:t>
      </w:r>
      <w:r>
        <w:t>Earth and environmental sciences : Nature Communications subject feeds</w:t>
      </w:r>
      <w:r>
        <w:t xml:space="preserve">    </w:t>
      </w:r>
      <w:r>
        <w:rPr>
          <w:b/>
        </w:rPr>
        <w:t xml:space="preserve">Pub date: </w:t>
      </w:r>
      <w:r>
        <w:t>2026-06-15 00:00:00+00:00</w:t>
      </w:r>
    </w:p>
    <w:p>
      <w:pPr>
        <w:spacing w:before="0" w:after="120"/>
      </w:pPr>
      <w:r>
        <w:rPr>
          <w:b/>
        </w:rPr>
        <w:t xml:space="preserve">Notes: </w:t>
      </w:r>
      <w:r>
        <w:t>abstract_source=nature_html</w:t>
      </w:r>
    </w:p>
    <w:p>
      <w:pPr>
        <w:spacing w:before="0" w:after="80" w:lineRule="auto" w:line="276"/>
      </w:pPr>
      <w:r>
        <w:rPr>
          <w:b/>
        </w:rPr>
        <w:t xml:space="preserve">摘要（ZH）: </w:t>
      </w:r>
      <w:r>
        <w:t>洪水地图对于备灾、保险和气候适应至关重要，但美国官方地图仅覆盖了三分之一的河道。在这里，我们提出了一个深度学习框架，该框架从现有记录中学习，为美国邻近地区生成空间完整的 30 米洪水灾害地图，填充未绘制地图的区域并更新遗留范围。我们估计，2023 年国家数据库遗漏了洪水区的 1100 万人和 410 万座建筑物，分别比官方基线增加了 69% 和 81%。至关重要的是，我们对 917 个城市的社会经济分析表明，完全未绘制地图的地区不成比例地存在高度脆弱的人口，特别是老年人和儿童，使他们面临未被认识到的风险并加剧了现有的不平等。通过解决国家尺度洪水测绘的准确性、规模和成本之间的三难困境，我们的开源方法扩大了公众获取风险信息的机会，为有针对性和公平的气候适应铺平了道路。</w:t>
      </w:r>
    </w:p>
    <w:p>
      <w:pPr>
        <w:spacing w:before="0" w:after="200" w:lineRule="auto" w:line="276"/>
      </w:pPr>
      <w:r>
        <w:rPr>
          <w:b/>
        </w:rPr>
        <w:t xml:space="preserve">Abstract (EN): </w:t>
      </w:r>
      <w:r>
        <w:t>Flood maps are essential for disaster preparedness, insurance and climate adaptation, yet US official maps cover only one-third of river channels. Here we present a deep-learning framework that learns from existing records to produce a spatially complete 30-m flood hazard map for the contiguous US, filling unmapped regions and updating legacy extents. We estimate that the 2023 national database omits 11 million people and 4.1 million buildings in flood zones, adding 69% and 81% beyond the official baseline respectively. Crucially, our socioeconomic analysis of 917 cities reveals that entirely unmapped areas disproportionately harbor highly vulnerable demographics, particularly the elderly and children, exposing them to unrecognized risks and compounding existing inequalities. By solving the trilemma between accuracy, scale, and cost in national scale flood mapping, our open-source method broadens public access to risk information, paving the way for targeted and equitable climate adaptation.</w:t>
      </w:r>
    </w:p>
    <w:p>
      <w:pPr>
        <w:spacing w:before="120" w:after="120"/>
      </w:pPr>
      <w:r>
        <w:rPr>
          <w:sz w:val="18"/>
        </w:rPr>
        <w:t>——————————————————————————————————————————————————————————————————————</w:t>
      </w:r>
    </w:p>
    <w:p>
      <w:pPr>
        <w:spacing w:before="160" w:after="40" w:line="240" w:lineRule="auto"/>
      </w:pPr>
      <w:r>
        <w:rPr>
          <w:b/>
        </w:rPr>
        <w:t xml:space="preserve">[111] </w:t>
      </w:r>
      <w:hyperlink r:id="rId460">
        <w:r>
          <w:rPr>
            <w:color w:val="1155CC"/>
            <w:u w:val="single"/>
          </w:rPr>
          <w:t>埋入界面稳定高效、明亮的蓝色钙钛矿 LED</w:t>
        </w:r>
      </w:hyperlink>
    </w:p>
    <w:p>
      <w:pPr>
        <w:spacing w:before="0" w:after="80"/>
      </w:pPr>
      <w:r>
        <w:rPr>
          <w:i/>
          <w:sz w:val="20"/>
        </w:rPr>
        <w:t>EN: Buried-interface stabilization for efficient and bright blue perovskite LEDs</w:t>
      </w:r>
    </w:p>
    <w:p>
      <w:pPr>
        <w:spacing w:before="0" w:after="120"/>
      </w:pPr>
      <w:r>
        <w:rPr>
          <w:b/>
        </w:rPr>
        <w:t xml:space="preserve">Source: </w:t>
      </w:r>
      <w:r>
        <w:t>Physical sciences : Nature Communications subject feeds</w:t>
      </w:r>
      <w:r>
        <w:t xml:space="preserve">    </w:t>
      </w:r>
      <w:r>
        <w:rPr>
          <w:b/>
        </w:rPr>
        <w:t xml:space="preserve">Pub date: </w:t>
      </w:r>
      <w:r>
        <w:t>2026-06-15 00:00:00+00:00</w:t>
      </w:r>
    </w:p>
    <w:p>
      <w:pPr>
        <w:spacing w:before="0" w:after="120"/>
      </w:pPr>
      <w:r>
        <w:rPr>
          <w:b/>
        </w:rPr>
        <w:t xml:space="preserve">Notes: </w:t>
      </w:r>
      <w:r>
        <w:t>abstract_source=nature_html</w:t>
      </w:r>
    </w:p>
    <w:p>
      <w:pPr>
        <w:spacing w:before="0" w:after="80" w:lineRule="auto" w:line="276"/>
      </w:pPr>
      <w:r>
        <w:rPr>
          <w:b/>
        </w:rPr>
        <w:t xml:space="preserve">摘要（ZH）: </w:t>
      </w:r>
      <w:r>
        <w:t>金属卤化物钙钛矿是非常有前途的发光材料；然而，高性能蓝色钙钛矿发光二极管（PeLED）的发展仍然受到掩埋界面退化的限制。在这里，我们在空穴传输层（HTL）上构建了季戊四醇四丙烯酸酯的三维交联网络，以实现高效、明亮的蓝色PeLED。这种致密的交联网络充当物理屏障，保护 HTL 免受极性溶剂的侵蚀并保持其结构完整性。网络中丰富的羰基与钙钛矿晶格形成强配位相互作用，有效钝化界面缺陷，增强界面稳定性。此外，HTL/网络界面处形成的界面偶极子可以调节能级排列，促进高效的空穴注入。由此产生的跨蓝色光谱区域的 PeLED 在 488 nm 处具有 28.0%、476 nm 处为 21.3% 和 466 nm 处为 15.4% 的出色外部量子效率，最大亮度值分别为 26,240、10,750 和 2444 cd m−2。</w:t>
      </w:r>
    </w:p>
    <w:p>
      <w:pPr>
        <w:spacing w:before="0" w:after="200" w:lineRule="auto" w:line="276"/>
      </w:pPr>
      <w:r>
        <w:rPr>
          <w:b/>
        </w:rPr>
        <w:t xml:space="preserve">Abstract (EN): </w:t>
      </w:r>
      <w:r>
        <w:t>Metal halide perovskites are highly promising luminescent materials; however, the development of high-performance blue perovskite light-emitting diodes (PeLEDs) remains constrained by buried interface degradation. Here, we construct a three-dimensional cross-linked network of pentaerythritol tetraacrylate on the hole transport layer (HTL) to achieve efficient and bright blue PeLEDs. This dense cross-linked network serves as a physical barrier, shielding the HTL from polar solvent erosion and preserving its structural integrity. The abundant carbonyl groups in the network form strong coordination interactions with the perovskite lattice, effectively passivating interfacial defects and enhancing interfacial stability. Furthermore, an interfacial dipole formed at the HTL/network interface modulates the energy level alignment, facilitating efficient hole injection. The resulting PeLEDs across blue spectral regions deliver outstanding external quantum efficiencies of 28.0% at 488 nm, 21.3% at 476 nm, and 15.4% at 466 nm, with maximum luminance values of 26,240, 10,750, and 2444 cd m−2, respectively.</w:t>
      </w:r>
    </w:p>
    <w:p>
      <w:pPr>
        <w:spacing w:before="120" w:after="120"/>
      </w:pPr>
      <w:r>
        <w:rPr>
          <w:sz w:val="18"/>
        </w:rPr>
        <w:t>——————————————————————————————————————————————————————————————————————</w:t>
      </w:r>
    </w:p>
    <w:p>
      <w:pPr>
        <w:spacing w:before="160" w:after="40" w:line="240" w:lineRule="auto"/>
      </w:pPr>
      <w:r>
        <w:rPr>
          <w:b/>
        </w:rPr>
        <w:t xml:space="preserve">[112] </w:t>
      </w:r>
      <w:hyperlink r:id="rId461">
        <w:r>
          <w:rPr>
            <w:color w:val="1155CC"/>
            <w:u w:val="single"/>
          </w:rPr>
          <w:t>碘介导的质子耦合电子转移能够在无氧化剂的电催化系统中选择性聚合有机污染物</w:t>
        </w:r>
      </w:hyperlink>
    </w:p>
    <w:p>
      <w:pPr>
        <w:spacing w:before="0" w:after="80"/>
      </w:pPr>
      <w:r>
        <w:rPr>
          <w:i/>
          <w:sz w:val="20"/>
        </w:rPr>
        <w:t>EN: Iodine-mediated proton-coupled electron transfer enables selective polymerization of organic pollutants in an oxidant-free electrocatalytic system</w:t>
      </w:r>
    </w:p>
    <w:p>
      <w:pPr>
        <w:spacing w:before="0" w:after="120"/>
      </w:pPr>
      <w:r>
        <w:rPr>
          <w:b/>
        </w:rPr>
        <w:t xml:space="preserve">Source: </w:t>
      </w:r>
      <w:r>
        <w:t>Earth and environmental sciences : Nature Communications subject feeds</w:t>
      </w:r>
      <w:r>
        <w:t xml:space="preserve">    </w:t>
      </w:r>
      <w:r>
        <w:rPr>
          <w:b/>
        </w:rPr>
        <w:t xml:space="preserve">Pub date: </w:t>
      </w:r>
      <w:r>
        <w:t>2026-06-15 00:00:00+00:00</w:t>
      </w:r>
    </w:p>
    <w:p>
      <w:pPr>
        <w:spacing w:before="0" w:after="120"/>
      </w:pPr>
      <w:r>
        <w:rPr>
          <w:b/>
        </w:rPr>
        <w:t xml:space="preserve">Notes: </w:t>
      </w:r>
      <w:r>
        <w:t>abstract_source=nature_html</w:t>
      </w:r>
    </w:p>
    <w:p>
      <w:pPr>
        <w:spacing w:before="0" w:after="80" w:lineRule="auto" w:line="276"/>
      </w:pPr>
      <w:r>
        <w:rPr>
          <w:b/>
        </w:rPr>
        <w:t xml:space="preserve">摘要（ZH）: </w:t>
      </w:r>
      <w:r>
        <w:t>有机聚合提供了一种可持续的水处理方法，可以实现资源回收，但目前涉及氧化剂的做法选择性较差。我们提出了一种无氧化剂电催化系统，通过碘介导的质子耦合电子转移（PCET）和富碘碘化铋涂层碳布（I-BiOI@CC）阳极进行酚类污染物聚合，通过将污染物转化为不溶性聚合产物，实现了 97.1% 的聚合选择性。机理研究表明，I-BiOI@CC 提供可逆的氧化还原介导 (3I⁻ ⇆ I₃⁻)，增强污染物-电极相互作用并加速界面电荷转移，以促进酚的 PCET 氧化成酚自由基，酚自由基通过热力学有利的邻位 C-O 偶联进行聚合。聚合动力学取决于质子和电子转移能量，其中具有较强给电子能力和较弱O-H键强度的酚类促进PCET过程。该电催化系统表现出高能量和成本效率，生物毒性可忽略不计，并表现出优异的实用性。这项工作为水净化的绿色和选择性电催化工艺的未来发展提供了一个有前途的概念验证。</w:t>
      </w:r>
    </w:p>
    <w:p>
      <w:pPr>
        <w:spacing w:before="0" w:after="200" w:lineRule="auto" w:line="276"/>
      </w:pPr>
      <w:r>
        <w:rPr>
          <w:b/>
        </w:rPr>
        <w:t xml:space="preserve">Abstract (EN): </w:t>
      </w:r>
      <w:r>
        <w:t>Organic polymerization offers a sustainable water treatment approach that enables resource recovery, yet current oxidant-involved practices suffer from poor selectivity. We present an oxidant-free electrocatalytic system for phenolic pollutant polymerization via iodine-mediated proton-coupled electron transfer (PCET) with an iodine-enriched bismuth-oxyiodide-coated carbon cloth (I-BiOI@CC) anode, achieving 97.1% polymerization selectivity by converting pollutants into insoluble polymerized products. Mechanistic investigations demonstrate that I-BiOI@CC provides reversible redox mediation (3I⁻ ⇆ I₃⁻), enhancing pollutant-electrode interaction and accelerating interfacial charge transfer to facilitate PCET-oxidation of phenols to phenolic radicals that undergo polymerization through thermodynamically favored ortho C–O coupling. Polymerization kinetics depend on proton and electron transfer energetics, wherein phenols with stronger electron-donating capacity and weaker O–H bond strength promote the PCET process. The electrocatalytic system exhibits high energy and cost efficiency, demonstrates negligible biotoxicity, and shows excellent practicality. This work offers a promising proof-of-concept for future development of green and selective electrocatalytic processes for water decontamination.</w:t>
      </w:r>
    </w:p>
    <w:p>
      <w:pPr>
        <w:spacing w:before="120" w:after="120"/>
      </w:pPr>
      <w:r>
        <w:rPr>
          <w:sz w:val="18"/>
        </w:rPr>
        <w:t>——————————————————————————————————————————————————————————————————————</w:t>
      </w:r>
    </w:p>
    <w:p>
      <w:pPr>
        <w:spacing w:before="160" w:after="40" w:line="240" w:lineRule="auto"/>
      </w:pPr>
      <w:r>
        <w:rPr>
          <w:b/>
        </w:rPr>
        <w:t xml:space="preserve">[113] </w:t>
      </w:r>
      <w:hyperlink r:id="rId462">
        <w:r>
          <w:rPr>
            <w:color w:val="1155CC"/>
            <w:u w:val="single"/>
          </w:rPr>
          <w:t>氮化碳上光诱导质子转移互变受阻路易斯对</w:t>
        </w:r>
      </w:hyperlink>
    </w:p>
    <w:p>
      <w:pPr>
        <w:spacing w:before="0" w:after="80"/>
      </w:pPr>
      <w:r>
        <w:rPr>
          <w:i/>
          <w:sz w:val="20"/>
        </w:rPr>
        <w:t>EN: Light‐Induced Proton Transfer Tautomeric Frustrated Lewis Pairs on Carbon Nitride</w:t>
      </w:r>
    </w:p>
    <w:p>
      <w:pPr>
        <w:spacing w:before="0" w:after="120"/>
      </w:pPr>
      <w:r>
        <w:rPr>
          <w:b/>
        </w:rPr>
        <w:t xml:space="preserve">Source: </w:t>
      </w:r>
      <w:r>
        <w:t>Wiley: Advanced Materials: Table of Contents</w:t>
      </w:r>
      <w:r>
        <w:t xml:space="preserve">    </w:t>
      </w:r>
      <w:r>
        <w:rPr>
          <w:b/>
        </w:rPr>
        <w:t xml:space="preserve">Pub date: </w:t>
      </w:r>
      <w:r>
        <w:t>2026-06-15 04:56:33+00:00</w:t>
      </w:r>
      <w:r>
        <w:t xml:space="preserve">    </w:t>
      </w:r>
      <w:r>
        <w:rPr>
          <w:b/>
        </w:rPr>
        <w:t xml:space="preserve">DOI: </w:t>
      </w:r>
      <w:hyperlink r:id="rId463">
        <w:r>
          <w:rPr>
            <w:color w:val="1155CC"/>
            <w:u w:val="single"/>
          </w:rPr>
          <w:t>10.1002/adma.73733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异质受阻路易斯对（FLP）中活性位点的静态性质通常限制了它们在动态催化环境中的适应性和效率。高负载下不可避免的现场淬火和容易中毒等挑战限制了其实际应用。受软材料固有动态性的启发，我们通过在氮化碳框架上构建互变受阻路易斯对（TFLP），报告了从静态设计到光调节动态催化的范式转变。通过超分子自组装，我们设计了能够进行光诱导酮烯醇和次膦酰互变异构化的氮化碳异构体。该过程原位产生瞬态但稳定的缺电子（路易斯酸）和富电子（路易斯碱）位点，并具有适当的空间挫折。该动态系统用于 H 的光催化氧化</w:t>
      </w:r>
      <w:r>
        <w:rPr>
          <w:vertAlign w:val="subscript"/>
        </w:rPr>
        <w:t>2</w:t>
      </w:r>
      <w:r>
        <w:t>S，其中 TFLP 表现出优异且稳定的活性。原位光谱研究和动力学分析证实了 TFLP 的光开关形成并阐明了动态调节机制。这项工作将互变异构现象确立为创建自适应活性位点的强大工具，引入了 FLP 的新子类，并为智能、响应性异相催化铺平了道路。</w:t>
      </w:r>
    </w:p>
    <w:p>
      <w:pPr>
        <w:spacing w:before="0" w:after="200" w:lineRule="auto" w:line="276"/>
      </w:pPr>
      <w:r>
        <w:rPr>
          <w:b/>
        </w:rPr>
        <w:t xml:space="preserve">Abstract (EN): </w:t>
      </w:r>
      <w:r>
        <w:t>The static nature of active sites in heterogeneous frustrated Lewis pairs (FLPs) often limits their adaptability and efficiency in dynamic catalytic environments. Challenges such as the inevitable quenching of sites at high loadings and vulnerability to poisoning restrict their practical application. Inspired by the inherent dynamicity of soft materials, we report a paradigm shift from static design to light‐regulated dynamic catalysis by constructing Tautomeric Frustrated Lewis Pairs (TFLPs) on carbon nitride frameworks. Through supramolecular self‐assembly, we engineered carbon nitride isomers capable of undergoing photoinduced keto‐enol and phosphinylidene tautomerization. This process in situ generates transient, yet stabilized, electron‐deficient (Lewis acid) and electron‐rich (Lewis base) sites with appropriate spatial frustration. This dynamic system was employed in the photocatalytic oxidation of H</w:t>
      </w:r>
      <w:r>
        <w:rPr>
          <w:vertAlign w:val="subscript"/>
        </w:rPr>
        <w:t>2</w:t>
      </w:r>
      <w:r>
        <w:t>S, where the TFLPs demonstrated superior and stable activity. In situ spectroscopic studies and kinetic analyses corroborate the light‐switched formation of TFLPs and elucidate the dynamic regulatory mechanism. This work establishes tautomerism as a powerful tool for creating adaptive active sites, introducing a new subclass of FLPs and paving the way for intelligent, responsive heterogeneous catalysis.</w:t>
      </w:r>
    </w:p>
    <w:p>
      <w:pPr>
        <w:spacing w:before="120" w:after="120"/>
      </w:pPr>
      <w:r>
        <w:rPr>
          <w:sz w:val="18"/>
        </w:rPr>
        <w:t>——————————————————————————————————————————————————————————————————————</w:t>
      </w:r>
    </w:p>
    <w:p>
      <w:pPr>
        <w:spacing w:before="160" w:after="40" w:line="240" w:lineRule="auto"/>
      </w:pPr>
      <w:r>
        <w:rPr>
          <w:b/>
        </w:rPr>
        <w:t xml:space="preserve">[114] </w:t>
      </w:r>
      <w:hyperlink r:id="rId464">
        <w:r>
          <w:rPr>
            <w:color w:val="1155CC"/>
            <w:u w:val="single"/>
          </w:rPr>
          <w:t>超低电压下通过导电聚合物电化学氧化水产生羟基自由基</w:t>
        </w:r>
      </w:hyperlink>
    </w:p>
    <w:p>
      <w:pPr>
        <w:spacing w:before="0" w:after="80"/>
      </w:pPr>
      <w:r>
        <w:rPr>
          <w:i/>
          <w:sz w:val="20"/>
        </w:rPr>
        <w:t>EN: Electrochemical Oxidation of Water Through Conducting Polymer for Hydroxyl Radical Generation at Ultra‐Low Voltage</w:t>
      </w:r>
    </w:p>
    <w:p>
      <w:pPr>
        <w:spacing w:before="0" w:after="120"/>
      </w:pPr>
      <w:r>
        <w:rPr>
          <w:b/>
        </w:rPr>
        <w:t xml:space="preserve">Source: </w:t>
      </w:r>
      <w:r>
        <w:t>Wiley: Advanced Materials: Table of Contents</w:t>
      </w:r>
      <w:r>
        <w:t xml:space="preserve">    </w:t>
      </w:r>
      <w:r>
        <w:rPr>
          <w:b/>
        </w:rPr>
        <w:t xml:space="preserve">Pub date: </w:t>
      </w:r>
      <w:r>
        <w:t>2026-06-15 04:58:49+00:00</w:t>
      </w:r>
      <w:r>
        <w:t xml:space="preserve">    </w:t>
      </w:r>
      <w:r>
        <w:rPr>
          <w:b/>
        </w:rPr>
        <w:t xml:space="preserve">DOI: </w:t>
      </w:r>
      <w:hyperlink r:id="rId465">
        <w:r>
          <w:rPr>
            <w:color w:val="1155CC"/>
            <w:u w:val="single"/>
          </w:rPr>
          <w:t>10.1002/adma.73666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尽管导电聚合物（CP）已经促进了先进光电器件的发展，但由于水分子对电子/空穴的猝灭，它们在水环境中的性能在很大程度上仍未得到充分研究。在这项研究中，我们提出了一种非常规的电化学策略，可在 0.4 V（相对于 Ag/AgCl）的极低电压下实现意想不到的羟基自由基 (·OH) 生成。这是通过一个集成系统实现的，该系统包含吸附在部分氧化铜片上的聚（芴-交替-噻吩并吡嗪）（PFTP）CP。显微镜和表面分析技术表明，Cu</w:t>
      </w:r>
      <w:r>
        <w:rPr>
          <w:vertAlign w:val="subscript"/>
        </w:rPr>
        <w:t>2</w:t>
      </w:r>
      <w:r>
        <w:t>铜片表面的 O 层可以增强 PFTP 与铜片之间的相互作用，从而将 PFTP 的氧化电位从 1.27 V 调整到 1.70 V（相对于 Ag/AgCl）。正是这种特定的转变使得热力学能够在电刺激下将水氧化成·OH。理论计算和质谱成像结果表明PFTP/Copper相互作用主要归因于PFTP骨架上的S原子与Cu之间的相互作用</w:t>
      </w:r>
      <w:r>
        <w:rPr>
          <w:vertAlign w:val="subscript"/>
        </w:rPr>
        <w:t>2</w:t>
      </w:r>
      <w:r>
        <w:t>O位点和弱界面相互作用有效地调节了PFTP的HOMO能级。最后，PFTP/铜系统在低工作电压下对细菌生物膜的灭菌率高达 99%，为防生物污染应用提供了可持续且节能的解决方案。</w:t>
      </w:r>
    </w:p>
    <w:p>
      <w:pPr>
        <w:spacing w:before="0" w:after="200" w:lineRule="auto" w:line="276"/>
      </w:pPr>
      <w:r>
        <w:rPr>
          <w:b/>
        </w:rPr>
        <w:t xml:space="preserve">Abstract (EN): </w:t>
      </w:r>
      <w:r>
        <w:t>Although conducting polymers (CPs) have catalyzed the development of advanced optoelectronic devices, their performance in aqueous environments remains largely underexplored due to the quenching of electron/hole by water molecules. In this study, we present an unconventional electrochemical strategy to achieve unexpected hydroxyl radical (•OH) generation at a remarkably low voltage of 0.4 V (vs. Ag/AgCl). This is realized through an integrated system comprising CPs of poly(fluorene‐alt‐thienopyrazine) (PFTP) adsorbed onto the partially oxidized copper sheet. Microscopy and surface analysis techniques demonstrated that the Cu</w:t>
      </w:r>
      <w:r>
        <w:rPr>
          <w:vertAlign w:val="subscript"/>
        </w:rPr>
        <w:t>2</w:t>
      </w:r>
      <w:r>
        <w:t>O layer on the copper sheet surface could enhance the interaction between PFTP and copper sheet, thereby tuning the oxidation potential of PFTP from 1.27 to 1.70 V (vs. Ag/AgCl). It was the specific shift that makes thermodynamically capable of oxidizing water into •OH upon electrical stimulation. Theoretical calculations and mass spectrometry imaging results indicated that the PFTP/Copper interaction is mainly attributed to the interaction between the S atoms on the PFTP backbone and Cu</w:t>
      </w:r>
      <w:r>
        <w:rPr>
          <w:vertAlign w:val="subscript"/>
        </w:rPr>
        <w:t>2</w:t>
      </w:r>
      <w:r>
        <w:t>O sites, and the weak interfacial interaction effectively tuned the HOMO energy level of PFTP. Finally, the PFTP/Copper system demonstrates a superior sterilization rate of 99% against bacterial biofilms at low operating voltages, offering a sustainable and energy‐efficient solution for anti‐biofouling applications.</w:t>
      </w:r>
    </w:p>
    <w:p>
      <w:pPr>
        <w:spacing w:before="120" w:after="120"/>
      </w:pPr>
      <w:r>
        <w:rPr>
          <w:sz w:val="18"/>
        </w:rPr>
        <w:t>——————————————————————————————————————————————————————————————————————</w:t>
      </w:r>
    </w:p>
    <w:p>
      <w:pPr>
        <w:spacing w:before="160" w:after="40" w:line="240" w:lineRule="auto"/>
      </w:pPr>
      <w:r>
        <w:rPr>
          <w:b/>
        </w:rPr>
        <w:t xml:space="preserve">[115] </w:t>
      </w:r>
      <w:hyperlink r:id="rId466">
        <w:r>
          <w:rPr>
            <w:color w:val="1155CC"/>
            <w:u w:val="single"/>
          </w:rPr>
          <w:t>增强自组装单层和体异质结之间的界面耦合可实现热稳定有机太阳能电池</w:t>
        </w:r>
      </w:hyperlink>
    </w:p>
    <w:p>
      <w:pPr>
        <w:spacing w:before="0" w:after="80"/>
      </w:pPr>
      <w:r>
        <w:rPr>
          <w:i/>
          <w:sz w:val="20"/>
        </w:rPr>
        <w:t>EN: Strengthened Interfacial Coupling Between Self‐Assembled Monolayers and Bulk Heterojunctions Enables Thermally Stable Organic Solar Cells</w:t>
      </w:r>
    </w:p>
    <w:p>
      <w:pPr>
        <w:spacing w:before="0" w:after="120"/>
      </w:pPr>
      <w:r>
        <w:rPr>
          <w:b/>
        </w:rPr>
        <w:t xml:space="preserve">Source: </w:t>
      </w:r>
      <w:r>
        <w:t>Wiley: Advanced Materials: Table of Contents</w:t>
      </w:r>
      <w:r>
        <w:t xml:space="preserve">    </w:t>
      </w:r>
      <w:r>
        <w:rPr>
          <w:b/>
        </w:rPr>
        <w:t xml:space="preserve">Pub date: </w:t>
      </w:r>
      <w:r>
        <w:t>2026-06-15 05:01:49+00:00</w:t>
      </w:r>
      <w:r>
        <w:t xml:space="preserve">    </w:t>
      </w:r>
      <w:r>
        <w:rPr>
          <w:b/>
        </w:rPr>
        <w:t xml:space="preserve">DOI: </w:t>
      </w:r>
      <w:hyperlink r:id="rId467">
        <w:r>
          <w:rPr>
            <w:color w:val="1155CC"/>
            <w:u w:val="single"/>
          </w:rPr>
          <w:t>10.1002/adma.73709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自组装单层（SAM）已成为一种有效的界面策略，可改善有机太阳能电池（OSC）中的电荷提取和界面能量学；然而，有限的运行稳定性，特别是在长时间的高温条件下，仍然是实际部署的关键挑战。在这里，我们系统地设计了 SAM 末端基团，以阐明 SAM 和体异质结活性层之间的界面分子相互作用如何控制器件效率和热稳定性。扩大 SAM 侧基的芳环尺寸可增强</w:t>
      </w:r>
      <w:r>
        <w:t xml:space="preserve"> </w:t>
      </w:r>
      <w:r>
        <w:t>π-π</w:t>
      </w:r>
      <w:r>
        <w:t xml:space="preserve"> </w:t>
      </w:r>
      <w:r>
        <w:t>和范德华相互作用，导致电极/SAM 和 SAM/活性层界面处具有更强的分子耦合和更完整、更稳健的界面结构。特别是，包含萘侧基的 SAM 表现出显着增强的分子间相互作用，有效抑制高温下热诱导的形态降解。结果，基于PM6:BTP-eC9的二元和三元有机太阳能电池的功率转换效率分别达到19.73%和20.15%。值得注意的是，采用这种界面分子锁定策略的设备提供了 T</w:t>
      </w:r>
      <w:r>
        <w:rPr>
          <w:vertAlign w:val="subscript"/>
        </w:rPr>
        <w:t>90</w:t>
      </w:r>
      <w:r>
        <w:t>在 85°C 最大功率点跟踪下，工作寿命为 150 小时，与没有吊坠组的 SAM 相比，提高了一个数量级。这些发现证实芳香族端基扩张是一种有效的效应</w:t>
      </w:r>
    </w:p>
    <w:p>
      <w:pPr>
        <w:spacing w:before="0" w:after="200" w:lineRule="auto" w:line="276"/>
      </w:pPr>
      <w:r>
        <w:rPr>
          <w:b/>
        </w:rPr>
        <w:t xml:space="preserve">Abstract (EN): </w:t>
      </w:r>
      <w:r>
        <w:t>Self‐assembled monolayers (SAMs) have emerged as an effective interfacial strategy for improving charge extraction and interfacial energetics in organic solar cells (OSCs); however, limited operational stability, particularly under prolonged high‐temperature conditions, remains a critical challenge for practical deployment. Here, we systematically engineer SAM terminal groups to elucidate how interfacial molecular interactions between the SAM and the bulk‐heterojunction active layer govern device efficiency and thermal stability. Expanding the aromatic ring size of the SAM pendant groups enhances</w:t>
      </w:r>
      <w:r>
        <w:t xml:space="preserve"> </w:t>
      </w:r>
      <w:r>
        <w:t>π–π</w:t>
      </w:r>
      <w:r>
        <w:t xml:space="preserve"> </w:t>
      </w:r>
      <w:r>
        <w:t>and van der Waals interactions, leading to stronger molecular coupling and a more intact and robust interfacial structure at both the electrode/SAM and SAM/active‐layer interfaces. In particular, SAMs incorporating naphthalene pendant groups exhibit significantly strengthened intermolecular interactions, effectively suppressing thermally induced morphological degradation under elevated temperatures. As a result, PM6:BTP‐eC9‐based binary and ternary organic solar cells achieve power conversion efficiencies of 19.73% and 20.15%, respectively. Notably, devices employing this interfacial molecular locking strategy deliver a T</w:t>
      </w:r>
      <w:r>
        <w:rPr>
          <w:vertAlign w:val="subscript"/>
        </w:rPr>
        <w:t>90</w:t>
      </w:r>
      <w:r>
        <w:t>operational lifetime of 150 h under maximum power point tracking at 85°C, representing an order‐of‐magnitude improvement compared to SAMs without pendant groups. These findings establish aromatic terminal group expansion as an effective molecular design strategy for simultaneously enhancing efficiency and thermal stability in organic solar cells.</w:t>
      </w:r>
    </w:p>
    <w:p>
      <w:pPr>
        <w:spacing w:before="120" w:after="120"/>
      </w:pPr>
      <w:r>
        <w:rPr>
          <w:sz w:val="18"/>
        </w:rPr>
        <w:t>——————————————————————————————————————————————————————————————————————</w:t>
      </w:r>
    </w:p>
    <w:p>
      <w:pPr>
        <w:spacing w:before="160" w:after="40" w:line="240" w:lineRule="auto"/>
      </w:pPr>
      <w:r>
        <w:rPr>
          <w:b/>
        </w:rPr>
        <w:t xml:space="preserve">[116] </w:t>
      </w:r>
      <w:hyperlink r:id="rId468">
        <w:r>
          <w:rPr>
            <w:color w:val="1155CC"/>
            <w:u w:val="single"/>
          </w:rPr>
          <w:t>带约束的随机：构建高维生物学的最小模型</w:t>
        </w:r>
      </w:hyperlink>
    </w:p>
    <w:p>
      <w:pPr>
        <w:spacing w:before="0" w:after="80"/>
      </w:pPr>
      <w:r>
        <w:rPr>
          <w:i/>
          <w:sz w:val="20"/>
        </w:rPr>
        <w:t>EN: Random-with-constraints: Constructing minimal models for high-dimensional biology</w:t>
      </w:r>
    </w:p>
    <w:p>
      <w:pPr>
        <w:spacing w:before="0" w:after="120"/>
      </w:pPr>
      <w:r>
        <w:rPr>
          <w:b/>
        </w:rPr>
        <w:t xml:space="preserve">Source: </w:t>
      </w:r>
      <w:r>
        <w:t>Proceedings of the National Academy of Sciences: Keyword search for query</w:t>
      </w:r>
      <w:r>
        <w:t xml:space="preserve">    </w:t>
      </w:r>
      <w:r>
        <w:rPr>
          <w:b/>
        </w:rPr>
        <w:t xml:space="preserve">Pub date: </w:t>
      </w:r>
      <w:r>
        <w:t>2026-06-15 07:00:00+00:00</w:t>
      </w:r>
      <w:r>
        <w:t xml:space="preserve">    </w:t>
      </w:r>
      <w:r>
        <w:rPr>
          <w:b/>
        </w:rPr>
        <w:t xml:space="preserve">DOI: </w:t>
      </w:r>
      <w:hyperlink r:id="rId469">
        <w:r>
          <w:rPr>
            <w:color w:val="1155CC"/>
            <w:u w:val="single"/>
          </w:rPr>
          <w:t>10.1073/pnas.2526777123</w:t>
        </w:r>
      </w:hyperlink>
    </w:p>
    <w:p>
      <w:pPr>
        <w:spacing w:before="0" w:after="120"/>
      </w:pPr>
      <w:r>
        <w:rPr>
          <w:b/>
        </w:rPr>
        <w:t xml:space="preserve">Notes: </w:t>
      </w:r>
      <w:r>
        <w:t>abstract_source=crossref</w:t>
      </w:r>
    </w:p>
    <w:p>
      <w:pPr>
        <w:spacing w:before="0" w:after="80" w:lineRule="auto" w:line="276"/>
      </w:pPr>
      <w:r>
        <w:rPr>
          <w:b/>
        </w:rPr>
        <w:t xml:space="preserve">摘要（ZH）: </w:t>
      </w:r>
      <w:r>
        <w:t>生物学家和物理学家有着丰富的传统，他们利用由一些相互作用的组件组成的简单模型来对生命系统的动力学进行建模。尽管这种方法取得了显着的成功，但仍不清楚如何使用这种精细调整的模型来研究由众多异质、相互作用的成分组成的复杂生物系统。驯服这种生物复杂性的一种可能策略是接受这样一种想法，即我们观察到的许多生物行为都是“典型的”，并且可以使用尊重生物动机约束的随机系统进行建模。在这里，我们回顾了最近的工作，展示了如何使用这种方法与从神经科学到生态学和进化等领域的生物系统实验建立密切联系。总的来说，这些工作表明“带约束的随机”范式代表了一种有前途的新建模策略，用于捕获高维生物数据中实验观察到的动态和统计特征，并为生物学提供了强大的最小建模原理。</w:t>
      </w:r>
    </w:p>
    <w:p>
      <w:pPr>
        <w:spacing w:before="0" w:after="200" w:lineRule="auto" w:line="276"/>
      </w:pPr>
      <w:r>
        <w:rPr>
          <w:b/>
        </w:rPr>
        <w:t xml:space="preserve">Abstract (EN): </w:t>
      </w:r>
      <w:r>
        <w:t>Biologists and physicists have a rich tradition of modeling dynamics of living systems with simple models composed of a few interacting components. Despite the remarkable success of this approach, it remains unclear how to use such finely tuned models to study complex biological systems composed of numerous heterogeneous, interacting components. One possible strategy for taming this biological complexity is to embrace the idea that many biological behaviors we observe are “typical” and can be modeled using random systems that respect biologically motivated constraints. Here, we review recent works showing how this approach can be used to make close connection with experiments in biological systems ranging from neuroscience to ecology and evolution and beyond. Collectively, these works suggest that the “random-with-constraints” paradigm represents a promising new modeling strategy for capturing experimentally observed dynamical and statistical features in high-dimensional biological data and provides a powerful minimal modeling philosophy for biology.</w:t>
      </w:r>
    </w:p>
    <w:p>
      <w:pPr>
        <w:spacing w:before="120" w:after="120"/>
      </w:pPr>
      <w:r>
        <w:rPr>
          <w:sz w:val="18"/>
        </w:rPr>
        <w:t>——————————————————————————————————————————————————————————————————————</w:t>
      </w:r>
    </w:p>
    <w:p>
      <w:pPr>
        <w:spacing w:before="160" w:after="40" w:line="240" w:lineRule="auto"/>
      </w:pPr>
      <w:r>
        <w:rPr>
          <w:b/>
        </w:rPr>
        <w:t xml:space="preserve">[117] </w:t>
      </w:r>
      <w:hyperlink r:id="rId470">
        <w:r>
          <w:rPr>
            <w:color w:val="1155CC"/>
            <w:u w:val="single"/>
          </w:rPr>
          <w:t>土壤寄生原生生物的多样性决定了全球生态系统的稳定性</w:t>
        </w:r>
      </w:hyperlink>
    </w:p>
    <w:p>
      <w:pPr>
        <w:spacing w:before="0" w:after="80"/>
      </w:pPr>
      <w:r>
        <w:rPr>
          <w:i/>
          <w:sz w:val="20"/>
        </w:rPr>
        <w:t>EN: The diversity of soil parasitic protists shapes ecosystem stability worldwide</w:t>
      </w:r>
    </w:p>
    <w:p>
      <w:pPr>
        <w:spacing w:before="0" w:after="120"/>
      </w:pPr>
      <w:r>
        <w:rPr>
          <w:b/>
        </w:rPr>
        <w:t xml:space="preserve">Source: </w:t>
      </w:r>
      <w:r>
        <w:t>Proceedings of the National Academy of Sciences: Keyword search for query</w:t>
      </w:r>
      <w:r>
        <w:t xml:space="preserve">    </w:t>
      </w:r>
      <w:r>
        <w:rPr>
          <w:b/>
        </w:rPr>
        <w:t xml:space="preserve">Pub date: </w:t>
      </w:r>
      <w:r>
        <w:t>2026-06-15 07:00:00+00:00</w:t>
      </w:r>
      <w:r>
        <w:t xml:space="preserve">    </w:t>
      </w:r>
      <w:r>
        <w:rPr>
          <w:b/>
        </w:rPr>
        <w:t xml:space="preserve">DOI: </w:t>
      </w:r>
      <w:hyperlink r:id="rId471">
        <w:r>
          <w:rPr>
            <w:color w:val="1155CC"/>
            <w:u w:val="single"/>
          </w:rPr>
          <w:t>10.1073/pnas.2528901123</w:t>
        </w:r>
      </w:hyperlink>
    </w:p>
    <w:p>
      <w:pPr>
        <w:spacing w:before="0" w:after="120"/>
      </w:pPr>
      <w:r>
        <w:rPr>
          <w:b/>
        </w:rPr>
        <w:t xml:space="preserve">Notes: </w:t>
      </w:r>
      <w:r>
        <w:t>abstract_source=crossref</w:t>
      </w:r>
    </w:p>
    <w:p>
      <w:pPr>
        <w:spacing w:before="0" w:after="80" w:lineRule="auto" w:line="276"/>
      </w:pPr>
      <w:r>
        <w:rPr>
          <w:b/>
        </w:rPr>
        <w:t xml:space="preserve">摘要（ZH）: </w:t>
      </w:r>
      <w:r>
        <w:t>土壤寄生原生生物影响植物和土壤生物的健康。然而，这些相互作用对陆地生态系统稳定性的影响程度在很大程度上仍然无法量化。在这里，我们利用在线提供的两项独立的全球规模生物多样性调查来研究寄生原生生物的分类多样性与基于卫星的生态系统生产力时间序列（即标准化差异植被指数）之间的关系。我们发现土壤寄生原生生物多样性，特别是 Apicomplexa（土壤无脊椎动物的常见寄生虫）的多样性，与全球生态系统的时间稳定性始终呈正相关。我们的分析表明，Apicomplexa 多样性可能通过调节无脊椎动物植物食草和养分循环来提高平均生产力，从而与生态系统生产力的时间稳定性呈正相关。此外，顶端复合体多样性与生态系统时间稳定性之间的关系很大程度上受到气候的调节，在生产力较低、寒冷或干燥的生态系统中发现更强的相关性。我们的研究结果为先前未描述的土壤寄生原生生物多样性与生态系统稳定性之间的显着统计关系提供了大规模的经验证据，强调了它们在解释全球陆地生态系统稳定性方面的潜在作用。</w:t>
      </w:r>
    </w:p>
    <w:p>
      <w:pPr>
        <w:spacing w:before="0" w:after="200" w:lineRule="auto" w:line="276"/>
      </w:pPr>
      <w:r>
        <w:rPr>
          <w:b/>
        </w:rPr>
        <w:t xml:space="preserve">Abstract (EN): </w:t>
      </w:r>
      <w:r>
        <w:t>Soil parasitic protists influence the health of plants and soil organisms. Yet, the extent to which these interactions impact the stability of terrestrial ecosystems remains largely unquantified. Here, we utilized two independent global-scale biodiversity surveys available online to investigate the relationship between the taxonomic diversity of parasitic protists and satellite-based time series of ecosystem productivity (i.e., normalized difference vegetation index). We found that soil parasitic protist diversity, particularly the diversity of Apicomplexa (common parasites of soil invertebrates), was consistently and positively correlated with ecosystem temporal stability worldwide. Our analyses suggest that Apicomplexa diversity is positively associated with temporal stability of ecosystem productivity by boosting mean productivity, likely through regulating invertebrate plant herbivory and nutrient cycling. Furthermore, the relationships between Apicomplexa diversity and ecosystem temporal stability were strongly mediated by climate, with a stronger correlation found in less productive colder or drier ecosystems. Our findings provide large-scale empirical evidence for the previously undescribed significant statistical relationship between soil parasitic protist diversity and ecosystem stability, highlighting their potential role in explaining the stability of terrestrial ecosystems globally.</w:t>
      </w:r>
    </w:p>
    <w:p>
      <w:pPr>
        <w:spacing w:before="120" w:after="120"/>
      </w:pPr>
      <w:r>
        <w:rPr>
          <w:sz w:val="18"/>
        </w:rPr>
        <w:t>——————————————————————————————————————————————————————————————————————</w:t>
      </w:r>
    </w:p>
    <w:p>
      <w:pPr>
        <w:spacing w:before="160" w:after="40" w:line="240" w:lineRule="auto"/>
      </w:pPr>
      <w:r>
        <w:rPr>
          <w:b/>
        </w:rPr>
        <w:t xml:space="preserve">[118] </w:t>
      </w:r>
      <w:hyperlink r:id="rId472">
        <w:r>
          <w:rPr>
            <w:color w:val="1155CC"/>
            <w:u w:val="single"/>
          </w:rPr>
          <w:t>溶酶体 TMEM165 重塑钙信号传导以驱动缺氧适应和肿瘤进展</w:t>
        </w:r>
      </w:hyperlink>
    </w:p>
    <w:p>
      <w:pPr>
        <w:spacing w:before="0" w:after="80"/>
      </w:pPr>
      <w:r>
        <w:rPr>
          <w:i/>
          <w:sz w:val="20"/>
        </w:rPr>
        <w:t>EN: Lysosomal TMEM165 remodels calcium signaling to drive hypoxia adaptation and tumor progression</w:t>
      </w:r>
    </w:p>
    <w:p>
      <w:pPr>
        <w:spacing w:before="0" w:after="120"/>
      </w:pPr>
      <w:r>
        <w:rPr>
          <w:b/>
        </w:rPr>
        <w:t xml:space="preserve">Source: </w:t>
      </w:r>
      <w:r>
        <w:t>Proceedings of the National Academy of Sciences: Keyword search for query</w:t>
      </w:r>
      <w:r>
        <w:t xml:space="preserve">    </w:t>
      </w:r>
      <w:r>
        <w:rPr>
          <w:b/>
        </w:rPr>
        <w:t xml:space="preserve">Pub date: </w:t>
      </w:r>
      <w:r>
        <w:t>2026-06-15 07:00:00+00:00</w:t>
      </w:r>
      <w:r>
        <w:t xml:space="preserve">    </w:t>
      </w:r>
      <w:r>
        <w:rPr>
          <w:b/>
        </w:rPr>
        <w:t xml:space="preserve">DOI: </w:t>
      </w:r>
      <w:hyperlink r:id="rId473">
        <w:r>
          <w:rPr>
            <w:color w:val="1155CC"/>
            <w:u w:val="single"/>
          </w:rPr>
          <w:t>10.1073/pnas.2532309123</w:t>
        </w:r>
      </w:hyperlink>
    </w:p>
    <w:p>
      <w:pPr>
        <w:spacing w:before="0" w:after="120"/>
      </w:pPr>
      <w:r>
        <w:rPr>
          <w:b/>
        </w:rPr>
        <w:t xml:space="preserve">Notes: </w:t>
      </w:r>
      <w:r>
        <w:t>abstract_source=crossref</w:t>
      </w:r>
    </w:p>
    <w:p>
      <w:pPr>
        <w:spacing w:before="0" w:after="80" w:lineRule="auto" w:line="276"/>
      </w:pPr>
      <w:r>
        <w:rPr>
          <w:b/>
        </w:rPr>
        <w:t xml:space="preserve">摘要（ZH）: </w:t>
      </w:r>
      <w:r>
        <w:t>缺氧是动物组织在发育、生理和疾病过程中遇到的常见应激。为了应对缺氧应激，细胞重塑代谢和信号网络以保持活力和功能。溶酶体是代谢控制和细胞内信号传导的中枢，但它们在缺氧适应中的作用仍不清楚。在这里，我们将溶酶体钙转运蛋白 TMEM165 确定为细胞稳态的缺氧反应性调节剂。缺氧条件下，TMEM165表达增加，促进钙从内质网重新分配到溶酶体，扩大溶酶体钙储存能力。 TMEM165 激活分别通过 AMPK-mTOR 和 ERK/p21 信号通路调节自噬和衰老。在神经胶质瘤中，TMEM165 高表达与预后不良相关，而其缺失会抑制糖酵解、增殖和肿瘤进展。这些发现将 TMEM165 确定为一种溶酶体缺氧响应蛋白，它将钙信号传导与代谢和应激反应途径整合在一起，揭示了氧利用率、溶酶体功能和肿瘤适应之间的机制联系。</w:t>
      </w:r>
    </w:p>
    <w:p>
      <w:pPr>
        <w:spacing w:before="0" w:after="200" w:lineRule="auto" w:line="276"/>
      </w:pPr>
      <w:r>
        <w:rPr>
          <w:b/>
        </w:rPr>
        <w:t xml:space="preserve">Abstract (EN): </w:t>
      </w:r>
      <w:r>
        <w:t>Hypoxia is a common stress encountered by animal tissues during development, physiology, and disease. To cope with hypoxic stress, cells remodel metabolic and signaling networks to preserve viability and function. Lysosomes serve as central hubs for metabolic control and intracellular signaling, yet their role in hypoxic adaptation remains unclear. Here, we identify the lysosomal calcium transporter TMEM165 as a hypoxia-responsive regulator of cellular homeostasis. Under hypoxic conditions, TMEM165 expression increases, promoting calcium redistribution from the endoplasmic reticulum to lysosomes and expanding lysosomal calcium storage capacity. TMEM165 activation regulates autophagy and senescence through the AMPK-mTOR and ERK/p21 signaling pathways, respectively. In glioma, high TMEM165 expression correlates with poor prognosis, whereas its depletion suppresses glycolysis, proliferation, and tumor progression. These findings establish TMEM165 as a lysosomal hypoxia-responsive protein that integrates calcium signaling with metabolic and stress-response pathways, revealing a mechanistic link between oxygen availability, lysosomal function, and tumor adaptation.</w:t>
      </w:r>
    </w:p>
    <w:p>
      <w:pPr>
        <w:spacing w:before="120" w:after="120"/>
      </w:pPr>
      <w:r>
        <w:rPr>
          <w:sz w:val="18"/>
        </w:rPr>
        <w:t>——————————————————————————————————————————————————————————————————————</w:t>
      </w:r>
    </w:p>
    <w:p>
      <w:pPr>
        <w:spacing w:before="160" w:after="40" w:line="240" w:lineRule="auto"/>
      </w:pPr>
      <w:r>
        <w:rPr>
          <w:b/>
        </w:rPr>
        <w:t xml:space="preserve">[119] </w:t>
      </w:r>
      <w:hyperlink r:id="rId474">
        <w:r>
          <w:rPr>
            <w:color w:val="1155CC"/>
            <w:u w:val="single"/>
          </w:rPr>
          <w:t>多稳态弯曲折纸折纸壳中驱动驱动的伪折痕力学</w:t>
        </w:r>
      </w:hyperlink>
    </w:p>
    <w:p>
      <w:pPr>
        <w:spacing w:before="0" w:after="80"/>
      </w:pPr>
      <w:r>
        <w:rPr>
          <w:i/>
          <w:sz w:val="20"/>
        </w:rPr>
        <w:t>EN: Actuation driven pseudocrease mechanics in multistable curved-crease origami shells</w:t>
      </w:r>
    </w:p>
    <w:p>
      <w:pPr>
        <w:spacing w:before="0" w:after="120"/>
      </w:pPr>
      <w:r>
        <w:rPr>
          <w:b/>
        </w:rPr>
        <w:t xml:space="preserve">Source: </w:t>
      </w:r>
      <w:r>
        <w:t>Proceedings of the National Academy of Sciences: Keyword search for query</w:t>
      </w:r>
      <w:r>
        <w:t xml:space="preserve">    </w:t>
      </w:r>
      <w:r>
        <w:rPr>
          <w:b/>
        </w:rPr>
        <w:t xml:space="preserve">Pub date: </w:t>
      </w:r>
      <w:r>
        <w:t>2026-06-15 07:00:00+00:00</w:t>
      </w:r>
      <w:r>
        <w:t xml:space="preserve">    </w:t>
      </w:r>
      <w:r>
        <w:rPr>
          <w:b/>
        </w:rPr>
        <w:t xml:space="preserve">DOI: </w:t>
      </w:r>
      <w:hyperlink r:id="rId475">
        <w:r>
          <w:rPr>
            <w:color w:val="1155CC"/>
            <w:u w:val="single"/>
          </w:rPr>
          <w:t>10.1073/pnas.2530458123</w:t>
        </w:r>
      </w:hyperlink>
    </w:p>
    <w:p>
      <w:pPr>
        <w:spacing w:before="0" w:after="120"/>
      </w:pPr>
      <w:r>
        <w:rPr>
          <w:b/>
        </w:rPr>
        <w:t xml:space="preserve">Notes: </w:t>
      </w:r>
      <w:r>
        <w:t>abstract_source=crossref</w:t>
      </w:r>
    </w:p>
    <w:p>
      <w:pPr>
        <w:spacing w:before="0" w:after="80" w:lineRule="auto" w:line="276"/>
      </w:pPr>
      <w:r>
        <w:rPr>
          <w:b/>
        </w:rPr>
        <w:t xml:space="preserve">摘要（ZH）: </w:t>
      </w:r>
      <w:r>
        <w:t>壳是在自然界和工程中普遍存在的轻质承重结构。可重构结构可以改变形式和功能，而多稳态结构可以实现快速、大的形状变化，并且能够在不连续输入功的情况下保持变形的形状。在这里，我们提出了一种受弯曲折痕折纸和可展曲面微分几何启发的多稳定壳的通用设计方法。通过对参考多稳态壳的详细分析，我们表明壳自然地沿着我们称之为“伪折痕”的带集中变形。我们分析几何参数对机械行为的影响，以便直观地理解多稳定性背后的力学，其中壳内的弯曲和拉伸能量相互竞争。我们通过使用不同几何形状的样本进行实验来验证数值模型和趋势。该验证涉及各种长度尺度和形式的应用，包括能够变形、滚动、转向和爬行的磁控弯曲折痕机器人。我们的方法具有在多个应用领域设计具有定制刚度、能量势垒和形状的可重构壳体的潜力。</w:t>
      </w:r>
    </w:p>
    <w:p>
      <w:pPr>
        <w:spacing w:before="0" w:after="200" w:lineRule="auto" w:line="276"/>
      </w:pPr>
      <w:r>
        <w:rPr>
          <w:b/>
        </w:rPr>
        <w:t xml:space="preserve">Abstract (EN): </w:t>
      </w:r>
      <w:r>
        <w:t>Shells are lightweight load-bearing structures found ubiquitously throughout nature and engineering. Reconfigurable structures can change form and function, while multistable ones enable fast, large shape changes and the ability to maintain a deformed shape without the continuous input of work. Here we present a general design method for multistable shells inspired by curved-crease origami and the differential geometry of developable surfaces. Through detailed analysis of a reference multistable shell, we show that the shell naturally concentrates deformation along a band which we term a “pseudocrease.” We analyze the effect geometric parameters have on the mechanical behavior to provide an intuitive understanding of the mechanics underlying the multistability, in which bending and stretching energies within the shell compete. We validate the numerical models and trends through experiments using samples of varying geometries. The validation addresses applications across a variety of length scales and forms, including a magnetically controlled curved-crease robot capable of morphing, rolling, steering, and crawling. Our approach holds potential for designing reconfigurable shells with tailored stiffness, energy barrier, and shape across multiple application areas.</w:t>
      </w:r>
    </w:p>
    <w:p>
      <w:pPr>
        <w:spacing w:before="120" w:after="120"/>
      </w:pPr>
      <w:r>
        <w:rPr>
          <w:sz w:val="18"/>
        </w:rPr>
        <w:t>——————————————————————————————————————————————————————————————————————</w:t>
      </w:r>
    </w:p>
    <w:p>
      <w:pPr>
        <w:spacing w:before="160" w:after="40" w:line="240" w:lineRule="auto"/>
      </w:pPr>
      <w:r>
        <w:rPr>
          <w:b/>
        </w:rPr>
        <w:t xml:space="preserve">[120] </w:t>
      </w:r>
      <w:hyperlink r:id="rId476">
        <w:r>
          <w:rPr>
            <w:color w:val="1155CC"/>
            <w:u w:val="single"/>
          </w:rPr>
          <w:t>更正 De Anda 等人，《真核生命的古细菌根源》</w:t>
        </w:r>
      </w:hyperlink>
    </w:p>
    <w:p>
      <w:pPr>
        <w:spacing w:before="0" w:after="80"/>
      </w:pPr>
      <w:r>
        <w:rPr>
          <w:i/>
          <w:sz w:val="20"/>
        </w:rPr>
        <w:t>EN: Correction for De Anda et al., The archaeal roots of eukaryotic life</w:t>
      </w:r>
    </w:p>
    <w:p>
      <w:pPr>
        <w:spacing w:before="0" w:after="120"/>
      </w:pPr>
      <w:r>
        <w:rPr>
          <w:b/>
        </w:rPr>
        <w:t xml:space="preserve">Source: </w:t>
      </w:r>
      <w:r>
        <w:t>Proceedings of the National Academy of Sciences: Keyword search for query</w:t>
      </w:r>
      <w:r>
        <w:t xml:space="preserve">    </w:t>
      </w:r>
      <w:r>
        <w:rPr>
          <w:b/>
        </w:rPr>
        <w:t xml:space="preserve">Pub date: </w:t>
      </w:r>
      <w:r>
        <w:t>2026-06-15 07:00:00+00:00</w:t>
      </w:r>
      <w:r>
        <w:t xml:space="preserve">    </w:t>
      </w:r>
      <w:r>
        <w:rPr>
          <w:b/>
        </w:rPr>
        <w:t xml:space="preserve">DOI: </w:t>
      </w:r>
      <w:hyperlink r:id="rId477">
        <w:r>
          <w:rPr>
            <w:color w:val="1155CC"/>
            <w:u w:val="single"/>
          </w:rPr>
          <w:t>10.1073/pnas.2619000123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[121] </w:t>
      </w:r>
      <w:hyperlink r:id="rId478">
        <w:r>
          <w:rPr>
            <w:color w:val="1155CC"/>
            <w:u w:val="single"/>
          </w:rPr>
          <w:t>ERK 建立了一群短暂的新生粘连，产生持久的边缘突出和细胞迁移</w:t>
        </w:r>
      </w:hyperlink>
    </w:p>
    <w:p>
      <w:pPr>
        <w:spacing w:before="0" w:after="80"/>
      </w:pPr>
      <w:r>
        <w:rPr>
          <w:i/>
          <w:sz w:val="20"/>
        </w:rPr>
        <w:t>EN: ERK builds a population of short-lived nascent adhesions that produce persistent edge protrusion and cell migration</w:t>
      </w:r>
    </w:p>
    <w:p>
      <w:pPr>
        <w:spacing w:before="0" w:after="120"/>
      </w:pPr>
      <w:r>
        <w:rPr>
          <w:b/>
        </w:rPr>
        <w:t xml:space="preserve">Source: </w:t>
      </w:r>
      <w:r>
        <w:t>Proceedings of the National Academy of Sciences: Keyword search for query</w:t>
      </w:r>
      <w:r>
        <w:t xml:space="preserve">    </w:t>
      </w:r>
      <w:r>
        <w:rPr>
          <w:b/>
        </w:rPr>
        <w:t xml:space="preserve">Pub date: </w:t>
      </w:r>
      <w:r>
        <w:t>2026-06-15 07:00:00+00:00</w:t>
      </w:r>
      <w:r>
        <w:t xml:space="preserve">    </w:t>
      </w:r>
      <w:r>
        <w:rPr>
          <w:b/>
        </w:rPr>
        <w:t xml:space="preserve">DOI: </w:t>
      </w:r>
      <w:hyperlink r:id="rId479">
        <w:r>
          <w:rPr>
            <w:color w:val="1155CC"/>
            <w:u w:val="single"/>
          </w:rPr>
          <w:t>10.1073/pnas.2525452123</w:t>
        </w:r>
      </w:hyperlink>
    </w:p>
    <w:p>
      <w:pPr>
        <w:spacing w:before="0" w:after="120"/>
      </w:pPr>
      <w:r>
        <w:rPr>
          <w:b/>
        </w:rPr>
        <w:t xml:space="preserve">Notes: </w:t>
      </w:r>
      <w:r>
        <w:t>abstract_source=crossref</w:t>
      </w:r>
    </w:p>
    <w:p>
      <w:pPr>
        <w:spacing w:before="0" w:after="80" w:lineRule="auto" w:line="276"/>
      </w:pPr>
      <w:r>
        <w:rPr>
          <w:b/>
        </w:rPr>
        <w:t xml:space="preserve">摘要（ZH）: </w:t>
      </w:r>
      <w:r>
        <w:t>细胞迁移是通过前缘在运动方向上快速且持续的突出来实现的。构建边缘突起的肌动蛋白和粘附结构是整合的，因此促迁移信号通路必须控制两个组件以诱导突起。由于无法选择性地分析促进边缘突出的新生粘连，理解粘连调节的贡献变得复杂。在这里，我们通过将 ERK FRET 生物传感器定位到粘附并量化 ERK 的空间和时间活性，剖析了核心 RAS → RAF → MEK → ERK 通路对新生粘附的控制如何有助于边缘突出和细胞迁移。我们发现 ERK 在新生粘连的近膜组装区域中通过粘连支架桩蛋白被激活，桩蛋白与 ERK 激活剂 MEK 相互作用。跟踪细胞迁移过程中的新生粘附动态表明，ERK 促进新生粘附组装和分解，从而产生寿命较短的新生粘附群。 MEK 抑制得到了 talin R8vvv 突变体表达的部分补充，该突变体增加了新生粘附群体，证明了 ERK 粘附调节对边缘突出和迁移持久性的重要性。这些发现表明，当新的粘连开始时，ERK 激活水平决定粘连组装和分解速率，以专门构建快速翻转的新生粘连，这是一种促进突出持久性和迁移的粘连群体。</w:t>
      </w:r>
    </w:p>
    <w:p>
      <w:pPr>
        <w:spacing w:before="0" w:after="200" w:lineRule="auto" w:line="276"/>
      </w:pPr>
      <w:r>
        <w:rPr>
          <w:b/>
        </w:rPr>
        <w:t xml:space="preserve">Abstract (EN): </w:t>
      </w:r>
      <w:r>
        <w:t>Cell migration is realized through the fast and persistent protrusion of a leading edge in the direction of movement. The actin and adhesion structures that build edge protrusions are integrated such that pro-migration signaling pathways must control both assemblies to induce protrusion. Understanding the contribution of adhesion regulation has been complicated by the inability to selectively assay the nascent adhesions that promote edge protrusion. Here, we dissect how the core RAS → RAF → MEK → ERK pathway’s control of nascent adhesions contributes to edge protrusion and cell migration by targeting an ERK FRET biosensor to adhesions and quantifying ERK’s spatial and temporal activity. We find that ERK is activated in the assembling, membrane-proximal region of nascent adhesions through adhesion scaffold paxillin, which interacts with the ERK activator MEK. Tracking nascent adhesion dynamics during cell migration showed that ERK promotes both nascent adhesion assembly and disassembly to create a population of nascent adhesions with short lifetimes. MEK inhibition is partially complemented by expression of a talin R8vvv mutant that increases the nascent adhesion population, demonstrating the significance of ERK’s adhesion regulation for edge protrusion and migration persistence. These findings suggest that when new adhesions initiate, the ERK activation level dictates adhesion assembly and disassembly rates to specifically build nascent adhesions that rapidly turn over, an adhesion population that promotes protrusion persistence and migration.</w:t>
      </w:r>
    </w:p>
    <w:p>
      <w:pPr>
        <w:spacing w:before="120" w:after="120"/>
      </w:pPr>
      <w:r>
        <w:rPr>
          <w:sz w:val="18"/>
        </w:rPr>
        <w:t>——————————————————————————————————————————————————————————————————————</w:t>
      </w:r>
    </w:p>
    <w:p>
      <w:pPr>
        <w:spacing w:before="160" w:after="40" w:line="240" w:lineRule="auto"/>
      </w:pPr>
      <w:r>
        <w:rPr>
          <w:b/>
        </w:rPr>
        <w:t xml:space="preserve">[122] </w:t>
      </w:r>
      <w:hyperlink r:id="rId480">
        <w:r>
          <w:rPr>
            <w:color w:val="1155CC"/>
            <w:u w:val="single"/>
          </w:rPr>
          <w:t>DCTPP1 拮抗剂的结构和细胞见解及其与 DNMT 抑制剂的协同作用</w:t>
        </w:r>
      </w:hyperlink>
    </w:p>
    <w:p>
      <w:pPr>
        <w:spacing w:before="0" w:after="80"/>
      </w:pPr>
      <w:r>
        <w:rPr>
          <w:i/>
          <w:sz w:val="20"/>
        </w:rPr>
        <w:t>EN: Structural and cellular insights into DCTPP1 antagonists and their synergistic action with DNMT inhibitors</w:t>
      </w:r>
    </w:p>
    <w:p>
      <w:pPr>
        <w:spacing w:before="0" w:after="120"/>
      </w:pPr>
      <w:r>
        <w:rPr>
          <w:b/>
        </w:rPr>
        <w:t xml:space="preserve">Source: </w:t>
      </w:r>
      <w:r>
        <w:t>Proceedings of the National Academy of Sciences: Keyword search for query</w:t>
      </w:r>
      <w:r>
        <w:t xml:space="preserve">    </w:t>
      </w:r>
      <w:r>
        <w:rPr>
          <w:b/>
        </w:rPr>
        <w:t xml:space="preserve">Pub date: </w:t>
      </w:r>
      <w:r>
        <w:t>2026-06-15 07:00:00+00:00</w:t>
      </w:r>
      <w:r>
        <w:t xml:space="preserve">    </w:t>
      </w:r>
      <w:r>
        <w:rPr>
          <w:b/>
        </w:rPr>
        <w:t xml:space="preserve">DOI: </w:t>
      </w:r>
      <w:hyperlink r:id="rId481">
        <w:r>
          <w:rPr>
            <w:color w:val="1155CC"/>
            <w:u w:val="single"/>
          </w:rPr>
          <w:t>10.1073/pnas.2534029123</w:t>
        </w:r>
      </w:hyperlink>
    </w:p>
    <w:p>
      <w:pPr>
        <w:spacing w:before="0" w:after="120"/>
      </w:pPr>
      <w:r>
        <w:rPr>
          <w:b/>
        </w:rPr>
        <w:t xml:space="preserve">Notes: </w:t>
      </w:r>
      <w:r>
        <w:t>abstract_source=crossref</w:t>
      </w:r>
    </w:p>
    <w:p>
      <w:pPr>
        <w:spacing w:before="0" w:after="80" w:lineRule="auto" w:line="276"/>
      </w:pPr>
      <w:r>
        <w:rPr>
          <w:b/>
        </w:rPr>
        <w:t xml:space="preserve">摘要（ZH）: </w:t>
      </w:r>
      <w:r>
        <w:t>DCTPP1 是一种核苷酸焦磷酸酶，通过水解和防止甲基化碱基修饰的脱氧胞嘧啶三磷酸错误掺入 DNA 来帮助保持基因组稳定性和表观遗传编程。通过这种作用，DCTPP1 可以降低基于核苷酸类似物的 DNA 甲基转移酶抑制剂的功效，因此代表了癌症治疗中引人注目的治疗靶点。为了鉴定 DCTPP1 的潜在拮抗剂，我们对该酶进行了高通量化学筛选，鉴定了现有的和以前未报道的具有有效亚微摩尔活性的抑制剂类别。使用 X 射线晶体学的结构表征表明，这些抑制剂均占据 DCTPP1 的核苷酸结合袋，主要与一对色氨酸和两个关键的组氨酸残基结合，模拟与天然底物观察到的相互作用。使用改良化学支架的生化测定证实了观察到的 DCTPP1-拮抗剂相互作用的相关性，而基于细胞的实验证明了先导抑制剂和核苷类似物地西他滨在阻断前列腺癌细胞生长方面的显着协同作用。通过功能丧失和功能获得研究进一步验证了这些化合物的特异性和功效，证实了它们的治疗协同作用对 DCTPP1 活性的依赖性。这些发现增进了我们对 DCTPP1 作为治疗靶点的理解，同时揭示了可以增强现有基于核苷酸的癌症疗法的作用的化学支架。</w:t>
      </w:r>
    </w:p>
    <w:p>
      <w:pPr>
        <w:spacing w:before="0" w:after="200" w:lineRule="auto" w:line="276"/>
      </w:pPr>
      <w:r>
        <w:rPr>
          <w:b/>
        </w:rPr>
        <w:t xml:space="preserve">Abstract (EN): </w:t>
      </w:r>
      <w:r>
        <w:t>DCTPP1 is a nucleotide pyrophosphatase that helps preserve genomic stability and epigenetic programming by hydrolyzing and preventing the misincorporation of methylated base-modified deoxycytosine triphosphates into DNA. Through this role, DCTPP1 can degrade the efficacy of nucleotide analog-based DNA methyltransferase inhibitors and thus represents a compelling therapeutic target in cancer treatment. To identify prospective antagonists of DCTPP1, we conducted a high-throughput chemical screen against the enzyme, identifying both existing and previously unreported inhibitor classes with potent submicromolar activity. Structural characterization using X-ray crystallography revealed that the inhibitors all occupy DCTPP1’s nucleotide-binding pocket, associating primarily with a pair of tryptophans and two critical histidine residues that mimic interactions observed with natural substrates. Biochemical assays using modified chemical scaffolds confirmed the relevancy of the observed DCTPP1–antagonist interactions, while cell-based experiments demonstrated significant synergy between the lead inhibitors and the nucleoside analog decitabine in blocking the growth of prostate cancer cells. The specificity and efficacy of the compounds were further validated through loss- and gain-of-function studies, confirming the dependence of their therapeutic synergy on DCTPP1 activity. These findings advance our understanding of DCTPP1 as a therapeutic target while uncovering chemical scaffolds that can potentiate the action of existing nucleotide-based cancer therapies.</w:t>
      </w:r>
    </w:p>
    <w:p>
      <w:pPr>
        <w:spacing w:before="120" w:after="120"/>
      </w:pPr>
      <w:r>
        <w:rPr>
          <w:sz w:val="18"/>
        </w:rPr>
        <w:t>——————————————————————————————————————————————————————————————————————</w:t>
      </w:r>
    </w:p>
    <w:p>
      <w:pPr>
        <w:spacing w:before="160" w:after="40" w:line="240" w:lineRule="auto"/>
      </w:pPr>
      <w:r>
        <w:rPr>
          <w:b/>
        </w:rPr>
        <w:t xml:space="preserve">[123] </w:t>
      </w:r>
      <w:hyperlink r:id="rId482">
        <w:r>
          <w:rPr>
            <w:color w:val="1155CC"/>
            <w:u w:val="single"/>
          </w:rPr>
          <w:t>冰川动物的全球多样性和衰退</w:t>
        </w:r>
      </w:hyperlink>
    </w:p>
    <w:p>
      <w:pPr>
        <w:spacing w:before="0" w:after="80"/>
      </w:pPr>
      <w:r>
        <w:rPr>
          <w:i/>
          <w:sz w:val="20"/>
        </w:rPr>
        <w:t>EN: The global diversity and decline of glacier animals</w:t>
      </w:r>
    </w:p>
    <w:p>
      <w:pPr>
        <w:spacing w:before="0" w:after="120"/>
      </w:pPr>
      <w:r>
        <w:rPr>
          <w:b/>
        </w:rPr>
        <w:t xml:space="preserve">Source: </w:t>
      </w:r>
      <w:r>
        <w:t>Proceedings of the National Academy of Sciences: Keyword search for query</w:t>
      </w:r>
      <w:r>
        <w:t xml:space="preserve">    </w:t>
      </w:r>
      <w:r>
        <w:rPr>
          <w:b/>
        </w:rPr>
        <w:t xml:space="preserve">Pub date: </w:t>
      </w:r>
      <w:r>
        <w:t>2026-06-15 07:00:00+00:00</w:t>
      </w:r>
      <w:r>
        <w:t xml:space="preserve">    </w:t>
      </w:r>
      <w:r>
        <w:rPr>
          <w:b/>
        </w:rPr>
        <w:t xml:space="preserve">DOI: </w:t>
      </w:r>
      <w:hyperlink r:id="rId483">
        <w:r>
          <w:rPr>
            <w:color w:val="1155CC"/>
            <w:u w:val="single"/>
          </w:rPr>
          <w:t>10.1073/pnas.2514455123</w:t>
        </w:r>
      </w:hyperlink>
    </w:p>
    <w:p>
      <w:pPr>
        <w:spacing w:before="0" w:after="120"/>
      </w:pPr>
      <w:r>
        <w:rPr>
          <w:b/>
        </w:rPr>
        <w:t xml:space="preserve">Notes: </w:t>
      </w:r>
      <w:r>
        <w:t>abstract_source=crossref</w:t>
      </w:r>
    </w:p>
    <w:p>
      <w:pPr>
        <w:spacing w:before="0" w:after="80" w:lineRule="auto" w:line="276"/>
      </w:pPr>
      <w:r>
        <w:rPr>
          <w:b/>
        </w:rPr>
        <w:t xml:space="preserve">摘要（ZH）: </w:t>
      </w:r>
      <w:r>
        <w:t>冰川环境中栖息着数量未知的动物，这些动物由于全球变暖而面临灭绝的高风险。然而，缺乏全面的分析阻碍了研究和保护协调议程的制定。通过收集冰川栖息地的陆地和淡水动物的全球数据集，我们发现冰川环境中至少栖息着 14 个纲 7 个门的 152 种动物。几乎所有群体的这种多样性都被低估了，我们发现了广泛的分类学、生态和地理偏差。冰川动物表现出多样化的生态模式，据报道有 73 种物种完全来自冰川栖息地（冰川专家）。生物地理模式显示出不同群体之间的明显差异，一些类群（缓步动物、轮虫）主要发现于极地地区，而其他类群（昆虫、跳虫）则与热带和温带山区相关。温度较低的冰川地区显示出冰川专家的丰富程度较高。冰川动物广泛存在于后生动物的生命树中。被风被动驱散的能力成为冰川动物出现的最强驱动力。通过将冰川专家的分布与冰川退缩的情况联系起来，我们确定了未来几十年可能会急剧减少的地区和物种，以及可能面临栖息地完全丧失的物种。我们的研究结果呼吁采取紧急行动，以确保冰川环境及其独特的、未被充分研究的动物群的未来。</w:t>
      </w:r>
    </w:p>
    <w:p>
      <w:pPr>
        <w:spacing w:before="0" w:after="200" w:lineRule="auto" w:line="276"/>
      </w:pPr>
      <w:r>
        <w:rPr>
          <w:b/>
        </w:rPr>
        <w:t xml:space="preserve">Abstract (EN): </w:t>
      </w:r>
      <w:r>
        <w:t>Glacier environments host an unrecognized number of animals that are at high risk of extinction due to global warming. Yet, the absence of comprehensive analyses has hampered the development of a coordinated agenda for research and conservation. By assembling a global dataset of terrestrial and freshwater animals in glacial habitats, we show that glacier environments host at least 152 animal species from 14 classes and 7 phyla. This diversity is underestimated for nearly all the groups and we detected widespread taxonomical, ecological, and geographical biases. Glacier animals exhibited diverse ecological patterns, with 73 species reported exclusively from glacial habitats (glacier specialists). Biogeographical patterns showed clear differences between groups, with some taxa (tardigrades, rotifers) found mostly in polar areas and others (insects, springtails) associated with tropical and temperate mountains. Glacier regions with a lower temperature showed a higher richness of glacier specialists. Glacier animals were widespread across the metazoan tree of life; the ability to disperse passively by wind emerged as the strongest driver of the occurrence of glacier animals. By linking the distribution of glacier specialists to scenarios of glacier retreat, we identified areas and species that are likely to experience abrupt declines in the next few decades, as well as species that could face complete habitat loss. Our results call for urgent actions to secure the future of glacier environments and their singular, understudied fauna.</w:t>
      </w:r>
    </w:p>
    <w:p>
      <w:pPr>
        <w:spacing w:before="120" w:after="120"/>
      </w:pPr>
      <w:r>
        <w:rPr>
          <w:sz w:val="18"/>
        </w:rPr>
        <w:t>——————————————————————————————————————————————————————————————————————</w:t>
      </w:r>
    </w:p>
    <w:p>
      <w:pPr>
        <w:spacing w:before="160" w:after="40" w:line="240" w:lineRule="auto"/>
      </w:pPr>
      <w:r>
        <w:rPr>
          <w:b/>
        </w:rPr>
        <w:t xml:space="preserve">[124] </w:t>
      </w:r>
      <w:hyperlink r:id="rId484">
        <w:r>
          <w:rPr>
            <w:color w:val="1155CC"/>
            <w:u w:val="single"/>
          </w:rPr>
          <w:t>通过全球航空调查改善纬度碳预算</w:t>
        </w:r>
      </w:hyperlink>
    </w:p>
    <w:p>
      <w:pPr>
        <w:spacing w:before="0" w:after="80"/>
      </w:pPr>
      <w:r>
        <w:rPr>
          <w:i/>
          <w:sz w:val="20"/>
        </w:rPr>
        <w:t>EN: Improved latitudinal carbon budgets from global airborne surveys</w:t>
      </w:r>
    </w:p>
    <w:p>
      <w:pPr>
        <w:spacing w:before="0" w:after="120"/>
      </w:pPr>
      <w:r>
        <w:rPr>
          <w:b/>
        </w:rPr>
        <w:t xml:space="preserve">Source: </w:t>
      </w:r>
      <w:r>
        <w:t>Proceedings of the National Academy of Sciences: Keyword search for query</w:t>
      </w:r>
      <w:r>
        <w:t xml:space="preserve">    </w:t>
      </w:r>
      <w:r>
        <w:rPr>
          <w:b/>
        </w:rPr>
        <w:t xml:space="preserve">Pub date: </w:t>
      </w:r>
      <w:r>
        <w:t>2026-06-15 07:00:00+00:00</w:t>
      </w:r>
      <w:r>
        <w:t xml:space="preserve">    </w:t>
      </w:r>
      <w:r>
        <w:rPr>
          <w:b/>
        </w:rPr>
        <w:t xml:space="preserve">DOI: </w:t>
      </w:r>
      <w:hyperlink r:id="rId485">
        <w:r>
          <w:rPr>
            <w:color w:val="1155CC"/>
            <w:u w:val="single"/>
          </w:rPr>
          <w:t>10.1073/pnas.2523984123</w:t>
        </w:r>
      </w:hyperlink>
    </w:p>
    <w:p>
      <w:pPr>
        <w:spacing w:before="0" w:after="120"/>
      </w:pPr>
      <w:r>
        <w:rPr>
          <w:b/>
        </w:rPr>
        <w:t xml:space="preserve">Notes: </w:t>
      </w:r>
      <w:r>
        <w:t>abstract_source=crossref</w:t>
      </w:r>
    </w:p>
    <w:p>
      <w:pPr>
        <w:spacing w:before="0" w:after="80" w:lineRule="auto" w:line="276"/>
      </w:pPr>
      <w:r>
        <w:rPr>
          <w:b/>
        </w:rPr>
        <w:t xml:space="preserve">摘要（ZH）: </w:t>
      </w:r>
      <w:r>
        <w:t>需要有关全球碳通量空间分布的可靠信息来预测碳气候反馈效应和大气二氧化碳的未来轨迹</w:t>
      </w:r>
      <w:r>
        <w:rPr>
          <w:vertAlign w:val="subscript"/>
        </w:rPr>
        <w:t>2</w:t>
      </w:r>
      <w:r>
        <w:t>浓度。自上而下大气二氧化碳碳通量纬度分配的估计</w:t>
      </w:r>
      <w:r>
        <w:rPr>
          <w:vertAlign w:val="subscript"/>
        </w:rPr>
        <w:t>2</w:t>
      </w:r>
      <w:r>
        <w:t>由于模型或观察中的方法学限制或系统偏差，逆模型目前存在很大差异。我们使用空气中的二氧化碳</w:t>
      </w:r>
      <w:r>
        <w:rPr>
          <w:vertAlign w:val="subscript"/>
        </w:rPr>
        <w:t>2</w:t>
      </w:r>
      <w:r>
        <w:t>NASA 大气层析成像任务的观测结果，旨在评估和完善轨道碳观测站第 10 版总二氧化碳模型比对项目的反演模型估计值</w:t>
      </w:r>
      <w:r>
        <w:rPr>
          <w:vertAlign w:val="subscript"/>
        </w:rPr>
        <w:t>2</w:t>
      </w:r>
      <w:r>
        <w:t>2016 年 6 月至 2018 年 5 月的两年期间的交换。应用新兴浓度-通量关系作为约束，相对于完整的 v10 MIP 系综，将区域总通量不确定性降低了 46% 至 56%，相对于不包括海洋卫星观测的子集，降低了 17% 至 28%。减去对化石燃料排放和海气气体交换的独立估计，得出剩余陆地通量，其中北部温带汇较大，南部温带汇较小，热带源较小。空气中产生的热带陆地源与基于过程的陆地模型结合土地利用排放和河流通量估计得出的大型热带土地汇不一致，这对我们理解全球碳循环构成了重要挑战。大隐含北</w:t>
      </w:r>
    </w:p>
    <w:p>
      <w:pPr>
        <w:spacing w:before="0" w:after="200" w:lineRule="auto" w:line="276"/>
      </w:pPr>
      <w:r>
        <w:rPr>
          <w:b/>
        </w:rPr>
        <w:t xml:space="preserve">Abstract (EN): </w:t>
      </w:r>
      <w:r>
        <w:t>Robust information on the spatial distribution of global carbon fluxes is required to project the future trajectory of carbon-climate feedback effects and atmospheric CO</w:t>
      </w:r>
      <w:r>
        <w:rPr>
          <w:vertAlign w:val="subscript"/>
        </w:rPr>
        <w:t>2</w:t>
      </w:r>
      <w:r>
        <w:t>concentrations. Estimates of the latitudinal partitioning of carbon fluxes from top-down atmospheric CO</w:t>
      </w:r>
      <w:r>
        <w:rPr>
          <w:vertAlign w:val="subscript"/>
        </w:rPr>
        <w:t>2</w:t>
      </w:r>
      <w:r>
        <w:t>inverse models currently diverge widely, because of methodological limitations or systematic biases in models or observations. We use airborne CO</w:t>
      </w:r>
      <w:r>
        <w:rPr>
          <w:vertAlign w:val="subscript"/>
        </w:rPr>
        <w:t>2</w:t>
      </w:r>
      <w:r>
        <w:t>observations from the NASA Atmospheric Tomography Mission to evaluate and refine inverse model estimates from the Orbiting Carbon Observatory version 10 Model Intercomparison Project of total CO</w:t>
      </w:r>
      <w:r>
        <w:rPr>
          <w:vertAlign w:val="subscript"/>
        </w:rPr>
        <w:t>2</w:t>
      </w:r>
      <w:r>
        <w:t>exchange for the two-year period of June 2016–May 2018. Applying emergent concentration-flux relationships as constraints reduces zonal total flux uncertainties by 46 to 56% relative to the full v10 MIP ensemble and by 17 to 28% relative to the subset excluding satellite observations over ocean. Subtracting independent estimates of fossil-fuel emissions and air-sea gas exchange results in residual land fluxes with a large northern extratropical sink, a small southern extratropical sink, and a small tropical source. The airborne-derived tropical land source disagrees with a large tropical land sink from process-based terrestrial models combined with estimates of land use emissions and river fluxes, representing an important challenge for our understanding of the global carbon cycle. The large implied northern extratropical sink can be explained either by underestimated land uptake by process models or a combination of process model bias and overestimated fossil fuel emissions.</w:t>
      </w:r>
    </w:p>
    <w:p>
      <w:pPr>
        <w:spacing w:before="120" w:after="120"/>
      </w:pPr>
      <w:r>
        <w:rPr>
          <w:sz w:val="18"/>
        </w:rPr>
        <w:t>——————————————————————————————————————————————————————————————————————</w:t>
      </w:r>
    </w:p>
    <w:p>
      <w:pPr>
        <w:spacing w:before="160" w:after="40" w:line="240" w:lineRule="auto"/>
      </w:pPr>
      <w:r>
        <w:rPr>
          <w:b/>
        </w:rPr>
        <w:t xml:space="preserve">[125] </w:t>
      </w:r>
      <w:hyperlink r:id="rId486">
        <w:r>
          <w:rPr>
            <w:color w:val="1155CC"/>
            <w:u w:val="single"/>
          </w:rPr>
          <w:t>具有相反活性的白藜芦醇异构体靶向核酸内切酶 G，调节神经变性和线粒体消除</w:t>
        </w:r>
      </w:hyperlink>
    </w:p>
    <w:p>
      <w:pPr>
        <w:spacing w:before="0" w:after="80"/>
      </w:pPr>
      <w:r>
        <w:rPr>
          <w:i/>
          <w:sz w:val="20"/>
        </w:rPr>
        <w:t>EN: Resveratrol isomers with opposing activities target endonuclease G to modulate neurodegeneration and mitochondrial elimination</w:t>
      </w:r>
    </w:p>
    <w:p>
      <w:pPr>
        <w:spacing w:before="0" w:after="120"/>
      </w:pPr>
      <w:r>
        <w:rPr>
          <w:b/>
        </w:rPr>
        <w:t xml:space="preserve">Source: </w:t>
      </w:r>
      <w:r>
        <w:t>Proceedings of the National Academy of Sciences: Keyword search for query</w:t>
      </w:r>
      <w:r>
        <w:t xml:space="preserve">    </w:t>
      </w:r>
      <w:r>
        <w:rPr>
          <w:b/>
        </w:rPr>
        <w:t xml:space="preserve">Pub date: </w:t>
      </w:r>
      <w:r>
        <w:t>2026-06-15 07:00:00+00:00</w:t>
      </w:r>
      <w:r>
        <w:t xml:space="preserve">    </w:t>
      </w:r>
      <w:r>
        <w:rPr>
          <w:b/>
        </w:rPr>
        <w:t xml:space="preserve">DOI: </w:t>
      </w:r>
      <w:hyperlink r:id="rId487">
        <w:r>
          <w:rPr>
            <w:color w:val="1155CC"/>
            <w:u w:val="single"/>
          </w:rPr>
          <w:t>10.1073/pnas.2534340123</w:t>
        </w:r>
      </w:hyperlink>
    </w:p>
    <w:p>
      <w:pPr>
        <w:spacing w:before="0" w:after="120"/>
      </w:pPr>
      <w:r>
        <w:rPr>
          <w:b/>
        </w:rPr>
        <w:t xml:space="preserve">Notes: </w:t>
      </w:r>
      <w:r>
        <w:t>abstract_source=crossref</w:t>
      </w:r>
    </w:p>
    <w:p>
      <w:pPr>
        <w:spacing w:before="0" w:after="80" w:lineRule="auto" w:line="276"/>
      </w:pPr>
      <w:r>
        <w:rPr>
          <w:b/>
        </w:rPr>
        <w:t xml:space="preserve">摘要（ZH）: </w:t>
      </w:r>
      <w:r>
        <w:t>线粒体核酸内切酶 G (EndoG) 参与多种重要的细胞过程，并与多种疾病有关。因此，调节EndoG活性的分子可能具有很高的治疗潜力。寻找影响父系线粒体消除 (PME) 的化合物</w:t>
      </w:r>
      <w:r>
        <w:t xml:space="preserve"> </w:t>
      </w:r>
      <w:r>
        <w:t>秀丽隐杆线虫</w:t>
      </w:r>
      <w:r>
        <w:t xml:space="preserve"> </w:t>
      </w:r>
      <w:r>
        <w:t>，我们已经鉴定出白藜芦醇（RSV），一种众所周知的天然化合物，作为 PME 抑制剂。有趣的是，RSV 作为以下物质的混合物存在：</w:t>
      </w:r>
      <w:r>
        <w:t xml:space="preserve"> </w:t>
      </w:r>
      <w:r>
        <w:t>反式</w:t>
      </w:r>
      <w:r>
        <w:t xml:space="preserve"> </w:t>
      </w:r>
      <w:r>
        <w:t>- 和</w:t>
      </w:r>
      <w:r>
        <w:t xml:space="preserve"> </w:t>
      </w:r>
      <w:r>
        <w:t>顺式</w:t>
      </w:r>
      <w:r>
        <w:t xml:space="preserve"> </w:t>
      </w:r>
      <w:r>
        <w:t>-异构体，在光照下会相互转化，令人惊讶的是，它们通过靶向线虫 EndoG 对 PME 表现出相反的作用。从生化角度来说，</w:t>
      </w:r>
      <w:r>
        <w:t xml:space="preserve"> </w:t>
      </w:r>
      <w:r>
        <w:t>反式</w:t>
      </w:r>
      <w:r>
        <w:t xml:space="preserve"> </w:t>
      </w:r>
      <w:r>
        <w:t>-RSV增强和</w:t>
      </w:r>
      <w:r>
        <w:t xml:space="preserve"> </w:t>
      </w:r>
      <w:r>
        <w:t>顺式</w:t>
      </w:r>
      <w:r>
        <w:t xml:space="preserve"> </w:t>
      </w:r>
      <w:r>
        <w:t>-RSV 通过直接结合 EndoG 来抑制 EndoG 的核酸内切酶活性。在细胞热位移测定中，</w:t>
      </w:r>
      <w:r>
        <w:t xml:space="preserve"> </w:t>
      </w:r>
      <w:r>
        <w:t>反式</w:t>
      </w:r>
      <w:r>
        <w:t xml:space="preserve"> </w:t>
      </w:r>
      <w:r>
        <w:t>-RSV稳定并且</w:t>
      </w:r>
      <w:r>
        <w:t xml:space="preserve"> </w:t>
      </w:r>
      <w:r>
        <w:t>顺式</w:t>
      </w:r>
      <w:r>
        <w:t xml:space="preserve"> </w:t>
      </w:r>
      <w:r>
        <w:t>-RSV 在体内破坏线虫 EndoG 的稳定性，表明 RSV 异构体和 EndoG 之间存在直接的物理相互作用。从结构上看，两</w:t>
      </w:r>
      <w:r>
        <w:t xml:space="preserve"> </w:t>
      </w:r>
      <w:r>
        <w:t>顺式</w:t>
      </w:r>
      <w:r>
        <w:t xml:space="preserve"> </w:t>
      </w:r>
      <w:r>
        <w:t>-RSV 与 EndoG 二聚体的 His-Me 指 DNA 结合基序结合，阻碍其接触 DNA 底物。相比之下，</w:t>
      </w:r>
      <w:r>
        <w:t xml:space="preserve"> </w:t>
      </w:r>
      <w:r>
        <w:t>反式</w:t>
      </w:r>
      <w:r>
        <w:t xml:space="preserve"> </w:t>
      </w:r>
      <w:r>
        <w:t>-RSV 结合 EndoG 二聚体界面以稳定 EndoG 二聚体。从功能上来说，</w:t>
      </w:r>
      <w:r>
        <w:t xml:space="preserve"> </w:t>
      </w:r>
      <w:r>
        <w:t>反式</w:t>
      </w:r>
      <w:r>
        <w:t xml:space="preserve"> </w:t>
      </w:r>
      <w:r>
        <w:t>-RSV增强</w:t>
      </w:r>
    </w:p>
    <w:p>
      <w:pPr>
        <w:spacing w:before="0" w:after="200" w:lineRule="auto" w:line="276"/>
      </w:pPr>
      <w:r>
        <w:rPr>
          <w:b/>
        </w:rPr>
        <w:t xml:space="preserve">Abstract (EN): </w:t>
      </w:r>
      <w:r>
        <w:t>Mitochondrial endonuclease G (EndoG) is involved in several important cellular processes and has been implicated in multiple diseases. Accordingly, molecules modulating EndoG activity may have high therapeutic potentials. Searching for compounds affecting paternal mitochondrial elimination (PME) in</w:t>
      </w:r>
      <w:r>
        <w:t xml:space="preserve"> </w:t>
      </w:r>
      <w:r>
        <w:t>Caenorhabditis elegans</w:t>
      </w:r>
      <w:r>
        <w:t xml:space="preserve"> </w:t>
      </w:r>
      <w:r>
        <w:t>, we have identified resveratrol (RSV), a well-known natural compound, as a PME inhibitor. Interestingly, RSV exists as a mixture of</w:t>
      </w:r>
      <w:r>
        <w:t xml:space="preserve"> </w:t>
      </w:r>
      <w:r>
        <w:t>trans</w:t>
      </w:r>
      <w:r>
        <w:t xml:space="preserve"> </w:t>
      </w:r>
      <w:r>
        <w:t>- and</w:t>
      </w:r>
      <w:r>
        <w:t xml:space="preserve"> </w:t>
      </w:r>
      <w:r>
        <w:t>cis</w:t>
      </w:r>
      <w:r>
        <w:t xml:space="preserve"> </w:t>
      </w:r>
      <w:r>
        <w:t>-isomers, which interconvert upon light exposure and, surprisingly, exhibit opposing effects on PME by targeting nematode EndoG. Biochemically,</w:t>
      </w:r>
      <w:r>
        <w:t xml:space="preserve"> </w:t>
      </w:r>
      <w:r>
        <w:t>trans</w:t>
      </w:r>
      <w:r>
        <w:t xml:space="preserve"> </w:t>
      </w:r>
      <w:r>
        <w:t>-RSV enhances and</w:t>
      </w:r>
      <w:r>
        <w:t xml:space="preserve"> </w:t>
      </w:r>
      <w:r>
        <w:t>cis</w:t>
      </w:r>
      <w:r>
        <w:t xml:space="preserve"> </w:t>
      </w:r>
      <w:r>
        <w:t>-RSV inhibits endonuclease activity of EndoG through direct binding to EndoG. In cellular thermal shift assays,</w:t>
      </w:r>
      <w:r>
        <w:t xml:space="preserve"> </w:t>
      </w:r>
      <w:r>
        <w:t>trans</w:t>
      </w:r>
      <w:r>
        <w:t xml:space="preserve"> </w:t>
      </w:r>
      <w:r>
        <w:t>-RSV stabilizes and</w:t>
      </w:r>
      <w:r>
        <w:t xml:space="preserve"> </w:t>
      </w:r>
      <w:r>
        <w:t>cis</w:t>
      </w:r>
      <w:r>
        <w:t xml:space="preserve"> </w:t>
      </w:r>
      <w:r>
        <w:t>-RSV destabilizes nematode EndoG in vivo, indicating direct physical interactions between RSV isomers and EndoG. Structurally, two</w:t>
      </w:r>
      <w:r>
        <w:t xml:space="preserve"> </w:t>
      </w:r>
      <w:r>
        <w:t>cis</w:t>
      </w:r>
      <w:r>
        <w:t xml:space="preserve"> </w:t>
      </w:r>
      <w:r>
        <w:t>-RSVs bind to the His-Me finger DNA-binding motifs of the EndoG dimer, obstructing its access to DNA substrates. In contrast,</w:t>
      </w:r>
      <w:r>
        <w:t xml:space="preserve"> </w:t>
      </w:r>
      <w:r>
        <w:t>trans</w:t>
      </w:r>
      <w:r>
        <w:t xml:space="preserve"> </w:t>
      </w:r>
      <w:r>
        <w:t>-RSV binds to the EndoG dimeric interface to stabilize the EndoG dimer. Functionally,</w:t>
      </w:r>
      <w:r>
        <w:t xml:space="preserve"> </w:t>
      </w:r>
      <w:r>
        <w:t>trans</w:t>
      </w:r>
      <w:r>
        <w:t xml:space="preserve"> </w:t>
      </w:r>
      <w:r>
        <w:t>-RSV enhances and</w:t>
      </w:r>
      <w:r>
        <w:t xml:space="preserve"> </w:t>
      </w:r>
      <w:r>
        <w:t>cis</w:t>
      </w:r>
      <w:r>
        <w:t xml:space="preserve"> </w:t>
      </w:r>
      <w:r>
        <w:t>-RSV inhibits dopaminergic (DA) neuronal loss induced by α-synuclein, consistent with an important role for EndoG in α-synuclein-induced Parkinsonism. In a mouse model of Parkinson’s disease,</w:t>
      </w:r>
      <w:r>
        <w:t xml:space="preserve"> </w:t>
      </w:r>
      <w:r>
        <w:t>cis</w:t>
      </w:r>
      <w:r>
        <w:t xml:space="preserve"> </w:t>
      </w:r>
      <w:r>
        <w:t>-RSV treatment inhibited DA neurodegeneration in the substantia nigra and improved motor symptoms of animals. Our study demonstrates unexpected, opposing effects of RSV isomers on EndoG in regulating its nuclease activity and associated biological processes, which could complicate RSV applications and cause unanticipated toxicity and side effects. However, when used properly, RSV isomers hold promise as targeted therapies for EndoG-associated human diseases, including PME-related disorders and neurodegeneration.</w:t>
      </w:r>
    </w:p>
    <w:p>
      <w:pPr>
        <w:spacing w:before="120" w:after="120"/>
      </w:pPr>
      <w:r>
        <w:rPr>
          <w:sz w:val="18"/>
        </w:rPr>
        <w:t>——————————————————————————————————————————————————————————————————————</w:t>
      </w:r>
    </w:p>
    <w:p>
      <w:pPr>
        <w:spacing w:before="160" w:after="40" w:line="240" w:lineRule="auto"/>
      </w:pPr>
      <w:r>
        <w:rPr>
          <w:b/>
        </w:rPr>
        <w:t xml:space="preserve">[126] </w:t>
      </w:r>
      <w:hyperlink r:id="rId488">
        <w:r>
          <w:rPr>
            <w:color w:val="1155CC"/>
            <w:u w:val="single"/>
          </w:rPr>
          <w:t>感官处理的巨大时间连续体源自非地形细胞多级梯度</w:t>
        </w:r>
      </w:hyperlink>
    </w:p>
    <w:p>
      <w:pPr>
        <w:spacing w:before="0" w:after="80"/>
      </w:pPr>
      <w:r>
        <w:rPr>
          <w:i/>
          <w:sz w:val="20"/>
        </w:rPr>
        <w:t>EN: A vast temporal continuum for sensory processing arises from a nontopographic cellular multilevel gradient</w:t>
      </w:r>
    </w:p>
    <w:p>
      <w:pPr>
        <w:spacing w:before="0" w:after="120"/>
      </w:pPr>
      <w:r>
        <w:rPr>
          <w:b/>
        </w:rPr>
        <w:t xml:space="preserve">Source: </w:t>
      </w:r>
      <w:r>
        <w:t>Proceedings of the National Academy of Sciences: Keyword search for query</w:t>
      </w:r>
      <w:r>
        <w:t xml:space="preserve">    </w:t>
      </w:r>
      <w:r>
        <w:rPr>
          <w:b/>
        </w:rPr>
        <w:t xml:space="preserve">Pub date: </w:t>
      </w:r>
      <w:r>
        <w:t>2026-06-15 07:00:00+00:00</w:t>
      </w:r>
      <w:r>
        <w:t xml:space="preserve">    </w:t>
      </w:r>
      <w:r>
        <w:rPr>
          <w:b/>
        </w:rPr>
        <w:t xml:space="preserve">DOI: </w:t>
      </w:r>
      <w:hyperlink r:id="rId489">
        <w:r>
          <w:rPr>
            <w:color w:val="1155CC"/>
            <w:u w:val="single"/>
          </w:rPr>
          <w:t>10.1073/pnas.2524478123</w:t>
        </w:r>
      </w:hyperlink>
    </w:p>
    <w:p>
      <w:pPr>
        <w:spacing w:before="0" w:after="120"/>
      </w:pPr>
      <w:r>
        <w:rPr>
          <w:b/>
        </w:rPr>
        <w:t xml:space="preserve">Notes: </w:t>
      </w:r>
      <w:r>
        <w:t>abstract_source=crossref</w:t>
      </w:r>
    </w:p>
    <w:p>
      <w:pPr>
        <w:spacing w:before="0" w:after="80" w:lineRule="auto" w:line="276"/>
      </w:pPr>
      <w:r>
        <w:rPr>
          <w:b/>
        </w:rPr>
        <w:t xml:space="preserve">摘要（ZH）: </w:t>
      </w:r>
      <w:r>
        <w:t>将神经元分类为离散群体有助于理解神经元功能。然而，这种简化并不能完全反映感官刺激和内部表征的复杂性和渐进性。因此，与离散群体相比，异质神经元群体可能更适合处理和代表神经元功能。使用 patch-seq 记录，我们识别了听觉脑干中的异质细胞群，该细胞群通过分子、生物物理和突触梯度形成了广泛的功能连续体。通过这种多级梯度的相互作用，该群体几乎跨越了已知膜时间常数的全部范围，形成了时间滤波器组。该时间滤波器组与环境声音瞬变的相关频率范围相匹配。这种安排处理早期的跨频集成，产生已知在语音和音调检测期间相关的环境声音瞬变的整体信息。因此，功能连续的神经元群体的存在与刺激信息的复杂性有关。</w:t>
      </w:r>
    </w:p>
    <w:p>
      <w:pPr>
        <w:spacing w:before="0" w:after="200" w:lineRule="auto" w:line="276"/>
      </w:pPr>
      <w:r>
        <w:rPr>
          <w:b/>
        </w:rPr>
        <w:t xml:space="preserve">Abstract (EN): </w:t>
      </w:r>
      <w:r>
        <w:t>Classification of neurons into discrete populations aids the comprehension of neuronal function. However, such simplifications do not fully reflect the complexity and gradual nature of sensory stimuli and internal representations. Therefore, heterogeneous neuronal populations might be more adequate to process and represent neuronal function compared to discrete populations. Using patch-seq recordings, we identify a heterogeneous cell population in the auditory brainstem that forms an extensive functional continuum through molecular, biophysical, and synaptic gradients. Through the interaction of this multilevel gradient, this population spans nearly the full range of known membrane time constants forming a temporal filter bank. This temporal filter bank matches the range of relevant frequencies of environmental sound transients. This arrangement processes early cross-frequency integration producing a holistic information of environmental sound transients known to be relevant during speech and pitch detection. Thus, the presence of a functionally continuous neuronal population relates to the complexity of stimulus information.</w:t>
      </w:r>
    </w:p>
    <w:p>
      <w:pPr>
        <w:spacing w:before="120" w:after="120"/>
      </w:pPr>
      <w:r>
        <w:rPr>
          <w:sz w:val="18"/>
        </w:rPr>
        <w:t>——————————————————————————————————————————————————————————————————————</w:t>
      </w:r>
    </w:p>
    <w:p>
      <w:pPr>
        <w:spacing w:before="160" w:after="40" w:line="240" w:lineRule="auto"/>
      </w:pPr>
      <w:r>
        <w:rPr>
          <w:b/>
        </w:rPr>
        <w:t xml:space="preserve">[127] </w:t>
      </w:r>
      <w:hyperlink r:id="rId490">
        <w:r>
          <w:rPr>
            <w:color w:val="1155CC"/>
            <w:u w:val="single"/>
          </w:rPr>
          <w:t>果蝇 Myc 可改善 Metaxin-2 缺乏引起的线粒体稳态和肌肉成熟缺陷</w:t>
        </w:r>
      </w:hyperlink>
    </w:p>
    <w:p>
      <w:pPr>
        <w:spacing w:before="0" w:after="80"/>
      </w:pPr>
      <w:r>
        <w:rPr>
          <w:i/>
          <w:sz w:val="20"/>
        </w:rPr>
        <w:t>EN: Drosophila Myc ameliorates defects in mitochondrial homeostasis and muscle maturation caused by Metaxin-2 deficiency</w:t>
      </w:r>
    </w:p>
    <w:p>
      <w:pPr>
        <w:spacing w:before="0" w:after="120"/>
      </w:pPr>
      <w:r>
        <w:rPr>
          <w:b/>
        </w:rPr>
        <w:t xml:space="preserve">Source: </w:t>
      </w:r>
      <w:r>
        <w:t>Proceedings of the National Academy of Sciences: Keyword search for query</w:t>
      </w:r>
      <w:r>
        <w:t xml:space="preserve">    </w:t>
      </w:r>
      <w:r>
        <w:rPr>
          <w:b/>
        </w:rPr>
        <w:t xml:space="preserve">Pub date: </w:t>
      </w:r>
      <w:r>
        <w:t>2026-06-15 07:00:00+00:00</w:t>
      </w:r>
      <w:r>
        <w:t xml:space="preserve">    </w:t>
      </w:r>
      <w:r>
        <w:rPr>
          <w:b/>
        </w:rPr>
        <w:t xml:space="preserve">DOI: </w:t>
      </w:r>
      <w:hyperlink r:id="rId491">
        <w:r>
          <w:rPr>
            <w:color w:val="1155CC"/>
            <w:u w:val="single"/>
          </w:rPr>
          <w:t>10.1073/pnas.2532562123</w:t>
        </w:r>
      </w:hyperlink>
    </w:p>
    <w:p>
      <w:pPr>
        <w:spacing w:before="0" w:after="120"/>
      </w:pPr>
      <w:r>
        <w:rPr>
          <w:b/>
        </w:rPr>
        <w:t xml:space="preserve">Notes: </w:t>
      </w:r>
      <w:r>
        <w:t>abstract_source=crossref</w:t>
      </w:r>
    </w:p>
    <w:p>
      <w:pPr>
        <w:spacing w:before="0" w:after="80" w:lineRule="auto" w:line="276"/>
      </w:pPr>
      <w:r>
        <w:rPr>
          <w:b/>
        </w:rPr>
        <w:t xml:space="preserve">摘要（ZH）: </w:t>
      </w:r>
      <w:r>
        <w:t>线粒体蛋白质输入机制对于细胞器稳态至关重要。 Metaxin-2 (Mtx2) 是线粒体分选和组装机制中进化上保守的组成部分，其突变与早衰综合征相关，称为与 Mtx2 相关的下颌骨发育不良 (MADaM)。为了研究 MADaM 的病理机制，我们开发了</w:t>
      </w:r>
      <w:r>
        <w:t xml:space="preserve"> </w:t>
      </w:r>
      <w:r>
        <w:t>MTX2</w:t>
      </w:r>
      <w:r>
        <w:t xml:space="preserve"> </w:t>
      </w:r>
      <w:r>
        <w:t>遗传模型在</w:t>
      </w:r>
      <w:r>
        <w:t xml:space="preserve"> </w:t>
      </w:r>
      <w:r>
        <w:t>果蝇</w:t>
      </w:r>
      <w:r>
        <w:t xml:space="preserve"> </w:t>
      </w:r>
      <w:r>
        <w:t>。</w:t>
      </w:r>
      <w:r>
        <w:t xml:space="preserve"> </w:t>
      </w:r>
      <w:r>
        <w:t>MTX2</w:t>
      </w:r>
      <w:r>
        <w:t xml:space="preserve"> </w:t>
      </w:r>
      <w:r>
        <w:t>无效突变体在成体前阶段是致命的，并且这种表型可以通过表达任一</w:t>
      </w:r>
      <w:r>
        <w:t xml:space="preserve"> </w:t>
      </w:r>
      <w:r>
        <w:t>果蝇</w:t>
      </w:r>
      <w:r>
        <w:t xml:space="preserve"> </w:t>
      </w:r>
      <w:r>
        <w:t>Mtx2 (dMtx2) 或其人类直系同源物，展示了跨物种的功能保守性。组织特异性条件敲除和转基因拯救实验将肌肉确定为需要 dMtx2 功能的关键组织。 dMtx2 的缺失会损害肌原纤维的组装并诱导肌肉线粒体的结构和功能异常。值得注意的是，Mtx2 缺乏会显着降低肌源蛋白、线粒体蛋白和核糖体蛋白的表达。过度表达</w:t>
      </w:r>
      <w:r>
        <w:t xml:space="preserve"> </w:t>
      </w:r>
      <w:r>
        <w:t>果蝇</w:t>
      </w:r>
      <w:r>
        <w:t xml:space="preserve"> </w:t>
      </w:r>
      <w:r>
        <w:t>Myc 是核糖体生物发生和细胞生长的主要调节因子，成功挽救了由</w:t>
      </w:r>
      <w:r>
        <w:t xml:space="preserve"> </w:t>
      </w:r>
      <w:r>
        <w:t>dMtx2</w:t>
      </w:r>
      <w:r>
        <w:t xml:space="preserve"> </w:t>
      </w:r>
      <w:r>
        <w:t>缺陷，并部分恢复肌节和线粒体缺陷。我们的结果揭示了 Mtx2 相关线粒体和核糖体稳态之间的相互作用，并阐明了潜在的 Myc 依赖性药物机制</w:t>
      </w:r>
    </w:p>
    <w:p>
      <w:pPr>
        <w:spacing w:before="0" w:after="200" w:lineRule="auto" w:line="276"/>
      </w:pPr>
      <w:r>
        <w:rPr>
          <w:b/>
        </w:rPr>
        <w:t xml:space="preserve">Abstract (EN): </w:t>
      </w:r>
      <w:r>
        <w:t>Mitochondrial protein import machineries are essential for organelle homeostasis. Metaxin-2 (Mtx2) is an evolutionarily conserved component of the mitochondrial sorting and assembly machinery, and its mutations are associated with a progeroid syndrome, named mandibuloacral dysplasia associated to Mtx2 (MADaM). To investigate the pathologic mechanisms of MADaM, we developed</w:t>
      </w:r>
      <w:r>
        <w:t xml:space="preserve"> </w:t>
      </w:r>
      <w:r>
        <w:t>Mtx2</w:t>
      </w:r>
      <w:r>
        <w:t xml:space="preserve"> </w:t>
      </w:r>
      <w:r>
        <w:t>genetic models in</w:t>
      </w:r>
      <w:r>
        <w:t xml:space="preserve"> </w:t>
      </w:r>
      <w:r>
        <w:t>Drosophila</w:t>
      </w:r>
      <w:r>
        <w:t xml:space="preserve"> </w:t>
      </w:r>
      <w:r>
        <w:t>.</w:t>
      </w:r>
      <w:r>
        <w:t xml:space="preserve"> </w:t>
      </w:r>
      <w:r>
        <w:t>Mtx2</w:t>
      </w:r>
      <w:r>
        <w:t xml:space="preserve"> </w:t>
      </w:r>
      <w:r>
        <w:t>null mutants are lethal at a preadult stage, and this phenotype can be rescued by expression of either</w:t>
      </w:r>
      <w:r>
        <w:t xml:space="preserve"> </w:t>
      </w:r>
      <w:r>
        <w:t>Drosophila</w:t>
      </w:r>
      <w:r>
        <w:t xml:space="preserve"> </w:t>
      </w:r>
      <w:r>
        <w:t>Mtx2 (dMtx2) or its human ortholog, demonstrating functional conservation across species. Tissue-specific conditional knockout and transgene rescue experiments pinpoint muscle as a critical tissue requiring dMtx2 function. Loss of dMtx2 impairs myofibril assembly and induces structural and functional abnormalities in muscle mitochondria. Notably, Mtx2 deficiency significantly reduces the expression of myogenic, mitochondrial, and ribosomal proteins. Overexpression of</w:t>
      </w:r>
      <w:r>
        <w:t xml:space="preserve"> </w:t>
      </w:r>
      <w:r>
        <w:t>Drosophila</w:t>
      </w:r>
      <w:r>
        <w:t xml:space="preserve"> </w:t>
      </w:r>
      <w:r>
        <w:t>Myc, a master regulator of ribosome biogenesis and cell growth, successfully rescues the preadult lethality caused by</w:t>
      </w:r>
      <w:r>
        <w:t xml:space="preserve"> </w:t>
      </w:r>
      <w:r>
        <w:t>dMtx2</w:t>
      </w:r>
      <w:r>
        <w:t xml:space="preserve"> </w:t>
      </w:r>
      <w:r>
        <w:t>deficiency, and partially restores sarcomere and mitochondrial defects. Our results reveal an interaction between Mtx2-related mitochondrial and ribosomal homeostasis, and elucidate potential Myc-dependent pharmaceutic mechanisms underlying MADaM pathologies.</w:t>
      </w:r>
    </w:p>
    <w:p>
      <w:pPr>
        <w:spacing w:before="120" w:after="120"/>
      </w:pPr>
      <w:r>
        <w:rPr>
          <w:sz w:val="18"/>
        </w:rPr>
        <w:t>——————————————————————————————————————————————————————————————————————</w:t>
      </w:r>
    </w:p>
    <w:p>
      <w:pPr>
        <w:spacing w:before="160" w:after="40" w:line="240" w:lineRule="auto"/>
      </w:pPr>
      <w:r>
        <w:rPr>
          <w:b/>
        </w:rPr>
        <w:t xml:space="preserve">[128] </w:t>
      </w:r>
      <w:hyperlink r:id="rId492">
        <w:r>
          <w:rPr>
            <w:color w:val="1155CC"/>
            <w:u w:val="single"/>
          </w:rPr>
          <w:t>全球依赖传粉媒介的作物的授粉限制减少</w:t>
        </w:r>
      </w:hyperlink>
    </w:p>
    <w:p>
      <w:pPr>
        <w:spacing w:before="0" w:after="80"/>
      </w:pPr>
      <w:r>
        <w:rPr>
          <w:i/>
          <w:sz w:val="20"/>
        </w:rPr>
        <w:t>EN: Global decline in pollination limitation of pollinator-dependent crops</w:t>
      </w:r>
    </w:p>
    <w:p>
      <w:pPr>
        <w:spacing w:before="0" w:after="120"/>
      </w:pPr>
      <w:r>
        <w:rPr>
          <w:b/>
        </w:rPr>
        <w:t xml:space="preserve">Source: </w:t>
      </w:r>
      <w:r>
        <w:t>Proceedings of the National Academy of Sciences: Keyword search for query</w:t>
      </w:r>
      <w:r>
        <w:t xml:space="preserve">    </w:t>
      </w:r>
      <w:r>
        <w:rPr>
          <w:b/>
        </w:rPr>
        <w:t xml:space="preserve">Pub date: </w:t>
      </w:r>
      <w:r>
        <w:t>2026-06-15 07:00:00+00:00</w:t>
      </w:r>
      <w:r>
        <w:t xml:space="preserve">    </w:t>
      </w:r>
      <w:r>
        <w:rPr>
          <w:b/>
        </w:rPr>
        <w:t xml:space="preserve">DOI: </w:t>
      </w:r>
      <w:hyperlink r:id="rId493">
        <w:r>
          <w:rPr>
            <w:color w:val="1155CC"/>
            <w:u w:val="single"/>
          </w:rPr>
          <w:t>10.1073/pnas.2533418123</w:t>
        </w:r>
      </w:hyperlink>
    </w:p>
    <w:p>
      <w:pPr>
        <w:spacing w:before="0" w:after="120"/>
      </w:pPr>
      <w:r>
        <w:rPr>
          <w:b/>
        </w:rPr>
        <w:t xml:space="preserve">Notes: </w:t>
      </w:r>
      <w:r>
        <w:t>abstract_source=crossref</w:t>
      </w:r>
    </w:p>
    <w:p>
      <w:pPr>
        <w:spacing w:before="0" w:after="80" w:lineRule="auto" w:line="276"/>
      </w:pPr>
      <w:r>
        <w:rPr>
          <w:b/>
        </w:rPr>
        <w:t xml:space="preserve">摘要（ZH）: </w:t>
      </w:r>
      <w:r>
        <w:t>生物授粉使 75% 的农作物受益，约占全球粮食产量的 35%。鉴于过去几十年传粉媒介数量减少的广泛报道，农作物产量损失可能是可以预料的。然而，仍然缺乏对其对作物产量影响的全球评估。我们分析了授粉限制（PL）的时间趋势，并评估了使用受管理的授粉媒介和自花受精能力是否减少了产量损失。我们使用关于花粉补充对传粉媒介依赖作物的影响的全球数据集来评估 1950 年至今 PL 的变化，并使用 86 种作物的 790 个效应大小进行荟萃分析。我们的研究结果表明，PL 在依赖传粉媒介的作物中广泛存在，平均为 36%。然而，从 1950 年到 2010 年代，PL 下降了 50%。与没有受控授粉媒介的作物相比，受授粉媒介影响的作物的 PL 较低。重要的是，补充有管理授粉媒介的田地的 PL 随着时间的推移而稳步下降，而未管理的田地没有显示下降的证据。自交能力与较低的 PL 水平相关。我们的研究强调了受管理的传粉媒介对作物生产的重要性，并强调了旨在增加自花受精以减少 PL 的育种性状的潜在作用。结果表明，当前的授粉管理实践在作物生产系统中变得越来越有效，可能有助于减轻野生授粉昆虫减少的负面影响。然而，继续努力使授粉策略多样化，包括保护野生授粉媒介和管理</w:t>
      </w:r>
    </w:p>
    <w:p>
      <w:pPr>
        <w:spacing w:before="0" w:after="200" w:lineRule="auto" w:line="276"/>
      </w:pPr>
      <w:r>
        <w:rPr>
          <w:b/>
        </w:rPr>
        <w:t xml:space="preserve">Abstract (EN): </w:t>
      </w:r>
      <w:r>
        <w:t>Biotic pollination benefits 75% of crops, representing about 35% of global food production. Given widespread reports of pollinator decline over the last decades, crop yield losses might be expected. However, global assessments of their impact on crop yield are still missing. We analyzed temporal trends in pollination limitation (PL) and evaluated whether the use of managed pollinators and autogamy capacity reduced yield losses. We used a global dataset on the effects of pollen supplementation in pollinator-dependent crops to assess changes in PL from 1950 to present and performed a meta-analysis using 790 effect sizes across 86 crops. Our findings reveal that PL is widespread across pollinator-dependent crops, averaging 36%. However, PL has declined by 50% between 1950 and the 2010s. Crops with managed pollinators were associated with lower PL than crops without them. Importantly, fields supplemented with managed pollinators showed a steady decline in PL over time, whereas unmanaged fields showed no evidence of decline. Autogamy capacity was associated with lower PL levels. Our study highlights the importance of managed pollinators for crop production and reinforces the potential role of breeding traits aimed at increasing autogamy to reduce PL. The results suggest that current pollination management practices have become increasingly efficient in crop production systems, possibly helping to mitigate the negative impacts of wild pollinator declines. However, continued efforts to diversify pollination strategies, including the conservation of wild pollinators and the management of alternative pollinator species, can have a relevant role in ensuring long-term resilience and sustainability of global agriculture.</w:t>
      </w:r>
    </w:p>
    <w:p>
      <w:pPr>
        <w:spacing w:before="120" w:after="120"/>
      </w:pPr>
      <w:r>
        <w:rPr>
          <w:sz w:val="18"/>
        </w:rPr>
        <w:t>——————————————————————————————————————————————————————————————————————</w:t>
      </w:r>
    </w:p>
    <w:p>
      <w:pPr>
        <w:spacing w:before="160" w:after="40" w:line="240" w:lineRule="auto"/>
      </w:pPr>
      <w:r>
        <w:rPr>
          <w:b/>
        </w:rPr>
        <w:t xml:space="preserve">[129] </w:t>
      </w:r>
      <w:hyperlink r:id="rId494">
        <w:r>
          <w:rPr>
            <w:color w:val="1155CC"/>
            <w:u w:val="single"/>
          </w:rPr>
          <w:t>用于足底感觉替代的多模态触觉阵列的可扩展网络</w:t>
        </w:r>
      </w:hyperlink>
    </w:p>
    <w:p>
      <w:pPr>
        <w:spacing w:before="0" w:after="80"/>
      </w:pPr>
      <w:r>
        <w:rPr>
          <w:i/>
          <w:sz w:val="20"/>
        </w:rPr>
        <w:t>EN: Scalable networks of multimodal haptic arrays for plantar sensory substitution</w:t>
      </w:r>
    </w:p>
    <w:p>
      <w:pPr>
        <w:spacing w:before="0" w:after="120"/>
      </w:pPr>
      <w:r>
        <w:rPr>
          <w:b/>
        </w:rPr>
        <w:t xml:space="preserve">Source: </w:t>
      </w:r>
      <w:r>
        <w:t>Proceedings of the National Academy of Sciences: Keyword search for query</w:t>
      </w:r>
      <w:r>
        <w:t xml:space="preserve">    </w:t>
      </w:r>
      <w:r>
        <w:rPr>
          <w:b/>
        </w:rPr>
        <w:t xml:space="preserve">Pub date: </w:t>
      </w:r>
      <w:r>
        <w:t>2026-06-15 07:00:00+00:00</w:t>
      </w:r>
      <w:r>
        <w:t xml:space="preserve">    </w:t>
      </w:r>
      <w:r>
        <w:rPr>
          <w:b/>
        </w:rPr>
        <w:t xml:space="preserve">DOI: </w:t>
      </w:r>
      <w:hyperlink r:id="rId495">
        <w:r>
          <w:rPr>
            <w:color w:val="1155CC"/>
            <w:u w:val="single"/>
          </w:rPr>
          <w:t>10.1073/pnas.2536577123</w:t>
        </w:r>
      </w:hyperlink>
    </w:p>
    <w:p>
      <w:pPr>
        <w:spacing w:before="0" w:after="120"/>
      </w:pPr>
      <w:r>
        <w:rPr>
          <w:b/>
        </w:rPr>
        <w:t xml:space="preserve">Notes: </w:t>
      </w:r>
      <w:r>
        <w:t>abstract_source=crossref</w:t>
      </w:r>
    </w:p>
    <w:p>
      <w:pPr>
        <w:spacing w:before="0" w:after="80" w:lineRule="auto" w:line="276"/>
      </w:pPr>
      <w:r>
        <w:rPr>
          <w:b/>
        </w:rPr>
        <w:t xml:space="preserve">摘要（ZH）: </w:t>
      </w:r>
      <w:r>
        <w:t>脚提供必要的感官输入，支持身体意识以实现安全运动。中风和脊髓损伤等情况引起的足底感觉损伤对活动能力、平衡和生活质量有重大影响。将足底压力的感觉替换到身体上具有完整体感能力的另一个区域需要快速、可编程地传递触觉反馈的能力。在这里，我们介绍了一种由贴合皮肤的多模式触觉阵列组成的无线网络，可在身体的任何地方提供高密度的热和振动触觉模式。该方法的核心是一个混合电机单元，它独立控制热和机械刺激，在 64 个可寻址节点上实现 128 个自由度。机电表征建立了两种模式的精确、同步和安全的调制。心理物理学实验证明了同位热和振动的可靠空间辨别。这些触觉阵列形成感觉替代系统中的接收器，该系统提供振动触觉刺激模式，以反映从基于鞋垫的压力传感器阵列记录的压力分布。对脊髓损伤和中风患者的探索性案例研究证明了可行性，并表明在站立平衡和步行测试中可以提高表现。总而言之，这项工作凸显了信息丰富的皮肤界面替代足底感觉的潜力，扩大了体感参与康复、娱乐和教育的范围。</w:t>
      </w:r>
    </w:p>
    <w:p>
      <w:pPr>
        <w:spacing w:before="0" w:after="200" w:lineRule="auto" w:line="276"/>
      </w:pPr>
      <w:r>
        <w:rPr>
          <w:b/>
        </w:rPr>
        <w:t xml:space="preserve">Abstract (EN): </w:t>
      </w:r>
      <w:r>
        <w:t>Feet provide essential sensory input, supporting body awareness for safe movement. The impairment of plantar sensation, arising in conditions such as stroke and spinal cord injury, has a major impact on mobility, balance, and quality of life. Substituting the sensation of plantar pressure to another area on the body with intact somatosensory abilities requires capabilities for fast, programmable delivery of haptic feedback. Here, we introduce a wireless network of skin-conformable, multimodal haptic arrays that deliver high-density thermal and vibrotactile patterns anywhere on the body. Central to this approach is a hybrid motor unit that independently controls thermal and mechanical stimulation, enabling 128 degrees of freedom across 64 addressable nodes. Electromechanical characterization establishes precise, simultaneous, and safe modulation of both modalities. Psychophysical experiments demonstrate reliable spatial discrimination of colocated heat and vibration. These haptic arrays form the receivers in a sensory substitution system that delivers patterns of vibrotactile stimulation to mirror the distribution of pressure recorded from an insole-based array of pressure sensors. Exploratory case studies in individuals with spinal cord injury and stroke demonstrate feasibility and suggest improved performance during standing balance and walking tests. Altogether, this work highlights the potential of information-rich cutaneous interfaces to substitute plantar sensation, expanding the scope of somatosensory engagement for rehabilitation, entertainment, and education.</w:t>
      </w:r>
    </w:p>
    <w:p>
      <w:pPr>
        <w:spacing w:before="120" w:after="120"/>
      </w:pPr>
      <w:r>
        <w:rPr>
          <w:sz w:val="18"/>
        </w:rPr>
        <w:t>——————————————————————————————————————————————————————————————————————</w:t>
      </w:r>
    </w:p>
    <w:p>
      <w:pPr>
        <w:spacing w:before="160" w:after="40" w:line="240" w:lineRule="auto"/>
      </w:pPr>
      <w:r>
        <w:rPr>
          <w:b/>
        </w:rPr>
        <w:t xml:space="preserve">[130] </w:t>
      </w:r>
      <w:hyperlink r:id="rId496">
        <w:r>
          <w:rPr>
            <w:color w:val="1155CC"/>
            <w:u w:val="single"/>
          </w:rPr>
          <w:t>参与 α7 烟碱受体变构调节的大麻二酚敏感区域</w:t>
        </w:r>
      </w:hyperlink>
    </w:p>
    <w:p>
      <w:pPr>
        <w:spacing w:before="0" w:after="80"/>
      </w:pPr>
      <w:r>
        <w:rPr>
          <w:i/>
          <w:sz w:val="20"/>
        </w:rPr>
        <w:t>EN: A cannabidiol-sensitive region involved in the allosteric modulation of the α7 nicotinic receptor</w:t>
      </w:r>
    </w:p>
    <w:p>
      <w:pPr>
        <w:spacing w:before="0" w:after="120"/>
      </w:pPr>
      <w:r>
        <w:rPr>
          <w:b/>
        </w:rPr>
        <w:t xml:space="preserve">Source: </w:t>
      </w:r>
      <w:r>
        <w:t>Proceedings of the National Academy of Sciences: Keyword search for query</w:t>
      </w:r>
      <w:r>
        <w:t xml:space="preserve">    </w:t>
      </w:r>
      <w:r>
        <w:rPr>
          <w:b/>
        </w:rPr>
        <w:t xml:space="preserve">Pub date: </w:t>
      </w:r>
      <w:r>
        <w:t>2026-06-15 07:00:00+00:00</w:t>
      </w:r>
      <w:r>
        <w:t xml:space="preserve">    </w:t>
      </w:r>
      <w:r>
        <w:rPr>
          <w:b/>
        </w:rPr>
        <w:t xml:space="preserve">DOI: </w:t>
      </w:r>
      <w:hyperlink r:id="rId497">
        <w:r>
          <w:rPr>
            <w:color w:val="1155CC"/>
            <w:u w:val="single"/>
          </w:rPr>
          <w:t>10.1073/pnas.2535398123</w:t>
        </w:r>
      </w:hyperlink>
    </w:p>
    <w:p>
      <w:pPr>
        <w:spacing w:before="0" w:after="120"/>
      </w:pPr>
      <w:r>
        <w:rPr>
          <w:b/>
        </w:rPr>
        <w:t xml:space="preserve">Notes: </w:t>
      </w:r>
      <w:r>
        <w:t>abstract_source=crossref</w:t>
      </w:r>
    </w:p>
    <w:p>
      <w:pPr>
        <w:spacing w:before="0" w:after="80" w:lineRule="auto" w:line="276"/>
      </w:pPr>
      <w:r>
        <w:rPr>
          <w:b/>
        </w:rPr>
        <w:t xml:space="preserve">摘要（ZH）: </w:t>
      </w:r>
      <w:r>
        <w:t>大麻二酚（CBD），一种非精神活性植物大麻素</w:t>
      </w:r>
      <w:r>
        <w:t xml:space="preserve"> </w:t>
      </w:r>
      <w:r>
        <w:t>大麻</w:t>
      </w:r>
      <w:r>
        <w:t xml:space="preserve"> </w:t>
      </w:r>
      <w:r>
        <w:t>，调节 α7 烟碱乙酰胆碱受体 (α7 nAChR)，这是神经系统、神经退行性和炎症性疾病的关键靶点。然而，这种调节的分子基础仍未解决。通过结合单通道记录、分子动力学 (MD) 模拟和定向诱变，我们确定了控制 CBD 作用的变构区域。 CBD 对 α7 通道活性产生显着抑制，随后是恢复阶段，其特征是不频繁长时间开放。封闭和脱敏构象的 MD 模拟揭示了跨膜域胞外端部分重叠的假定 CBD 结合位点。这些位点内 M1 和 M4 残基的突变以不同方式重塑 CBD 调节：有些减弱其抑制作用，而另一些则增强开放通道持续时间的增加。引人注目的是，M4-L487A 突变将 CBD 转化为强正变构调节剂，表明该区域的细微扰动可以反转调节方向。功能结果并不映射到离散位点，这表明 CBD 参与了涉及 CBD 双重调制的扩展变构网络。这些发现确定了 CBD 敏感的调节区域，定义了 CBD 调节 α7 的分子基础，并为设计下一代五聚体配体门控离子通道调节剂提供了框架。</w:t>
      </w:r>
    </w:p>
    <w:p>
      <w:pPr>
        <w:spacing w:before="0" w:after="200" w:lineRule="auto" w:line="276"/>
      </w:pPr>
      <w:r>
        <w:rPr>
          <w:b/>
        </w:rPr>
        <w:t xml:space="preserve">Abstract (EN): </w:t>
      </w:r>
      <w:r>
        <w:t>Cannabidiol (CBD), a nonpsychoactive phytocannabinoid from</w:t>
      </w:r>
      <w:r>
        <w:t xml:space="preserve"> </w:t>
      </w:r>
      <w:r>
        <w:t>Cannabis sativa</w:t>
      </w:r>
      <w:r>
        <w:t xml:space="preserve"> </w:t>
      </w:r>
      <w:r>
        <w:t>, modulates the α7 nicotinic acetylcholine receptor (α7 nAChR), a key target in neurological, neurodegenerative, and inflammatory disorders. However, the molecular basis of this modulation remains unresolved. By combining single-channel recordings, molecular dynamics (MD) simulations, and targeted mutagenesis, we identify an allosteric region governing CBD action. CBD produces a marked inhibition of α7 channel activity, followed by a recovery phase characterized by infrequent prolonged openings. MD simulations in closed and desensitized conformations reveal partially overlapping putative CBD-binding sites at the extracellular end of the transmembrane domain. Mutations in M1 and M4 residues within these sites differentially reshape CBD modulation: Some attenuate its inhibitory action, whereas others potentiate the increase in open-channel duration. Strikingly, the M4-L487A mutation converts CBD into a strong positive allosteric modulator, demonstrating that subtle perturbations of this region can invert the direction of modulation. Functional outcomes do not map to discrete sites, indicating that CBD engages an extended allosteric network involved in CBD dual modulation. These findings identify a CBD-sensitive regulatory region, define molecular basis of α7 modulation by CBD, and provide a framework for designing next-generation modulators of pentameric ligand-gated ion channels.</w:t>
      </w:r>
    </w:p>
    <w:p>
      <w:pPr>
        <w:spacing w:before="120" w:after="120"/>
      </w:pPr>
      <w:r>
        <w:rPr>
          <w:sz w:val="18"/>
        </w:rPr>
        <w:t>——————————————————————————————————————————————————————————————————————</w:t>
      </w:r>
    </w:p>
    <w:p>
      <w:pPr>
        <w:spacing w:before="160" w:after="40" w:line="240" w:lineRule="auto"/>
      </w:pPr>
      <w:r>
        <w:rPr>
          <w:b/>
        </w:rPr>
        <w:t xml:space="preserve">[131] </w:t>
      </w:r>
      <w:hyperlink r:id="rId498">
        <w:r>
          <w:rPr>
            <w:color w:val="1155CC"/>
            <w:u w:val="single"/>
          </w:rPr>
          <w:t>催产素调节参与社交网络中学习排名关系的神经计算机制</w:t>
        </w:r>
      </w:hyperlink>
    </w:p>
    <w:p>
      <w:pPr>
        <w:spacing w:before="0" w:after="80"/>
      </w:pPr>
      <w:r>
        <w:rPr>
          <w:i/>
          <w:sz w:val="20"/>
        </w:rPr>
        <w:t>EN: Oxytocin modulates the neurocomputational mechanisms engaged in learning rank relationships in social networks</w:t>
      </w:r>
    </w:p>
    <w:p>
      <w:pPr>
        <w:spacing w:before="0" w:after="120"/>
      </w:pPr>
      <w:r>
        <w:rPr>
          <w:b/>
        </w:rPr>
        <w:t xml:space="preserve">Source: </w:t>
      </w:r>
      <w:r>
        <w:t>Proceedings of the National Academy of Sciences: Keyword search for query</w:t>
      </w:r>
      <w:r>
        <w:t xml:space="preserve">    </w:t>
      </w:r>
      <w:r>
        <w:rPr>
          <w:b/>
        </w:rPr>
        <w:t xml:space="preserve">Pub date: </w:t>
      </w:r>
      <w:r>
        <w:t>2026-06-15 07:00:00+00:00</w:t>
      </w:r>
      <w:r>
        <w:t xml:space="preserve">    </w:t>
      </w:r>
      <w:r>
        <w:rPr>
          <w:b/>
        </w:rPr>
        <w:t xml:space="preserve">DOI: </w:t>
      </w:r>
      <w:hyperlink r:id="rId499">
        <w:r>
          <w:rPr>
            <w:color w:val="1155CC"/>
            <w:u w:val="single"/>
          </w:rPr>
          <w:t>10.1073/pnas.2606871123</w:t>
        </w:r>
      </w:hyperlink>
    </w:p>
    <w:p>
      <w:pPr>
        <w:spacing w:before="0" w:after="120"/>
      </w:pPr>
      <w:r>
        <w:rPr>
          <w:b/>
        </w:rPr>
        <w:t xml:space="preserve">Notes: </w:t>
      </w:r>
      <w:r>
        <w:t>abstract_source=crossref</w:t>
      </w:r>
    </w:p>
    <w:p>
      <w:pPr>
        <w:spacing w:before="0" w:after="80" w:lineRule="auto" w:line="276"/>
      </w:pPr>
      <w:r>
        <w:rPr>
          <w:b/>
        </w:rPr>
        <w:t xml:space="preserve">摘要（ZH）: </w:t>
      </w:r>
      <w:r>
        <w:t>来自临床前和神经药理学研究的间接证据表明，催产素可能会减弱社会支配关系并调节社会记忆。在人类中，催产素也可能调节自我</w:t>
      </w:r>
      <w:r>
        <w:t xml:space="preserve"> </w:t>
      </w:r>
      <w:r>
        <w:t>与</w:t>
      </w:r>
      <w:r>
        <w:t xml:space="preserve"> </w:t>
      </w:r>
      <w:r>
        <w:t>面向他人的奖励学习和群体内/群体外决策有所不同。尽管通过观察来学习社会等级的神经基础已经被确定为线性等级（a</w:t>
      </w:r>
      <w:r>
        <w:rPr>
          <w:vertAlign w:val="subscript"/>
        </w:rPr>
        <w:t>1</w:t>
      </w:r>
      <w:r>
        <w:t>&lt;一</w:t>
      </w:r>
      <w:r>
        <w:rPr>
          <w:vertAlign w:val="subscript"/>
        </w:rPr>
        <w:t>2</w:t>
      </w:r>
      <w:r>
        <w:t>&lt;一</w:t>
      </w:r>
      <w:r>
        <w:t xml:space="preserve"> </w:t>
      </w:r>
      <w:r>
        <w:t>n</w:t>
      </w:r>
      <w:r>
        <w:t xml:space="preserve"> </w:t>
      </w:r>
      <w:r>
        <w:t>），参与学习社交网络中更复杂的等级关系（即&lt;、=、&gt;）的大脑机制仍然未知。在这里，我们研究了催产素对社交网络中学习排名以及基于社交记忆检索进行传递推理时所涉及的神经计算机制的调节作用。参与者了解了两个社交网络成员之间的等级关系，一个是他们嵌入的，另一个不是。在随后的测试阶段，他们推断了以前从未遇到过的成对成员之间的等级关系。在训练期间，催产素（与安慰剂相比）提高了其他导向网络成员对之间等级关系的选择准确性，并增加了腹内侧前额叶皮层的活动。在测试阶段，催产素调节自我/其他社交记忆之间的平衡，提高参与者未嵌入社交网络的记忆检索的表现和杏仁核反应</w:t>
      </w:r>
    </w:p>
    <w:p>
      <w:pPr>
        <w:spacing w:before="0" w:after="200" w:lineRule="auto" w:line="276"/>
      </w:pPr>
      <w:r>
        <w:rPr>
          <w:b/>
        </w:rPr>
        <w:t xml:space="preserve">Abstract (EN): </w:t>
      </w:r>
      <w:r>
        <w:t>Indirect evidence from preclinical and neuropharmacological studies suggests that oxytocin may attenuate social dominance relationships and modulate social memory. In humans, oxytocin may also modulate self-</w:t>
      </w:r>
      <w:r>
        <w:t>versus</w:t>
      </w:r>
      <w:r>
        <w:t xml:space="preserve"> </w:t>
      </w:r>
      <w:r>
        <w:t>other-oriented reward learning and in-group/out-group decisions differently. Although the neural bases of learning social hierarchy by observation have been identified for linear hierarchies (a</w:t>
      </w:r>
      <w:r>
        <w:rPr>
          <w:vertAlign w:val="subscript"/>
        </w:rPr>
        <w:t>1</w:t>
      </w:r>
      <w:r>
        <w:t>&amp;lt; a</w:t>
      </w:r>
      <w:r>
        <w:rPr>
          <w:vertAlign w:val="subscript"/>
        </w:rPr>
        <w:t>2</w:t>
      </w:r>
      <w:r>
        <w:t>&amp;lt; a</w:t>
      </w:r>
      <w:r>
        <w:t xml:space="preserve"> </w:t>
      </w:r>
      <w:r>
        <w:t>n</w:t>
      </w:r>
      <w:r>
        <w:t xml:space="preserve"> </w:t>
      </w:r>
      <w:r>
        <w:t>), the brain mechanisms engaged in learning more complex rank relationships (i.e. &amp;lt;, =, &amp;gt;) in social networks remain unknown. Here, we investigated the modulatory role of oxytocin on the neurocomputational mechanisms engaged when learning ranks in social networks and when making transitive inferences based on social memory retrieval. Participants learned rank relationships between members of two social networks, one in which they were embedded and the other not. During a subsequent test phase, they inferred rank relationships between pairs of members not encountered before. During training, oxytocin (vs. placebo) improved choice accuracy regarding rank relationship between pairs of members for other-oriented network and increased activity of the ventromedial prefrontal cortex. During the test phase, oxytocin modulated the balance between self/other social memory, boosting performance and amygdala responses for memory retrieval concerning social networks in which participants were not embedded. These findings demonstrate that oxytocin modulates the brain computations needed to learn and retrieve rank relationships in social networks in a manner that depends upon reference-frame.</w:t>
      </w:r>
    </w:p>
    <w:p>
      <w:pPr>
        <w:spacing w:before="120" w:after="120"/>
      </w:pPr>
      <w:r>
        <w:rPr>
          <w:sz w:val="18"/>
        </w:rPr>
        <w:t>——————————————————————————————————————————————————————————————————————</w:t>
      </w:r>
    </w:p>
    <w:p>
      <w:pPr>
        <w:spacing w:before="160" w:after="40" w:line="240" w:lineRule="auto"/>
      </w:pPr>
      <w:r>
        <w:rPr>
          <w:b/>
        </w:rPr>
        <w:t xml:space="preserve">[132] </w:t>
      </w:r>
      <w:hyperlink r:id="rId500">
        <w:r>
          <w:rPr>
            <w:color w:val="1155CC"/>
            <w:u w:val="single"/>
          </w:rPr>
          <w:t>通过抽象决策重新审视多巴胺在认知中的功能</w:t>
        </w:r>
      </w:hyperlink>
    </w:p>
    <w:p>
      <w:pPr>
        <w:spacing w:before="0" w:after="80"/>
      </w:pPr>
      <w:r>
        <w:rPr>
          <w:i/>
          <w:sz w:val="20"/>
        </w:rPr>
        <w:t>EN: Revisiting dopamine function in cognition through abstract decision-making</w:t>
      </w:r>
    </w:p>
    <w:p>
      <w:pPr>
        <w:spacing w:before="0" w:after="120"/>
      </w:pPr>
      <w:r>
        <w:rPr>
          <w:b/>
        </w:rPr>
        <w:t xml:space="preserve">Source: </w:t>
      </w:r>
      <w:r>
        <w:t>Proceedings of the National Academy of Sciences: Keyword search for query</w:t>
      </w:r>
      <w:r>
        <w:t xml:space="preserve">    </w:t>
      </w:r>
      <w:r>
        <w:rPr>
          <w:b/>
        </w:rPr>
        <w:t xml:space="preserve">Pub date: </w:t>
      </w:r>
      <w:r>
        <w:t>2026-06-15 07:00:00+00:00</w:t>
      </w:r>
      <w:r>
        <w:t xml:space="preserve">    </w:t>
      </w:r>
      <w:r>
        <w:rPr>
          <w:b/>
        </w:rPr>
        <w:t xml:space="preserve">DOI: </w:t>
      </w:r>
      <w:hyperlink r:id="rId501">
        <w:r>
          <w:rPr>
            <w:color w:val="1155CC"/>
            <w:u w:val="single"/>
          </w:rPr>
          <w:t>10.1073/pnas.2611090123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[133] </w:t>
      </w:r>
      <w:hyperlink r:id="rId502">
        <w:r>
          <w:rPr>
            <w:color w:val="1155CC"/>
            <w:u w:val="single"/>
          </w:rPr>
          <w:t>工业化前的数十年甲烷变化可以通过源库失衡中的噪音来解释</w:t>
        </w:r>
      </w:hyperlink>
    </w:p>
    <w:p>
      <w:pPr>
        <w:spacing w:before="0" w:after="80"/>
      </w:pPr>
      <w:r>
        <w:rPr>
          <w:i/>
          <w:sz w:val="20"/>
        </w:rPr>
        <w:t>EN: Multidecadal preindustrial methane variability can be explained by noise in the source–sink imbalance</w:t>
      </w:r>
    </w:p>
    <w:p>
      <w:pPr>
        <w:spacing w:before="0" w:after="120"/>
      </w:pPr>
      <w:r>
        <w:rPr>
          <w:b/>
        </w:rPr>
        <w:t xml:space="preserve">Source: </w:t>
      </w:r>
      <w:r>
        <w:t>Proceedings of the National Academy of Sciences: Keyword search for query</w:t>
      </w:r>
      <w:r>
        <w:t xml:space="preserve">    </w:t>
      </w:r>
      <w:r>
        <w:rPr>
          <w:b/>
        </w:rPr>
        <w:t xml:space="preserve">Pub date: </w:t>
      </w:r>
      <w:r>
        <w:t>2026-06-15 07:00:00+00:00</w:t>
      </w:r>
      <w:r>
        <w:t xml:space="preserve">    </w:t>
      </w:r>
      <w:r>
        <w:rPr>
          <w:b/>
        </w:rPr>
        <w:t xml:space="preserve">DOI: </w:t>
      </w:r>
      <w:hyperlink r:id="rId503">
        <w:r>
          <w:rPr>
            <w:color w:val="1155CC"/>
            <w:u w:val="single"/>
          </w:rPr>
          <w:t>10.1073/pnas.2601235123</w:t>
        </w:r>
      </w:hyperlink>
    </w:p>
    <w:p>
      <w:pPr>
        <w:spacing w:before="0" w:after="120"/>
      </w:pPr>
      <w:r>
        <w:rPr>
          <w:b/>
        </w:rPr>
        <w:t xml:space="preserve">Notes: </w:t>
      </w:r>
      <w:r>
        <w:t>abstract_source=crossref</w:t>
      </w:r>
    </w:p>
    <w:p>
      <w:pPr>
        <w:spacing w:before="0" w:after="80" w:lineRule="auto" w:line="276"/>
      </w:pPr>
      <w:r>
        <w:rPr>
          <w:b/>
        </w:rPr>
        <w:t xml:space="preserve">摘要（ZH）: </w:t>
      </w:r>
      <w:r>
        <w:t>工业化前甲烷的冰芯记录表明</w:t>
      </w:r>
      <w:r>
        <w:t xml:space="preserve"> </w:t>
      </w:r>
      <w:r>
        <w:t>±</w:t>
      </w:r>
      <w:r>
        <w:t xml:space="preserve"> </w:t>
      </w:r>
      <w:r>
        <w:t>30ppb（</w:t>
      </w:r>
      <w:r>
        <w:t xml:space="preserve"> </w:t>
      </w:r>
      <w:r>
        <w:t>±</w:t>
      </w:r>
      <w:r>
        <w:t xml:space="preserve"> </w:t>
      </w:r>
      <w:r>
        <w:t>5%）在数十年到百年的时间尺度上。先前的研究将这些偏移归因于大规模气候变化（例如小冰河时代）或人类活动导致的甲烷来源的低频或间歇性变化。在这里，我们探索了哪些源和汇动态与冰芯变异性一致，并表明保留的变异性只能由源-汇不平衡中的白噪声波动引起。由非受迫随机扰动驱动的简单模型，当与甲烷寿命和冰过程集成时，产生与观测的光谱特征相匹配的合成冰芯记录。因此，先前认为快速变化的源或汇过于短暂而不会影响冰芯的变化，例如天气驱动的甲烷氧化剂和排放的波动（例如湿地的年际变化），可以产生观测到的变化。鉴于甲烷预算动态存在巨大的结构不确定性，我们扩展了我们的模型，以量化大气甲烷及其驱动因素的变化如何随着假设的源汇不平衡变化的主要时间尺度而变化。我们的结果表明，任何短于一个世纪的源汇失衡时间尺度都与冰芯记录一致。更短的时间c</w:t>
      </w:r>
    </w:p>
    <w:p>
      <w:pPr>
        <w:spacing w:before="0" w:after="200" w:lineRule="auto" w:line="276"/>
      </w:pPr>
      <w:r>
        <w:rPr>
          <w:b/>
        </w:rPr>
        <w:t xml:space="preserve">Abstract (EN): </w:t>
      </w:r>
      <w:r>
        <w:t>Ice core records of preindustrial methane indicate variability of</w:t>
      </w:r>
      <w:r>
        <w:t xml:space="preserve"> </w:t>
      </w:r>
      <w:r>
        <w:t>±</w:t>
      </w:r>
      <w:r>
        <w:t xml:space="preserve"> </w:t>
      </w:r>
      <w:r>
        <w:t>30 ppb (</w:t>
      </w:r>
      <w:r>
        <w:t xml:space="preserve"> </w:t>
      </w:r>
      <w:r>
        <w:t>±</w:t>
      </w:r>
      <w:r>
        <w:t xml:space="preserve"> </w:t>
      </w:r>
      <w:r>
        <w:t>5%) on multidecadal-to-centennial timescales. Previous work has attributed these excursions to low-frequency or episodic changes in methane sources due to large-scale climate variability (e.g., the Little Ice Age) or human activity. Here, we explore what source and sink dynamics are consistent with ice core variability and show that the preserved variability can arise solely from white noise fluctuations in the source–sink imbalance. A simple model driven by unforced random perturbations, when integrated by the methane lifetime and firn processes, produces synthetic ice core records that match the spectral features of observations. Thus, fast-varying sources or sinks previously assumed too transient to affect ice core variability, such as weather-driven fluctuations in methane oxidants and emissions (e.g., interannual wetland variability), can produce the observed variability. Given large structural uncertainty in methane budget dynamics, we expand our model to quantify how variability in atmospheric methane and its drivers changes with the assumed dominant timescale of source–sink imbalance variability. Our results show that any source–sink imbalance timescale shorter than a century is consistent with the ice core record. Shorter timescales imply greater atmospheric variability but require larger-amplitude source–sink imbalance fluctuations. A key consequence is that rapid preindustrial source–sink variability (timescales</w:t>
      </w:r>
      <w:r>
        <w:t xml:space="preserve"> </w:t>
      </w:r>
      <w:r>
        <w:t>≲</w:t>
      </w:r>
      <w:r>
        <w:t xml:space="preserve"> </w:t>
      </w:r>
      <w:r>
        <w:t>1 y) could explain modern methane growth rate variability. Constraining methane source and sink dynamics with preindustrial ice core records could therefore provide more robust priors for evaluating modern methane trends.</w:t>
      </w:r>
    </w:p>
    <w:p>
      <w:pPr>
        <w:spacing w:before="120" w:after="120"/>
      </w:pPr>
      <w:r>
        <w:rPr>
          <w:sz w:val="18"/>
        </w:rPr>
        <w:t>——————————————————————————————————————————————————————————————————————</w:t>
      </w:r>
    </w:p>
    <w:p>
      <w:pPr>
        <w:spacing w:before="160" w:after="40" w:line="240" w:lineRule="auto"/>
      </w:pPr>
      <w:r>
        <w:rPr>
          <w:b/>
        </w:rPr>
        <w:t xml:space="preserve">[134] </w:t>
      </w:r>
      <w:hyperlink r:id="rId504">
        <w:r>
          <w:rPr>
            <w:color w:val="1155CC"/>
            <w:u w:val="single"/>
          </w:rPr>
          <w:t>内皮 c-IAP2 缺失会放大 P2X7 受体驱动的炎症并加重血吸虫病相关的肺动脉高压</w:t>
        </w:r>
      </w:hyperlink>
    </w:p>
    <w:p>
      <w:pPr>
        <w:spacing w:before="0" w:after="80"/>
      </w:pPr>
      <w:r>
        <w:rPr>
          <w:i/>
          <w:sz w:val="20"/>
        </w:rPr>
        <w:t>EN: Endothelial c-IAP2 loss amplifies P2X7 receptor-driven inflammation and worsens schistosomiasis-associated pulmonary hypertension</w:t>
      </w:r>
    </w:p>
    <w:p>
      <w:pPr>
        <w:spacing w:before="0" w:after="120"/>
      </w:pPr>
      <w:r>
        <w:rPr>
          <w:b/>
        </w:rPr>
        <w:t xml:space="preserve">Source: </w:t>
      </w:r>
      <w:r>
        <w:t>Proceedings of the National Academy of Sciences: Keyword search for query</w:t>
      </w:r>
      <w:r>
        <w:t xml:space="preserve">    </w:t>
      </w:r>
      <w:r>
        <w:rPr>
          <w:b/>
        </w:rPr>
        <w:t xml:space="preserve">Pub date: </w:t>
      </w:r>
      <w:r>
        <w:t>2026-06-15 07:00:00+00:00</w:t>
      </w:r>
      <w:r>
        <w:t xml:space="preserve">    </w:t>
      </w:r>
      <w:r>
        <w:rPr>
          <w:b/>
        </w:rPr>
        <w:t xml:space="preserve">DOI: </w:t>
      </w:r>
      <w:hyperlink r:id="rId505">
        <w:r>
          <w:rPr>
            <w:color w:val="1155CC"/>
            <w:u w:val="single"/>
          </w:rPr>
          <w:t>10.1073/pnas.2513158123</w:t>
        </w:r>
      </w:hyperlink>
    </w:p>
    <w:p>
      <w:pPr>
        <w:spacing w:before="0" w:after="120"/>
      </w:pPr>
      <w:r>
        <w:rPr>
          <w:b/>
        </w:rPr>
        <w:t xml:space="preserve">Notes: </w:t>
      </w:r>
      <w:r>
        <w:t>abstract_source=crossref</w:t>
      </w:r>
    </w:p>
    <w:p>
      <w:pPr>
        <w:spacing w:before="0" w:after="80" w:lineRule="auto" w:line="276"/>
      </w:pPr>
      <w:r>
        <w:rPr>
          <w:b/>
        </w:rPr>
        <w:t xml:space="preserve">摘要（ZH）: </w:t>
      </w:r>
      <w:r>
        <w:t>血吸虫病相关肺动脉高压 (Sch-PH) 是全世界 I 类 PH 中最常见的形式。最近，数据显示，临床前 Sch-PH 动物模型表现出肠道和肺部微生物群失调，与显着的肺内皮细胞 (EC) 功能障碍和微血管凋亡相关。然而，促凋亡/抗凋亡传感器的作用，例如凋亡蛋白 2 (c-IAP2) 抑制剂和嘌呤受体 P2X7 (P2X7R)，仍不清楚。使用 Cdh5cre-ER</w:t>
      </w:r>
      <w:r>
        <w:t xml:space="preserve"> </w:t>
      </w:r>
      <w:r>
        <w:t>T2</w:t>
      </w:r>
      <w:r>
        <w:t xml:space="preserve"> </w:t>
      </w:r>
      <w:r>
        <w:t>;cIAP1</w:t>
      </w:r>
      <w:r>
        <w:t xml:space="preserve"> </w:t>
      </w:r>
      <w:r>
        <w:t>−/−</w:t>
      </w:r>
      <w:r>
        <w:t>;cIAP2</w:t>
      </w:r>
      <w:r>
        <w:t xml:space="preserve"> </w:t>
      </w:r>
      <w:r>
        <w:t>液量/液量</w:t>
      </w:r>
      <w:r>
        <w:t xml:space="preserve"> </w:t>
      </w:r>
      <w:r>
        <w:t>在动物模型中，本研究调查了内皮 c-IAP2 在此过程中的贡献，揭示肺 P2X7R 过度表达是 Sch-PH 发作的假定目标。药理学上，抑制 P2X7R 功能证实了其在促进肺 EC 死亡和疾病进展中的作用。此外，数据表明 Sch-PH 中微生物组相关的代谢改变似乎与 ATP/P2X7R 过度激活和抑制 c-IAP2 表达驱动的微血管 EC 细胞凋亡有关。事实上，内皮 c-IAP2 表达的基因消除足以在小鼠中诱导 PH 样特征，超声心动图显示，与对照组相比，IP/IV-Egg 攻击后肺加速时间 (PAT)、PAT/肺射血时间和右心室游离壁厚度 (RVFWTH) 更高，这一效应与女性患病率相关。这些发现表明肺 EC-P2X7R 激活和 c-IAP2 抑制具有显着贡献</w:t>
      </w:r>
    </w:p>
    <w:p>
      <w:pPr>
        <w:spacing w:before="0" w:after="200" w:lineRule="auto" w:line="276"/>
      </w:pPr>
      <w:r>
        <w:rPr>
          <w:b/>
        </w:rPr>
        <w:t xml:space="preserve">Abstract (EN): </w:t>
      </w:r>
      <w:r>
        <w:t>Schistosomiasis-associated pulmonary hypertension (Sch-PH) is the most common form of group I PH worldwide. Recently, data revealed that the preclinical Sch-PH animal model exhibited gut and lung microbiome dysbiosis, associated with significant lung endothelial cell (EC) dysfunction and microvascular apoptosis. However, the role of pro-/antiapoptosis sensors, such as the inhibitor of apoptosis protein 2 (c-IAP2) and the purinergic receptor P2X7 (P2X7R), remained unclear. Using Cdh5cre-ER</w:t>
      </w:r>
      <w:r>
        <w:t xml:space="preserve"> </w:t>
      </w:r>
      <w:r>
        <w:t>T2</w:t>
      </w:r>
      <w:r>
        <w:t xml:space="preserve"> </w:t>
      </w:r>
      <w:r>
        <w:t>;cIAP1</w:t>
      </w:r>
      <w:r>
        <w:t xml:space="preserve"> </w:t>
      </w:r>
      <w:r>
        <w:t>−/−</w:t>
      </w:r>
      <w:r>
        <w:t>;cIAP2</w:t>
      </w:r>
      <w:r>
        <w:t xml:space="preserve"> </w:t>
      </w:r>
      <w:r>
        <w:t>fl/fl</w:t>
      </w:r>
      <w:r>
        <w:t xml:space="preserve"> </w:t>
      </w:r>
      <w:r>
        <w:t>animal model, this study investigated the contribution of endothelial c-IAP2 in this process, revealing pulmonary P2X7R overexpression as a putative target in the onset of Sch-PH. Pharmacologically, inhibition of P2X7R function confirmed its role in promoting lung EC death and disease progression. Moreover, data suggest that microbiome-associated metabolic alterations in Sch-PH seem linked to microvascular EC apoptosis driven by ATP/P2X7R overactivation and suppressed c-IAP2 expression. Indeed, genetic ablation of endothelial c-IAP2 expression was sufficient to induce PH-like features in mice, with echocardiography indicating a higher pulmonary acceleration time (PAT), PAT/pulmonary ejection time, and right ventricular free wall thickness (RVFWTH) after IP/IV-Egg challenge compared to controls, an effect linked to the female prevalence of the disease. These findings suggest a significant contribution of lung EC-P2X7R activation and c-IAP2 suppression to sex-linked Sch-PH pathology, highlighting them as promising therapeutic targets for this life-threatening illness.</w:t>
      </w:r>
    </w:p>
    <w:p>
      <w:pPr>
        <w:spacing w:before="120" w:after="120"/>
      </w:pPr>
      <w:r>
        <w:rPr>
          <w:sz w:val="18"/>
        </w:rPr>
        <w:t>——————————————————————————————————————————————————————————————————————</w:t>
      </w:r>
    </w:p>
    <w:p>
      <w:pPr>
        <w:spacing w:before="160" w:after="40" w:line="240" w:lineRule="auto"/>
      </w:pPr>
      <w:r>
        <w:rPr>
          <w:b/>
        </w:rPr>
        <w:t xml:space="preserve">[135] </w:t>
      </w:r>
      <w:hyperlink r:id="rId506">
        <w:r>
          <w:rPr>
            <w:color w:val="1155CC"/>
            <w:u w:val="single"/>
          </w:rPr>
          <w:t>神经嵴对头部与心脏贡献的调节逻辑</w:t>
        </w:r>
      </w:hyperlink>
    </w:p>
    <w:p>
      <w:pPr>
        <w:spacing w:before="0" w:after="80"/>
      </w:pPr>
      <w:r>
        <w:rPr>
          <w:i/>
          <w:sz w:val="20"/>
        </w:rPr>
        <w:t>EN: Regulatory logic underlying neural crest contributions to the head versus the heart</w:t>
      </w:r>
    </w:p>
    <w:p>
      <w:pPr>
        <w:spacing w:before="0" w:after="120"/>
      </w:pPr>
      <w:r>
        <w:rPr>
          <w:b/>
        </w:rPr>
        <w:t xml:space="preserve">Source: </w:t>
      </w:r>
      <w:r>
        <w:t>Proceedings of the National Academy of Sciences: Keyword search for query</w:t>
      </w:r>
      <w:r>
        <w:t xml:space="preserve">    </w:t>
      </w:r>
      <w:r>
        <w:rPr>
          <w:b/>
        </w:rPr>
        <w:t xml:space="preserve">Pub date: </w:t>
      </w:r>
      <w:r>
        <w:t>2026-06-15 07:00:00+00:00</w:t>
      </w:r>
      <w:r>
        <w:t xml:space="preserve">    </w:t>
      </w:r>
      <w:r>
        <w:rPr>
          <w:b/>
        </w:rPr>
        <w:t xml:space="preserve">DOI: </w:t>
      </w:r>
      <w:hyperlink r:id="rId507">
        <w:r>
          <w:rPr>
            <w:color w:val="1155CC"/>
            <w:u w:val="single"/>
          </w:rPr>
          <w:t>10.1073/pnas.2512031123</w:t>
        </w:r>
      </w:hyperlink>
    </w:p>
    <w:p>
      <w:pPr>
        <w:spacing w:before="0" w:after="120"/>
      </w:pPr>
      <w:r>
        <w:rPr>
          <w:b/>
        </w:rPr>
        <w:t xml:space="preserve">Notes: </w:t>
      </w:r>
      <w:r>
        <w:t>abstract_source=crossref</w:t>
      </w:r>
    </w:p>
    <w:p>
      <w:pPr>
        <w:spacing w:before="0" w:after="80" w:lineRule="auto" w:line="276"/>
      </w:pPr>
      <w:r>
        <w:rPr>
          <w:b/>
        </w:rPr>
        <w:t xml:space="preserve">摘要（ZH）: </w:t>
      </w:r>
      <w:r>
        <w:t>神经嵴细胞表现出轴向水平特异性转录程序，但其命运决定背后的调控机制仍不清楚。在这里，我们研究差异转录因子的使用是否控制心脏神经嵴细胞的身份。比较心脏和颅神经嵴的 ATAC-seq 图谱揭示了共享和区域特异性的开放染色质区域。单细胞 RNA 测序进一步鉴定了假定的靶基因，包括信号分子和受体。我们发现了两个相邻的</w:t>
      </w:r>
      <w:r>
        <w:t xml:space="preserve"> </w:t>
      </w:r>
      <w:r>
        <w:t>CXCR4</w:t>
      </w:r>
      <w:r>
        <w:t xml:space="preserve"> </w:t>
      </w:r>
      <w:r>
        <w:t>增强剂：一种对包含 TGIF 结合位点的心嵴具有特异性，另一种在颅骨和心嵴中均具有活性，包含 TFAP2B 结合位点。 TFAP2B 位点的突变消除了颅骨的嵴表达，但不是心脏的嵴表达。最后，我们表明心嵴特异性</w:t>
      </w:r>
      <w:r>
        <w:t xml:space="preserve"> </w:t>
      </w:r>
      <w:r>
        <w:t>CXCR4</w:t>
      </w:r>
      <w:r>
        <w:t xml:space="preserve"> </w:t>
      </w:r>
      <w:r>
        <w:t>增强子还驱动斑马鱼心嵴细胞中的表达，表明脊椎动物之间的进化保守性。这些发现表明，在不同神经嵴亚群中富集的转录因子可能通过调节增强子活性来偏向细胞命运，从而揭示了控制神经嵴多样性的调控景观。</w:t>
      </w:r>
    </w:p>
    <w:p>
      <w:pPr>
        <w:spacing w:before="0" w:after="200" w:lineRule="auto" w:line="276"/>
      </w:pPr>
      <w:r>
        <w:rPr>
          <w:b/>
        </w:rPr>
        <w:t xml:space="preserve">Abstract (EN): </w:t>
      </w:r>
      <w:r>
        <w:t>Neural crest cells exhibit axial-level-specific transcriptional programs, yet the regulatory mechanisms underlying their fate decisions remain unclear. Here, we investigate whether differential transcription factor usage governs cardiac neural crest cell identity. Comparing ATAC-seq profiles of cardiac and cranial neural crest revealed open chromatin regions that were both shared and region-specific. Single-cell RNA sequencing further identified putative target genes, including signaling molecules and receptors. We uncovered two adjacent</w:t>
      </w:r>
      <w:r>
        <w:t xml:space="preserve"> </w:t>
      </w:r>
      <w:r>
        <w:t>Cxcr4</w:t>
      </w:r>
      <w:r>
        <w:t xml:space="preserve"> </w:t>
      </w:r>
      <w:r>
        <w:t>enhancers: one specific to the cardiac crest containing a TGIF binding site, and another active in both cranial and cardiac crest containing a TFAP2B binding site. Mutating the TFAP2B site abolished cranial, but not cardiac, crest expression. Finally, we show that the cardiac crest-specific</w:t>
      </w:r>
      <w:r>
        <w:t xml:space="preserve"> </w:t>
      </w:r>
      <w:r>
        <w:t>Cxcr4</w:t>
      </w:r>
      <w:r>
        <w:t xml:space="preserve"> </w:t>
      </w:r>
      <w:r>
        <w:t>enhancer also drives expression in zebrafish cardiac crest cells, suggesting evolutionary conservation across vertebrates. These findings suggest that transcription factors enriched in distinct neural crest subpopulations may bias cell fate by modulating enhancer activity, shedding light on the regulatory landscape governing neural crest diversity.</w:t>
      </w:r>
    </w:p>
    <w:p>
      <w:pPr>
        <w:spacing w:before="120" w:after="120"/>
      </w:pPr>
      <w:r>
        <w:rPr>
          <w:sz w:val="18"/>
        </w:rPr>
        <w:t>——————————————————————————————————————————————————————————————————————</w:t>
      </w:r>
    </w:p>
    <w:p>
      <w:pPr>
        <w:spacing w:before="160" w:after="40" w:line="240" w:lineRule="auto"/>
      </w:pPr>
      <w:r>
        <w:rPr>
          <w:b/>
        </w:rPr>
        <w:t xml:space="preserve">[136] </w:t>
      </w:r>
      <w:hyperlink r:id="rId508">
        <w:r>
          <w:rPr>
            <w:color w:val="1155CC"/>
            <w:u w:val="single"/>
          </w:rPr>
          <w:t>巨型单细胞 mRNA 区域化的全基因组分析</w:t>
        </w:r>
      </w:hyperlink>
    </w:p>
    <w:p>
      <w:pPr>
        <w:spacing w:before="0" w:after="80"/>
      </w:pPr>
      <w:r>
        <w:rPr>
          <w:i/>
          <w:sz w:val="20"/>
        </w:rPr>
        <w:t>EN: Genome-wide analysis of mRNA regionalization in a giant single cell</w:t>
      </w:r>
    </w:p>
    <w:p>
      <w:pPr>
        <w:spacing w:before="0" w:after="120"/>
      </w:pPr>
      <w:r>
        <w:rPr>
          <w:b/>
        </w:rPr>
        <w:t xml:space="preserve">Source: </w:t>
      </w:r>
      <w:r>
        <w:t>Proceedings of the National Academy of Sciences: Keyword search for query</w:t>
      </w:r>
      <w:r>
        <w:t xml:space="preserve">    </w:t>
      </w:r>
      <w:r>
        <w:rPr>
          <w:b/>
        </w:rPr>
        <w:t xml:space="preserve">Pub date: </w:t>
      </w:r>
      <w:r>
        <w:t>2026-06-15 07:00:00+00:00</w:t>
      </w:r>
      <w:r>
        <w:t xml:space="preserve">    </w:t>
      </w:r>
      <w:r>
        <w:rPr>
          <w:b/>
        </w:rPr>
        <w:t xml:space="preserve">DOI: </w:t>
      </w:r>
      <w:hyperlink r:id="rId509">
        <w:r>
          <w:rPr>
            <w:color w:val="1155CC"/>
            <w:u w:val="single"/>
          </w:rPr>
          <w:t>10.1073/pnas.2537760123</w:t>
        </w:r>
      </w:hyperlink>
    </w:p>
    <w:p>
      <w:pPr>
        <w:spacing w:before="0" w:after="120"/>
      </w:pPr>
      <w:r>
        <w:rPr>
          <w:b/>
        </w:rPr>
        <w:t xml:space="preserve">Notes: </w:t>
      </w:r>
      <w:r>
        <w:t>abstract_source=crossref</w:t>
      </w:r>
    </w:p>
    <w:p>
      <w:pPr>
        <w:spacing w:before="0" w:after="80" w:lineRule="auto" w:line="276"/>
      </w:pPr>
      <w:r>
        <w:rPr>
          <w:b/>
        </w:rPr>
        <w:t xml:space="preserve">摘要（ZH）: </w:t>
      </w:r>
      <w:r>
        <w:t>人们对产生细胞结构的分子机制知之甚少。巨型纤毛虫</w:t>
      </w:r>
      <w:r>
        <w:t xml:space="preserve"> </w:t>
      </w:r>
      <w:r>
        <w:t>蓝蝽</w:t>
      </w:r>
      <w:r>
        <w:t xml:space="preserve"> </w:t>
      </w:r>
      <w:r>
        <w:t>是一种单细胞模型生物体，其尺寸大、结构可重复、具有治愈伤口和再生的能力，允许使用实验胚胎学方法解决单细胞结构的形成。此类研究表明，特定的细胞结构总是在细胞的特定区域形成，这就提出了一个问题：该生物体内的位置信息的来源是什么？通过类比胚胎发育，区域化的 mRNA 经常被用来标记位置，我们想知道特定的区域化 mRNA 是否可以沿着大脑的前后轴标记位置。</w:t>
      </w:r>
      <w:r>
        <w:t xml:space="preserve"> </w:t>
      </w:r>
      <w:r>
        <w:t>斯坦托尔</w:t>
      </w:r>
      <w:r>
        <w:t xml:space="preserve"> </w:t>
      </w:r>
      <w:r>
        <w:t>。通过物理二分细胞并进行批量 RNA 测序，我们能够识别前半部分或后半部分富集的信息集，并表明 RNAi 介导的与 MYB 基因相对应的后部富集转录本的敲低导致细胞无法再生细胞体的后部。然后，我们在成对的细胞前部和后部进行了半细胞 RNA 测序，其中微管细胞骨架被 β-微管蛋白或动力蛋白中间链的 RNAi 破坏。我们发现许多信息要么失去了区域化分布，要么转向相反的分布，使得控制中的前部丰富的信息在 RNAi 细胞中变得后部丰富，反之亦然。这项研究表明</w:t>
      </w:r>
    </w:p>
    <w:p>
      <w:pPr>
        <w:spacing w:before="0" w:after="200" w:lineRule="auto" w:line="276"/>
      </w:pPr>
      <w:r>
        <w:rPr>
          <w:b/>
        </w:rPr>
        <w:t xml:space="preserve">Abstract (EN): </w:t>
      </w:r>
      <w:r>
        <w:t>The molecular mechanisms that produce cell structure are poorly understood. The giant ciliate</w:t>
      </w:r>
      <w:r>
        <w:t xml:space="preserve"> </w:t>
      </w:r>
      <w:r>
        <w:t>Stentor coeruleus</w:t>
      </w:r>
      <w:r>
        <w:t xml:space="preserve"> </w:t>
      </w:r>
      <w:r>
        <w:t>is a unicellular model organism whose large size, reproducible structure, and ability to heal wounds and regenerate allow the formation of structure in a single cell to be addressed using methods of experimental embryology. Such studies have shown that specific cellular structures always form in particular regions of the cell, which raises the question: what is the source of positional information within this organism? By analogy with embryonic development, in which regionalized mRNA is often used to mark position, we asked whether specific regionalized mRNAs might mark position along the anterior–posterior axis of</w:t>
      </w:r>
      <w:r>
        <w:t xml:space="preserve"> </w:t>
      </w:r>
      <w:r>
        <w:t>Stentor</w:t>
      </w:r>
      <w:r>
        <w:t xml:space="preserve"> </w:t>
      </w:r>
      <w:r>
        <w:t>. By physically bisecting cells and conducting bulk RNA sequencing, we were able to identify sets of messages enriched in either the anterior or posterior half and show that RNAi-mediated knockdown of posterior-enriched transcripts corresponding to MYB genes results in a cell’s inability to regenerate the posterior portion of the cell body. We then conducted half-cell RNA-sequencing in paired anteriors and posteriors of cells in which the microtubule cytoskeleton was disrupted by RNAi of β-tubulin or dynein intermediate chains. We found that many messages either lost their regionalized distribution or switched to an opposite distribution, such that anterior-enriched messages in control became posterior-enriched in the RNAi cells, or vice versa. This study indicates that mRNA can be regionalized within a single giant cell and that microtubules may play a role, possibly by serving as tracks for the movement of the messages.</w:t>
      </w:r>
    </w:p>
    <w:p>
      <w:pPr>
        <w:spacing w:before="120" w:after="120"/>
      </w:pPr>
      <w:r>
        <w:rPr>
          <w:sz w:val="18"/>
        </w:rPr>
        <w:t>——————————————————————————————————————————————————————————————————————</w:t>
      </w:r>
    </w:p>
    <w:p>
      <w:pPr>
        <w:spacing w:before="160" w:after="40" w:line="240" w:lineRule="auto"/>
      </w:pPr>
      <w:r>
        <w:rPr>
          <w:b/>
        </w:rPr>
        <w:t xml:space="preserve">[137] </w:t>
      </w:r>
      <w:hyperlink r:id="rId510">
        <w:r>
          <w:rPr>
            <w:color w:val="1155CC"/>
            <w:u w:val="single"/>
          </w:rPr>
          <w:t>解释关于财富不平等的考古和历史证据的不确定性和偏见</w:t>
        </w:r>
      </w:hyperlink>
    </w:p>
    <w:p>
      <w:pPr>
        <w:spacing w:before="0" w:after="80"/>
      </w:pPr>
      <w:r>
        <w:rPr>
          <w:i/>
          <w:sz w:val="20"/>
        </w:rPr>
        <w:t>EN: Accounting for uncertainty and bias in archaeological and historical evidence on wealth inequality</w:t>
      </w:r>
    </w:p>
    <w:p>
      <w:pPr>
        <w:spacing w:before="0" w:after="120"/>
      </w:pPr>
      <w:r>
        <w:rPr>
          <w:b/>
        </w:rPr>
        <w:t xml:space="preserve">Source: </w:t>
      </w:r>
      <w:r>
        <w:t>Proceedings of the National Academy of Sciences: Keyword search for query</w:t>
      </w:r>
      <w:r>
        <w:t xml:space="preserve">    </w:t>
      </w:r>
      <w:r>
        <w:rPr>
          <w:b/>
        </w:rPr>
        <w:t xml:space="preserve">Pub date: </w:t>
      </w:r>
      <w:r>
        <w:t>2026-06-15 07:00:00+00:00</w:t>
      </w:r>
      <w:r>
        <w:t xml:space="preserve">    </w:t>
      </w:r>
      <w:r>
        <w:rPr>
          <w:b/>
        </w:rPr>
        <w:t xml:space="preserve">DOI: </w:t>
      </w:r>
      <w:hyperlink r:id="rId511">
        <w:r>
          <w:rPr>
            <w:color w:val="1155CC"/>
            <w:u w:val="single"/>
          </w:rPr>
          <w:t>10.1073/pnas.2514309123</w:t>
        </w:r>
      </w:hyperlink>
    </w:p>
    <w:p>
      <w:pPr>
        <w:spacing w:before="0" w:after="120"/>
      </w:pPr>
      <w:r>
        <w:rPr>
          <w:b/>
        </w:rPr>
        <w:t xml:space="preserve">Notes: </w:t>
      </w:r>
      <w:r>
        <w:t>abstract_source=crossref</w:t>
      </w:r>
    </w:p>
    <w:p>
      <w:pPr>
        <w:spacing w:before="0" w:after="80" w:lineRule="auto" w:line="276"/>
      </w:pPr>
      <w:r>
        <w:rPr>
          <w:b/>
        </w:rPr>
        <w:t xml:space="preserve">摘要（ZH）: </w:t>
      </w:r>
      <w:r>
        <w:t>考古和历史记录使我们能够研究与鲜明对比的制度相关的经济不平等模式，例如没有国家的社会中的公共财产、小农的私有财产和奴隶制，以及依赖于完全不同的技术（例如仅基于人类能源、其他动物动力和碳基动力）的经济体中的奴隶制。但是，使用史前和历史数据来扩大所研究的机构和技术范围的代价是所得估计中存在大量且通常未知的不确定性和不代表性。我们提供量化不确定性程度的方法和代码，我们将这种方法称为 BRIDGE（贝叶斯重采样和基于数据驱动的基尼估计的知情先验）。我们将来自 431 个地点和日期的原始财富数据转化为概率分布，代表可能的不平等水平，这些不平等水平（尽可能）代表了底层人口（例如，纠正因小样本或非随机样本而产生的偏差，以及经常缺乏完全没有财富的人的数据），并且在不同资产类型（例如，埋葬品、居住区、储存区、耕地）、所有权单位（个人或家庭）和规模（从村庄到村庄）之间具有可比性。国家）。这些分布基于原始数据以及独立信息，使我们能够推断偏差和不确定性水平。我们还考虑了数据生成和估计过程每个阶段的不确定性传播。我们发现</w:t>
      </w:r>
    </w:p>
    <w:p>
      <w:pPr>
        <w:spacing w:before="0" w:after="200" w:lineRule="auto" w:line="276"/>
      </w:pPr>
      <w:r>
        <w:rPr>
          <w:b/>
        </w:rPr>
        <w:t xml:space="preserve">Abstract (EN): </w:t>
      </w:r>
      <w:r>
        <w:t>The archaeological and historical record allows us to study the patterns of economic inequalities associated with sharply contrasting institutions such as communal property in societies without states, private property among small holders, and slavery, in economies relying on radically different technologies, based for example on human energy alone, other animal power, and carbon-based power. But the price of using prehistoric and historical data to expand the range of institutions and technologies under study is a substantial and typically unknown level of uncertainty and unrepresentativeness in the resulting estimates. We provide methods and code that quantify the degree of uncertainty, an approach that we term BRIDGE (Bayesian-Resampling and Informed Priors with Data-driven Gini Estimation). We transform raw wealth data from 431 sites and dates into probability distributions representing likely levels of inequality that (insofar as possible) are representative of the underlying population (e.g., rectifying biases arising from small or nonrandom samples and the frequent absence of data on those entirely without wealth) and are comparable across differing asset types (e.g., burial goods, dwelling area, storage area, land cultivated), ownership units (individual or household), and scale (from villages to nations). These distributions are based on the raw data along with independent information that allows us to infer biases and levels of uncertainty. We also account for the propagation of uncertainty through every stage of the data generation and estimation process. We find that widely used methods (e.g., relying solely on conventional bootstrapping) provide misleading and for the most part substantially underestimated measures of uncertainty.</w:t>
      </w:r>
    </w:p>
    <w:p>
      <w:pPr>
        <w:spacing w:before="120" w:after="120"/>
      </w:pPr>
      <w:r>
        <w:rPr>
          <w:sz w:val="18"/>
        </w:rPr>
        <w:t>——————————————————————————————————————————————————————————————————————</w:t>
      </w:r>
    </w:p>
    <w:p>
      <w:pPr>
        <w:spacing w:before="160" w:after="40" w:line="240" w:lineRule="auto"/>
      </w:pPr>
      <w:r>
        <w:rPr>
          <w:b/>
        </w:rPr>
        <w:t xml:space="preserve">[138] </w:t>
      </w:r>
      <w:hyperlink r:id="rId512">
        <w:r>
          <w:rPr>
            <w:color w:val="1155CC"/>
            <w:u w:val="single"/>
          </w:rPr>
          <w:t>对Zhang等人的修正，用于量化xanthus粘球菌自组织的深度学习框架</w:t>
        </w:r>
      </w:hyperlink>
    </w:p>
    <w:p>
      <w:pPr>
        <w:spacing w:before="0" w:after="80"/>
      </w:pPr>
      <w:r>
        <w:rPr>
          <w:i/>
          <w:sz w:val="20"/>
        </w:rPr>
        <w:t>EN: Correction for Zhang et al., Deep learning framework for quantifying self-organization in Myxococcus xanthus</w:t>
      </w:r>
    </w:p>
    <w:p>
      <w:pPr>
        <w:spacing w:before="0" w:after="120"/>
      </w:pPr>
      <w:r>
        <w:rPr>
          <w:b/>
        </w:rPr>
        <w:t xml:space="preserve">Source: </w:t>
      </w:r>
      <w:r>
        <w:t>Proceedings of the National Academy of Sciences: Keyword search for query</w:t>
      </w:r>
      <w:r>
        <w:t xml:space="preserve">    </w:t>
      </w:r>
      <w:r>
        <w:rPr>
          <w:b/>
        </w:rPr>
        <w:t xml:space="preserve">Pub date: </w:t>
      </w:r>
      <w:r>
        <w:t>2026-06-15 07:00:00+00:00</w:t>
      </w:r>
      <w:r>
        <w:t xml:space="preserve">    </w:t>
      </w:r>
      <w:r>
        <w:rPr>
          <w:b/>
        </w:rPr>
        <w:t xml:space="preserve">DOI: </w:t>
      </w:r>
      <w:hyperlink r:id="rId513">
        <w:r>
          <w:rPr>
            <w:color w:val="1155CC"/>
            <w:u w:val="single"/>
          </w:rPr>
          <w:t>10.1073/pnas.2619012123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[139] </w:t>
      </w:r>
      <w:hyperlink r:id="rId514">
        <w:r>
          <w:rPr>
            <w:color w:val="1155CC"/>
            <w:u w:val="single"/>
          </w:rPr>
          <w:t>环境酵母的气味和粘附驱动昆虫传播</w:t>
        </w:r>
      </w:hyperlink>
    </w:p>
    <w:p>
      <w:pPr>
        <w:spacing w:before="0" w:after="80"/>
      </w:pPr>
      <w:r>
        <w:rPr>
          <w:i/>
          <w:sz w:val="20"/>
        </w:rPr>
        <w:t>EN: Scent and adhesion drive insect dispersal of environmental yeast</w:t>
      </w:r>
    </w:p>
    <w:p>
      <w:pPr>
        <w:spacing w:before="0" w:after="120"/>
      </w:pPr>
      <w:r>
        <w:rPr>
          <w:b/>
        </w:rPr>
        <w:t xml:space="preserve">Source: </w:t>
      </w:r>
      <w:r>
        <w:t>Proceedings of the National Academy of Sciences: Keyword search for query</w:t>
      </w:r>
      <w:r>
        <w:t xml:space="preserve">    </w:t>
      </w:r>
      <w:r>
        <w:rPr>
          <w:b/>
        </w:rPr>
        <w:t xml:space="preserve">Pub date: </w:t>
      </w:r>
      <w:r>
        <w:t>2026-06-15 07:00:00+00:00</w:t>
      </w:r>
      <w:r>
        <w:t xml:space="preserve">    </w:t>
      </w:r>
      <w:r>
        <w:rPr>
          <w:b/>
        </w:rPr>
        <w:t xml:space="preserve">DOI: </w:t>
      </w:r>
      <w:hyperlink r:id="rId515">
        <w:r>
          <w:rPr>
            <w:color w:val="1155CC"/>
            <w:u w:val="single"/>
          </w:rPr>
          <w:t>10.1073/pnas.2536902123</w:t>
        </w:r>
      </w:hyperlink>
    </w:p>
    <w:p>
      <w:pPr>
        <w:spacing w:before="0" w:after="120"/>
      </w:pPr>
      <w:r>
        <w:rPr>
          <w:b/>
        </w:rPr>
        <w:t xml:space="preserve">Notes: </w:t>
      </w:r>
      <w:r>
        <w:t>abstract_source=crossref</w:t>
      </w:r>
    </w:p>
    <w:p>
      <w:pPr>
        <w:spacing w:before="0" w:after="80" w:lineRule="auto" w:line="276"/>
      </w:pPr>
      <w:r>
        <w:rPr>
          <w:b/>
        </w:rPr>
        <w:t xml:space="preserve">摘要（ZH）: </w:t>
      </w:r>
      <w:r>
        <w:t>昆虫和陆生真菌在地球上共同生活了 400 多年。不同的昆虫物种通常与不同的真菌组相关。这些昆虫与真菌的关联被认为为环境中的真菌提供了主要的传播机制。的</w:t>
      </w:r>
      <w:r>
        <w:t xml:space="preserve"> </w:t>
      </w:r>
      <w:r>
        <w:t>红酵母属</w:t>
      </w:r>
      <w:r>
        <w:t xml:space="preserve"> </w:t>
      </w:r>
      <w:r>
        <w:t>着色担子菌酵母属通常与昆虫有关。在这里，我们证明酵母</w:t>
      </w:r>
      <w:r>
        <w:t xml:space="preserve"> </w:t>
      </w:r>
      <w:r>
        <w:t>红酵母属</w:t>
      </w:r>
      <w:r>
        <w:t xml:space="preserve"> </w:t>
      </w:r>
      <w:r>
        <w:t>种。对醋蝇极具吸引力</w:t>
      </w:r>
      <w:r>
        <w:t xml:space="preserve"> </w:t>
      </w:r>
      <w:r>
        <w:t>黑腹果蝇</w:t>
      </w:r>
      <w:r>
        <w:t xml:space="preserve"> </w:t>
      </w:r>
      <w:r>
        <w:t>和非洲疟蚊</w:t>
      </w:r>
      <w:r>
        <w:t xml:space="preserve"> </w:t>
      </w:r>
      <w:r>
        <w:t>冈比亚按蚊</w:t>
      </w:r>
      <w:r>
        <w:t xml:space="preserve"> </w:t>
      </w:r>
      <w:r>
        <w:t>。我们表征了环境酵母菌株</w:t>
      </w:r>
      <w:r>
        <w:t xml:space="preserve"> </w:t>
      </w:r>
      <w:r>
        <w:t>台湾红酵母</w:t>
      </w:r>
      <w:r>
        <w:t xml:space="preserve"> </w:t>
      </w:r>
      <w:r>
        <w:t>散发出简单的气味特征，主要是常见的微生物挥发性 3-甲基-1-丁醇（异戊醇）以及其他特征挥发物，包括丙酮和乙醛。昆虫气味受体是吸引昆虫所必需的</w:t>
      </w:r>
      <w:r>
        <w:t xml:space="preserve"> </w:t>
      </w:r>
      <w:r>
        <w:t>台湾悬钩子</w:t>
      </w:r>
      <w:r>
        <w:t xml:space="preserve"> </w:t>
      </w:r>
      <w:r>
        <w:t>并促进酵母扩散到新的生长位。除了气味之外，传播也可能是由这些酵母通过疏水相互作用和消耗对昆虫角质层的粘附特性介导的。引人注目的是，</w:t>
      </w:r>
      <w:r>
        <w:t xml:space="preserve"> </w:t>
      </w:r>
      <w:r>
        <w:t>红酵母属</w:t>
      </w:r>
      <w:r>
        <w:t xml:space="preserve"> </w:t>
      </w:r>
      <w:r>
        <w:t>也促进了传播</w:t>
      </w:r>
      <w:r>
        <w:t xml:space="preserve"> </w:t>
      </w:r>
      <w:r>
        <w:t>安.冈比亚</w:t>
      </w:r>
      <w:r>
        <w:t xml:space="preserve"> </w:t>
      </w:r>
      <w:r>
        <w:t>，尽管蚊子经常在粘在这些酵母菌的粘糊糊的草坪上后死亡。我们的工作揭示</w:t>
      </w:r>
    </w:p>
    <w:p>
      <w:pPr>
        <w:spacing w:before="0" w:after="200" w:lineRule="auto" w:line="276"/>
      </w:pPr>
      <w:r>
        <w:rPr>
          <w:b/>
        </w:rPr>
        <w:t xml:space="preserve">Abstract (EN): </w:t>
      </w:r>
      <w:r>
        <w:t>Insects and terrestrial fungi have lived on planet earth together for over 400 My. Different insect species are commonly associated with distinct mycobiomes. These insect–fungal associations are thought to provide a major dispersal mechanism for fungi in the environment. The</w:t>
      </w:r>
      <w:r>
        <w:t xml:space="preserve"> </w:t>
      </w:r>
      <w:r>
        <w:t>Rhodotorula</w:t>
      </w:r>
      <w:r>
        <w:t xml:space="preserve"> </w:t>
      </w:r>
      <w:r>
        <w:t>genus of pigmented basidiomycetous yeasts is commonly found in association with insects. Here, we demonstrate that yeasts of</w:t>
      </w:r>
      <w:r>
        <w:t xml:space="preserve"> </w:t>
      </w:r>
      <w:r>
        <w:t>Rhodotorula</w:t>
      </w:r>
      <w:r>
        <w:t xml:space="preserve"> </w:t>
      </w:r>
      <w:r>
        <w:t>spp. are highly attractive to the vinegar fly</w:t>
      </w:r>
      <w:r>
        <w:t xml:space="preserve"> </w:t>
      </w:r>
      <w:r>
        <w:t>Drosophila melanogaster</w:t>
      </w:r>
      <w:r>
        <w:t xml:space="preserve"> </w:t>
      </w:r>
      <w:r>
        <w:t>and the African malaria mosquito</w:t>
      </w:r>
      <w:r>
        <w:t xml:space="preserve"> </w:t>
      </w:r>
      <w:r>
        <w:t>Anopheles gambiae</w:t>
      </w:r>
      <w:r>
        <w:t xml:space="preserve"> </w:t>
      </w:r>
      <w:r>
        <w:t>. We characterized strains of the environmental yeast</w:t>
      </w:r>
      <w:r>
        <w:t xml:space="preserve"> </w:t>
      </w:r>
      <w:r>
        <w:t>Rhodotorula taiwanensis</w:t>
      </w:r>
      <w:r>
        <w:t xml:space="preserve"> </w:t>
      </w:r>
      <w:r>
        <w:t>that emit simple scent signatures predominated by the common microbial volatile 3-methyl-1-butanol (isoamyl alcohol) alongside other characteristic volatiles including acetone and acetaldehyde. Insect odorant receptors are required for attraction to</w:t>
      </w:r>
      <w:r>
        <w:t xml:space="preserve"> </w:t>
      </w:r>
      <w:r>
        <w:t>R. taiwanensis</w:t>
      </w:r>
      <w:r>
        <w:t xml:space="preserve"> </w:t>
      </w:r>
      <w:r>
        <w:t>and promote yeast dispersal to new growth niches. In addition to scent, dispersal is also likely mediated by the adhesive qualities of these yeasts to insect cuticles via hydrophobic interactions, as well as consumption. Strikingly,</w:t>
      </w:r>
      <w:r>
        <w:t xml:space="preserve"> </w:t>
      </w:r>
      <w:r>
        <w:t>Rhodotorula</w:t>
      </w:r>
      <w:r>
        <w:t xml:space="preserve"> </w:t>
      </w:r>
      <w:r>
        <w:t>dispersal was also facilitated by</w:t>
      </w:r>
      <w:r>
        <w:t xml:space="preserve"> </w:t>
      </w:r>
      <w:r>
        <w:t>An. gambiae</w:t>
      </w:r>
      <w:r>
        <w:t xml:space="preserve"> </w:t>
      </w:r>
      <w:r>
        <w:t>, although mosquitoes often died after becoming stuck to slimy lawns of these yeasts. Our work reveals that scent and adhesion drive insect dispersal of these environmental yeasts.</w:t>
      </w:r>
    </w:p>
    <w:p>
      <w:pPr>
        <w:spacing w:before="120" w:after="120"/>
      </w:pPr>
      <w:r>
        <w:rPr>
          <w:sz w:val="18"/>
        </w:rPr>
        <w:t>——————————————————————————————————————————————————————————————————————</w:t>
      </w:r>
    </w:p>
    <w:p>
      <w:pPr>
        <w:spacing w:before="160" w:after="40" w:line="240" w:lineRule="auto"/>
      </w:pPr>
      <w:r>
        <w:rPr>
          <w:b/>
        </w:rPr>
        <w:t xml:space="preserve">[140] </w:t>
      </w:r>
      <w:hyperlink r:id="rId516">
        <w:r>
          <w:rPr>
            <w:color w:val="1155CC"/>
            <w:u w:val="single"/>
          </w:rPr>
          <w:t>人类历史悲剧塑造的森林：欧洲最古老被子植物的见解</w:t>
        </w:r>
      </w:hyperlink>
    </w:p>
    <w:p>
      <w:pPr>
        <w:spacing w:before="0" w:after="80"/>
      </w:pPr>
      <w:r>
        <w:rPr>
          <w:i/>
          <w:sz w:val="20"/>
        </w:rPr>
        <w:t>EN: Forests shaped by historical human tragedies: Insights from Europe’s oldest angiosperms</w:t>
      </w:r>
    </w:p>
    <w:p>
      <w:pPr>
        <w:spacing w:before="0" w:after="120"/>
      </w:pPr>
      <w:r>
        <w:rPr>
          <w:b/>
        </w:rPr>
        <w:t xml:space="preserve">Source: </w:t>
      </w:r>
      <w:r>
        <w:t>Proceedings of the National Academy of Sciences: Keyword search for query</w:t>
      </w:r>
      <w:r>
        <w:t xml:space="preserve">    </w:t>
      </w:r>
      <w:r>
        <w:rPr>
          <w:b/>
        </w:rPr>
        <w:t xml:space="preserve">Pub date: </w:t>
      </w:r>
      <w:r>
        <w:t>2026-06-15 07:00:00+00:00</w:t>
      </w:r>
      <w:r>
        <w:t xml:space="preserve">    </w:t>
      </w:r>
      <w:r>
        <w:rPr>
          <w:b/>
        </w:rPr>
        <w:t xml:space="preserve">DOI: </w:t>
      </w:r>
      <w:hyperlink r:id="rId517">
        <w:r>
          <w:rPr>
            <w:color w:val="1155CC"/>
            <w:u w:val="single"/>
          </w:rPr>
          <w:t>10.1073/pnas.2616705123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[141] </w:t>
      </w:r>
      <w:hyperlink r:id="rId518">
        <w:r>
          <w:rPr>
            <w:color w:val="1155CC"/>
            <w:u w:val="single"/>
          </w:rPr>
          <w:t>ModBinddG：基于总体重加权的基于模拟的结合自由能绝对预测器</w:t>
        </w:r>
      </w:hyperlink>
    </w:p>
    <w:p>
      <w:pPr>
        <w:spacing w:before="0" w:after="80"/>
      </w:pPr>
      <w:r>
        <w:rPr>
          <w:i/>
          <w:sz w:val="20"/>
        </w:rPr>
        <w:t>EN: ModBinddG: A simulation-based absolute predictor of free energy of binding based on population reweighting</w:t>
      </w:r>
    </w:p>
    <w:p>
      <w:pPr>
        <w:spacing w:before="0" w:after="120"/>
      </w:pPr>
      <w:r>
        <w:rPr>
          <w:b/>
        </w:rPr>
        <w:t xml:space="preserve">Source: </w:t>
      </w:r>
      <w:r>
        <w:t>Proceedings of the National Academy of Sciences: Keyword search for query</w:t>
      </w:r>
      <w:r>
        <w:t xml:space="preserve">    </w:t>
      </w:r>
      <w:r>
        <w:rPr>
          <w:b/>
        </w:rPr>
        <w:t xml:space="preserve">Pub date: </w:t>
      </w:r>
      <w:r>
        <w:t>2026-06-15 07:00:00+00:00</w:t>
      </w:r>
      <w:r>
        <w:t xml:space="preserve">    </w:t>
      </w:r>
      <w:r>
        <w:rPr>
          <w:b/>
        </w:rPr>
        <w:t xml:space="preserve">DOI: </w:t>
      </w:r>
      <w:hyperlink r:id="rId519">
        <w:r>
          <w:rPr>
            <w:color w:val="1155CC"/>
            <w:u w:val="single"/>
          </w:rPr>
          <w:t>10.1073/pnas.2513285123</w:t>
        </w:r>
      </w:hyperlink>
    </w:p>
    <w:p>
      <w:pPr>
        <w:spacing w:before="0" w:after="120"/>
      </w:pPr>
      <w:r>
        <w:rPr>
          <w:b/>
        </w:rPr>
        <w:t xml:space="preserve">Notes: </w:t>
      </w:r>
      <w:r>
        <w:t>abstract_source=crossref</w:t>
      </w:r>
    </w:p>
    <w:p>
      <w:pPr>
        <w:spacing w:before="0" w:after="80" w:lineRule="auto" w:line="276"/>
      </w:pPr>
      <w:r>
        <w:rPr>
          <w:b/>
        </w:rPr>
        <w:t xml:space="preserve">摘要（ZH）: </w:t>
      </w:r>
      <w:r>
        <w:t>最近，我们描述了 ModBind，这是一种基于模拟的强大配体解离速率和结合自由能预测器。这里，我们描述一下方法的更新——ModBind</w:t>
      </w:r>
      <w:r>
        <w:t xml:space="preserve"> </w:t>
      </w:r>
      <w:r>
        <w:t>dG</w:t>
      </w:r>
      <w:r>
        <w:t xml:space="preserve"> </w:t>
      </w:r>
      <w:r>
        <w:t>——这可以预测结合的绝对自由能。模组绑定</w:t>
      </w:r>
      <w:r>
        <w:t xml:space="preserve"> </w:t>
      </w:r>
      <w:r>
        <w:t>dG</w:t>
      </w:r>
      <w:r>
        <w:t xml:space="preserve"> </w:t>
      </w:r>
      <w:r>
        <w:t>是一种两种状态模型，用于通过基于群体的加速采样重新加权来预测结合自由能。我们从理论上和实践中证明了 ModBind</w:t>
      </w:r>
      <w:r>
        <w:t xml:space="preserve"> </w:t>
      </w:r>
      <w:r>
        <w:t>dG</w:t>
      </w:r>
      <w:r>
        <w:t xml:space="preserve"> </w:t>
      </w:r>
      <w:r>
        <w:t>可以准确预测小分子与相关蛋白质靶标结合的绝对结合自由能。此外，我们还展示了 ModBind 方法的性能增强</w:t>
      </w:r>
      <w:r>
        <w:t xml:space="preserve"> </w:t>
      </w:r>
      <w:r>
        <w:t>dG</w:t>
      </w:r>
      <w:r>
        <w:t xml:space="preserve"> </w:t>
      </w:r>
      <w:r>
        <w:t>与最先进的自由能方法相比，每天可以预测多达 2,000 倍的化合物。我们证明该方法可以对验证数据集以及我们自己的管道中的主动药物发现程序做出准确的预测。此外，我们描述了 ModBind 的实用程序</w:t>
      </w:r>
      <w:r>
        <w:t xml:space="preserve"> </w:t>
      </w:r>
      <w:r>
        <w:t>dG</w:t>
      </w:r>
      <w:r>
        <w:t xml:space="preserve"> </w:t>
      </w:r>
      <w:r>
        <w:t>在前瞻性虚拟屏幕中，能够发现以前“不可成药”蛋白质靶标的多种化学型。模组绑定</w:t>
      </w:r>
      <w:r>
        <w:t xml:space="preserve"> </w:t>
      </w:r>
      <w:r>
        <w:t>dG</w:t>
      </w:r>
      <w:r>
        <w:t xml:space="preserve"> </w:t>
      </w:r>
      <w:r>
        <w:t>代表了一个显着影响计算药物发现的机会，使整个制药界可以对数十万至数百万种化合物进行严格的基于物理的筛选。</w:t>
      </w:r>
    </w:p>
    <w:p>
      <w:pPr>
        <w:spacing w:before="0" w:after="200" w:lineRule="auto" w:line="276"/>
      </w:pPr>
      <w:r>
        <w:rPr>
          <w:b/>
        </w:rPr>
        <w:t xml:space="preserve">Abstract (EN): </w:t>
      </w:r>
      <w:r>
        <w:t>Recently, we described ModBind, a powerful simulation-based predictor of ligand off-rates and binding free energy. Here, we describe an update to the method—ModBind</w:t>
      </w:r>
      <w:r>
        <w:t xml:space="preserve"> </w:t>
      </w:r>
      <w:r>
        <w:t>dG</w:t>
      </w:r>
      <w:r>
        <w:t xml:space="preserve"> </w:t>
      </w:r>
      <w:r>
        <w:t>—that allows for the prediction of absolute free energies of binding. ModBind</w:t>
      </w:r>
      <w:r>
        <w:t xml:space="preserve"> </w:t>
      </w:r>
      <w:r>
        <w:t>dG</w:t>
      </w:r>
      <w:r>
        <w:t xml:space="preserve"> </w:t>
      </w:r>
      <w:r>
        <w:t>is a two-state model for predicting free energy of binding through population-based reweighting of accelerated sampling. We demonstrate theoretically and in practice that ModBind</w:t>
      </w:r>
      <w:r>
        <w:t xml:space="preserve"> </w:t>
      </w:r>
      <w:r>
        <w:t>dG</w:t>
      </w:r>
      <w:r>
        <w:t xml:space="preserve"> </w:t>
      </w:r>
      <w:r>
        <w:t>can accurately predict the absolute binding free energies of small molecules binding to relevant protein targets. Additionally, we show performance enhancements to the method where ModBind</w:t>
      </w:r>
      <w:r>
        <w:t xml:space="preserve"> </w:t>
      </w:r>
      <w:r>
        <w:t>dG</w:t>
      </w:r>
      <w:r>
        <w:t xml:space="preserve"> </w:t>
      </w:r>
      <w:r>
        <w:t>can predict up to 2,000× more compounds per day compared to state-of-the-art free energy methods. We show that the method can make accurate predictions on validation datasets as well as active drug discovery programs in our own pipeline. Furthermore, we describe the utility of ModBind</w:t>
      </w:r>
      <w:r>
        <w:t xml:space="preserve"> </w:t>
      </w:r>
      <w:r>
        <w:t>dG</w:t>
      </w:r>
      <w:r>
        <w:t xml:space="preserve"> </w:t>
      </w:r>
      <w:r>
        <w:t>in a prospective virtual screen that enabled the discovery of multiple chemotypes for a previously “undruggable” protein target. ModBind</w:t>
      </w:r>
      <w:r>
        <w:t xml:space="preserve"> </w:t>
      </w:r>
      <w:r>
        <w:t>dG</w:t>
      </w:r>
      <w:r>
        <w:t xml:space="preserve"> </w:t>
      </w:r>
      <w:r>
        <w:t>represents an opportunity to significantly impact computational drug discovery, making rigorous physics-based screening of hundreds of thousands to millions of compounds accessible to the entire pharmaceutical community.</w:t>
      </w:r>
    </w:p>
    <w:p>
      <w:pPr>
        <w:spacing w:before="120" w:after="120"/>
      </w:pPr>
      <w:r>
        <w:rPr>
          <w:sz w:val="18"/>
        </w:rPr>
        <w:t>——————————————————————————————————————————————————————————————————————</w:t>
      </w:r>
    </w:p>
    <w:p>
      <w:pPr>
        <w:spacing w:before="160" w:after="40" w:line="240" w:lineRule="auto"/>
      </w:pPr>
      <w:r>
        <w:rPr>
          <w:b/>
        </w:rPr>
        <w:t xml:space="preserve">[142] </w:t>
      </w:r>
      <w:hyperlink r:id="rId520">
        <w:r>
          <w:rPr>
            <w:color w:val="1155CC"/>
            <w:u w:val="single"/>
          </w:rPr>
          <w:t>捕获、停靠、解开和锁定</w:t>
        </w:r>
      </w:hyperlink>
    </w:p>
    <w:p>
      <w:pPr>
        <w:spacing w:before="0" w:after="80"/>
      </w:pPr>
      <w:r>
        <w:rPr>
          <w:i/>
          <w:sz w:val="20"/>
        </w:rPr>
        <w:t>EN: Catch, dock, unravel, and lock</w:t>
      </w:r>
    </w:p>
    <w:p>
      <w:pPr>
        <w:spacing w:before="0" w:after="120"/>
      </w:pPr>
      <w:r>
        <w:rPr>
          <w:b/>
        </w:rPr>
        <w:t xml:space="preserve">Source: </w:t>
      </w:r>
      <w:r>
        <w:t>Proceedings of the National Academy of Sciences: Keyword search for query</w:t>
      </w:r>
      <w:r>
        <w:t xml:space="preserve">    </w:t>
      </w:r>
      <w:r>
        <w:rPr>
          <w:b/>
        </w:rPr>
        <w:t xml:space="preserve">Pub date: </w:t>
      </w:r>
      <w:r>
        <w:t>2026-06-15 07:00:00+00:00</w:t>
      </w:r>
      <w:r>
        <w:t xml:space="preserve">    </w:t>
      </w:r>
      <w:r>
        <w:rPr>
          <w:b/>
        </w:rPr>
        <w:t xml:space="preserve">DOI: </w:t>
      </w:r>
      <w:hyperlink r:id="rId521">
        <w:r>
          <w:rPr>
            <w:color w:val="1155CC"/>
            <w:u w:val="single"/>
          </w:rPr>
          <w:t>10.1073/pnas.2611975123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[143] </w:t>
      </w:r>
      <w:hyperlink r:id="rId522">
        <w:r>
          <w:rPr>
            <w:color w:val="1155CC"/>
            <w:u w:val="single"/>
          </w:rPr>
          <w:t>人类产肠毒素大肠杆菌 (ETEC) 感染会引发抗体，广泛中和致病性大肠杆菌和志贺氏菌的粘蛋白酶</w:t>
        </w:r>
      </w:hyperlink>
    </w:p>
    <w:p>
      <w:pPr>
        <w:spacing w:before="0" w:after="80"/>
      </w:pPr>
      <w:r>
        <w:rPr>
          <w:i/>
          <w:sz w:val="20"/>
        </w:rPr>
        <w:t>EN: Human enterotoxigenic Escherichia coli (ETEC) infections elicit antibodies that broadly neutralize mucinases of pathogenic Escherichia coli and Shigella</w:t>
      </w:r>
    </w:p>
    <w:p>
      <w:pPr>
        <w:spacing w:before="0" w:after="120"/>
      </w:pPr>
      <w:r>
        <w:rPr>
          <w:b/>
        </w:rPr>
        <w:t xml:space="preserve">Source: </w:t>
      </w:r>
      <w:r>
        <w:t>Proceedings of the National Academy of Sciences: Keyword search for query</w:t>
      </w:r>
      <w:r>
        <w:t xml:space="preserve">    </w:t>
      </w:r>
      <w:r>
        <w:rPr>
          <w:b/>
        </w:rPr>
        <w:t xml:space="preserve">Pub date: </w:t>
      </w:r>
      <w:r>
        <w:t>2026-06-15 07:00:00+00:00</w:t>
      </w:r>
      <w:r>
        <w:t xml:space="preserve">    </w:t>
      </w:r>
      <w:r>
        <w:rPr>
          <w:b/>
        </w:rPr>
        <w:t xml:space="preserve">DOI: </w:t>
      </w:r>
      <w:hyperlink r:id="rId523">
        <w:r>
          <w:rPr>
            <w:color w:val="1155CC"/>
            <w:u w:val="single"/>
          </w:rPr>
          <w:t>10.1073/pnas.2614012123</w:t>
        </w:r>
      </w:hyperlink>
    </w:p>
    <w:p>
      <w:pPr>
        <w:spacing w:before="0" w:after="120"/>
      </w:pPr>
      <w:r>
        <w:rPr>
          <w:b/>
        </w:rPr>
        <w:t xml:space="preserve">Notes: </w:t>
      </w:r>
      <w:r>
        <w:t>abstract_source=crossref</w:t>
      </w:r>
    </w:p>
    <w:p>
      <w:pPr>
        <w:spacing w:before="0" w:after="80" w:lineRule="auto" w:line="276"/>
      </w:pPr>
      <w:r>
        <w:rPr>
          <w:b/>
        </w:rPr>
        <w:t xml:space="preserve">摘要（ZH）: </w:t>
      </w:r>
      <w:r>
        <w:t>产肠毒素</w:t>
      </w:r>
      <w:r>
        <w:t xml:space="preserve"> </w:t>
      </w:r>
      <w:r>
        <w:t>大肠杆菌</w:t>
      </w:r>
      <w:r>
        <w:t xml:space="preserve"> </w:t>
      </w:r>
      <w:r>
        <w:t>（ETEC）和</w:t>
      </w:r>
      <w:r>
        <w:t xml:space="preserve"> </w:t>
      </w:r>
      <w:r>
        <w:t>志贺氏菌属</w:t>
      </w:r>
      <w:r>
        <w:t xml:space="preserve"> </w:t>
      </w:r>
      <w:r>
        <w:t>是中低收入地区幼儿中最常见的细菌性腹泻病原体。肠道病原体必须克服宿主强大的防御能力，包括肠道粘液形成的保护屏障。 ETEC 产生一种名为 EatA 的毒力蛋白，它是丝氨酸蛋白酶自转运蛋白的成员</w:t>
      </w:r>
      <w:r>
        <w:t xml:space="preserve"> </w:t>
      </w:r>
      <w:r>
        <w:t>肠杆菌科</w:t>
      </w:r>
      <w:r>
        <w:t xml:space="preserve"> </w:t>
      </w:r>
      <w:r>
        <w:t>(SPATE) 家族，其中秘密乘客域 (EatA</w:t>
      </w:r>
      <w:r>
        <w:t xml:space="preserve"> </w:t>
      </w:r>
      <w:r>
        <w:t>p</w:t>
      </w:r>
      <w:r>
        <w:t xml:space="preserve"> </w:t>
      </w:r>
      <w:r>
        <w:t>) 特异性降解 MUC2，这是人类肠道杯状细胞分泌的主要粘液。值得注意的是，一些</w:t>
      </w:r>
      <w:r>
        <w:t xml:space="preserve"> </w:t>
      </w:r>
      <w:r>
        <w:t>志贺氏菌属</w:t>
      </w:r>
      <w:r>
        <w:t xml:space="preserve"> </w:t>
      </w:r>
      <w:r>
        <w:t>spp.，以及其他引起腹泻的</w:t>
      </w:r>
      <w:r>
        <w:t xml:space="preserve"> </w:t>
      </w:r>
      <w:r>
        <w:t>大肠杆菌</w:t>
      </w:r>
      <w:r>
        <w:t xml:space="preserve"> </w:t>
      </w:r>
      <w:r>
        <w:t>pathovars，分泌 EatA 的同源物，称为 SepA 和 Pic。在这里，我们证明 EatA、SepA 和 Pic 是功能冗余的 MUC2 粘蛋白酶，并且源自 ETEC 感染人类浆母细胞的重组单克隆抗体 (mAb) 可以抑制所有三种蛋白酶对 MUC2 的降解。我们展示了 EatA 和相关 SPATE 蛋白、SepA 和 Pic 的冷冻电镜结构，它们与这些 mAb 的抗原结合片段片段复合，以证明那些靶向所有三个 SPATE 分子共享的核心 β 螺旋表位的结构可广泛中和降解 MUC2 的能力。这些 mAb 可有效防止每个 SPATE 引起的 MUC2 降解以及 ETEC 引起的粘液渗透，</w:t>
      </w:r>
      <w:r>
        <w:t xml:space="preserve"> </w:t>
      </w:r>
      <w:r>
        <w:t>福氏志贺氏菌</w:t>
      </w:r>
    </w:p>
    <w:p>
      <w:pPr>
        <w:spacing w:before="0" w:after="200" w:lineRule="auto" w:line="276"/>
      </w:pPr>
      <w:r>
        <w:rPr>
          <w:b/>
        </w:rPr>
        <w:t xml:space="preserve">Abstract (EN): </w:t>
      </w:r>
      <w:r>
        <w:t>Enterotoxigenic</w:t>
      </w:r>
      <w:r>
        <w:t xml:space="preserve"> </w:t>
      </w:r>
      <w:r>
        <w:t>Escherichia coli</w:t>
      </w:r>
      <w:r>
        <w:t xml:space="preserve"> </w:t>
      </w:r>
      <w:r>
        <w:t>(ETEC) and</w:t>
      </w:r>
      <w:r>
        <w:t xml:space="preserve"> </w:t>
      </w:r>
      <w:r>
        <w:t>Shigella</w:t>
      </w:r>
      <w:r>
        <w:t xml:space="preserve"> </w:t>
      </w:r>
      <w:r>
        <w:t>are the most common bacterial diarrheal pathogens among young children of low-middle income regions. Enteric pathogens must overcome formidable host defenses, including the protective barrier formed by intestinal mucus. ETEC produce a virulence protein called EatA, a member of the Serine Protease Autotransporter of the</w:t>
      </w:r>
      <w:r>
        <w:t xml:space="preserve"> </w:t>
      </w:r>
      <w:r>
        <w:t>Enterobacteriae</w:t>
      </w:r>
      <w:r>
        <w:t xml:space="preserve"> </w:t>
      </w:r>
      <w:r>
        <w:t>(SPATE) family, where the secreted passenger domain (EatA</w:t>
      </w:r>
      <w:r>
        <w:t xml:space="preserve"> </w:t>
      </w:r>
      <w:r>
        <w:t>p</w:t>
      </w:r>
      <w:r>
        <w:t xml:space="preserve"> </w:t>
      </w:r>
      <w:r>
        <w:t>) specifically degrades MUC2, the major mucus secreted by goblet cells of the human intestine. Notably, some</w:t>
      </w:r>
      <w:r>
        <w:t xml:space="preserve"> </w:t>
      </w:r>
      <w:r>
        <w:t>Shigella</w:t>
      </w:r>
      <w:r>
        <w:t xml:space="preserve"> </w:t>
      </w:r>
      <w:r>
        <w:t>spp., as well as other diarrheagenic</w:t>
      </w:r>
      <w:r>
        <w:t xml:space="preserve"> </w:t>
      </w:r>
      <w:r>
        <w:t>E. coli</w:t>
      </w:r>
      <w:r>
        <w:t xml:space="preserve"> </w:t>
      </w:r>
      <w:r>
        <w:t>pathovars, secrete homologues of EatA known as SepA, and Pic. Here, we demonstrate that EatA, SepA, and Pic are functionally redundant MUC2 mucinases and that recombinant monoclonal antibodies (mAbs) derived from plasmablasts of ETEC-infected humans can inhibit MUC2 degradation by all three proteases. We present cryo-EM structures of EatA and the related SPATE proteins, SepA, and Pic, complexed to fragment antigen-binding portions of these mAbs to demonstrate that those targeting a core β-helix epitope shared by all three SPATE molecules broadly neutralize the capacity to degrade MUC2. These mAbs effectively prevent MUC2 degradation by each SPATE as well as mucus penetration by ETEC,</w:t>
      </w:r>
      <w:r>
        <w:t xml:space="preserve"> </w:t>
      </w:r>
      <w:r>
        <w:t>Shigella flexneri</w:t>
      </w:r>
      <w:r>
        <w:t xml:space="preserve"> </w:t>
      </w:r>
      <w:r>
        <w:t>, and Pic-producing enteroaggregative</w:t>
      </w:r>
      <w:r>
        <w:t xml:space="preserve"> </w:t>
      </w:r>
      <w:r>
        <w:t>E. coli</w:t>
      </w:r>
      <w:r>
        <w:t xml:space="preserve"> </w:t>
      </w:r>
      <w:r>
        <w:t>(EAEC). We anticipate that these studies could facilitate rational design of vaccines that broadly protect against major enteric pathogens by targeting a shared virulence feature.</w:t>
      </w:r>
    </w:p>
    <w:p>
      <w:pPr>
        <w:spacing w:before="120" w:after="120"/>
      </w:pPr>
      <w:r>
        <w:rPr>
          <w:sz w:val="18"/>
        </w:rPr>
        <w:t>——————————————————————————————————————————————————————————————————————</w:t>
      </w:r>
    </w:p>
    <w:p>
      <w:pPr>
        <w:spacing w:before="160" w:after="40" w:line="240" w:lineRule="auto"/>
      </w:pPr>
      <w:r>
        <w:rPr>
          <w:b/>
        </w:rPr>
        <w:t xml:space="preserve">[144] </w:t>
      </w:r>
      <w:hyperlink r:id="rId524">
        <w:r>
          <w:rPr>
            <w:color w:val="1155CC"/>
            <w:u w:val="single"/>
          </w:rPr>
          <w:t>EMB/ATG7 介导的自噬过程调节神经突生长并促进肠神经元发育</w:t>
        </w:r>
      </w:hyperlink>
    </w:p>
    <w:p>
      <w:pPr>
        <w:spacing w:before="0" w:after="80"/>
      </w:pPr>
      <w:r>
        <w:rPr>
          <w:i/>
          <w:sz w:val="20"/>
        </w:rPr>
        <w:t>EN: The EMB/ATG7-mediated autophagic process regulates neurite outgrowth and promotes enteric neuronal development</w:t>
      </w:r>
    </w:p>
    <w:p>
      <w:pPr>
        <w:spacing w:before="0" w:after="120"/>
      </w:pPr>
      <w:r>
        <w:rPr>
          <w:b/>
        </w:rPr>
        <w:t xml:space="preserve">Source: </w:t>
      </w:r>
      <w:r>
        <w:t>Proceedings of the National Academy of Sciences: Keyword search for query</w:t>
      </w:r>
      <w:r>
        <w:t xml:space="preserve">    </w:t>
      </w:r>
      <w:r>
        <w:rPr>
          <w:b/>
        </w:rPr>
        <w:t xml:space="preserve">Pub date: </w:t>
      </w:r>
      <w:r>
        <w:t>2026-06-15 07:00:00+00:00</w:t>
      </w:r>
      <w:r>
        <w:t xml:space="preserve">    </w:t>
      </w:r>
      <w:r>
        <w:rPr>
          <w:b/>
        </w:rPr>
        <w:t xml:space="preserve">DOI: </w:t>
      </w:r>
      <w:hyperlink r:id="rId525">
        <w:r>
          <w:rPr>
            <w:color w:val="1155CC"/>
            <w:u w:val="single"/>
          </w:rPr>
          <w:t>10.1073/pnas.2601752123</w:t>
        </w:r>
      </w:hyperlink>
    </w:p>
    <w:p>
      <w:pPr>
        <w:spacing w:before="0" w:after="120"/>
      </w:pPr>
      <w:r>
        <w:rPr>
          <w:b/>
        </w:rPr>
        <w:t xml:space="preserve">Notes: </w:t>
      </w:r>
      <w:r>
        <w:t>abstract_source=crossref</w:t>
      </w:r>
    </w:p>
    <w:p>
      <w:pPr>
        <w:spacing w:before="0" w:after="80" w:lineRule="auto" w:line="276"/>
      </w:pPr>
      <w:r>
        <w:rPr>
          <w:b/>
        </w:rPr>
        <w:t xml:space="preserve">摘要（ZH）: </w:t>
      </w:r>
      <w:r>
        <w:t>肠神经系统（ENS）的形成主要涉及肠神经嵴衍生细胞（ENCC）的迁移和随后肠神经元的成熟。 ENCC 和肠神经元的发育功能障碍可导致 ENS 疾病，例如神经节减退症 (HG)。尽管神经突生长是神经元成熟的基础，但神经突生长影响神经元成熟的机制仍不清楚。在这里，我们确定 EMB 是肠神经元成熟的关键调节因子。在</w:t>
      </w:r>
      <w:r>
        <w:t xml:space="preserve"> </w:t>
      </w:r>
      <w:r>
        <w:t>EMB</w:t>
      </w:r>
      <w:r>
        <w:t xml:space="preserve"> </w:t>
      </w:r>
      <w:r>
        <w:t>突变患者中，受 HG 影响的结肠肠神经元中 EMB 的表达降低。在小鼠中，敲低</w:t>
      </w:r>
      <w:r>
        <w:t xml:space="preserve"> </w:t>
      </w:r>
      <w:r>
        <w:t>嵌入</w:t>
      </w:r>
      <w:r>
        <w:t xml:space="preserve"> </w:t>
      </w:r>
      <w:r>
        <w:t>表现出类似 HG 的特征和缺陷。体外实验以及使用 Smart-seq2 和免疫沉淀质谱法的分析表明，EMB 对于自噬通量至关重要，并且与 ATG7 发生物理相互作用，将其招募到自噬体膜上以促进自噬体形成，然后 EMB/ATG7 介导的自噬促进神经突生长。我们的研究结果阐明 EMB 介导的自噬是调节神经突生长和促进肠神经元成熟的关键途径，这为理解 ENS 疾病提供了机制基础。</w:t>
      </w:r>
    </w:p>
    <w:p>
      <w:pPr>
        <w:spacing w:before="0" w:after="200" w:lineRule="auto" w:line="276"/>
      </w:pPr>
      <w:r>
        <w:rPr>
          <w:b/>
        </w:rPr>
        <w:t xml:space="preserve">Abstract (EN): </w:t>
      </w:r>
      <w:r>
        <w:t>The formation of the enteric nervous system (ENS) primarily involves the migration of enteric neural crest-derived cells (ENCCs) and the subsequent maturation of enteric neurons. The developmental dysfunction of ENCCs and enteric neurons can result in ENS disorders, such as hypoganglionosis (HG). Although neurite outgrowth is fundamental to neuronal maturation, the mechanisms by which neurite outgrowth influences neuronal maturation remain poorly defined. Here, we identified EMB as a critical regulator of enteric neuronal maturation. In</w:t>
      </w:r>
      <w:r>
        <w:t xml:space="preserve"> </w:t>
      </w:r>
      <w:r>
        <w:t>EMB</w:t>
      </w:r>
      <w:r>
        <w:t xml:space="preserve"> </w:t>
      </w:r>
      <w:r>
        <w:t>mutant patients, the expression of EMB is reduced in the enteric neurons of the HG-affected colon. In mice, knockdown of</w:t>
      </w:r>
      <w:r>
        <w:t xml:space="preserve"> </w:t>
      </w:r>
      <w:r>
        <w:t>Emb</w:t>
      </w:r>
      <w:r>
        <w:t xml:space="preserve"> </w:t>
      </w:r>
      <w:r>
        <w:t>exhibited HG-like features and defects. In vitro experiments, along with analyses using Smart-seq2 and immunoprecipitation-mass spectrometry, demonstrated that EMB is essential for autophagic flux and physically interacts with ATG7, recruiting it to the autophagosomal membrane to facilitate autophagosome formation, and then EMB/ATG7-mediated autophagy promotes neurite outgrowth. Our findings elucidate EMB-mediated autophagy as a pivotal pathway in regulating neurite outgrowth and promoting the maturation of enteric neurons, which provides a mechanistic basis for understanding ENS disorders.</w:t>
      </w:r>
    </w:p>
    <w:p>
      <w:pPr>
        <w:spacing w:before="120" w:after="120"/>
      </w:pPr>
      <w:r>
        <w:rPr>
          <w:sz w:val="18"/>
        </w:rPr>
        <w:t>——————————————————————————————————————————————————————————————————————</w:t>
      </w:r>
    </w:p>
    <w:p>
      <w:pPr>
        <w:spacing w:before="160" w:after="40" w:line="240" w:lineRule="auto"/>
      </w:pPr>
      <w:r>
        <w:rPr>
          <w:b/>
        </w:rPr>
        <w:t xml:space="preserve">[145] </w:t>
      </w:r>
      <w:hyperlink r:id="rId526">
        <w:r>
          <w:rPr>
            <w:color w:val="1155CC"/>
            <w:u w:val="single"/>
          </w:rPr>
          <w:t>分数电荷密度泛函理论阐明了电化学界面的电感应和电场效应</w:t>
        </w:r>
      </w:hyperlink>
    </w:p>
    <w:p>
      <w:pPr>
        <w:spacing w:before="0" w:after="80"/>
      </w:pPr>
      <w:r>
        <w:rPr>
          <w:i/>
          <w:sz w:val="20"/>
        </w:rPr>
        <w:t>EN: Fractional charge density functional theory elucidates electro-inductive and electric field effects at electrochemical interfaces</w:t>
      </w:r>
    </w:p>
    <w:p>
      <w:pPr>
        <w:spacing w:before="0" w:after="120"/>
      </w:pPr>
      <w:r>
        <w:rPr>
          <w:b/>
        </w:rPr>
        <w:t xml:space="preserve">Source: </w:t>
      </w:r>
      <w:r>
        <w:t>Proceedings of the National Academy of Sciences: Keyword search for query</w:t>
      </w:r>
      <w:r>
        <w:t xml:space="preserve">    </w:t>
      </w:r>
      <w:r>
        <w:rPr>
          <w:b/>
        </w:rPr>
        <w:t xml:space="preserve">Pub date: </w:t>
      </w:r>
      <w:r>
        <w:t>2026-06-15 07:00:00+00:00</w:t>
      </w:r>
      <w:r>
        <w:t xml:space="preserve">    </w:t>
      </w:r>
      <w:r>
        <w:rPr>
          <w:b/>
        </w:rPr>
        <w:t xml:space="preserve">DOI: </w:t>
      </w:r>
      <w:hyperlink r:id="rId527">
        <w:r>
          <w:rPr>
            <w:color w:val="1155CC"/>
            <w:u w:val="single"/>
          </w:rPr>
          <w:t>10.1073/pnas.2602964123</w:t>
        </w:r>
      </w:hyperlink>
    </w:p>
    <w:p>
      <w:pPr>
        <w:spacing w:before="0" w:after="120"/>
      </w:pPr>
      <w:r>
        <w:rPr>
          <w:b/>
        </w:rPr>
        <w:t xml:space="preserve">Notes: </w:t>
      </w:r>
      <w:r>
        <w:t>abstract_source=crossref</w:t>
      </w:r>
    </w:p>
    <w:p>
      <w:pPr>
        <w:spacing w:before="0" w:after="80" w:lineRule="auto" w:line="276"/>
      </w:pPr>
      <w:r>
        <w:rPr>
          <w:b/>
        </w:rPr>
        <w:t xml:space="preserve">摘要（ZH）: </w:t>
      </w:r>
      <w:r>
        <w:t>对电极上形成的自组装单分子层施加外部电压可以动态调节组成分子的特性。电极和施加的电压对分子产生两种主要效应，即电感应效应和电场效应，这两种效应都显着改变它们的化学性质和反应性。我们提出了分数电荷密度泛函理论以及模型电极和连续介质模型溶剂 (FC-DFT+)，以提供对这些效应的定量见解。 FC-DFT+准确预测C的斜率</w:t>
      </w:r>
      <w:r>
        <w:t xml:space="preserve"> </w:t>
      </w:r>
      <w:r>
        <w:t>==</w:t>
      </w:r>
      <w:r>
        <w:t xml:space="preserve"> </w:t>
      </w:r>
      <w:r>
        <w:t>N 频率与电压曲线、其频率平坦行为以及斜率的离子强度依赖性。我们证明频率平坦化是由电感应效应引起的，特别是当电子计数遇到 HOMO-LUMO 能隙时。进一步分析表明，电感应效应在腈频移中起主导作用，而电场效应则发挥较小但相反的作用。 FC-DFT+ 还证实了电感应效应是 NO 平坦化行为的原因</w:t>
      </w:r>
      <w:r>
        <w:rPr>
          <w:vertAlign w:val="subscript"/>
        </w:rPr>
        <w:t>2</w:t>
      </w:r>
      <w:r>
        <w:t>4-硝基苯硫醇的拉伸频率。相比之下，我们表明电场效应控制 4-巯基吡啶形成路易斯加合物。我们的研究证明了 FC-DFT+ 在预测电感应和电场效应方面的多功能性，这应该指导广泛的化学研究</w:t>
      </w:r>
    </w:p>
    <w:p>
      <w:pPr>
        <w:spacing w:before="0" w:after="200" w:lineRule="auto" w:line="276"/>
      </w:pPr>
      <w:r>
        <w:rPr>
          <w:b/>
        </w:rPr>
        <w:t xml:space="preserve">Abstract (EN): </w:t>
      </w:r>
      <w:r>
        <w:t>The application of external voltages to self-assembled monolayers formed on electrodes allows for dynamic tuning of the properties of the constituent molecules. The electrode and the applied voltage give rise to two main effects on the molecules, the electro-inductive and electric field effects, both of which significantly alter their chemical properties and reactivity. We present fractional charge density functional theory coupled with a model electrode and a continuum model solvent (FC-DFT+) to offer quantitative insights into these effects. FC-DFT+ accurately predicts the slope of C</w:t>
      </w:r>
      <w:r>
        <w:t xml:space="preserve"> </w:t>
      </w:r>
      <w:r>
        <w:t>≡</w:t>
      </w:r>
      <w:r>
        <w:t xml:space="preserve"> </w:t>
      </w:r>
      <w:r>
        <w:t>N frequency vs. voltage curve, its frequency-flattening behavior, and ionic strength dependence of the slope. We show that the frequency flattening arises from electro-inductive effects, particularly when the electron count encounters the HOMO–LUMO gap. Further analysis reveals that electro-inductive effects dominate in the nitrile frequency shift, while electric field effects play a smaller but opposing role. FC-DFT+ also confirms that electro-inductive effects being responsible for the flattening behavior of NO</w:t>
      </w:r>
      <w:r>
        <w:rPr>
          <w:vertAlign w:val="subscript"/>
        </w:rPr>
        <w:t>2</w:t>
      </w:r>
      <w:r>
        <w:t>stretching frequency by 4-nitrobenzenethiol. In contrast, we show that electric field effects govern the Lewis adduct formation by 4-mercaptopyridine. Our study demonstrates the versatility of FC-DFT+ in predicting both electro-inductive and electric field effects, which should guide a broad spectrum of chemical applications at electrochemical interfaces.</w:t>
      </w:r>
    </w:p>
    <w:p>
      <w:pPr>
        <w:spacing w:before="120" w:after="120"/>
      </w:pPr>
      <w:r>
        <w:rPr>
          <w:sz w:val="18"/>
        </w:rPr>
        <w:t>——————————————————————————————————————————————————————————————————————</w:t>
      </w:r>
    </w:p>
    <w:p>
      <w:pPr>
        <w:spacing w:before="160" w:after="40" w:line="240" w:lineRule="auto"/>
      </w:pPr>
      <w:r>
        <w:rPr>
          <w:b/>
        </w:rPr>
        <w:t xml:space="preserve">[146] </w:t>
      </w:r>
      <w:hyperlink r:id="rId528">
        <w:r>
          <w:rPr>
            <w:color w:val="1155CC"/>
            <w:u w:val="single"/>
          </w:rPr>
          <w:t>人工智能代理对推动很敏感</w:t>
        </w:r>
      </w:hyperlink>
    </w:p>
    <w:p>
      <w:pPr>
        <w:spacing w:before="0" w:after="80"/>
      </w:pPr>
      <w:r>
        <w:rPr>
          <w:i/>
          <w:sz w:val="20"/>
        </w:rPr>
        <w:t>EN: AI agents are sensitive to nudges</w:t>
      </w:r>
    </w:p>
    <w:p>
      <w:pPr>
        <w:spacing w:before="0" w:after="120"/>
      </w:pPr>
      <w:r>
        <w:rPr>
          <w:b/>
        </w:rPr>
        <w:t xml:space="preserve">Source: </w:t>
      </w:r>
      <w:r>
        <w:t>Proceedings of the National Academy of Sciences: Keyword search for query</w:t>
      </w:r>
      <w:r>
        <w:t xml:space="preserve">    </w:t>
      </w:r>
      <w:r>
        <w:rPr>
          <w:b/>
        </w:rPr>
        <w:t xml:space="preserve">Pub date: </w:t>
      </w:r>
      <w:r>
        <w:t>2026-06-15 07:00:00+00:00</w:t>
      </w:r>
      <w:r>
        <w:t xml:space="preserve">    </w:t>
      </w:r>
      <w:r>
        <w:rPr>
          <w:b/>
        </w:rPr>
        <w:t xml:space="preserve">DOI: </w:t>
      </w:r>
      <w:hyperlink r:id="rId529">
        <w:r>
          <w:rPr>
            <w:color w:val="1155CC"/>
            <w:u w:val="single"/>
          </w:rPr>
          <w:t>10.1073/pnas.2537030123</w:t>
        </w:r>
      </w:hyperlink>
    </w:p>
    <w:p>
      <w:pPr>
        <w:spacing w:before="0" w:after="120"/>
      </w:pPr>
      <w:r>
        <w:rPr>
          <w:b/>
        </w:rPr>
        <w:t xml:space="preserve">Notes: </w:t>
      </w:r>
      <w:r>
        <w:t>abstract_source=crossref</w:t>
      </w:r>
    </w:p>
    <w:p>
      <w:pPr>
        <w:spacing w:before="0" w:after="80" w:lineRule="auto" w:line="276"/>
      </w:pPr>
      <w:r>
        <w:rPr>
          <w:b/>
        </w:rPr>
        <w:t xml:space="preserve">摘要（ZH）: </w:t>
      </w:r>
      <w:r>
        <w:t>大型语言模型 (LLM) 越来越多地部署为代表用户做出选择和使用工具的自主代理。然而，我们关于他们的决定如何受到环境影响的证据有限。我们采用人类决策任务来测试领先的法学硕士在四种形式的选择架构下的表现：默认、建议、信息突出显示以及源自人类选择的资源理性模型的“最佳”推动。我们将人类行为视为对此类干预措施的可预测敏感性的基线。在不同的模型和激励策略中，法学硕士通常会大大偏离这一基线。它们有时会付出过高的成本来获取信息，有时会忽略可用的信息，最重要的是，它们对推动的反应比人类要灵敏得多，因此，稍微改变人类行为的微弱线索会对模型选择产生更大的影响，导致更好或更差的回报结果。思想链提示和上下文中的人类数据并不能可靠地稳定行为。最近的推理优化法学硕士在某些配置中可以恢复更多人类水平的对助推的敏感性，但这样做不一致并且需要大量的计算成本。这些结果指出了一个重要且很大程度上被忽视的安全问题：即使在没有对抗性设置的情况下，LLM 代理在选择架构的细微变化下也可能表现出脆弱性。</w:t>
      </w:r>
    </w:p>
    <w:p>
      <w:pPr>
        <w:spacing w:before="0" w:after="200" w:lineRule="auto" w:line="276"/>
      </w:pPr>
      <w:r>
        <w:rPr>
          <w:b/>
        </w:rPr>
        <w:t xml:space="preserve">Abstract (EN): </w:t>
      </w:r>
      <w:r>
        <w:t>Large language models (LLMs) are increasingly deployed as autonomous agents that make choices and use tools on behalf of users. Yet, we have limited evidence about how their decisions are shaped by their environment. We adapt a human decision-making task to test leading LLMs under four forms of choice architecture: defaults, suggestions, information highlighting, and “optimal” nudges derived from a resource-rational model of human choice. We treat human behavior as a baseline for predictable sensitivity to such interventions. Across models and prompting strategies, LLMs often depart substantially from this baseline. They sometimes pay excessive costs to acquire information, sometimes ignore available information, and, most crucially, are far more responsive to nudges than humans, such that weak cues that slightly shift human behavior have larger effects on model choices, toward both better and worse payoff outcomes. Chain-of-thought prompting and in-context human data do not reliably stabilize behavior. Recent reasoning-optimized LLMs can, in some configurations, restore more human-level sensitivity to nudges, but do so inconsistently and at substantial computational cost. These results point to an important and largely neglected safety concern: LLM agents can be behaviorally brittle under subtle changes in choice architecture, even in the absence of adversarial settings.</w:t>
      </w:r>
    </w:p>
    <w:p>
      <w:pPr>
        <w:spacing w:before="120" w:after="120"/>
      </w:pPr>
      <w:r>
        <w:rPr>
          <w:sz w:val="18"/>
        </w:rPr>
        <w:t>——————————————————————————————————————————————————————————————————————</w:t>
      </w:r>
    </w:p>
    <w:p>
      <w:pPr>
        <w:spacing w:before="160" w:after="40" w:line="240" w:lineRule="auto"/>
      </w:pPr>
      <w:r>
        <w:rPr>
          <w:b/>
        </w:rPr>
        <w:t xml:space="preserve">[147] </w:t>
      </w:r>
      <w:hyperlink r:id="rId530">
        <w:r>
          <w:rPr>
            <w:color w:val="1155CC"/>
            <w:u w:val="single"/>
          </w:rPr>
          <w:t>调节单萜吲哚生物碱生物合成中的还原酶活性</w:t>
        </w:r>
      </w:hyperlink>
    </w:p>
    <w:p>
      <w:pPr>
        <w:spacing w:before="0" w:after="80"/>
      </w:pPr>
      <w:r>
        <w:rPr>
          <w:i/>
          <w:sz w:val="20"/>
        </w:rPr>
        <w:t>EN: Tuning reductase activity in monoterpene indole alkaloid biosynthesis</w:t>
      </w:r>
    </w:p>
    <w:p>
      <w:pPr>
        <w:spacing w:before="0" w:after="120"/>
      </w:pPr>
      <w:r>
        <w:rPr>
          <w:b/>
        </w:rPr>
        <w:t xml:space="preserve">Source: </w:t>
      </w:r>
      <w:r>
        <w:t>Proceedings of the National Academy of Sciences: Keyword search for query</w:t>
      </w:r>
      <w:r>
        <w:t xml:space="preserve">    </w:t>
      </w:r>
      <w:r>
        <w:rPr>
          <w:b/>
        </w:rPr>
        <w:t xml:space="preserve">Pub date: </w:t>
      </w:r>
      <w:r>
        <w:t>2026-06-15 07:00:00+00:00</w:t>
      </w:r>
      <w:r>
        <w:t xml:space="preserve">    </w:t>
      </w:r>
      <w:r>
        <w:rPr>
          <w:b/>
        </w:rPr>
        <w:t xml:space="preserve">DOI: </w:t>
      </w:r>
      <w:hyperlink r:id="rId531">
        <w:r>
          <w:rPr>
            <w:color w:val="1155CC"/>
            <w:u w:val="single"/>
          </w:rPr>
          <w:t>10.1073/pnas.2605425123</w:t>
        </w:r>
      </w:hyperlink>
    </w:p>
    <w:p>
      <w:pPr>
        <w:spacing w:before="0" w:after="120"/>
      </w:pPr>
      <w:r>
        <w:rPr>
          <w:b/>
        </w:rPr>
        <w:t xml:space="preserve">Notes: </w:t>
      </w:r>
      <w:r>
        <w:t>abstract_source=crossref</w:t>
      </w:r>
    </w:p>
    <w:p>
      <w:pPr>
        <w:spacing w:before="0" w:after="80" w:lineRule="auto" w:line="276"/>
      </w:pPr>
      <w:r>
        <w:rPr>
          <w:b/>
        </w:rPr>
        <w:t xml:space="preserve">摘要（ZH）: </w:t>
      </w:r>
      <w:r>
        <w:t>单萜吲哚生物碱包含多种植物天然产物。其中许多有价值的化合物，包括抗癌药物长春花碱和长春新碱（</w:t>
      </w:r>
      <w:r>
        <w:t xml:space="preserve"> </w:t>
      </w:r>
      <w:r>
        <w:t>长春花</w:t>
      </w:r>
      <w:r>
        <w:t xml:space="preserve"> </w:t>
      </w:r>
      <w:r>
        <w:t>）和抗成瘾治疗伊博加因（</w:t>
      </w:r>
      <w:r>
        <w:t xml:space="preserve"> </w:t>
      </w:r>
      <w:r>
        <w:t>塔本南塔伊博加</w:t>
      </w:r>
      <w:r>
        <w:t xml:space="preserve"> </w:t>
      </w:r>
      <w:r>
        <w:t>）利用常见的生物合成中间体，19</w:t>
      </w:r>
      <w:r>
        <w:t xml:space="preserve"> </w:t>
      </w:r>
      <w:r>
        <w:t>乙</w:t>
      </w:r>
      <w:r>
        <w:t xml:space="preserve"> </w:t>
      </w:r>
      <w:r>
        <w:t>-geissoschizine，由中链脱氢酶/还原酶geissoschizine合酶(GS)产生。在此，我们报道了 geissoschizine 合酶 (FoGS) 的促进剂，这是一种可改善 19 形成的蛋白质</w:t>
      </w:r>
      <w:r>
        <w:t xml:space="preserve"> </w:t>
      </w:r>
      <w:r>
        <w:t>乙</w:t>
      </w:r>
      <w:r>
        <w:t xml:space="preserve"> </w:t>
      </w:r>
      <w:r>
        <w:t>-geissoschizine 与 GS 联合作用。鉴定出与 GS 一起产生 19 的 FoGS 直向同源物</w:t>
      </w:r>
      <w:r>
        <w:t xml:space="preserve"> </w:t>
      </w:r>
      <w:r>
        <w:t>Z</w:t>
      </w:r>
      <w:r>
        <w:t xml:space="preserve"> </w:t>
      </w:r>
      <w:r>
        <w:t>-geissoschizine 展示了这种蛋白质如何能够控制产品的立体化学。我们证明 FoGS 和 GS 相互作用形成稳定的异二聚体，并通过诱变鉴定出有助于 FoGS 和 GS 组合活性的 FoGS 残基。这项工作强调了蛋白质在代谢途径中的参与，当单独分析时，这些蛋白质似乎不是必需的，但仍然增加了给定代谢步骤的效率或特异性。</w:t>
      </w:r>
    </w:p>
    <w:p>
      <w:pPr>
        <w:spacing w:before="0" w:after="200" w:lineRule="auto" w:line="276"/>
      </w:pPr>
      <w:r>
        <w:rPr>
          <w:b/>
        </w:rPr>
        <w:t xml:space="preserve">Abstract (EN): </w:t>
      </w:r>
      <w:r>
        <w:t>Monoterpene indole alkaloids encompass a diverse class of plant natural products. Many of these valuable compounds, including the anticancer medicines vinblastine and vincristine (</w:t>
      </w:r>
      <w:r>
        <w:t xml:space="preserve"> </w:t>
      </w:r>
      <w:r>
        <w:t>Catharanthus roseus</w:t>
      </w:r>
      <w:r>
        <w:t xml:space="preserve"> </w:t>
      </w:r>
      <w:r>
        <w:t>) and the antiaddiction treatment ibogaine (</w:t>
      </w:r>
      <w:r>
        <w:t xml:space="preserve"> </w:t>
      </w:r>
      <w:r>
        <w:t>Tabernanthe iboga</w:t>
      </w:r>
      <w:r>
        <w:t xml:space="preserve"> </w:t>
      </w:r>
      <w:r>
        <w:t>) utilize a common biosynthetic intermediate, 19</w:t>
      </w:r>
      <w:r>
        <w:t xml:space="preserve"> </w:t>
      </w:r>
      <w:r>
        <w:t>E</w:t>
      </w:r>
      <w:r>
        <w:t xml:space="preserve"> </w:t>
      </w:r>
      <w:r>
        <w:t>-geissoschizine, which is produced by the medium-chain dehydrogenase/reductase geissoschizine synthase (GS). Herein, we report facilitator of geissoschizine synthase (FoGS), a protein that improves formation of 19</w:t>
      </w:r>
      <w:r>
        <w:t xml:space="preserve"> </w:t>
      </w:r>
      <w:r>
        <w:t>E</w:t>
      </w:r>
      <w:r>
        <w:t xml:space="preserve"> </w:t>
      </w:r>
      <w:r>
        <w:t>-geissoschizine by acting in combination with GS. The identification of a FoGS ortholog that works with GS to produce 19</w:t>
      </w:r>
      <w:r>
        <w:t xml:space="preserve"> </w:t>
      </w:r>
      <w:r>
        <w:t>Z</w:t>
      </w:r>
      <w:r>
        <w:t xml:space="preserve"> </w:t>
      </w:r>
      <w:r>
        <w:t>-geissoschizine shows how this protein also enables control over product stereochemistry. We demonstrate that FoGS and GS interact to form a stable heterodimer and through mutagenesis identify FoGS residues that contribute to the combined activity of FoGS and GS. This work highlights the involvement of proteins in metabolic pathways that, when assayed alone, appear nonessential, but nevertheless increase the efficiency or specificity of a given metabolic step.</w:t>
      </w:r>
    </w:p>
    <w:p>
      <w:pPr>
        <w:spacing w:before="120" w:after="120"/>
      </w:pPr>
      <w:r>
        <w:rPr>
          <w:sz w:val="18"/>
        </w:rPr>
        <w:t>——————————————————————————————————————————————————————————————————————</w:t>
      </w:r>
    </w:p>
    <w:p>
      <w:pPr>
        <w:spacing w:before="160" w:after="40" w:line="240" w:lineRule="auto"/>
      </w:pPr>
      <w:r>
        <w:rPr>
          <w:b/>
        </w:rPr>
        <w:t xml:space="preserve">[148] </w:t>
      </w:r>
      <w:hyperlink r:id="rId532">
        <w:r>
          <w:rPr>
            <w:color w:val="1155CC"/>
            <w:u w:val="single"/>
          </w:rPr>
          <w:t>基于聚儿茶酚的铁捕食者破坏真菌铁稳态以驱动选择性抗真菌作用</w:t>
        </w:r>
      </w:hyperlink>
    </w:p>
    <w:p>
      <w:pPr>
        <w:spacing w:before="0" w:after="80"/>
      </w:pPr>
      <w:r>
        <w:rPr>
          <w:i/>
          <w:sz w:val="20"/>
        </w:rPr>
        <w:t>EN: Polycatechol-based iron predators disrupt fungal iron homeostasis to drive selective antifungal action</w:t>
      </w:r>
    </w:p>
    <w:p>
      <w:pPr>
        <w:spacing w:before="0" w:after="120"/>
      </w:pPr>
      <w:r>
        <w:rPr>
          <w:b/>
        </w:rPr>
        <w:t xml:space="preserve">Source: </w:t>
      </w:r>
      <w:r>
        <w:t>Proceedings of the National Academy of Sciences: Keyword search for query</w:t>
      </w:r>
      <w:r>
        <w:t xml:space="preserve">    </w:t>
      </w:r>
      <w:r>
        <w:rPr>
          <w:b/>
        </w:rPr>
        <w:t xml:space="preserve">Pub date: </w:t>
      </w:r>
      <w:r>
        <w:t>2026-06-15 07:00:00+00:00</w:t>
      </w:r>
      <w:r>
        <w:t xml:space="preserve">    </w:t>
      </w:r>
      <w:r>
        <w:rPr>
          <w:b/>
        </w:rPr>
        <w:t xml:space="preserve">DOI: </w:t>
      </w:r>
      <w:hyperlink r:id="rId533">
        <w:r>
          <w:rPr>
            <w:color w:val="1155CC"/>
            <w:u w:val="single"/>
          </w:rPr>
          <w:t>10.1073/pnas.2537796123</w:t>
        </w:r>
      </w:hyperlink>
    </w:p>
    <w:p>
      <w:pPr>
        <w:spacing w:before="0" w:after="120"/>
      </w:pPr>
      <w:r>
        <w:rPr>
          <w:b/>
        </w:rPr>
        <w:t xml:space="preserve">Notes: </w:t>
      </w:r>
      <w:r>
        <w:t>abstract_source=crossref</w:t>
      </w:r>
    </w:p>
    <w:p>
      <w:pPr>
        <w:spacing w:before="0" w:after="80" w:lineRule="auto" w:line="276"/>
      </w:pPr>
      <w:r>
        <w:rPr>
          <w:b/>
        </w:rPr>
        <w:t xml:space="preserve">摘要（ZH）: </w:t>
      </w:r>
      <w:r>
        <w:t>真菌感染构成了日益严重的全球健康挑战，有效治疗方法的缺乏和耐药性的上升加剧了这一挑战。尽管阳离子聚合物由于结构可调性、设计灵活性和抗蛋白水解降解性而成为有前途的抗真菌候选物，但它们的临床应用受到非选择性膜破坏机制的阻碍。在此，我们开发了一类被称为真菌铁捕食者（FIP）的聚儿茶酚，表现出优异的杀菌活性和显着低的细胞毒性。这些 FIP 可以有效地渗透真菌细胞，选择性地隔离不稳定的铁，并破坏铁的稳态和新陈代谢。随后的铁饥饿会引发严重的线粒体功能障碍和能量崩溃，最终导致真菌细胞死亡。通过阳离子密度和儿茶酚化学计量的系统优化，我们获得了一种 FIP 变体，该变体表现出有效的抗真菌活性，相对于哺乳动物细胞，对真菌具有高选择性，诱导耐药性的倾向最小，并且具有补充的抗氧化特性。值得注意的是，该 FIP 候选药物在多种真菌感染体内模型中显示出强大的治疗性能。至关重要的是，这项工作在聚合物设计中建立了突破性的范例：将抗真菌机制从传统的非特异性膜破坏转变为靶向细胞内代谢干扰。该策略在不同阳离子聚合物主链上的普遍适用性为开发下一代精密抗真菌剂开辟了途径。</w:t>
      </w:r>
    </w:p>
    <w:p>
      <w:pPr>
        <w:spacing w:before="0" w:after="200" w:lineRule="auto" w:line="276"/>
      </w:pPr>
      <w:r>
        <w:rPr>
          <w:b/>
        </w:rPr>
        <w:t xml:space="preserve">Abstract (EN): </w:t>
      </w:r>
      <w:r>
        <w:t>Fungal infections pose a growing global health challenge, exacerbated by a scarcity of effective treatments and rising drug resistance. Although cationic polymers emerge as promising antifungal candidates owing to structural tunability, design flexibility, and resistance to proteolytic degradation, their clinical utility has been hampered by nonselective membrane-disruption mechanisms. Herein, we develop a class of polycatechols- termed fungal iron predators (FIPs), exhibit exceptional fungicidal activity and markedly low cytotoxicity. These FIPs can efficiently infiltrate fungal cells, selectively sequester labile iron, and disrupt iron homeostasis and metabolism. The ensuing iron starvation provokes severe mitochondrial dysfunction and energy collapse, culminating in fungal cell death. Through systemic optimization of cationic density and catechol stoichiometry, we obtained an FIP variant demonstrating potent antifungal activity with high selectivity toward fungi over mammalian cells, minimal propensity to induce resistance, and supplementary antioxidant properties. Remarkably, this FIP candidate shows robust therapeutic performance across multiple in vivo models of fungal infection. Critically, this work established a groundbreaking paradigm in polymer design: shifting the antifungal mechanism from traditional nonspecific membrane disruption to targeted intracellular metabolic interference. The general applicability of this strategy across diverse cationic polymer backbones opens avenues for developing next generation of precision antifungal agents.</w:t>
      </w:r>
    </w:p>
    <w:p>
      <w:pPr>
        <w:spacing w:before="120" w:after="120"/>
      </w:pPr>
      <w:r>
        <w:rPr>
          <w:sz w:val="18"/>
        </w:rPr>
        <w:t>——————————————————————————————————————————————————————————————————————</w:t>
      </w:r>
    </w:p>
    <w:p>
      <w:pPr>
        <w:spacing w:before="160" w:after="40" w:line="240" w:lineRule="auto"/>
      </w:pPr>
      <w:r>
        <w:rPr>
          <w:b/>
        </w:rPr>
        <w:t xml:space="preserve">[149] </w:t>
      </w:r>
      <w:hyperlink r:id="rId534">
        <w:r>
          <w:rPr>
            <w:color w:val="1155CC"/>
            <w:u w:val="single"/>
          </w:rPr>
          <w:t>甜味和脂肪共生体：宿主内微藻的光合生产力和碳储存得到提高</w:t>
        </w:r>
      </w:hyperlink>
    </w:p>
    <w:p>
      <w:pPr>
        <w:spacing w:before="0" w:after="80"/>
      </w:pPr>
      <w:r>
        <w:rPr>
          <w:i/>
          <w:sz w:val="20"/>
        </w:rPr>
        <w:t>EN: Sweet and fatty symbionts: Photosynthetic productivity and carbon storage boosted in microalgae within a host</w:t>
      </w:r>
    </w:p>
    <w:p>
      <w:pPr>
        <w:spacing w:before="0" w:after="120"/>
      </w:pPr>
      <w:r>
        <w:rPr>
          <w:b/>
        </w:rPr>
        <w:t xml:space="preserve">Source: </w:t>
      </w:r>
      <w:r>
        <w:t>Proceedings of the National Academy of Sciences: Keyword search for query</w:t>
      </w:r>
      <w:r>
        <w:t xml:space="preserve">    </w:t>
      </w:r>
      <w:r>
        <w:rPr>
          <w:b/>
        </w:rPr>
        <w:t xml:space="preserve">Pub date: </w:t>
      </w:r>
      <w:r>
        <w:t>2026-06-15 07:00:00+00:00</w:t>
      </w:r>
      <w:r>
        <w:t xml:space="preserve">    </w:t>
      </w:r>
      <w:r>
        <w:rPr>
          <w:b/>
        </w:rPr>
        <w:t xml:space="preserve">DOI: </w:t>
      </w:r>
      <w:hyperlink r:id="rId535">
        <w:r>
          <w:rPr>
            <w:color w:val="1155CC"/>
            <w:u w:val="single"/>
          </w:rPr>
          <w:t>10.1073/pnas.2513679123</w:t>
        </w:r>
      </w:hyperlink>
    </w:p>
    <w:p>
      <w:pPr>
        <w:spacing w:before="0" w:after="120"/>
      </w:pPr>
      <w:r>
        <w:rPr>
          <w:b/>
        </w:rPr>
        <w:t xml:space="preserve">Notes: </w:t>
      </w:r>
      <w:r>
        <w:t>abstract_source=crossref</w:t>
      </w:r>
    </w:p>
    <w:p>
      <w:pPr>
        <w:spacing w:before="0" w:after="80" w:lineRule="auto" w:line="276"/>
      </w:pPr>
      <w:r>
        <w:rPr>
          <w:b/>
        </w:rPr>
        <w:t xml:space="preserve">摘要（ZH）: </w:t>
      </w:r>
      <w:r>
        <w:t>宿主和细胞内真核微藻之间的共生是水生生态系统中广泛的生命策略。这种伙伴关系被认为主要是通过微藻共生体提供光合作用产生的碳能来提供能量的。一个主要问题是微藻是否会增加其光合作用产量并减少碳储存，以便最大限度地向宿主转移碳。通过结合三维亚细胞成像和生理分析，我们发现叶绿体和 CO</w:t>
      </w:r>
      <w:r>
        <w:rPr>
          <w:vertAlign w:val="subscript"/>
        </w:rPr>
        <w:t>2</w:t>
      </w:r>
      <w:r>
        <w:t>-固定微藻的蛋白核</w:t>
      </w:r>
      <w:r>
        <w:t xml:space="preserve"> </w:t>
      </w:r>
      <w:r>
        <w:t>传导微藻</w:t>
      </w:r>
      <w:r>
        <w:t xml:space="preserve"> </w:t>
      </w:r>
      <w:r>
        <w:t>在宿主（纤毛虫）共生期间显着扩展</w:t>
      </w:r>
      <w:r>
        <w:t xml:space="preserve"> </w:t>
      </w:r>
      <w:r>
        <w:t>草履虫</w:t>
      </w:r>
      <w:r>
        <w:t xml:space="preserve"> </w:t>
      </w:r>
      <w:r>
        <w:t>）与自由生活阶段相比。与此同时，Rubisco 酶的数量增加了三倍，每个藻细胞的碳固定率增加了 16 倍，并且多个碳浓缩机制相关基因的上调。时间分辨亚细胞定量成像显示，光合固定碳在白天首先分配给淀粉，共生时产量高出五倍。淀粉中储存的碳近一半在一夜之间被消耗掉，而一些碳则转化为脂滴，而脂滴的体积是共生微藻的 20 倍。我们还表明，碳被转移到宿主并可能被周围宿主线粒体的高密度呼吸。然而，共生微藻中的高淀粉和脂质含量表明，</w:t>
      </w:r>
    </w:p>
    <w:p>
      <w:pPr>
        <w:spacing w:before="0" w:after="200" w:lineRule="auto" w:line="276"/>
      </w:pPr>
      <w:r>
        <w:rPr>
          <w:b/>
        </w:rPr>
        <w:t xml:space="preserve">Abstract (EN): </w:t>
      </w:r>
      <w:r>
        <w:t>Symbiosis between a host and intracellular eukaryotic microalgae is a widespread life strategy in aquatic ecosystems. This partnership is considered to be mainly energized by the supply of photosynthetically derived carbon energy from microalgal symbionts. A major question is whether microalgae increase their photosynthetic production and decrease carbon storage in order to maximize carbon translocation to their host. By combining three-dimensional subcellular imaging and physiological analyses, we show that the chloroplast and CO</w:t>
      </w:r>
      <w:r>
        <w:rPr>
          <w:vertAlign w:val="subscript"/>
        </w:rPr>
        <w:t>2</w:t>
      </w:r>
      <w:r>
        <w:t>-fixing pyrenoid of the microalga</w:t>
      </w:r>
      <w:r>
        <w:t xml:space="preserve"> </w:t>
      </w:r>
      <w:r>
        <w:t>Micractinium conductrix</w:t>
      </w:r>
      <w:r>
        <w:t xml:space="preserve"> </w:t>
      </w:r>
      <w:r>
        <w:t>significantly expands during symbiosis within their host (the ciliate</w:t>
      </w:r>
      <w:r>
        <w:t xml:space="preserve"> </w:t>
      </w:r>
      <w:r>
        <w:t>Paramecium bursaria</w:t>
      </w:r>
      <w:r>
        <w:t xml:space="preserve"> </w:t>
      </w:r>
      <w:r>
        <w:t>) compared to the free-living stage. This is accompanied by a threefold higher quantity of Rubisco enzymes, 16-fold higher carbon fixation rate per algal cell and upregulation of several Carbon Concentrating Mechanism-related genes. Time-resolved subcellular quantitative imaging revealed that photosynthetically fixed carbon is first allocated to starch during the day, with five times higher production in symbiosis. Nearly half of the carbon stored in starch is consumed overnight while some is converted into lipid droplets, which are 20-fold more voluminous in symbiotic microalgae. We also show that carbon is transferred to the host and potentially respired by the high density of surrounding host mitochondria. Yet, high starch and lipid content in symbiotic microalgae suggest a moderate carbon export to the host relative to the high primary productivity. Overall, this study provides an original view of the subcellular remodeling and dynamics of carbon metabolism of microalgae inside a host, and opens new questions on the mechanisms of the source–sink relationship in aquatic photosymbiosis.</w:t>
      </w:r>
    </w:p>
    <w:p>
      <w:pPr>
        <w:spacing w:before="120" w:after="120"/>
      </w:pPr>
      <w:r>
        <w:rPr>
          <w:sz w:val="18"/>
        </w:rPr>
        <w:t>——————————————————————————————————————————————————————————————————————</w:t>
      </w:r>
    </w:p>
    <w:p>
      <w:pPr>
        <w:spacing w:before="160" w:after="40" w:line="240" w:lineRule="auto"/>
      </w:pPr>
      <w:r>
        <w:rPr>
          <w:b/>
        </w:rPr>
        <w:t xml:space="preserve">[150] </w:t>
      </w:r>
      <w:hyperlink r:id="rId536">
        <w:r>
          <w:rPr>
            <w:color w:val="1155CC"/>
            <w:u w:val="single"/>
          </w:rPr>
          <w:t>用于细胞代谢和抗菌药物敏感性测试的皮热量计</w:t>
        </w:r>
      </w:hyperlink>
    </w:p>
    <w:p>
      <w:pPr>
        <w:spacing w:before="0" w:after="80"/>
      </w:pPr>
      <w:r>
        <w:rPr>
          <w:i/>
          <w:sz w:val="20"/>
        </w:rPr>
        <w:t>EN: A pico-calorimeter for cellular metabolism and antimicrobial susceptibility testing</w:t>
      </w:r>
    </w:p>
    <w:p>
      <w:pPr>
        <w:spacing w:before="0" w:after="120"/>
      </w:pPr>
      <w:r>
        <w:rPr>
          <w:b/>
        </w:rPr>
        <w:t xml:space="preserve">Source: </w:t>
      </w:r>
      <w:r>
        <w:t>Proceedings of the National Academy of Sciences: Keyword search for query</w:t>
      </w:r>
      <w:r>
        <w:t xml:space="preserve">    </w:t>
      </w:r>
      <w:r>
        <w:rPr>
          <w:b/>
        </w:rPr>
        <w:t xml:space="preserve">Pub date: </w:t>
      </w:r>
      <w:r>
        <w:t>2026-06-15 07:00:00+00:00</w:t>
      </w:r>
      <w:r>
        <w:t xml:space="preserve">    </w:t>
      </w:r>
      <w:r>
        <w:rPr>
          <w:b/>
        </w:rPr>
        <w:t xml:space="preserve">DOI: </w:t>
      </w:r>
      <w:hyperlink r:id="rId537">
        <w:r>
          <w:rPr>
            <w:color w:val="1155CC"/>
            <w:u w:val="single"/>
          </w:rPr>
          <w:t>10.1073/pnas.2603171123</w:t>
        </w:r>
      </w:hyperlink>
    </w:p>
    <w:p>
      <w:pPr>
        <w:spacing w:before="0" w:after="120"/>
      </w:pPr>
      <w:r>
        <w:rPr>
          <w:b/>
        </w:rPr>
        <w:t xml:space="preserve">Notes: </w:t>
      </w:r>
      <w:r>
        <w:t>abstract_source=crossref</w:t>
      </w:r>
    </w:p>
    <w:p>
      <w:pPr>
        <w:spacing w:before="0" w:after="80" w:lineRule="auto" w:line="276"/>
      </w:pPr>
      <w:r>
        <w:rPr>
          <w:b/>
        </w:rPr>
        <w:t xml:space="preserve">摘要（ZH）: </w:t>
      </w:r>
      <w:r>
        <w:t>虽然存在间接量化生物系统代谢的方法，但直接测量活样品中的代谢率仍然具有挑战性。在这里，我们描述了一种在 23.1 mHz 下灵敏度约为 100 pW 的量热传感器，适用于测量活体生物体，超过了之前报道的灵敏度。该传感器测量包含样品的毛细管和两个参考毛细管之间的微小温差，直接将该温差与样品产生的热量联系起来。该传感器具有高响应度（23 至 100 nV/nW）、快速热响应时间（约 7.9 秒），并支持实时、长期监测生物过程，例如少量细菌的增殖和生长。这些能力为增进我们对复杂生物现象的理解提供了机会。我们通过测量增长率来展示传感器的实用性</w:t>
      </w:r>
      <w:r>
        <w:t xml:space="preserve"> </w:t>
      </w:r>
      <w:r>
        <w:t>大肠杆菌</w:t>
      </w:r>
      <w:r>
        <w:t xml:space="preserve"> </w:t>
      </w:r>
      <w:r>
        <w:t>。该技术能够估计每个细胞的耗氧率、每个细胞的产热量以及呼吸和发酵的相关贡献。我们进一步展示了生长速率如何响应不同浓度的氯霉素、利福平和氨苄青霉素（三种具有不同作用机制的抗生素）而变化。该传感器在确定抗生素的最低抑制浓度、对病原体进行抗生素敏感性测试以及实现基本检测方面显示出巨大的潜力。</w:t>
      </w:r>
    </w:p>
    <w:p>
      <w:pPr>
        <w:spacing w:before="0" w:after="200" w:lineRule="auto" w:line="276"/>
      </w:pPr>
      <w:r>
        <w:rPr>
          <w:b/>
        </w:rPr>
        <w:t xml:space="preserve">Abstract (EN): </w:t>
      </w:r>
      <w:r>
        <w:t>While methods exist to indirectly quantify the metabolism of biological systems, directly measuring metabolic rates in living samples remains challenging. Here, we describe a calorimetric sensor with a sensitivity of ~100 pW at 23.1 mHz, suitable for measurements on living organisms, surpassing previously reported sensitivities. The sensor measures minute temperature differences between a capillary that contains the sample and two reference capillaries, directly relating this temperature difference to the heat produced by the sample. The sensor provides high responsivity (23 to 100 nV/nW), a fast thermal response time (~7.9 s), and supports real-time, long-term monitoring of biological processes, such as the proliferation and growth of small numbers of bacteria. These capabilities offer opportunities to advance our understanding of complex biological phenomena. We demonstrate the utility of the sensor by measuring the growth rate of</w:t>
      </w:r>
      <w:r>
        <w:t xml:space="preserve"> </w:t>
      </w:r>
      <w:r>
        <w:t>Escherichia coli</w:t>
      </w:r>
      <w:r>
        <w:t xml:space="preserve"> </w:t>
      </w:r>
      <w:r>
        <w:t>. The technique enables estimation of the oxygen consumption rate per cell, the heat production per cell, and the associated contributions from respiration and fermentation. We further show how the growth rate changes in response to different concentrations of chloramphenicol, rifampicin, and ampicillin, three antibiotics with distinct mechanisms of action. The sensor shows significant potential for determining the minimum inhibitory concentrations of antibiotics, performing antibiotic susceptibility testing of pathogens, and enabling fundamental studies of microorganism metabolism.</w:t>
      </w:r>
    </w:p>
    <w:p>
      <w:pPr>
        <w:spacing w:before="120" w:after="120"/>
      </w:pPr>
      <w:r>
        <w:rPr>
          <w:sz w:val="18"/>
        </w:rPr>
        <w:t>——————————————————————————————————————————————————————————————————————</w:t>
      </w:r>
    </w:p>
    <w:p>
      <w:pPr>
        <w:spacing w:before="160" w:after="40" w:line="240" w:lineRule="auto"/>
      </w:pPr>
      <w:r>
        <w:rPr>
          <w:b/>
        </w:rPr>
        <w:t xml:space="preserve">[151] </w:t>
      </w:r>
      <w:hyperlink r:id="rId538">
        <w:r>
          <w:rPr>
            <w:color w:val="1155CC"/>
            <w:u w:val="single"/>
          </w:rPr>
          <w:t>酉系统-巴斯动力学中的纠缠转变</w:t>
        </w:r>
      </w:hyperlink>
    </w:p>
    <w:p>
      <w:pPr>
        <w:spacing w:before="0" w:after="80"/>
      </w:pPr>
      <w:r>
        <w:rPr>
          <w:i/>
          <w:sz w:val="20"/>
        </w:rPr>
        <w:t>EN: Entanglement Transition in Unitary System-Bath Dynamics</w:t>
      </w:r>
    </w:p>
    <w:p>
      <w:pPr>
        <w:spacing w:before="0" w:after="120"/>
      </w:pPr>
      <w:r>
        <w:rPr>
          <w:b/>
        </w:rPr>
        <w:t xml:space="preserve">Source: </w:t>
      </w:r>
      <w:r>
        <w:t>Recent Articles in Phys. Rev. Lett.</w:t>
      </w:r>
      <w:r>
        <w:t xml:space="preserve">    </w:t>
      </w:r>
      <w:r>
        <w:rPr>
          <w:b/>
        </w:rPr>
        <w:t xml:space="preserve">Pub date: </w:t>
      </w:r>
      <w:r>
        <w:t>2026-06-15 10:00:00+00:00</w:t>
      </w:r>
      <w:r>
        <w:t xml:space="preserve">    </w:t>
      </w:r>
      <w:r>
        <w:rPr>
          <w:b/>
        </w:rPr>
        <w:t xml:space="preserve">DOI: </w:t>
      </w:r>
      <w:hyperlink r:id="rId539">
        <w:r>
          <w:rPr>
            <w:color w:val="1155CC"/>
            <w:u w:val="single"/>
          </w:rPr>
          <w:t>10.1103/7g5s-hsd6</w:t>
        </w:r>
      </w:hyperlink>
    </w:p>
    <w:p>
      <w:pPr>
        <w:spacing w:before="0" w:after="120"/>
      </w:pPr>
      <w:r>
        <w:rPr>
          <w:b/>
        </w:rPr>
        <w:t xml:space="preserve">Notes: </w:t>
      </w:r>
      <w:r>
        <w:t>abstract_source=rss_description</w:t>
      </w:r>
    </w:p>
    <w:p>
      <w:pPr>
        <w:spacing w:before="0" w:after="80" w:lineRule="auto" w:line="276"/>
      </w:pPr>
      <w:r>
        <w:rPr>
          <w:b/>
        </w:rPr>
        <w:t xml:space="preserve">摘要（ZH）: </w:t>
      </w:r>
      <w:r>
        <w:t>作者：Bo Xing、Giuliano Chiriacò、Paola Cappellaro、Rosario Fazio 和 Dario Poletti 与浴耦合的系统的演化通常用主方程来描述，该主方程在长时间极限内产生稳态密度矩阵。然而，当同样的演化被分解成量子轨迹时，就有可能观察到纠缠尺度的转变……[物理学。莱特牧师。 136, 240401] 2026 年 6 月 15 日星期一发布</w:t>
      </w:r>
    </w:p>
    <w:p>
      <w:pPr>
        <w:spacing w:before="0" w:after="200" w:lineRule="auto" w:line="276"/>
      </w:pPr>
      <w:r>
        <w:rPr>
          <w:b/>
        </w:rPr>
        <w:t xml:space="preserve">Abstract (EN): </w:t>
      </w:r>
      <w:r>
        <w:t>Author(s): Bo Xing, Giuliano Chiriacò, Paola Cappellaro, Rosario Fazio, and Dario PolettiThe evolution of a system coupled to baths is commonly described by a master equation that, in the long-time limit, yields a steady-state density matrix. However, when the same evolution is unraveled into quantum trajectories, it is possible to observe a transition in the scaling of entanglement wit…[Phys. Rev. Lett. 136, 240401] Published Mon Jun 15, 2026</w:t>
      </w:r>
    </w:p>
    <w:p>
      <w:pPr>
        <w:spacing w:before="120" w:after="120"/>
      </w:pPr>
      <w:r>
        <w:rPr>
          <w:sz w:val="18"/>
        </w:rPr>
        <w:t>——————————————————————————————————————————————————————————————————————</w:t>
      </w:r>
    </w:p>
    <w:p>
      <w:pPr>
        <w:spacing w:before="160" w:after="40" w:line="240" w:lineRule="auto"/>
      </w:pPr>
      <w:r>
        <w:rPr>
          <w:b/>
        </w:rPr>
        <w:t xml:space="preserve">[152] </w:t>
      </w:r>
      <w:hyperlink r:id="rId540">
        <w:r>
          <w:rPr>
            <w:color w:val="1155CC"/>
            <w:u w:val="single"/>
          </w:rPr>
          <w:t>重离子碰撞中通过核子和中等质量碎片的波动进行液-气相变</w:t>
        </w:r>
      </w:hyperlink>
    </w:p>
    <w:p>
      <w:pPr>
        <w:spacing w:before="0" w:after="80"/>
      </w:pPr>
      <w:r>
        <w:rPr>
          <w:i/>
          <w:sz w:val="20"/>
        </w:rPr>
        <w:t>EN: Liquid-gas phase transition in heavy-ion collisions via fluctuations of nucleons and intermediate-mass fragments</w:t>
      </w:r>
    </w:p>
    <w:p>
      <w:pPr>
        <w:spacing w:before="0" w:after="120"/>
      </w:pPr>
      <w:r>
        <w:rPr>
          <w:b/>
        </w:rPr>
        <w:t xml:space="preserve">Source: </w:t>
      </w:r>
      <w:r>
        <w:t>Recent Articles in Phys. Rev. C</w:t>
      </w:r>
      <w:r>
        <w:t xml:space="preserve">    </w:t>
      </w:r>
      <w:r>
        <w:rPr>
          <w:b/>
        </w:rPr>
        <w:t xml:space="preserve">Pub date: </w:t>
      </w:r>
      <w:r>
        <w:t>2026-06-15 10:00:00+00:00</w:t>
      </w:r>
      <w:r>
        <w:t xml:space="preserve">    </w:t>
      </w:r>
      <w:r>
        <w:rPr>
          <w:b/>
        </w:rPr>
        <w:t xml:space="preserve">DOI: </w:t>
      </w:r>
      <w:hyperlink r:id="rId541">
        <w:r>
          <w:rPr>
            <w:color w:val="1155CC"/>
            <w:u w:val="single"/>
          </w:rPr>
          <w:t>10.1103/375b-8dw5</w:t>
        </w:r>
      </w:hyperlink>
    </w:p>
    <w:p>
      <w:pPr>
        <w:spacing w:before="0" w:after="120"/>
      </w:pPr>
      <w:r>
        <w:rPr>
          <w:b/>
        </w:rPr>
        <w:t xml:space="preserve">Notes: </w:t>
      </w:r>
      <w:r>
        <w:t>abstract_source=rss_description</w:t>
      </w:r>
    </w:p>
    <w:p>
      <w:pPr>
        <w:spacing w:before="0" w:after="80" w:lineRule="auto" w:line="276"/>
      </w:pPr>
      <w:r>
        <w:rPr>
          <w:b/>
        </w:rPr>
        <w:t xml:space="preserve">摘要（ZH）: </w:t>
      </w:r>
      <w:r>
        <w:t>利用同位旋量子分子动力学框架内的涨落可观测量来探索重离子碰撞中的液-气相变（LGPT）。在一系列束流能量范围内分析发射质子和中子的缩放方差 $(ω)$、偏度 $(Sσ)$ 和峰度 $(κ{σ}^{2})$...[Phys.牧师神父。 C 113, 064610] 于 6 月 15 日星期一发布，</w:t>
      </w:r>
    </w:p>
    <w:p>
      <w:pPr>
        <w:spacing w:before="0" w:after="200" w:lineRule="auto" w:line="276"/>
      </w:pPr>
      <w:r>
        <w:rPr>
          <w:b/>
        </w:rPr>
        <w:t xml:space="preserve">Abstract (EN): </w:t>
      </w:r>
      <w:r>
        <w:t>Author(s): X. G. Deng (邓先概), Jin-Mei Wang (汪金梅), and Y. G. Ma (马余刚)The liquid-gas phase transition (LGPT) in heavy-ion collisions is explored using fluctuation observables within the isospin quantum molecular dynamics framework. Scaled variance $(ω)$, skewness $(Sσ)$, and kurtosis $(κ{σ}^{2})$ of emitted protons and neutrons are analyzed over a range of beam energi…[Phys. Rev. C 113, 064610] Published Mon Jun 15, 2026</w:t>
      </w:r>
    </w:p>
    <w:p>
      <w:pPr>
        <w:spacing w:before="120" w:after="120"/>
      </w:pPr>
      <w:r>
        <w:rPr>
          <w:sz w:val="18"/>
        </w:rPr>
        <w:t>——————————————————————————————————————————————————————————————————————</w:t>
      </w:r>
    </w:p>
    <w:p>
      <w:pPr>
        <w:spacing w:before="160" w:after="40" w:line="240" w:lineRule="auto"/>
      </w:pPr>
      <w:r>
        <w:rPr>
          <w:b/>
        </w:rPr>
        <w:t xml:space="preserve">[153] </w:t>
      </w:r>
      <w:hyperlink r:id="rId542">
        <w:r>
          <w:rPr>
            <w:color w:val="1155CC"/>
            <w:u w:val="single"/>
          </w:rPr>
          <w:t>非线性霍尔量子振荡探测石墨烯莫尔系统中的拓扑布朗扎克费米子</w:t>
        </w:r>
      </w:hyperlink>
    </w:p>
    <w:p>
      <w:pPr>
        <w:spacing w:before="0" w:after="80"/>
      </w:pPr>
      <w:r>
        <w:rPr>
          <w:i/>
          <w:sz w:val="20"/>
        </w:rPr>
        <w:t>EN: Nonlinear Hall Quantum Oscillations to Probe Topological Brown-Zak Fermions in Graphene Moiré Systems</w:t>
      </w:r>
    </w:p>
    <w:p>
      <w:pPr>
        <w:spacing w:before="0" w:after="120"/>
      </w:pPr>
      <w:r>
        <w:rPr>
          <w:b/>
        </w:rPr>
        <w:t xml:space="preserve">Source: </w:t>
      </w:r>
      <w:r>
        <w:t>Recent Articles in Phys. Rev. Lett.</w:t>
      </w:r>
      <w:r>
        <w:t xml:space="preserve">    </w:t>
      </w:r>
      <w:r>
        <w:rPr>
          <w:b/>
        </w:rPr>
        <w:t xml:space="preserve">Pub date: </w:t>
      </w:r>
      <w:r>
        <w:t>2026-06-15 10:00:00+00:00</w:t>
      </w:r>
      <w:r>
        <w:t xml:space="preserve">    </w:t>
      </w:r>
      <w:r>
        <w:rPr>
          <w:b/>
        </w:rPr>
        <w:t xml:space="preserve">DOI: </w:t>
      </w:r>
      <w:hyperlink r:id="rId543">
        <w:r>
          <w:rPr>
            <w:color w:val="1155CC"/>
            <w:u w:val="single"/>
          </w:rPr>
          <w:t>10.1103/ydym-5t5p</w:t>
        </w:r>
      </w:hyperlink>
    </w:p>
    <w:p>
      <w:pPr>
        <w:spacing w:before="0" w:after="120"/>
      </w:pPr>
      <w:r>
        <w:rPr>
          <w:b/>
        </w:rPr>
        <w:t xml:space="preserve">Notes: </w:t>
      </w:r>
      <w:r>
        <w:t>abstract_source=rss_description</w:t>
      </w:r>
    </w:p>
    <w:p>
      <w:pPr>
        <w:spacing w:before="0" w:after="80" w:lineRule="auto" w:line="276"/>
      </w:pPr>
      <w:r>
        <w:rPr>
          <w:b/>
        </w:rPr>
        <w:t xml:space="preserve">摘要（ZH）: </w:t>
      </w:r>
      <w:r>
        <w:t>Author(s): Jinrui Zhong, Huimin Peng, Yuqing Hu, Qi Feng, Qiuli Li, Shihao Zhang, Qinsheng Wang, Jinhai Mao, Junxi Duan, and Yugui YaoA new experiment probes the quantum geometry of electronic wave functions involved in a nonlinear Hall response.[Phys. Rev. Lett. 136, 246301] Published Mon Jun 15, 2026</w:t>
      </w:r>
    </w:p>
    <w:p>
      <w:pPr>
        <w:spacing w:before="0" w:after="200" w:lineRule="auto" w:line="276"/>
      </w:pPr>
      <w:r>
        <w:rPr>
          <w:b/>
        </w:rPr>
        <w:t xml:space="preserve">Abstract (EN): </w:t>
      </w:r>
      <w:r>
        <w:t>Author(s): Jinrui Zhong, Huimin Peng, Yuqing Hu, Qi Feng, Qiuli Li, Shihao Zhang, Qinsheng Wang, Jinhai Mao, Junxi Duan, and Yugui YaoA new experiment probes the quantum geometry of electronic wave functions involved in a nonlinear Hall response.[Phys. Rev. Lett. 136, 246301] Published Mon Jun 15, 2026</w:t>
      </w:r>
    </w:p>
    <w:p>
      <w:pPr>
        <w:spacing w:before="120" w:after="120"/>
      </w:pPr>
      <w:r>
        <w:rPr>
          <w:sz w:val="18"/>
        </w:rPr>
        <w:t>——————————————————————————————————————————————————————————————————————</w:t>
      </w:r>
    </w:p>
    <w:p>
      <w:pPr>
        <w:spacing w:before="160" w:after="40" w:line="240" w:lineRule="auto"/>
      </w:pPr>
      <w:r>
        <w:rPr>
          <w:b/>
        </w:rPr>
        <w:t xml:space="preserve">[154] </w:t>
      </w:r>
      <w:hyperlink r:id="rId544">
        <w:r>
          <w:rPr>
            <w:color w:val="1155CC"/>
            <w:u w:val="single"/>
          </w:rPr>
          <w:t>元素碲中手性声子的动量分辨直接观测</w:t>
        </w:r>
      </w:hyperlink>
    </w:p>
    <w:p>
      <w:pPr>
        <w:spacing w:before="0" w:after="80"/>
      </w:pPr>
      <w:r>
        <w:rPr>
          <w:i/>
          <w:sz w:val="20"/>
        </w:rPr>
        <w:t>EN: Momentum-Resolved Direct Observation of Chiral Phonons in Elemental Tellurium</w:t>
      </w:r>
    </w:p>
    <w:p>
      <w:pPr>
        <w:spacing w:before="0" w:after="120"/>
      </w:pPr>
      <w:r>
        <w:rPr>
          <w:b/>
        </w:rPr>
        <w:t xml:space="preserve">Source: </w:t>
      </w:r>
      <w:r>
        <w:t>Recent Articles in Phys. Rev. Lett.</w:t>
      </w:r>
      <w:r>
        <w:t xml:space="preserve">    </w:t>
      </w:r>
      <w:r>
        <w:rPr>
          <w:b/>
        </w:rPr>
        <w:t xml:space="preserve">Pub date: </w:t>
      </w:r>
      <w:r>
        <w:t>2026-06-15 10:00:00+00:00</w:t>
      </w:r>
      <w:r>
        <w:t xml:space="preserve">    </w:t>
      </w:r>
      <w:r>
        <w:rPr>
          <w:b/>
        </w:rPr>
        <w:t xml:space="preserve">DOI: </w:t>
      </w:r>
      <w:hyperlink r:id="rId545">
        <w:r>
          <w:rPr>
            <w:color w:val="1155CC"/>
            <w:u w:val="single"/>
          </w:rPr>
          <w:t>10.1103/5cks-j4ht</w:t>
        </w:r>
      </w:hyperlink>
    </w:p>
    <w:p>
      <w:pPr>
        <w:spacing w:before="0" w:after="120"/>
      </w:pPr>
      <w:r>
        <w:rPr>
          <w:b/>
        </w:rPr>
        <w:t xml:space="preserve">Notes: </w:t>
      </w:r>
      <w:r>
        <w:t>abstract_source=rss_description</w:t>
      </w:r>
    </w:p>
    <w:p>
      <w:pPr>
        <w:spacing w:before="0" w:after="80" w:lineRule="auto" w:line="276"/>
      </w:pPr>
      <w:r>
        <w:rPr>
          <w:b/>
        </w:rPr>
        <w:t xml:space="preserve">摘要（ZH）: </w:t>
      </w:r>
      <w:r>
        <w:t>作者：Qiyang Sun、Songrui Hou、Ayman H. Said、Yanzhong Pei、Jie Ma、Wei Tian 和 Chen Li 手性声子携带有限的声子角动量，但它们在声学分支中的动量分辨行为在很大程度上仍未被探索。在这里，我们报告了元素 Te 中手性声声子的直接检测。通过结合高能量分辨率非弹性 X 射线散射实验……[Phys.莱特牧师。 136, 246101] 2026 年 6 月 15 日星期一发布</w:t>
      </w:r>
    </w:p>
    <w:p>
      <w:pPr>
        <w:spacing w:before="0" w:after="200" w:lineRule="auto" w:line="276"/>
      </w:pPr>
      <w:r>
        <w:rPr>
          <w:b/>
        </w:rPr>
        <w:t xml:space="preserve">Abstract (EN): </w:t>
      </w:r>
      <w:r>
        <w:t>Author(s): Qiyang Sun, Songrui Hou, Ayman H. Said, Yanzhong Pei, Jie Ma, Wei Tian, and Chen LiChiral phonons carry finite phonon angular momentum, yet their momentum-resolved behavior in acoustic branches remains largely unexplored. Here, we report the direct detection of chiral acoustic phonons in elemental Te. Through a combination of high-energy-resolution inelastic x-ray scattering exper…[Phys. Rev. Lett. 136, 246101] Published Mon Jun 15, 2026</w:t>
      </w:r>
    </w:p>
    <w:p>
      <w:pPr>
        <w:spacing w:before="120" w:after="120"/>
      </w:pPr>
      <w:r>
        <w:rPr>
          <w:sz w:val="18"/>
        </w:rPr>
        <w:t>——————————————————————————————————————————————————————————————————————</w:t>
      </w:r>
    </w:p>
    <w:p>
      <w:pPr>
        <w:spacing w:before="160" w:after="40" w:line="240" w:lineRule="auto"/>
      </w:pPr>
      <w:r>
        <w:rPr>
          <w:b/>
        </w:rPr>
        <w:t xml:space="preserve">[155] </w:t>
      </w:r>
      <w:hyperlink r:id="rId546">
        <w:r>
          <w:rPr>
            <w:color w:val="1155CC"/>
            <w:u w:val="single"/>
          </w:rPr>
          <w:t>受集体流约束的冷稠密物质的微量异常</w:t>
        </w:r>
      </w:hyperlink>
    </w:p>
    <w:p>
      <w:pPr>
        <w:spacing w:before="0" w:after="80"/>
      </w:pPr>
      <w:r>
        <w:rPr>
          <w:i/>
          <w:sz w:val="20"/>
        </w:rPr>
        <w:t>EN: Trace Anomaly of Cold Dense Matter Constrained by Collective Flow</w:t>
      </w:r>
    </w:p>
    <w:p>
      <w:pPr>
        <w:spacing w:before="0" w:after="120"/>
      </w:pPr>
      <w:r>
        <w:rPr>
          <w:b/>
        </w:rPr>
        <w:t xml:space="preserve">Source: </w:t>
      </w:r>
      <w:r>
        <w:t>Recent Articles in Phys. Rev. Lett.</w:t>
      </w:r>
      <w:r>
        <w:t xml:space="preserve">    </w:t>
      </w:r>
      <w:r>
        <w:rPr>
          <w:b/>
        </w:rPr>
        <w:t xml:space="preserve">Pub date: </w:t>
      </w:r>
      <w:r>
        <w:t>2026-06-15 10:00:00+00:00</w:t>
      </w:r>
      <w:r>
        <w:t xml:space="preserve">    </w:t>
      </w:r>
      <w:r>
        <w:rPr>
          <w:b/>
        </w:rPr>
        <w:t xml:space="preserve">DOI: </w:t>
      </w:r>
      <w:hyperlink r:id="rId547">
        <w:r>
          <w:rPr>
            <w:color w:val="1155CC"/>
            <w:u w:val="single"/>
          </w:rPr>
          <w:t>10.1103/b2t4-km2r</w:t>
        </w:r>
      </w:hyperlink>
    </w:p>
    <w:p>
      <w:pPr>
        <w:spacing w:before="0" w:after="120"/>
      </w:pPr>
      <w:r>
        <w:rPr>
          <w:b/>
        </w:rPr>
        <w:t xml:space="preserve">Notes: </w:t>
      </w:r>
      <w:r>
        <w:t>abstract_source=rss_description</w:t>
      </w:r>
    </w:p>
    <w:p>
      <w:pPr>
        <w:spacing w:before="0" w:after="80" w:lineRule="auto" w:line="276"/>
      </w:pPr>
      <w:r>
        <w:rPr>
          <w:b/>
        </w:rPr>
        <w:t xml:space="preserve">摘要（ZH）: </w:t>
      </w:r>
      <w:r>
        <w:t>作者：李保安稠密物质的微量异常 $\mathrm{Δ}equation1/3−P/ϵ$，通过压力 $P$ 与能量密度 $ϵ$ 的比率 $weqP/ϵ$ 定义，量化了共形对称性的偏差，并提供了与中子星和热原子相关的状态方程 (EOS) 刚度的无量纲测量。莱特牧师。 136, 242301] 2026 年 6 月 15 日星期一发布</w:t>
      </w:r>
    </w:p>
    <w:p>
      <w:pPr>
        <w:spacing w:before="0" w:after="200" w:lineRule="auto" w:line="276"/>
      </w:pPr>
      <w:r>
        <w:rPr>
          <w:b/>
        </w:rPr>
        <w:t xml:space="preserve">Abstract (EN): </w:t>
      </w:r>
      <w:r>
        <w:t>Author(s): Bao-An LiThe trace anomaly of dense matter, $\mathrm{Δ}≡1/3−P/ϵ$, defined through the ratio $w≡P/ϵ$ of pressure $P$ to energy density $ϵ$, quantifies deviations from conformal symmetry and provides a dimensionless measure of the stiffness of the equation of state (EOS) relevant for both neutron stars and hea…[Phys. Rev. Lett. 136, 242301] Published Mon Jun 15, 2026</w:t>
      </w:r>
    </w:p>
    <w:p>
      <w:pPr>
        <w:spacing w:before="120" w:after="120"/>
      </w:pPr>
      <w:r>
        <w:rPr>
          <w:sz w:val="18"/>
        </w:rPr>
        <w:t>——————————————————————————————————————————————————————————————————————</w:t>
      </w:r>
    </w:p>
    <w:p>
      <w:pPr>
        <w:spacing w:before="160" w:after="40" w:line="240" w:lineRule="auto"/>
      </w:pPr>
      <w:r>
        <w:rPr>
          <w:b/>
        </w:rPr>
        <w:t xml:space="preserve">[156] </w:t>
      </w:r>
      <w:hyperlink r:id="rId548">
        <w:r>
          <w:rPr>
            <w:color w:val="1155CC"/>
            <w:u w:val="single"/>
          </w:rPr>
          <w:t>费曼积分约简和 $ϵ$ 因式分解微分方程的几何簿记指南</w:t>
        </w:r>
      </w:hyperlink>
    </w:p>
    <w:p>
      <w:pPr>
        <w:spacing w:before="0" w:after="80"/>
      </w:pPr>
      <w:r>
        <w:rPr>
          <w:i/>
          <w:sz w:val="20"/>
        </w:rPr>
        <w:t>EN: Geometric Bookkeeping Guide to Feynman Integral Reduction and $ϵ$-Factorized Differential Equations</w:t>
      </w:r>
    </w:p>
    <w:p>
      <w:pPr>
        <w:spacing w:before="0" w:after="120"/>
      </w:pPr>
      <w:r>
        <w:rPr>
          <w:b/>
        </w:rPr>
        <w:t xml:space="preserve">Source: </w:t>
      </w:r>
      <w:r>
        <w:t>Recent Articles in Phys. Rev. Lett.</w:t>
      </w:r>
      <w:r>
        <w:t xml:space="preserve">    </w:t>
      </w:r>
      <w:r>
        <w:rPr>
          <w:b/>
        </w:rPr>
        <w:t xml:space="preserve">Pub date: </w:t>
      </w:r>
      <w:r>
        <w:t>2026-06-15 10:00:00+00:00</w:t>
      </w:r>
      <w:r>
        <w:t xml:space="preserve">    </w:t>
      </w:r>
      <w:r>
        <w:rPr>
          <w:b/>
        </w:rPr>
        <w:t xml:space="preserve">DOI: </w:t>
      </w:r>
      <w:hyperlink r:id="rId549">
        <w:r>
          <w:rPr>
            <w:color w:val="1155CC"/>
            <w:u w:val="single"/>
          </w:rPr>
          <w:t>10.1103/pyt8-d7rt</w:t>
        </w:r>
      </w:hyperlink>
    </w:p>
    <w:p>
      <w:pPr>
        <w:spacing w:before="0" w:after="120"/>
      </w:pPr>
      <w:r>
        <w:rPr>
          <w:b/>
        </w:rPr>
        <w:t xml:space="preserve">Notes: </w:t>
      </w:r>
      <w:r>
        <w:t>abstract_source=rss_description</w:t>
      </w:r>
    </w:p>
    <w:p>
      <w:pPr>
        <w:spacing w:before="0" w:after="80" w:lineRule="auto" w:line="276"/>
      </w:pPr>
      <w:r>
        <w:rPr>
          <w:b/>
        </w:rPr>
        <w:t xml:space="preserve">摘要（ZH）: </w:t>
      </w:r>
      <w:r>
        <w:t>作者：Iris Bree、Federico Gasparotto、Antonela Matijašić、Pouria Mazloumi、Dmytro Melnichenko、Sebastian Pögel、Toni Teschke、Xing Wang、Stefan Weinzierl、Konglong Wu 和 Xiaofeng Xu（ϵ 合作）我们报告了费曼积分约简和 $ϵ$ 因式分解微分方程方面的三项改进。首先，我们表明，通过特定的前因子选择，我们可以忽略分部积分恒等式的 $ϵ$ 依赖性。其次，我们观察到，通过特定的选择……[物理。莱特牧师。 136, 241602] 2026 年 6 月 15 日星期一发布</w:t>
      </w:r>
    </w:p>
    <w:p>
      <w:pPr>
        <w:spacing w:before="0" w:after="200" w:lineRule="auto" w:line="276"/>
      </w:pPr>
      <w:r>
        <w:rPr>
          <w:b/>
        </w:rPr>
        <w:t xml:space="preserve">Abstract (EN): </w:t>
      </w:r>
      <w:r>
        <w:t>Author(s): Iris Bree, Federico Gasparotto, Antonela Matijašić, Pouria Mazloumi, Dmytro Melnichenko, Sebastian Pögel, Toni Teschke, Xing Wang, Stefan Weinzierl, Konglong Wu, and Xiaofeng Xu (ϵ Collaboration)We report on three improvements in the context of Feynman integral reduction and $ϵ$-factorized differential equations. First, we show that with a specific choice of prefactors, we trivialize the $ϵ$ dependence of the integration-by-parts identities. Second, we observe that with a specific choice of…[Phys. Rev. Lett. 136, 241602] Published Mon Jun 15, 2026</w:t>
      </w:r>
    </w:p>
    <w:p>
      <w:pPr>
        <w:spacing w:before="120" w:after="120"/>
      </w:pPr>
      <w:r>
        <w:rPr>
          <w:sz w:val="18"/>
        </w:rPr>
        <w:t>——————————————————————————————————————————————————————————————————————</w:t>
      </w:r>
    </w:p>
    <w:p>
      <w:pPr>
        <w:spacing w:before="160" w:after="40" w:line="240" w:lineRule="auto"/>
      </w:pPr>
      <w:r>
        <w:rPr>
          <w:b/>
        </w:rPr>
        <w:t xml:space="preserve">[157] </w:t>
      </w:r>
      <w:hyperlink r:id="rId550">
        <w:r>
          <w:rPr>
            <w:color w:val="1155CC"/>
            <w:u w:val="single"/>
          </w:rPr>
          <w:t>从有效场论看规范论中相关函数与威尔逊环之间的对偶性</w:t>
        </w:r>
      </w:hyperlink>
    </w:p>
    <w:p>
      <w:pPr>
        <w:spacing w:before="0" w:after="80"/>
      </w:pPr>
      <w:r>
        <w:rPr>
          <w:i/>
          <w:sz w:val="20"/>
        </w:rPr>
        <w:t>EN: Duality between Correlation Functions and Wilson Loops in Gauge Theory from Effective Field Theory</w:t>
      </w:r>
    </w:p>
    <w:p>
      <w:pPr>
        <w:spacing w:before="0" w:after="120"/>
      </w:pPr>
      <w:r>
        <w:rPr>
          <w:b/>
        </w:rPr>
        <w:t xml:space="preserve">Source: </w:t>
      </w:r>
      <w:r>
        <w:t>Recent Articles in Phys. Rev. Lett.</w:t>
      </w:r>
      <w:r>
        <w:t xml:space="preserve">    </w:t>
      </w:r>
      <w:r>
        <w:rPr>
          <w:b/>
        </w:rPr>
        <w:t xml:space="preserve">Pub date: </w:t>
      </w:r>
      <w:r>
        <w:t>2026-06-15 10:00:00+00:00</w:t>
      </w:r>
      <w:r>
        <w:t xml:space="preserve">    </w:t>
      </w:r>
      <w:r>
        <w:rPr>
          <w:b/>
        </w:rPr>
        <w:t xml:space="preserve">DOI: </w:t>
      </w:r>
      <w:hyperlink r:id="rId551">
        <w:r>
          <w:rPr>
            <w:color w:val="1155CC"/>
            <w:u w:val="single"/>
          </w:rPr>
          <w:t>10.1103/y5rf-ssw3</w:t>
        </w:r>
      </w:hyperlink>
    </w:p>
    <w:p>
      <w:pPr>
        <w:spacing w:before="0" w:after="120"/>
      </w:pPr>
      <w:r>
        <w:rPr>
          <w:b/>
        </w:rPr>
        <w:t xml:space="preserve">Notes: </w:t>
      </w:r>
      <w:r>
        <w:t>abstract_source=rss_description</w:t>
      </w:r>
    </w:p>
    <w:p>
      <w:pPr>
        <w:spacing w:before="0" w:after="80" w:lineRule="auto" w:line="276"/>
      </w:pPr>
      <w:r>
        <w:rPr>
          <w:b/>
        </w:rPr>
        <w:t xml:space="preserve">摘要（ZH）: </w:t>
      </w:r>
      <w:r>
        <w:t>作者：Hao Chen、Pier Francesco Monni、Zhaoyan Pang、Gherardo Vita 和 Hua Xing Zhu 在这封信中，我们对规范理论中连续光锥 (SLC) 极限中的 $n$ 点相关函数 (CF) 进行了系统研究。着眼于 QCD，我们使用软共线有效场中的工具，为该极限下的四个矢量电流的 CF 制定了因式分解定理……[物理。莱特牧师。 136, 241601] 2026 年 6 月 15 日星期一发布</w:t>
      </w:r>
    </w:p>
    <w:p>
      <w:pPr>
        <w:spacing w:before="0" w:after="200" w:lineRule="auto" w:line="276"/>
      </w:pPr>
      <w:r>
        <w:rPr>
          <w:b/>
        </w:rPr>
        <w:t xml:space="preserve">Abstract (EN): </w:t>
      </w:r>
      <w:r>
        <w:t>Author(s): Hao Chen, Pier Francesco Monni, Zhaoyan Pang, Gherardo Vita, and Hua Xing ZhuIn this Letter, we initiate a systematic study of the $n$-point correlation functions (CFs) in gauge theories in the sequential light-cone (SLC) limit. Focusing on QCD, we formulate a factorization theorem for the CF of four vector currents in this limit using tools from soft-collinear effective fie…[Phys. Rev. Lett. 136, 241601] Published Mon Jun 15, 2026</w:t>
      </w:r>
    </w:p>
    <w:p>
      <w:pPr>
        <w:spacing w:before="120" w:after="120"/>
      </w:pPr>
      <w:r>
        <w:rPr>
          <w:sz w:val="18"/>
        </w:rPr>
        <w:t>——————————————————————————————————————————————————————————————————————</w:t>
      </w:r>
    </w:p>
    <w:p>
      <w:pPr>
        <w:spacing w:before="160" w:after="40" w:line="240" w:lineRule="auto"/>
      </w:pPr>
      <w:r>
        <w:rPr>
          <w:b/>
        </w:rPr>
        <w:t xml:space="preserve">[158] </w:t>
      </w:r>
      <w:hyperlink r:id="rId552">
        <w:r>
          <w:rPr>
            <w:color w:val="1155CC"/>
            <w:u w:val="single"/>
          </w:rPr>
          <w:t>稳定量子多体疤痕的父哈密顿量</w:t>
        </w:r>
      </w:hyperlink>
    </w:p>
    <w:p>
      <w:pPr>
        <w:spacing w:before="0" w:after="80"/>
      </w:pPr>
      <w:r>
        <w:rPr>
          <w:i/>
          <w:sz w:val="20"/>
        </w:rPr>
        <w:t>EN: Parent Hamiltonians for Stabilizer Quantum Many-Body Scars</w:t>
      </w:r>
    </w:p>
    <w:p>
      <w:pPr>
        <w:spacing w:before="0" w:after="120"/>
      </w:pPr>
      <w:r>
        <w:rPr>
          <w:b/>
        </w:rPr>
        <w:t xml:space="preserve">Source: </w:t>
      </w:r>
      <w:r>
        <w:t>Recent Articles in Phys. Rev. Lett.</w:t>
      </w:r>
      <w:r>
        <w:t xml:space="preserve">    </w:t>
      </w:r>
      <w:r>
        <w:rPr>
          <w:b/>
        </w:rPr>
        <w:t xml:space="preserve">Pub date: </w:t>
      </w:r>
      <w:r>
        <w:t>2026-06-15 10:00:00+00:00</w:t>
      </w:r>
      <w:r>
        <w:t xml:space="preserve">    </w:t>
      </w:r>
      <w:r>
        <w:rPr>
          <w:b/>
        </w:rPr>
        <w:t xml:space="preserve">DOI: </w:t>
      </w:r>
      <w:hyperlink r:id="rId553">
        <w:r>
          <w:rPr>
            <w:color w:val="1155CC"/>
            <w:u w:val="single"/>
          </w:rPr>
          <w:t>10.1103/3vk5-483c</w:t>
        </w:r>
      </w:hyperlink>
    </w:p>
    <w:p>
      <w:pPr>
        <w:spacing w:before="0" w:after="120"/>
      </w:pPr>
      <w:r>
        <w:rPr>
          <w:b/>
        </w:rPr>
        <w:t xml:space="preserve">Notes: </w:t>
      </w:r>
      <w:r>
        <w:t>abstract_source=rss_description</w:t>
      </w:r>
    </w:p>
    <w:p>
      <w:pPr>
        <w:spacing w:before="0" w:after="80" w:lineRule="auto" w:line="276"/>
      </w:pPr>
      <w:r>
        <w:rPr>
          <w:b/>
        </w:rPr>
        <w:t xml:space="preserve">摘要（ZH）: </w:t>
      </w:r>
      <w:r>
        <w:t>作者：Shane Dooley 量子多体疤痕（QMBS）因其在多体系统中弱遍历性破坏中的作用而引起了相当大的兴趣。我们提出了一种将稳定态嵌入为当地哈密顿量的 QMBS 的一般结构。该方法依赖于泡利弦的因式分解概念……[物理。莱特牧师。 136, 240402] 2026 年 6 月 15 日星期一发布</w:t>
      </w:r>
    </w:p>
    <w:p>
      <w:pPr>
        <w:spacing w:before="0" w:after="200" w:lineRule="auto" w:line="276"/>
      </w:pPr>
      <w:r>
        <w:rPr>
          <w:b/>
        </w:rPr>
        <w:t xml:space="preserve">Abstract (EN): </w:t>
      </w:r>
      <w:r>
        <w:t>Author(s): Shane DooleyQuantum many-body scars (QMBS) have attracted considerable interest due to their role in weak ergodicity breaking in many-body systems. We present a general construction that embeds stabilizer states as QMBS of local Hamiltonians. The method relies on a notion of factorizability of Pauli strings on …[Phys. Rev. Lett. 136, 240402] Published Mon Jun 15, 2026</w:t>
      </w:r>
    </w:p>
    <w:p>
      <w:pPr>
        <w:spacing w:before="120" w:after="120"/>
      </w:pPr>
      <w:r>
        <w:rPr>
          <w:sz w:val="18"/>
        </w:rPr>
        <w:t>——————————————————————————————————————————————————————————————————————</w:t>
      </w:r>
    </w:p>
    <w:p>
      <w:pPr>
        <w:spacing w:before="160" w:after="40" w:line="240" w:lineRule="auto"/>
      </w:pPr>
      <w:r>
        <w:rPr>
          <w:b/>
        </w:rPr>
        <w:t xml:space="preserve">[159] </w:t>
      </w:r>
      <w:hyperlink r:id="rId554">
        <w:r>
          <w:rPr>
            <w:color w:val="1155CC"/>
            <w:u w:val="single"/>
          </w:rPr>
          <w:t>$pd$ 碰撞中的累积质子产量</w:t>
        </w:r>
      </w:hyperlink>
    </w:p>
    <w:p>
      <w:pPr>
        <w:spacing w:before="0" w:after="80"/>
      </w:pPr>
      <w:r>
        <w:rPr>
          <w:i/>
          <w:sz w:val="20"/>
        </w:rPr>
        <w:t>EN: Cumulative proton production in $pd$ collisions</w:t>
      </w:r>
    </w:p>
    <w:p>
      <w:pPr>
        <w:spacing w:before="0" w:after="120"/>
      </w:pPr>
      <w:r>
        <w:rPr>
          <w:b/>
        </w:rPr>
        <w:t xml:space="preserve">Source: </w:t>
      </w:r>
      <w:r>
        <w:t>Recent Articles in Phys. Rev. C</w:t>
      </w:r>
      <w:r>
        <w:t xml:space="preserve">    </w:t>
      </w:r>
      <w:r>
        <w:rPr>
          <w:b/>
        </w:rPr>
        <w:t xml:space="preserve">Pub date: </w:t>
      </w:r>
      <w:r>
        <w:t>2026-06-15 10:00:00+00:00</w:t>
      </w:r>
      <w:r>
        <w:t xml:space="preserve">    </w:t>
      </w:r>
      <w:r>
        <w:rPr>
          <w:b/>
        </w:rPr>
        <w:t xml:space="preserve">DOI: </w:t>
      </w:r>
      <w:hyperlink r:id="rId555">
        <w:r>
          <w:rPr>
            <w:color w:val="1155CC"/>
            <w:u w:val="single"/>
          </w:rPr>
          <w:t>10.1103/6r9h-jgwy</w:t>
        </w:r>
      </w:hyperlink>
    </w:p>
    <w:p>
      <w:pPr>
        <w:spacing w:before="0" w:after="120"/>
      </w:pPr>
      <w:r>
        <w:rPr>
          <w:b/>
        </w:rPr>
        <w:t xml:space="preserve">Notes: </w:t>
      </w:r>
      <w:r>
        <w:t>abstract_source=rss_description</w:t>
      </w:r>
    </w:p>
    <w:p>
      <w:pPr>
        <w:spacing w:before="0" w:after="80" w:lineRule="auto" w:line="276"/>
      </w:pPr>
      <w:r>
        <w:rPr>
          <w:b/>
        </w:rPr>
        <w:t xml:space="preserve">摘要（ZH）: </w:t>
      </w:r>
      <w:r>
        <w:t>作者：A. B. Larionov 在质子束动量高达几 GeV/$c$ 的排他反应 $pd→ppn$ 中向后质子产生的模型是在一级和两级振幅的费曼图的基础上构建的。后者包括核子和 $\mathrm{Δ}(1232)$ 共振中间散射态，具有 pr…[Phys. Rev. C 113, 064611] 于 2026 年 6 月 15 日星期一发布</w:t>
      </w:r>
    </w:p>
    <w:p>
      <w:pPr>
        <w:spacing w:before="0" w:after="200" w:lineRule="auto" w:line="276"/>
      </w:pPr>
      <w:r>
        <w:rPr>
          <w:b/>
        </w:rPr>
        <w:t xml:space="preserve">Abstract (EN): </w:t>
      </w:r>
      <w:r>
        <w:t>Author(s): A. B. LarionovThe model of backward proton production in the exclusive reaction $pd→ppn$ at proton beam momenta up to several GeV/$c$ is constructed on the basis of Feynman diagrams for one- and two-step amplitudes. The latter include nucleon and $\mathrm{Δ}(1232)$ resonance intermediate scattering states with pr…[Phys. Rev. C 113, 064611] Published Mon Jun 15, 2026</w:t>
      </w:r>
    </w:p>
    <w:p>
      <w:pPr>
        <w:spacing w:before="120" w:after="120"/>
      </w:pPr>
      <w:r>
        <w:rPr>
          <w:sz w:val="18"/>
        </w:rPr>
        <w:t>——————————————————————————————————————————————————————————————————————</w:t>
      </w:r>
    </w:p>
    <w:p>
      <w:pPr>
        <w:spacing w:before="160" w:after="40" w:line="240" w:lineRule="auto"/>
      </w:pPr>
      <w:r>
        <w:rPr>
          <w:b/>
        </w:rPr>
        <w:t xml:space="preserve">[160] </w:t>
      </w:r>
      <w:hyperlink r:id="rId556">
        <w:r>
          <w:rPr>
            <w:color w:val="1155CC"/>
            <w:u w:val="single"/>
          </w:rPr>
          <w:t>$α$衰变隧道中的表面结构和灵敏度等级：偶偶重核和超重核的研究</w:t>
        </w:r>
      </w:hyperlink>
    </w:p>
    <w:p>
      <w:pPr>
        <w:spacing w:before="0" w:after="80"/>
      </w:pPr>
      <w:r>
        <w:rPr>
          <w:i/>
          <w:sz w:val="20"/>
        </w:rPr>
        <w:t>EN: Surface structure and sensitivity hierarchy in $α$-decay tunneling: A study of even-even heavy and superheavy nuclei</w:t>
      </w:r>
    </w:p>
    <w:p>
      <w:pPr>
        <w:spacing w:before="0" w:after="120"/>
      </w:pPr>
      <w:r>
        <w:rPr>
          <w:b/>
        </w:rPr>
        <w:t xml:space="preserve">Source: </w:t>
      </w:r>
      <w:r>
        <w:t>Recent Articles in Phys. Rev. C</w:t>
      </w:r>
      <w:r>
        <w:t xml:space="preserve">    </w:t>
      </w:r>
      <w:r>
        <w:rPr>
          <w:b/>
        </w:rPr>
        <w:t xml:space="preserve">Pub date: </w:t>
      </w:r>
      <w:r>
        <w:t>2026-06-15 10:00:00+00:00</w:t>
      </w:r>
      <w:r>
        <w:t xml:space="preserve">    </w:t>
      </w:r>
      <w:r>
        <w:rPr>
          <w:b/>
        </w:rPr>
        <w:t xml:space="preserve">DOI: </w:t>
      </w:r>
      <w:hyperlink r:id="rId557">
        <w:r>
          <w:rPr>
            <w:color w:val="1155CC"/>
            <w:u w:val="single"/>
          </w:rPr>
          <w:t>10.1103/nty7-gh72</w:t>
        </w:r>
      </w:hyperlink>
    </w:p>
    <w:p>
      <w:pPr>
        <w:spacing w:before="0" w:after="120"/>
      </w:pPr>
      <w:r>
        <w:rPr>
          <w:b/>
        </w:rPr>
        <w:t xml:space="preserve">Notes: </w:t>
      </w:r>
      <w:r>
        <w:t>abstract_source=rss_description</w:t>
      </w:r>
    </w:p>
    <w:p>
      <w:pPr>
        <w:spacing w:before="0" w:after="80" w:lineRule="auto" w:line="276"/>
      </w:pPr>
      <w:r>
        <w:rPr>
          <w:b/>
        </w:rPr>
        <w:t xml:space="preserve">摘要（ZH）: </w:t>
      </w:r>
      <w:r>
        <w:t>作者：N. Nhu Le、N. Ngoc Duy 和 C. N. Phuoc Tai 背景：α 衰变是确定重核和超重核稳定性和实验识别的关键衰变模式。在 Wentzel-Kramers-Brillouin 隧道框架 $({P}_{\mathrm{WKB}})$ 内，半衰期以指数方式取决于有效势垒，因此很高......[Phys.修订版 C 113, 064612] 于 2026 年 6 月 15 日星期一发布</w:t>
      </w:r>
    </w:p>
    <w:p>
      <w:pPr>
        <w:spacing w:before="0" w:after="200" w:lineRule="auto" w:line="276"/>
      </w:pPr>
      <w:r>
        <w:rPr>
          <w:b/>
        </w:rPr>
        <w:t xml:space="preserve">Abstract (EN): </w:t>
      </w:r>
      <w:r>
        <w:t>Author(s): N. Nhu Le, N. Ngoc Duy, and C. N. Phuoc TaiBackground: Alpha decay is a key decay mode for determining the stability and experimental identification of heavy and superheavy nuclei. Within the Wentzel–Kramers–Brillouin tunneling framework $({P}_{\mathrm{WKB}})$, the half-life depends exponentially on the effective barrier and is therefore hig…[Phys. Rev. C 113, 064612] Published Mon Jun 15, 2026</w:t>
      </w:r>
    </w:p>
    <w:p>
      <w:pPr>
        <w:spacing w:before="120" w:after="120"/>
      </w:pPr>
      <w:r>
        <w:rPr>
          <w:sz w:val="18"/>
        </w:rPr>
        <w:t>——————————————————————————————————————————————————————————————————————</w:t>
      </w:r>
    </w:p>
    <w:p>
      <w:pPr>
        <w:spacing w:before="160" w:after="40" w:line="240" w:lineRule="auto"/>
      </w:pPr>
      <w:r>
        <w:rPr>
          <w:b/>
        </w:rPr>
        <w:t xml:space="preserve">[161] </w:t>
      </w:r>
      <w:hyperlink r:id="rId558">
        <w:r>
          <w:rPr>
            <w:color w:val="1155CC"/>
            <w:u w:val="single"/>
          </w:rPr>
          <w:t>$^{208}\mathrm{Pb}$ 中 $392\phantom{\rule{0.16em}{0ex}}\mathrm{MeV}$ 中 $3{s}_{1/2}$ 状态下极化 ($\stackrel{⃗}{p},2\stackrel{⃗}{p}$) 反应的相对论平面波脉冲近似的基准研究</w:t>
        </w:r>
      </w:hyperlink>
    </w:p>
    <w:p>
      <w:pPr>
        <w:spacing w:before="0" w:after="80"/>
      </w:pPr>
      <w:r>
        <w:rPr>
          <w:i/>
          <w:sz w:val="20"/>
        </w:rPr>
        <w:t>EN: Benchmark study of the relativistic plane wave impulse approximation for polarized ($\stackrel{⃗}{p},2\stackrel{⃗}{p}$) reactions on the $3{s}_{1/2}$ state in $^{208}\mathrm{Pb}$ at $392\phantom{\rule{0.16em}{0ex}}\mathrm{MeV}$</w:t>
      </w:r>
    </w:p>
    <w:p>
      <w:pPr>
        <w:spacing w:before="0" w:after="120"/>
      </w:pPr>
      <w:r>
        <w:rPr>
          <w:b/>
        </w:rPr>
        <w:t xml:space="preserve">Source: </w:t>
      </w:r>
      <w:r>
        <w:t>Recent Articles in Phys. Rev. C</w:t>
      </w:r>
      <w:r>
        <w:t xml:space="preserve">    </w:t>
      </w:r>
      <w:r>
        <w:rPr>
          <w:b/>
        </w:rPr>
        <w:t xml:space="preserve">Pub date: </w:t>
      </w:r>
      <w:r>
        <w:t>2026-06-15 10:00:00+00:00</w:t>
      </w:r>
      <w:r>
        <w:t xml:space="preserve">    </w:t>
      </w:r>
      <w:r>
        <w:rPr>
          <w:b/>
        </w:rPr>
        <w:t xml:space="preserve">DOI: </w:t>
      </w:r>
      <w:hyperlink r:id="rId559">
        <w:r>
          <w:rPr>
            <w:color w:val="1155CC"/>
            <w:u w:val="single"/>
          </w:rPr>
          <w:t>10.1103/cmyg-pfsw</w:t>
        </w:r>
      </w:hyperlink>
    </w:p>
    <w:p>
      <w:pPr>
        <w:spacing w:before="0" w:after="120"/>
      </w:pPr>
      <w:r>
        <w:rPr>
          <w:b/>
        </w:rPr>
        <w:t xml:space="preserve">Notes: </w:t>
      </w:r>
      <w:r>
        <w:t>abstract_source=rss_description</w:t>
      </w:r>
    </w:p>
    <w:p>
      <w:pPr>
        <w:spacing w:before="0" w:after="80" w:lineRule="auto" w:line="276"/>
      </w:pPr>
      <w:r>
        <w:rPr>
          <w:b/>
        </w:rPr>
        <w:t xml:space="preserve">摘要（ZH）: </w:t>
      </w:r>
      <w:r>
        <w:t>作者：T. Mello、G. C. Hillhouse 和 J. P. W. Diener相对论平面波脉冲近似 (RPWIA) 以已建立的相对论扭曲波脉冲近似 (RDWIA) 为基准，用于唯一的质子诱导质子敲除反应($\stackrel{⃗}{p},2\stackrel{⃗}{p}\phantom{\rule{0.16em}{0ex}}$) 来自 $3{\mathrm{s}}_{…[物理。 Rev. C 113, 064609] 于 2026 年 6 月 15 日星期一发布</w:t>
      </w:r>
    </w:p>
    <w:p>
      <w:pPr>
        <w:spacing w:before="0" w:after="200" w:lineRule="auto" w:line="276"/>
      </w:pPr>
      <w:r>
        <w:rPr>
          <w:b/>
        </w:rPr>
        <w:t xml:space="preserve">Abstract (EN): </w:t>
      </w:r>
      <w:r>
        <w:t>Author(s): T. Mello, G. C. Hillhouse, and J. P. W. DienerThe relativistic plane wave impulse approximation (RPWIA) is benchmarked against the established relativistic distorted wave impulse approximation (RDWIA) for exclusive proton-induced proton knockout reactions ($\stackrel{⃗}{p},2\stackrel{⃗}{p}\phantom{\rule{0.16em}{0ex}}$) from the $3{\mathrm{s}}_{…[Phys. Rev. C 113, 064609] Published Mon Jun 15, 2026</w:t>
      </w:r>
    </w:p>
    <w:p>
      <w:pPr>
        <w:spacing w:before="120" w:after="120"/>
      </w:pPr>
      <w:r>
        <w:rPr>
          <w:sz w:val="18"/>
        </w:rPr>
        <w:t>——————————————————————————————————————————————————————————————————————</w:t>
      </w:r>
    </w:p>
    <w:p>
      <w:pPr>
        <w:spacing w:before="160" w:after="40" w:line="240" w:lineRule="auto"/>
      </w:pPr>
      <w:r>
        <w:rPr>
          <w:b/>
        </w:rPr>
        <w:t xml:space="preserve">[162] </w:t>
      </w:r>
      <w:hyperlink r:id="rId560">
        <w:r>
          <w:rPr>
            <w:color w:val="1155CC"/>
            <w:u w:val="single"/>
          </w:rPr>
          <w:t>一种利用 PdSe2/a 面 GaN 异质结构制造偏振选择性紫外光突触器件的新方法</w:t>
        </w:r>
      </w:hyperlink>
    </w:p>
    <w:p>
      <w:pPr>
        <w:spacing w:before="0" w:after="80"/>
      </w:pPr>
      <w:r>
        <w:rPr>
          <w:i/>
          <w:sz w:val="20"/>
        </w:rPr>
        <w:t>EN: A Novel Approach for the Fabrication of Polarization‐Selectivity UV Photosynapse Devices With PdSe2/ a‐plane GaN Heterostructures</w:t>
      </w:r>
    </w:p>
    <w:p>
      <w:pPr>
        <w:spacing w:before="0" w:after="120"/>
      </w:pPr>
      <w:r>
        <w:rPr>
          <w:b/>
        </w:rPr>
        <w:t xml:space="preserve">Source: </w:t>
      </w:r>
      <w:r>
        <w:t>Wiley: Advanced Materials: Table of Contents</w:t>
      </w:r>
      <w:r>
        <w:t xml:space="preserve">    </w:t>
      </w:r>
      <w:r>
        <w:rPr>
          <w:b/>
        </w:rPr>
        <w:t xml:space="preserve">Pub date: </w:t>
      </w:r>
      <w:r>
        <w:t>2026-06-15 10:20:21+00:00</w:t>
      </w:r>
      <w:r>
        <w:t xml:space="preserve">    </w:t>
      </w:r>
      <w:r>
        <w:rPr>
          <w:b/>
        </w:rPr>
        <w:t xml:space="preserve">DOI: </w:t>
      </w:r>
      <w:hyperlink r:id="rId561">
        <w:r>
          <w:rPr>
            <w:color w:val="1155CC"/>
            <w:u w:val="single"/>
          </w:rPr>
          <w:t>10.1002/adma.73664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具有多功能集成的高偏振选择性紫外光电探测器在下一代光电器件中发挥着至关重要的作用。然而，天然各向异性材料弱且难以控制的二色性射电（DR）严重限制了检测精度和实际应用，特别是对于表面粗糙且固有弱各向异性的宽带隙材料。在这项工作中，一种使用 PdSe 的偏振选择性紫外光突触装置的新方法</w:t>
      </w:r>
      <w:r>
        <w:rPr>
          <w:vertAlign w:val="subscript"/>
        </w:rPr>
        <w:t>2</w:t>
      </w:r>
      <w:r>
        <w:t>/</w:t>
      </w:r>
      <w:r>
        <w:t>一个</w:t>
      </w:r>
      <w:r>
        <w:t xml:space="preserve"> </w:t>
      </w:r>
      <w:r>
        <w:t>已经提出了平面GaN异质结构。采用简单的预硒化处理来增强 PdSe 的各向异性 (DR = 16) 和结晶度</w:t>
      </w:r>
      <w:r>
        <w:rPr>
          <w:vertAlign w:val="subscript"/>
        </w:rPr>
        <w:t>2</w:t>
      </w:r>
      <w:r>
        <w:t>，解决了目前各向异性不足（DR&lt;5）阻碍实际应用的限制。该器件利用了固有的各向异性材料和 PdSe 原位生长的协同效应</w:t>
      </w:r>
      <w:r>
        <w:rPr>
          <w:vertAlign w:val="subscript"/>
        </w:rPr>
        <w:t>2</w:t>
      </w:r>
      <w:r>
        <w:t>上</w:t>
      </w:r>
      <w:r>
        <w:t xml:space="preserve"> </w:t>
      </w:r>
      <w:r>
        <w:t>一个</w:t>
      </w:r>
      <w:r>
        <w:t xml:space="preserve"> </w:t>
      </w:r>
      <w:r>
        <w:t>‐平面 GaN，导致各向异性光电流比从 1. 6 提高到 10.7。得益于整个器件架构的协同效应，器件展现出高达282s的超长弛豫时间，有效提升图像识别细节、加快计算速度和准确检测能力。高偏振选择性、精确检测、超长内存和出色的数据处理能力的结合</w:t>
      </w:r>
    </w:p>
    <w:p>
      <w:pPr>
        <w:spacing w:before="0" w:after="200" w:lineRule="auto" w:line="276"/>
      </w:pPr>
      <w:r>
        <w:rPr>
          <w:b/>
        </w:rPr>
        <w:t xml:space="preserve">Abstract (EN): </w:t>
      </w:r>
      <w:r>
        <w:t>High polarization‐selectivity UV photodetectors with multifunctional integration play a crucial role in the next‐generation optoelectronic devices. However, weak and unruly dichroism radio (DR) of naturally anisotropic materials seriously restricts the detection accuracy and practical application, especially for wide‐bandgap materials with rough surfaces and inherent weak anisotropy. In this work, a novel approach for the polarization‐selectivity UV photosynapse devices with PdSe</w:t>
      </w:r>
      <w:r>
        <w:rPr>
          <w:vertAlign w:val="subscript"/>
        </w:rPr>
        <w:t>2</w:t>
      </w:r>
      <w:r>
        <w:t>/</w:t>
      </w:r>
      <w:r>
        <w:t>a</w:t>
      </w:r>
      <w:r>
        <w:t xml:space="preserve"> </w:t>
      </w:r>
      <w:r>
        <w:t>‐plane GaN heterostructures has been proposed. A simple pre‐selenization treatment is employed to enhance the anisotropy (DR = 16) and crystallinity of PdSe</w:t>
      </w:r>
      <w:r>
        <w:rPr>
          <w:vertAlign w:val="subscript"/>
        </w:rPr>
        <w:t>2</w:t>
      </w:r>
      <w:r>
        <w:t>, addressing the current limitation of insufficient anisotropy (DR&amp;lt;5) that hinders the practical application. The devices take advantage of inherent anisotropic materials and synergistic effect from the in situ growth of PdSe</w:t>
      </w:r>
      <w:r>
        <w:rPr>
          <w:vertAlign w:val="subscript"/>
        </w:rPr>
        <w:t>2</w:t>
      </w:r>
      <w:r>
        <w:t>on</w:t>
      </w:r>
      <w:r>
        <w:t xml:space="preserve"> </w:t>
      </w:r>
      <w:r>
        <w:t>a</w:t>
      </w:r>
      <w:r>
        <w:t xml:space="preserve"> </w:t>
      </w:r>
      <w:r>
        <w:t>‐plane GaN, resulting in an enhancement of anisotropic photocurrent ratio from 1. 6 to 10.7. Thanks to the synergistic effect of the whole device architecture, the devices reveal an ultra‐long relaxation time of up to 282s and effectively improve the details of image recognition, speed up calculations, and accurate detection capabilities. The combination of high polarization‐selectivity, accurate detection, ultra‐long memory, and outstanding data processing capabilities establishes the photodetector as a promising candidate for the on‐chip integration of multi‐information carrying, processing, and neuromorphic computing.</w:t>
      </w:r>
    </w:p>
    <w:p>
      <w:pPr>
        <w:spacing w:before="120" w:after="120"/>
      </w:pPr>
      <w:r>
        <w:rPr>
          <w:sz w:val="18"/>
        </w:rPr>
        <w:t>——————————————————————————————————————————————————————————————————————</w:t>
      </w:r>
    </w:p>
    <w:p>
      <w:pPr>
        <w:spacing w:before="160" w:after="40" w:line="240" w:lineRule="auto"/>
      </w:pPr>
      <w:r>
        <w:rPr>
          <w:b/>
        </w:rPr>
        <w:t xml:space="preserve">[163] </w:t>
      </w:r>
      <w:hyperlink r:id="rId562">
        <w:r>
          <w:rPr>
            <w:color w:val="1155CC"/>
            <w:u w:val="single"/>
          </w:rPr>
          <w:t>N-杂环与超碱性 Co(II) 酰胺 Co(TMP)2 的配位驱动直接 C─H 金属化</w:t>
        </w:r>
      </w:hyperlink>
    </w:p>
    <w:p>
      <w:pPr>
        <w:spacing w:before="0" w:after="80"/>
      </w:pPr>
      <w:r>
        <w:rPr>
          <w:i/>
          <w:sz w:val="20"/>
        </w:rPr>
        <w:t>EN: Coordination‐Driven Direct C─H Metalation of N‐Heterocycles With a Superbasic Co(II) Amide Co(TMP)2</w:t>
      </w:r>
    </w:p>
    <w:p>
      <w:pPr>
        <w:spacing w:before="0" w:after="120"/>
      </w:pPr>
      <w:r>
        <w:rPr>
          <w:b/>
        </w:rPr>
        <w:t xml:space="preserve">Source: </w:t>
      </w:r>
      <w:r>
        <w:t>Wiley: Angewandte Chemie International Edition: Table of Contents</w:t>
      </w:r>
      <w:r>
        <w:t xml:space="preserve">    </w:t>
      </w:r>
      <w:r>
        <w:rPr>
          <w:b/>
        </w:rPr>
        <w:t xml:space="preserve">Pub date: </w:t>
      </w:r>
      <w:r>
        <w:t>2026-06-15 11:06:51+00:00</w:t>
      </w:r>
      <w:r>
        <w:t xml:space="preserve">    </w:t>
      </w:r>
      <w:r>
        <w:rPr>
          <w:b/>
        </w:rPr>
        <w:t xml:space="preserve">DOI: </w:t>
      </w:r>
      <w:hyperlink r:id="rId563">
        <w:r>
          <w:rPr>
            <w:color w:val="1155CC"/>
            <w:u w:val="single"/>
          </w:rPr>
          <w:t>10.1002/anie.7728005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金属化</w:t>
      </w:r>
      <w:r>
        <w:t xml:space="preserve"> </w:t>
      </w:r>
      <w:r>
        <w:t>氮</w:t>
      </w:r>
      <w:r>
        <w:t xml:space="preserve"> </w:t>
      </w:r>
      <w:r>
        <w:t>杂环（例如吡啶或二嗪）与传统碱金属碱的结合特别具有挑战性，因为它们的 C─H 键活化有限，加上所得有机金属中间体的热脆性。基于该领域之前的工作，我们证明了超碱性钴(II)酰胺Co(TMP)</w:t>
      </w:r>
      <w:r>
        <w:rPr>
          <w:vertAlign w:val="subscript"/>
        </w:rPr>
        <w:t>2</w:t>
      </w:r>
      <w:r>
        <w:t>（TMP = 2,2,6,6-四甲基哌啶）可实现多种化合物的高产率和高区域选择性 C─H 金属化</w:t>
      </w:r>
      <w:r>
        <w:t xml:space="preserve"> </w:t>
      </w:r>
      <w:r>
        <w:t>氮</w:t>
      </w:r>
      <w:r>
        <w:t xml:space="preserve"> </w:t>
      </w:r>
      <w:r>
        <w:t>‐通过直接、氧化还原中性的 Co(II)-H 交换形成杂环。这种反应性超出了单位点活化的范围，通过非活化底物（例如嘧啶和吡嗪）的受控双钴化作用。通过结合核磁共振反应监测、关键有机金属中间体的分离和表征以及密度泛函理论计算，我们确定区域选择性是由位置的配位效应决定的</w:t>
      </w:r>
      <w:r>
        <w:t xml:space="preserve"> </w:t>
      </w:r>
      <w:r>
        <w:t>α</w:t>
      </w:r>
      <w:r>
        <w:t xml:space="preserve"> </w:t>
      </w:r>
      <w:r>
        <w:t>氮，超越了仅基于 C─H 酸度的传统趋势。利用钴的氧化还原灵活性，用碘对金属化中间体进行氧化处理，能够选择性地形成 C─N 键，从而产生空间要求高的 TMP 取代杂环。总的来说，这些发现确立了 Co(TMP)</w:t>
      </w:r>
      <w:r>
        <w:rPr>
          <w:vertAlign w:val="subscript"/>
        </w:rPr>
        <w:t>2</w:t>
      </w:r>
      <w:r>
        <w:t>作为一种机械上独特且多功能的试剂，用于选择性功能化</w:t>
      </w:r>
    </w:p>
    <w:p>
      <w:pPr>
        <w:spacing w:before="0" w:after="200" w:lineRule="auto" w:line="276"/>
      </w:pPr>
      <w:r>
        <w:rPr>
          <w:b/>
        </w:rPr>
        <w:t xml:space="preserve">Abstract (EN): </w:t>
      </w:r>
      <w:r>
        <w:t>Metalation of</w:t>
      </w:r>
      <w:r>
        <w:t xml:space="preserve"> </w:t>
      </w:r>
      <w:r>
        <w:t>N</w:t>
      </w:r>
      <w:r>
        <w:t xml:space="preserve"> </w:t>
      </w:r>
      <w:r>
        <w:t>‐heterocycles such as pyridines or diazines with conventional alkali metal bases is particularly challenging due to the limited activation of their C─H bonds coupled with the thermal fragility of the resulting organometallic intermediates. Building upon previous work in this area, we demonstrate that the superbasic cobalt(II) amide Co(TMP)</w:t>
      </w:r>
      <w:r>
        <w:rPr>
          <w:vertAlign w:val="subscript"/>
        </w:rPr>
        <w:t>2</w:t>
      </w:r>
      <w:r>
        <w:t>(TMP = 2,2,6,6‐tetramethylpiperidide) enables high‐yielding and highly regioselective C─H metalation of a broad range of</w:t>
      </w:r>
      <w:r>
        <w:t xml:space="preserve"> </w:t>
      </w:r>
      <w:r>
        <w:t>N</w:t>
      </w:r>
      <w:r>
        <w:t xml:space="preserve"> </w:t>
      </w:r>
      <w:r>
        <w:t>‐heterocycles via direct, redox‐neutral Co(II)–H exchange. This reactivity extends beyond single‐site activation, with controlled di‐cobaltation of non‐activated substrates such as pyrimidine and pyrazine. Via a combination of NMR reaction monitoring, isolation and characterisation of key organometallic intermediates, and density functional theory calculations, we establish that regioselectivity is dictated by coordination effects at positions</w:t>
      </w:r>
      <w:r>
        <w:t xml:space="preserve"> </w:t>
      </w:r>
      <w:r>
        <w:t>α</w:t>
      </w:r>
      <w:r>
        <w:t xml:space="preserve"> </w:t>
      </w:r>
      <w:r>
        <w:t>to nitrogen, overriding conventional trends based solely on C─H acidity. Exploiting cobalt's redox flexibility, oxidative treatment of the metalated intermediates with iodine enables selective C─N bond formation, giving sterically demanding TMP‐substituted heterocycles. Collectively, these findings establish Co(TMP)</w:t>
      </w:r>
      <w:r>
        <w:rPr>
          <w:vertAlign w:val="subscript"/>
        </w:rPr>
        <w:t>2</w:t>
      </w:r>
      <w:r>
        <w:t>as a mechanistically distinct and versatile reagent for the selective functionalisation of</w:t>
      </w:r>
      <w:r>
        <w:t xml:space="preserve"> </w:t>
      </w:r>
      <w:r>
        <w:t>N</w:t>
      </w:r>
      <w:r>
        <w:t xml:space="preserve"> </w:t>
      </w:r>
      <w:r>
        <w:t>‐heterocycles.</w:t>
      </w:r>
    </w:p>
    <w:p>
      <w:pPr>
        <w:spacing w:before="120" w:after="120"/>
      </w:pPr>
      <w:r>
        <w:rPr>
          <w:sz w:val="18"/>
        </w:rPr>
        <w:t>——————————————————————————————————————————————————————————————————————</w:t>
      </w:r>
    </w:p>
    <w:p>
      <w:pPr>
        <w:spacing w:before="160" w:after="40" w:line="240" w:lineRule="auto"/>
      </w:pPr>
      <w:r>
        <w:rPr>
          <w:b/>
        </w:rPr>
        <w:t xml:space="preserve">[164] </w:t>
      </w:r>
      <w:hyperlink r:id="rId564">
        <w:r>
          <w:rPr>
            <w:color w:val="1155CC"/>
            <w:u w:val="single"/>
          </w:rPr>
          <w:t>不同活性催化物种的亚甲基环己烷的非对映发散加氢酰胺化</w:t>
        </w:r>
      </w:hyperlink>
    </w:p>
    <w:p>
      <w:pPr>
        <w:spacing w:before="0" w:after="80"/>
      </w:pPr>
      <w:r>
        <w:rPr>
          <w:i/>
          <w:sz w:val="20"/>
        </w:rPr>
        <w:t>EN: Diastereodivergent Hydroamidation of Methylenecyclohexanes With Differentiated Active Catalytic Species</w:t>
      </w:r>
    </w:p>
    <w:p>
      <w:pPr>
        <w:spacing w:before="0" w:after="120"/>
      </w:pPr>
      <w:r>
        <w:rPr>
          <w:b/>
        </w:rPr>
        <w:t xml:space="preserve">Source: </w:t>
      </w:r>
      <w:r>
        <w:t>Wiley: Angewandte Chemie International Edition: Table of Contents</w:t>
      </w:r>
      <w:r>
        <w:t xml:space="preserve">    </w:t>
      </w:r>
      <w:r>
        <w:rPr>
          <w:b/>
        </w:rPr>
        <w:t xml:space="preserve">Pub date: </w:t>
      </w:r>
      <w:r>
        <w:t>2026-06-15 11:11:21+00:00</w:t>
      </w:r>
      <w:r>
        <w:t xml:space="preserve">    </w:t>
      </w:r>
      <w:r>
        <w:rPr>
          <w:b/>
        </w:rPr>
        <w:t xml:space="preserve">DOI: </w:t>
      </w:r>
      <w:hyperlink r:id="rId565">
        <w:r>
          <w:rPr>
            <w:color w:val="1155CC"/>
            <w:u w:val="single"/>
          </w:rPr>
          <w:t>10.1002/anie.9587119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三维（3D）有机分子结构的构建在现代有机化学中至关重要。对于三维结构的双取代环己烷，存在两种可能的构型（</w:t>
      </w:r>
      <w:r>
        <w:t xml:space="preserve"> </w:t>
      </w:r>
      <w:r>
        <w:t>顺式</w:t>
      </w:r>
      <w:r>
        <w:t xml:space="preserve"> </w:t>
      </w:r>
      <w:r>
        <w:t>‐ 和</w:t>
      </w:r>
      <w:r>
        <w:t xml:space="preserve"> </w:t>
      </w:r>
      <w:r>
        <w:t>反式</w:t>
      </w:r>
      <w:r>
        <w:t xml:space="preserve"> </w:t>
      </w:r>
      <w:r>
        <w:t>‐)，取代基方向决定了热力学稳定性、物理化学性质和生物活性，但环烷取代基的精确立体控制具有挑战性。在此，我们报道了亚甲基环己烷的非对映发散加氢酰胺化：镍催化系统有效合成1,4-</w:t>
      </w:r>
      <w:r>
        <w:t>顺式</w:t>
      </w:r>
      <w:r>
        <w:t xml:space="preserve"> </w:t>
      </w:r>
      <w:r>
        <w:t>/</w:t>
      </w:r>
      <w:r>
        <w:t>反式</w:t>
      </w:r>
      <w:r>
        <w:t xml:space="preserve"> </w:t>
      </w:r>
      <w:r>
        <w:t>和 1,3-</w:t>
      </w:r>
      <w:r>
        <w:t>顺式</w:t>
      </w:r>
      <w:r>
        <w:t xml:space="preserve"> </w:t>
      </w:r>
      <w:r>
        <w:t>/</w:t>
      </w:r>
      <w:r>
        <w:t>反式</w:t>
      </w:r>
      <w:r>
        <w:t xml:space="preserve"> </w:t>
      </w:r>
      <w:r>
        <w:t>异构体，而钴系统则实现 1,2‐</w:t>
      </w:r>
      <w:r>
        <w:t xml:space="preserve"> </w:t>
      </w:r>
      <w:r>
        <w:t>顺式</w:t>
      </w:r>
      <w:r>
        <w:t xml:space="preserve"> </w:t>
      </w:r>
      <w:r>
        <w:t>/</w:t>
      </w:r>
      <w:r>
        <w:t>反式</w:t>
      </w:r>
      <w:r>
        <w:t xml:space="preserve"> </w:t>
      </w:r>
      <w:r>
        <w:t>立体发散。核心成就在于利用差异化活性催化物种的策略，能够精确调控金属氢化物或金属官能团中间体的空间结构和电子性质。该工作拓宽了多取代环己烷合成的化学空间，为含环烷基药物分子的制备提供了有力的工具，并为取代环己烷立体化学的研究提供了重要案例。</w:t>
      </w:r>
    </w:p>
    <w:p>
      <w:pPr>
        <w:spacing w:before="0" w:after="200" w:lineRule="auto" w:line="276"/>
      </w:pPr>
      <w:r>
        <w:rPr>
          <w:b/>
        </w:rPr>
        <w:t xml:space="preserve">Abstract (EN): </w:t>
      </w:r>
      <w:r>
        <w:t>The construction of three‐dimensional (3D) organic molecular structures is pivotal in modern organic chemistry. For three dimensionally structured disubstituted cyclohexanes, which exist as two possible configurations (</w:t>
      </w:r>
      <w:r>
        <w:t xml:space="preserve"> </w:t>
      </w:r>
      <w:r>
        <w:t>cis</w:t>
      </w:r>
      <w:r>
        <w:t xml:space="preserve"> </w:t>
      </w:r>
      <w:r>
        <w:t>‐ and</w:t>
      </w:r>
      <w:r>
        <w:t xml:space="preserve"> </w:t>
      </w:r>
      <w:r>
        <w:t>trans</w:t>
      </w:r>
      <w:r>
        <w:t xml:space="preserve"> </w:t>
      </w:r>
      <w:r>
        <w:t>‐), substituent orientation dictates thermodynamic stability, physicochemical properties, and biological activities, but precise stereocontrol of cycloalkane substituents is challenging. Herein, we report the diastereodivergent hydroamidation of methylenecyclohexanes: a nickel catalytic system efficiently synthesizes 1,4‐</w:t>
      </w:r>
      <w:r>
        <w:t xml:space="preserve"> </w:t>
      </w:r>
      <w:r>
        <w:t>cis</w:t>
      </w:r>
      <w:r>
        <w:t xml:space="preserve"> </w:t>
      </w:r>
      <w:r>
        <w:t>/</w:t>
      </w:r>
      <w:r>
        <w:t>trans</w:t>
      </w:r>
      <w:r>
        <w:t xml:space="preserve"> </w:t>
      </w:r>
      <w:r>
        <w:t>and 1,3‐</w:t>
      </w:r>
      <w:r>
        <w:t xml:space="preserve"> </w:t>
      </w:r>
      <w:r>
        <w:t>cis</w:t>
      </w:r>
      <w:r>
        <w:t xml:space="preserve"> </w:t>
      </w:r>
      <w:r>
        <w:t>/</w:t>
      </w:r>
      <w:r>
        <w:t>trans</w:t>
      </w:r>
      <w:r>
        <w:t xml:space="preserve"> </w:t>
      </w:r>
      <w:r>
        <w:t>isomers, while a cobalt system realizes 1,2‐</w:t>
      </w:r>
      <w:r>
        <w:t xml:space="preserve"> </w:t>
      </w:r>
      <w:r>
        <w:t>cis</w:t>
      </w:r>
      <w:r>
        <w:t xml:space="preserve"> </w:t>
      </w:r>
      <w:r>
        <w:t>/</w:t>
      </w:r>
      <w:r>
        <w:t>trans</w:t>
      </w:r>
      <w:r>
        <w:t xml:space="preserve"> </w:t>
      </w:r>
      <w:r>
        <w:t>stereodivergence. The core achievement lies in a strategy utilizing differentiated active catalytic species, which enables the precise regulation of the spatial structure and electronic properties of metal‐hydride or metal‐functional group intermediates. This work broadens the chemical space for multi‐substituted cyclohexane synthesis, provides a powerful tool for the preparation of cycloalkyl‐containing drug molecules, and offers an important case for research on substituted cyclohexane stereochemistry.</w:t>
      </w:r>
    </w:p>
    <w:p>
      <w:pPr>
        <w:spacing w:before="120" w:after="120"/>
      </w:pPr>
      <w:r>
        <w:rPr>
          <w:sz w:val="18"/>
        </w:rPr>
        <w:t>——————————————————————————————————————————————————————————————————————</w:t>
      </w:r>
    </w:p>
    <w:p>
      <w:pPr>
        <w:spacing w:before="160" w:after="40" w:line="240" w:lineRule="auto"/>
      </w:pPr>
      <w:r>
        <w:rPr>
          <w:b/>
        </w:rPr>
        <w:t xml:space="preserve">[165] </w:t>
      </w:r>
      <w:hyperlink r:id="rId566">
        <w:r>
          <w:rPr>
            <w:color w:val="1155CC"/>
            <w:u w:val="single"/>
          </w:rPr>
          <w:t>电子诱导 Sn6-oxo 簇抗蚀剂中的 C─F 键激活，以增强灵敏度和亚 10 nm 图案化</w:t>
        </w:r>
      </w:hyperlink>
    </w:p>
    <w:p>
      <w:pPr>
        <w:spacing w:before="0" w:after="80"/>
      </w:pPr>
      <w:r>
        <w:rPr>
          <w:i/>
          <w:sz w:val="20"/>
        </w:rPr>
        <w:t>EN: Electron‐Induced C─F Bond Activation in Sn6‐oxo Cluster Resist for Enhanced Sensitivity and Sub‐10‐nm Patterning</w:t>
      </w:r>
    </w:p>
    <w:p>
      <w:pPr>
        <w:spacing w:before="0" w:after="120"/>
      </w:pPr>
      <w:r>
        <w:rPr>
          <w:b/>
        </w:rPr>
        <w:t xml:space="preserve">Source: </w:t>
      </w:r>
      <w:r>
        <w:t>Wiley: Angewandte Chemie International Edition: Table of Contents</w:t>
      </w:r>
      <w:r>
        <w:t xml:space="preserve">    </w:t>
      </w:r>
      <w:r>
        <w:rPr>
          <w:b/>
        </w:rPr>
        <w:t xml:space="preserve">Pub date: </w:t>
      </w:r>
      <w:r>
        <w:t>2026-06-15 11:16:59+00:00</w:t>
      </w:r>
      <w:r>
        <w:t xml:space="preserve">    </w:t>
      </w:r>
      <w:r>
        <w:rPr>
          <w:b/>
        </w:rPr>
        <w:t xml:space="preserve">DOI: </w:t>
      </w:r>
      <w:hyperlink r:id="rId567">
        <w:r>
          <w:rPr>
            <w:color w:val="1155CC"/>
            <w:u w:val="single"/>
          </w:rPr>
          <w:t>10.1002/anie.7887240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金属氧簇（MOC）抗蚀剂是极紫外光刻（EUVL）的有前途的候选材料，但优化分辨率、线边缘粗糙度（LER）和灵敏度（RLS）的权衡仍然具有挑战性。利用解离电子附着 (DEA) 来激活 C─F 键提供了一种可控的方法来改善这种 RLS 权衡，但尚未得到充分探索。在这里，我们报告了一系列可调谐 Sn-oxo 簇的室温、可扩展合成，并展示了百克规模的单批次生产。氟化 FPAA 在不影响分辨率或 LER 的情况下表现出更高的灵敏度。在电子束光刻 (EBL) 下，FPAA 的临界尺寸 (CD) 为 9.1 nm，LER 为 2.2 nm，并可实现高保真复杂图案化。此外，FPAA 在深紫外 (DUV) 光刻和 EUVL 下表现出强大的性能，在 EUVL 下实现了 20.9 nm 的 CD。 FPAA 还表现出出色的等离子体耐受性，估计硅：抗蚀剂蚀刻选择性高达 &gt;50:1。机理分析表明，辐照产生的低能二次电子 (LESE) 促进电子诱导的 C─F 活化，与 DEA 介导的途径一致。同时，有机配体桥联和 Sn─O─Sn 网络致密化发生，形成驱动溶解度开关的交联网络。这项工作阐明了 Sn-oxo 团簇的光刻机制，并提供了 MOC 光刻胶的设计原理，支持亚 10 nm 光刻分辨率的进展。</w:t>
      </w:r>
    </w:p>
    <w:p>
      <w:pPr>
        <w:spacing w:before="0" w:after="200" w:lineRule="auto" w:line="276"/>
      </w:pPr>
      <w:r>
        <w:rPr>
          <w:b/>
        </w:rPr>
        <w:t xml:space="preserve">Abstract (EN): </w:t>
      </w:r>
      <w:r>
        <w:t>Metal‐oxo cluster (MOC) resists are promising candidates for extreme ultraviolet lithography (EUVL), but optimizing the resolution, line‐edge roughness (LER), and sensitivity (RLS) trade‐off remains challenging. Leveraging dissociative electron attachment (DEA) to activate C─F bonds provides a controllable handle to improve this RLS trade‐off, yet remains underexplored. Here, we report a room‐temperature, scalable synthesis of a tunable series of Sn‐oxo clusters and demonstrate hundred‐gram‐scale, single‐batch production. The fluorinated FPAA demonstrates enhanced sensitivity without compromising resolution or LER. Under electron beam lithography (EBL), FPAA achieves a critical dimension (CD) of 9.1 nm and an LER of 2.2 nm, and enables high‐fidelity complex patterning. Additionally, FPAA exhibits robust performance under deep ultraviolet (DUV) lithography and EUVL, achieving a CD of 20.9 nm under EUVL. FPAA also shows exceptional plasma resistance, achieving a high estimated Si:resist etch selectivity of &amp;gt;50:1. Mechanistic analyses indicate that irradiation‐generated low‐energy secondary electrons (LESEs) promote electron‐induced C─F activation, consistent with a DEA‐mediated pathway. Concurrently, organic ligand bridging and Sn─O─Sn network densification occur, forming a crosslinked network that drives the solubility switch. This work elucidates the lithographic mechanisms of Sn‐oxo clusters and provides design principles for MOC resists, supporting progress toward sub‐10‐nm lithographic resolution.</w:t>
      </w:r>
    </w:p>
    <w:p>
      <w:pPr>
        <w:spacing w:before="120" w:after="120"/>
      </w:pPr>
      <w:r>
        <w:rPr>
          <w:sz w:val="18"/>
        </w:rPr>
        <w:t>——————————————————————————————————————————————————————————————————————</w:t>
      </w:r>
    </w:p>
    <w:p>
      <w:pPr>
        <w:spacing w:before="160" w:after="40" w:line="240" w:lineRule="auto"/>
      </w:pPr>
      <w:r>
        <w:rPr>
          <w:b/>
        </w:rPr>
        <w:t xml:space="preserve">[166] </w:t>
      </w:r>
      <w:hyperlink r:id="rId568">
        <w:r>
          <w:rPr>
            <w:color w:val="1155CC"/>
            <w:u w:val="single"/>
          </w:rPr>
          <w:t>官能团易位：在不改变分子支架的情况下移动功能</w:t>
        </w:r>
      </w:hyperlink>
    </w:p>
    <w:p>
      <w:pPr>
        <w:spacing w:before="0" w:after="80"/>
      </w:pPr>
      <w:r>
        <w:rPr>
          <w:i/>
          <w:sz w:val="20"/>
        </w:rPr>
        <w:t>EN: Functional group translocation: moving functionalities without changing molecular scaffolds</w:t>
      </w:r>
    </w:p>
    <w:p>
      <w:pPr>
        <w:spacing w:before="0" w:after="120"/>
      </w:pPr>
      <w:r>
        <w:rPr>
          <w:b/>
        </w:rPr>
        <w:t xml:space="preserve">Source: </w:t>
      </w:r>
      <w:r>
        <w:t>RSC - Chem. Soc. Rev. latest articles</w:t>
      </w:r>
      <w:r>
        <w:t xml:space="preserve">    </w:t>
      </w:r>
      <w:r>
        <w:rPr>
          <w:b/>
        </w:rPr>
        <w:t xml:space="preserve">Pub date: </w:t>
      </w:r>
      <w:r>
        <w:t>2026-06-15 23:00:00+00:00</w:t>
      </w:r>
    </w:p>
    <w:p>
      <w:pPr>
        <w:spacing w:before="0" w:after="120"/>
      </w:pPr>
      <w:r>
        <w:rPr>
          <w:b/>
        </w:rPr>
        <w:t xml:space="preserve">Notes: </w:t>
      </w:r>
      <w:r>
        <w:t>abstract_source=rsc_html</w:t>
      </w:r>
    </w:p>
    <w:p>
      <w:pPr>
        <w:spacing w:before="0" w:after="80" w:lineRule="auto" w:line="276"/>
      </w:pPr>
      <w:r>
        <w:rPr>
          <w:b/>
        </w:rPr>
        <w:t xml:space="preserve">摘要（ZH）: </w:t>
      </w:r>
      <w:r>
        <w:t>官能团位置在分子性质和功能中起着决定性作用，即使是细微的位置变化也会导致生物活性、材料性能和反应性的显着差异。因此，获得位置异构体对于药物发现和材料化学至关重要，但它们的合成传统上需要独立且通常效率低下的合成路线。最近的进展引起了官能团易位反应，这使得官能团在分子框架内直接重新定位而不改变底层支架。在这篇综述中，我们使用狭义的官能团易位一词来描述仅官能团的键合位置发生变化而分子框架和官能团特性保持不变的转化。这些过程提供了一种简洁的分子编辑策略，可以直接从共同的前体中获取位置异构体。在过渡金属催化和光氧化还原化学的发展的推动下，官能团易位已经迅速超越了经典的化学计量和底物特异性过程。这篇综述定义了官能团易位，将其与传统的重排反应和更广泛的异构化过程区分开来，并总结了芳香族和脂肪族系统的最新进展。通过根据分子支架、官能团特性和迁移距离组织该领域，本综述强调了当前的能力、剩余的挑战和未来的机遇</w:t>
      </w:r>
    </w:p>
    <w:p>
      <w:pPr>
        <w:spacing w:before="0" w:after="200" w:lineRule="auto" w:line="276"/>
      </w:pPr>
      <w:r>
        <w:rPr>
          <w:b/>
        </w:rPr>
        <w:t xml:space="preserve">Abstract (EN): </w:t>
      </w:r>
      <w:r>
        <w:t>Functional group position plays a decisive role in molecular properties and function, with even subtle positional changes leading to pronounced differences in biological activity, material performance, and reactivity. Access to positional isomers is therefore central to drug discovery and materials chemistry, yet their synthesis has traditionally required independent and often inefficient synthetic routes. Recent advances have given rise to functional group translocation reactions, which enable the direct relocation of functional groups within a molecular framework without altering the underlying scaffold. In this review, we use the term functional group translocation in a narrow sense to describe transformations in which only the bonding position of a functional group changes while the molecular framework and functional group identity remain intact. Such processes offer a concise molecular editing strategy that enables direct access to positional isomers from a common precursor. Enabled by developments in transition metal catalysis and photoredox chemistry, functional group translocation has rapidly progressed beyond classical stoichiometric and substrate-specific processes. This review defines functional group translocation, distinguishes it from traditional rearrangement reactions and broader isomerization processes, and summarizes recent advances across aromatic and aliphatic systems. By organizing the field according to molecular scaffold, functional group identity, and migration distance, this review highlights current capabilities, remaining challenges, and future opportunities in synthesis, drug discovery, and materials chemistry.</w:t>
      </w:r>
    </w:p>
    <w:p>
      <w:pPr>
        <w:spacing w:before="120" w:after="120"/>
      </w:pPr>
      <w:r>
        <w:rPr>
          <w:sz w:val="18"/>
        </w:rPr>
        <w:t>——————————————————————————————————————————————————————————————————————</w:t>
      </w:r>
    </w:p>
    <w:p>
      <w:pPr>
        <w:spacing w:before="160" w:after="40" w:line="240" w:lineRule="auto"/>
      </w:pPr>
      <w:r>
        <w:rPr>
          <w:b/>
        </w:rPr>
        <w:t xml:space="preserve">[167] </w:t>
      </w:r>
      <w:hyperlink r:id="rId569">
        <w:r>
          <w:rPr>
            <w:color w:val="1155CC"/>
            <w:u w:val="single"/>
          </w:rPr>
          <w:t>激进促进的“无张力”C-C 和 C-N 键断裂：解构性骨架编辑的蓝图</w:t>
        </w:r>
      </w:hyperlink>
    </w:p>
    <w:p>
      <w:pPr>
        <w:spacing w:before="0" w:after="80"/>
      </w:pPr>
      <w:r>
        <w:rPr>
          <w:i/>
          <w:sz w:val="20"/>
        </w:rPr>
        <w:t>EN: Radical-promoted “unstrained” C–C and C–N bond cleavage: a blueprint for deconstructive skeletal editing</w:t>
      </w:r>
    </w:p>
    <w:p>
      <w:pPr>
        <w:spacing w:before="0" w:after="120"/>
      </w:pPr>
      <w:r>
        <w:rPr>
          <w:b/>
        </w:rPr>
        <w:t xml:space="preserve">Source: </w:t>
      </w:r>
      <w:r>
        <w:t>RSC - Chem. Soc. Rev. latest articles</w:t>
      </w:r>
      <w:r>
        <w:t xml:space="preserve">    </w:t>
      </w:r>
      <w:r>
        <w:rPr>
          <w:b/>
        </w:rPr>
        <w:t xml:space="preserve">Pub date: </w:t>
      </w:r>
      <w:r>
        <w:t>2026-06-15 23:00:00+00:00</w:t>
      </w:r>
    </w:p>
    <w:p>
      <w:pPr>
        <w:spacing w:before="0" w:after="120"/>
      </w:pPr>
      <w:r>
        <w:rPr>
          <w:b/>
        </w:rPr>
        <w:t xml:space="preserve">Notes: </w:t>
      </w:r>
      <w:r>
        <w:t>abstract_source=rsc_html</w:t>
      </w:r>
    </w:p>
    <w:p>
      <w:pPr>
        <w:spacing w:before="0" w:after="80" w:lineRule="auto" w:line="276"/>
      </w:pPr>
      <w:r>
        <w:rPr>
          <w:b/>
        </w:rPr>
        <w:t xml:space="preserve">摘要（ZH）: </w:t>
      </w:r>
      <w:r>
        <w:t>无应变的环状支架通常被认为是惰性骨架；然而，最近的激进和激进离子策略表明，当适当的功能网关嵌入环中时，可以故意重新编程它们的连接。本教程回顾将自由基促进的 C-C 和 C-N 键断裂视为由三个相互依赖的元素定义的设计问题：实现键断裂的网关（醇、酮和胺）、生成以氧或氮为中心的中间体的激活模式（单电子转移 (SET)、质子耦合电子转移 (PCET)、配体到金属电荷转移 (LMCT) 和电子供体-受体（EDA）激活），以及确定解构是否演变成高效的骨架编辑的下游拦截。我们没有编译反应，而是提炼了将激活与自由基极性和寿命相匹配的实用规则，并展示了如何密切相关的中间体可以被引导向开环和功能化，或者在更严格的动力学约束下，向环收缩和扩张。特别强调通过亚氨基自由基或前芳香族中间体引导C-C断裂的酮衍生网关，以及通过烷氧基自由基直接使用环醇，通过两步框架组织，将自由基生成与β-断裂衍生的碳中心自由基的不同反应性分开。</w:t>
      </w:r>
    </w:p>
    <w:p>
      <w:pPr>
        <w:spacing w:before="0" w:after="200" w:lineRule="auto" w:line="276"/>
      </w:pPr>
      <w:r>
        <w:rPr>
          <w:b/>
        </w:rPr>
        <w:t xml:space="preserve">Abstract (EN): </w:t>
      </w:r>
      <w:r>
        <w:t>Unstrained cyclic scaffolds are commonly regarded as inert backbones; however, recent radical and radical-ion strategies show that their connectivity can be deliberately reprogrammed when appropriate functional gateways are embedded in the ring. This Tutorial Review treats radical-promoted C–C and C–N bond cleavage as a design problem defined by three interdependent elements: the gateway that enables bond scission (alcohols, ketones, and amines), the activation mode that generates oxygen- or nitrogen-centred intermediates (single-electron transfer (SET), proton-coupled electron transfer (PCET), ligand-to-metal charge transfer (LMCT), and electron donor–acceptor (EDA) activation), and the downstream interception that determines whether deconstruction evolves into productive skeletal editing. Rather than compiling reactions, we distil practical rules for aligning activation with radical polarity and lifetime, and show how closely related intermediates can be steered toward ring opening and functionalisation or, under tighter kinetic constraints, toward ring contraction and expansion. Particular emphasis is placed on ketone-derived gateways that channel C–C scission through iminyl radicals or pre-aromatic intermediates, and on the direct use of cyclic alcohols via alkoxy radicals, organised through a two-step framework that separates radical generation from the divergent reactivity of the β-scission-derived carbon-centred radical.</w:t>
      </w:r>
    </w:p>
    <w:p>
      <w:pPr>
        <w:spacing w:before="120" w:after="120"/>
      </w:pPr>
      <w:r>
        <w:rPr>
          <w:sz w:val="18"/>
        </w:rPr>
        <w:t>——————————————————————————————————————————————————————————————————————</w:t>
      </w:r>
    </w:p>
    <w:p>
      <w:pPr>
        <w:spacing w:before="160" w:after="40" w:line="240" w:lineRule="auto"/>
      </w:pPr>
      <w:r>
        <w:rPr>
          <w:b/>
        </w:rPr>
        <w:t xml:space="preserve">[168] </w:t>
      </w:r>
      <w:hyperlink r:id="rId570">
        <w:r>
          <w:rPr>
            <w:color w:val="1155CC"/>
            <w:u w:val="single"/>
          </w:rPr>
          <w:t>2025年能源与环境科学优秀审稿人</w:t>
        </w:r>
      </w:hyperlink>
    </w:p>
    <w:p>
      <w:pPr>
        <w:spacing w:before="0" w:after="80"/>
      </w:pPr>
      <w:r>
        <w:rPr>
          <w:i/>
          <w:sz w:val="20"/>
        </w:rPr>
        <w:t>EN: Outstanding Reviewers for Energy &amp; Environmental Science in 2025</w:t>
      </w:r>
    </w:p>
    <w:p>
      <w:pPr>
        <w:spacing w:before="0" w:after="120"/>
      </w:pPr>
      <w:r>
        <w:rPr>
          <w:b/>
        </w:rPr>
        <w:t xml:space="preserve">Source: </w:t>
      </w:r>
      <w:r>
        <w:t>RSC - Energy Environ. Sci. latest articles</w:t>
      </w:r>
      <w:r>
        <w:t xml:space="preserve">    </w:t>
      </w:r>
      <w:r>
        <w:rPr>
          <w:b/>
        </w:rPr>
        <w:t xml:space="preserve">Pub date: </w:t>
      </w:r>
      <w:r>
        <w:t>2026-06-15 23:00:00+00:00</w:t>
      </w:r>
    </w:p>
    <w:p>
      <w:pPr>
        <w:spacing w:before="0" w:after="120"/>
      </w:pPr>
      <w:r>
        <w:rPr>
          <w:b/>
        </w:rPr>
        <w:t xml:space="preserve">Notes: </w:t>
      </w:r>
      <w:r>
        <w:t>abstract_source=rsc_html</w:t>
      </w:r>
    </w:p>
    <w:p>
      <w:pPr>
        <w:spacing w:before="0" w:after="80" w:lineRule="auto" w:line="276"/>
      </w:pPr>
      <w:r>
        <w:rPr>
          <w:b/>
        </w:rPr>
        <w:t xml:space="preserve">摘要（ZH）: </w:t>
      </w:r>
      <w:r>
        <w:t>我们想借此机会感谢能源与环境科学的所有审稿人帮助保持化学科学文献的质量和完整性。我们还想重点介绍 2025 年能源与环境科学杰出审稿人。</w:t>
      </w:r>
    </w:p>
    <w:p>
      <w:pPr>
        <w:spacing w:before="0" w:after="200" w:lineRule="auto" w:line="276"/>
      </w:pPr>
      <w:r>
        <w:rPr>
          <w:b/>
        </w:rPr>
        <w:t xml:space="preserve">Abstract (EN): </w:t>
      </w:r>
      <w:r>
        <w:t>We would like to take this opportunity to thank all of Energy &amp; Environmental Science's reviewers for helping to preserve quality and integrity in chemical science literature. We would also like to highlight the Outstanding Reviewers for Energy &amp; Environmental Science in 2025.</w:t>
      </w:r>
    </w:p>
    <w:p>
      <w:pPr>
        <w:spacing w:before="120" w:after="120"/>
      </w:pPr>
      <w:r>
        <w:rPr>
          <w:sz w:val="18"/>
        </w:rPr>
        <w:t>——————————————————————————————————————————————————————————————————————</w:t>
      </w:r>
    </w:p>
    <w:p>
      <w:pPr>
        <w:spacing w:before="160" w:after="40" w:line="240" w:lineRule="auto"/>
      </w:pPr>
      <w:r>
        <w:rPr>
          <w:b/>
        </w:rPr>
        <w:t xml:space="preserve">[169] </w:t>
      </w:r>
      <w:hyperlink r:id="rId571">
        <w:r>
          <w:rPr>
            <w:color w:val="1155CC"/>
            <w:u w:val="single"/>
          </w:rPr>
          <w:t>科技巨头为了延长寿命而对自己的身体进行黑客攻击：他们的方法背后有科学依据吗？</w:t>
        </w:r>
      </w:hyperlink>
    </w:p>
    <w:p>
      <w:pPr>
        <w:spacing w:before="0" w:after="80"/>
      </w:pPr>
      <w:r>
        <w:rPr>
          <w:i/>
          <w:sz w:val="20"/>
        </w:rPr>
        <w:t>EN: Tech titans are hacking their bodies for a longer life: is there science behind their methods?</w:t>
      </w:r>
    </w:p>
    <w:p>
      <w:pPr>
        <w:spacing w:before="0" w:after="120"/>
      </w:pPr>
      <w:r>
        <w:rPr>
          <w:b/>
        </w:rPr>
        <w:t xml:space="preserve">Source: </w:t>
      </w:r>
      <w:r>
        <w:t>Nature</w:t>
      </w:r>
      <w:r>
        <w:t xml:space="preserve">    </w:t>
      </w:r>
      <w:r>
        <w:rPr>
          <w:b/>
        </w:rPr>
        <w:t xml:space="preserve">Pub date: </w:t>
      </w:r>
      <w:r>
        <w:t>2026-06-16 00:00:00+00:00</w:t>
      </w:r>
      <w:r>
        <w:t xml:space="preserve">    </w:t>
      </w:r>
      <w:r>
        <w:rPr>
          <w:b/>
        </w:rPr>
        <w:t xml:space="preserve">DOI: </w:t>
      </w:r>
      <w:hyperlink r:id="rId572">
        <w:r>
          <w:rPr>
            <w:color w:val="1155CC"/>
            <w:u w:val="single"/>
          </w:rPr>
          <w:t>10.1038/d41586-026-01884-z</w:t>
        </w:r>
      </w:hyperlink>
    </w:p>
    <w:p>
      <w:pPr>
        <w:spacing w:before="0" w:after="120"/>
      </w:pPr>
      <w:r>
        <w:rPr>
          <w:b/>
        </w:rPr>
        <w:t xml:space="preserve">Notes: </w:t>
      </w:r>
      <w:r>
        <w:t>abstract_source=nature_html</w:t>
      </w:r>
    </w:p>
    <w:p>
      <w:pPr>
        <w:spacing w:before="0" w:after="80" w:lineRule="auto" w:line="276"/>
      </w:pPr>
      <w:r>
        <w:rPr>
          <w:b/>
        </w:rPr>
        <w:t xml:space="preserve">摘要（ZH）: </w:t>
      </w:r>
      <w:r>
        <w:t>希望延长寿命的影响者和超级富豪正在交流如何延长寿命的秘诀和技巧。希望延长寿命的影响者和超级富豪正在交流如何延长寿命的秘诀和技巧。</w:t>
      </w:r>
    </w:p>
    <w:p>
      <w:pPr>
        <w:spacing w:before="0" w:after="200" w:lineRule="auto" w:line="276"/>
      </w:pPr>
      <w:r>
        <w:rPr>
          <w:b/>
        </w:rPr>
        <w:t xml:space="preserve">Abstract (EN): </w:t>
      </w:r>
      <w:r>
        <w:t>Influencers and ultra-rich people looking to extend their lifespan are trading tips and tricks on how to eke out extra years. Influencers and ultra-rich people looking to extend their lifespan are trading tips and tricks on how to eke out extra years.</w:t>
      </w:r>
    </w:p>
    <w:p>
      <w:pPr>
        <w:spacing w:before="120" w:after="120"/>
      </w:pPr>
      <w:r>
        <w:rPr>
          <w:sz w:val="18"/>
        </w:rPr>
        <w:t>——————————————————————————————————————————————————————————————————————</w:t>
      </w:r>
    </w:p>
    <w:p>
      <w:pPr>
        <w:spacing w:before="160" w:after="40" w:line="240" w:lineRule="auto"/>
      </w:pPr>
      <w:r>
        <w:rPr>
          <w:b/>
        </w:rPr>
        <w:t xml:space="preserve">[170] </w:t>
      </w:r>
      <w:hyperlink r:id="rId573">
        <w:r>
          <w:rPr>
            <w:color w:val="1155CC"/>
            <w:u w:val="single"/>
          </w:rPr>
          <w:t>用于可扩展电子断层扫描的通用数据驱动框架</w:t>
        </w:r>
      </w:hyperlink>
    </w:p>
    <w:p>
      <w:pPr>
        <w:spacing w:before="0" w:after="80"/>
      </w:pPr>
      <w:r>
        <w:rPr>
          <w:i/>
          <w:sz w:val="20"/>
        </w:rPr>
        <w:t>EN: A general data-driven framework for scalable electron tomography</w:t>
      </w:r>
    </w:p>
    <w:p>
      <w:pPr>
        <w:spacing w:before="0" w:after="120"/>
      </w:pPr>
      <w:r>
        <w:rPr>
          <w:b/>
        </w:rPr>
        <w:t xml:space="preserve">Source: </w:t>
      </w:r>
      <w:r>
        <w:t>National Science Review Advance Access</w:t>
      </w:r>
      <w:r>
        <w:t xml:space="preserve">    </w:t>
      </w:r>
      <w:r>
        <w:rPr>
          <w:b/>
        </w:rPr>
        <w:t xml:space="preserve">Pub date: </w:t>
      </w:r>
      <w:r>
        <w:t>2026-06-16 00:00:00+00:00</w:t>
      </w:r>
      <w:r>
        <w:t xml:space="preserve">    </w:t>
      </w:r>
      <w:r>
        <w:rPr>
          <w:b/>
        </w:rPr>
        <w:t xml:space="preserve">DOI: </w:t>
      </w:r>
      <w:hyperlink r:id="rId574">
        <w:r>
          <w:rPr>
            <w:color w:val="1155CC"/>
            <w:u w:val="single"/>
          </w:rPr>
          <w:t>10.1093/nsr/nwag365</w:t>
        </w:r>
      </w:hyperlink>
    </w:p>
    <w:p>
      <w:pPr>
        <w:spacing w:before="0" w:after="120"/>
      </w:pPr>
      <w:r>
        <w:rPr>
          <w:b/>
        </w:rPr>
        <w:t xml:space="preserve">Notes: </w:t>
      </w:r>
      <w:r>
        <w:t>abstract_source=rss_oup</w:t>
      </w:r>
    </w:p>
    <w:p>
      <w:pPr>
        <w:spacing w:before="0" w:after="80" w:lineRule="auto" w:line="276"/>
      </w:pPr>
      <w:r>
        <w:rPr>
          <w:b/>
        </w:rPr>
        <w:t xml:space="preserve">摘要（ZH）: </w:t>
      </w:r>
      <w:r>
        <w:t>电子断层扫描 (ET) 对于确定真实空间中材料的三维 (3D) 结构至关重要，但由于其固有的楔形缺失、密集剂量和有限的景深而具有挑战性。虽然深度学习原则上可以解决这些挑战，但 ET 数据的稀缺严重限制了其应用。在本研究中，我们提出了一种通用的数据驱动的 ET 重建框架，该框架使用广泛且易于获得的随机高熵投影来构建大规模数据集。通过集成真实的结构先验和依赖于深度的成像物理，该框架能够实现独立于特定材料或分辨率的高质量 3D 重建。利用该策略，我们成功确定了包含 52 138 个原子的 13 nm Pt 纳米颗粒的 3D 原子结构，实现了 22.6 pm 的均方根位移；投影一致性误差显着减小，有效拓展了原子尺度ET的景深极限。</w:t>
      </w:r>
    </w:p>
    <w:p>
      <w:pPr>
        <w:spacing w:before="0" w:after="200" w:lineRule="auto" w:line="276"/>
      </w:pPr>
      <w:r>
        <w:rPr>
          <w:b/>
        </w:rPr>
        <w:t xml:space="preserve">Abstract (EN): </w:t>
      </w:r>
      <w:r>
        <w:t>Electron tomography (ET) is crucial for determining the three-dimensional (3D) structure of materials in real space but challenging due to the inherent missing-wedge, intensive-dose, and limited depth-of-field. Although deep learning can address these challenges in principle, the scarcity of ET data severely limits its application. In this study, we propose a general data-driven ET reconstruction framework that uses extensive and readily available random high-entropy projections to construct large-scale datasets. By integrating both real structural priors and depth-dependent imaging physics, the framework enables high-quality 3D reconstruction independent of specific materials or resolutions. Using this strategy, we successfully determine the 3D atomic structure of a 13-nm Pt nanoparticle containing 52 138 atoms, achieving a root-mean-square displacement of 22.6 pm; and the projection consistency error is significantly reduced, effectively expanding the depth-of-field limit of atomic-scale ET.</w:t>
      </w:r>
    </w:p>
    <w:p>
      <w:pPr>
        <w:spacing w:before="120" w:after="120"/>
      </w:pPr>
      <w:r>
        <w:rPr>
          <w:sz w:val="18"/>
        </w:rPr>
        <w:t>——————————————————————————————————————————————————————————————————————</w:t>
      </w:r>
    </w:p>
    <w:p>
      <w:pPr>
        <w:spacing w:before="160" w:after="40" w:line="240" w:lineRule="auto"/>
      </w:pPr>
      <w:r>
        <w:rPr>
          <w:b/>
        </w:rPr>
        <w:t xml:space="preserve">[171] </w:t>
      </w:r>
      <w:hyperlink r:id="rId575">
        <w:r>
          <w:rPr>
            <w:color w:val="1155CC"/>
            <w:u w:val="single"/>
          </w:rPr>
          <w:t>11 至 893 K 方钠石晶体各向同性零热膨胀</w:t>
        </w:r>
      </w:hyperlink>
    </w:p>
    <w:p>
      <w:pPr>
        <w:spacing w:before="0" w:after="80"/>
      </w:pPr>
      <w:r>
        <w:rPr>
          <w:i/>
          <w:sz w:val="20"/>
        </w:rPr>
        <w:t>EN: Isotropic zero thermal expansion in sodalite crystals from 11 to 893 K</w:t>
      </w:r>
    </w:p>
    <w:p>
      <w:pPr>
        <w:spacing w:before="0" w:after="120"/>
      </w:pPr>
      <w:r>
        <w:rPr>
          <w:b/>
        </w:rPr>
        <w:t xml:space="preserve">Source: </w:t>
      </w:r>
      <w:r>
        <w:t>Nature Chemistry</w:t>
      </w:r>
      <w:r>
        <w:t xml:space="preserve">    </w:t>
      </w:r>
      <w:r>
        <w:rPr>
          <w:b/>
        </w:rPr>
        <w:t xml:space="preserve">Pub date: </w:t>
      </w:r>
      <w:r>
        <w:t>2026-06-16 00:00:00+00:00</w:t>
      </w:r>
      <w:r>
        <w:t xml:space="preserve">    </w:t>
      </w:r>
      <w:r>
        <w:rPr>
          <w:b/>
        </w:rPr>
        <w:t xml:space="preserve">DOI: </w:t>
      </w:r>
      <w:hyperlink r:id="rId576">
        <w:r>
          <w:rPr>
            <w:color w:val="1155CC"/>
            <w:u w:val="single"/>
          </w:rPr>
          <w:t>10.1038/s41557-026-02174-x</w:t>
        </w:r>
      </w:hyperlink>
    </w:p>
    <w:p>
      <w:pPr>
        <w:spacing w:before="0" w:after="120"/>
      </w:pPr>
      <w:r>
        <w:rPr>
          <w:b/>
        </w:rPr>
        <w:t xml:space="preserve">Notes: </w:t>
      </w:r>
      <w:r>
        <w:t>abstract_source=nature_html</w:t>
      </w:r>
    </w:p>
    <w:p>
      <w:pPr>
        <w:spacing w:before="0" w:after="80" w:lineRule="auto" w:line="276"/>
      </w:pPr>
      <w:r>
        <w:rPr>
          <w:b/>
        </w:rPr>
        <w:t xml:space="preserve">摘要（ZH）: </w:t>
      </w:r>
      <w:r>
        <w:t>各向同性零热膨胀 (ZTE) 材料对于需要极高尺寸稳定性的应用至关重要，但其操作通常仅限于 400 K 以下的狭窄温度窗口。在这里，我们报告了通过部分占据的原子将柔性间隙基团纳入封闭框架方钠石结构 (Cd4Al6O12SO4, CASO)。这种材料表现出各向同性的 ZTE，从 11 K 到 893 K 的热膨胀系数为 0.21(23) × 10−6 K−1。高温 ZTE 行为源于保留的横向振动，该横向振动驱动负热膨胀（由位置无序配体原子的增强振动引起），有效地平衡了固有的正热膨胀。此外，CASO 在高达 1,100 K 的温度下仍能保持结构完整性，具有低至 275 nm 的日盲紫外线透明窗口，并且热致光学波动至少比传统光学材料低两倍。这项工作既提供了一种适用于极端热环境的高性能晶体，也提供了设计宽温度范围中兴通讯材料的策略。该图像的替代文本可能是使用人工智能生成的。</w:t>
      </w:r>
    </w:p>
    <w:p>
      <w:pPr>
        <w:spacing w:before="0" w:after="200" w:lineRule="auto" w:line="276"/>
      </w:pPr>
      <w:r>
        <w:rPr>
          <w:b/>
        </w:rPr>
        <w:t xml:space="preserve">Abstract (EN): </w:t>
      </w:r>
      <w:r>
        <w:t>Isotropic zero thermal expansion (ZTE) materials are essential for applications requiring extreme dimensional stability, yet their operation is typically limited to narrow temperature windows below 400 K. Here we report the incorporation of flexible interstitial groups via fractionally occupied atoms into a closed-framework sodalite structure (Cd4Al6O12SO4, CASO). This material exhibits isotropic ZTE, with a thermal expansion coefficient of 0.21(23) × 10−6 K−1 from 11 K to 893 K. The high-temperature ZTE behaviour originates from the preserved transverse vibrations that drive negative thermal expansion—arising from the enhanced vibrations of positionally disordered ligand atoms—which effectively counterbalance the intrinsic positive thermal expansion. Moreover, CASO maintains structural integrity up to 1,100 K, features a solar-blind ultraviolet transparency window down to 275 nm and exhibits thermally induced optical fluctuations at least twice as low as those of conventional optical materials. This work provides both a high-performance crystal for extreme thermal environments and a strategy for designing wide-temperature-range ZTE materials.The alternative text for this image may have been generated using AI.</w:t>
      </w:r>
    </w:p>
    <w:p>
      <w:pPr>
        <w:spacing w:before="120" w:after="120"/>
      </w:pPr>
      <w:r>
        <w:rPr>
          <w:sz w:val="18"/>
        </w:rPr>
        <w:t>——————————————————————————————————————————————————————————————————————</w:t>
      </w:r>
    </w:p>
    <w:p>
      <w:pPr>
        <w:spacing w:before="160" w:after="40" w:line="240" w:lineRule="auto"/>
      </w:pPr>
      <w:r>
        <w:rPr>
          <w:b/>
        </w:rPr>
        <w:t xml:space="preserve">[172] </w:t>
      </w:r>
      <w:hyperlink r:id="rId577">
        <w:r>
          <w:rPr>
            <w:color w:val="1155CC"/>
            <w:u w:val="single"/>
          </w:rPr>
          <w:t>人工智能已经进入劳动力市场：对科技利润征税，而不是对人征税</w:t>
        </w:r>
      </w:hyperlink>
    </w:p>
    <w:p>
      <w:pPr>
        <w:spacing w:before="0" w:after="80"/>
      </w:pPr>
      <w:r>
        <w:rPr>
          <w:i/>
          <w:sz w:val="20"/>
        </w:rPr>
        <w:t>EN: AI has entered the workforce: tax tech profits, not people</w:t>
      </w:r>
    </w:p>
    <w:p>
      <w:pPr>
        <w:spacing w:before="0" w:after="120"/>
      </w:pPr>
      <w:r>
        <w:rPr>
          <w:b/>
        </w:rPr>
        <w:t xml:space="preserve">Source: </w:t>
      </w:r>
      <w:r>
        <w:t>Nature</w:t>
      </w:r>
      <w:r>
        <w:t xml:space="preserve">    </w:t>
      </w:r>
      <w:r>
        <w:rPr>
          <w:b/>
        </w:rPr>
        <w:t xml:space="preserve">Pub date: </w:t>
      </w:r>
      <w:r>
        <w:t>2026-06-16 00:00:00+00:00</w:t>
      </w:r>
      <w:r>
        <w:t xml:space="preserve">    </w:t>
      </w:r>
      <w:r>
        <w:rPr>
          <w:b/>
        </w:rPr>
        <w:t xml:space="preserve">DOI: </w:t>
      </w:r>
      <w:hyperlink r:id="rId578">
        <w:r>
          <w:rPr>
            <w:color w:val="1155CC"/>
            <w:u w:val="single"/>
          </w:rPr>
          <w:t>10.1038/d41586-026-01877-y</w:t>
        </w:r>
      </w:hyperlink>
    </w:p>
    <w:p>
      <w:pPr>
        <w:spacing w:before="0" w:after="120"/>
      </w:pPr>
      <w:r>
        <w:rPr>
          <w:b/>
        </w:rPr>
        <w:t xml:space="preserve">Notes: </w:t>
      </w:r>
      <w:r>
        <w:t>abstract_source=nature_html</w:t>
      </w:r>
    </w:p>
    <w:p>
      <w:pPr>
        <w:spacing w:before="0" w:after="80" w:lineRule="auto" w:line="276"/>
      </w:pPr>
      <w:r>
        <w:rPr>
          <w:b/>
        </w:rPr>
        <w:t xml:space="preserve">摘要（ZH）: </w:t>
      </w:r>
      <w:r>
        <w:t>随着机器取代人力，建立在与工资挂钩的税收基础上的福利国家将需要进行根本性的重新设计。随着机器取代人力，建立在与工资挂钩的税收基础上的福利国家将需要进行根本性的重新设计。</w:t>
      </w:r>
    </w:p>
    <w:p>
      <w:pPr>
        <w:spacing w:before="0" w:after="200" w:lineRule="auto" w:line="276"/>
      </w:pPr>
      <w:r>
        <w:rPr>
          <w:b/>
        </w:rPr>
        <w:t xml:space="preserve">Abstract (EN): </w:t>
      </w:r>
      <w:r>
        <w:t>As machines replace human labour, welfare states built on salary-linked taxation will need fundamental redesign. As machines replace human labour, welfare states built on salary-linked taxation will need fundamental redesign.</w:t>
      </w:r>
    </w:p>
    <w:p>
      <w:pPr>
        <w:spacing w:before="120" w:after="120"/>
      </w:pPr>
      <w:r>
        <w:rPr>
          <w:sz w:val="18"/>
        </w:rPr>
        <w:t>——————————————————————————————————————————————————————————————————————</w:t>
      </w:r>
    </w:p>
    <w:p>
      <w:pPr>
        <w:spacing w:before="160" w:after="40" w:line="240" w:lineRule="auto"/>
      </w:pPr>
      <w:r>
        <w:rPr>
          <w:b/>
        </w:rPr>
        <w:t xml:space="preserve">[173] </w:t>
      </w:r>
      <w:hyperlink r:id="rId579">
        <w:r>
          <w:rPr>
            <w:color w:val="1155CC"/>
            <w:u w:val="single"/>
          </w:rPr>
          <w:t>来自异手性设计策略的 B1 类 GPCR 的有效且有偏差的激动剂</w:t>
        </w:r>
      </w:hyperlink>
    </w:p>
    <w:p>
      <w:pPr>
        <w:spacing w:before="0" w:after="80"/>
      </w:pPr>
      <w:r>
        <w:rPr>
          <w:i/>
          <w:sz w:val="20"/>
        </w:rPr>
        <w:t>EN: Potent and biased agonists of class B1 GPCRs from a heterochiral design strategy</w:t>
      </w:r>
    </w:p>
    <w:p>
      <w:pPr>
        <w:spacing w:before="0" w:after="120"/>
      </w:pPr>
      <w:r>
        <w:rPr>
          <w:b/>
        </w:rPr>
        <w:t xml:space="preserve">Source: </w:t>
      </w:r>
      <w:r>
        <w:t>Nature Chemistry</w:t>
      </w:r>
      <w:r>
        <w:t xml:space="preserve">    </w:t>
      </w:r>
      <w:r>
        <w:rPr>
          <w:b/>
        </w:rPr>
        <w:t xml:space="preserve">Pub date: </w:t>
      </w:r>
      <w:r>
        <w:t>2026-06-16 00:00:00+00:00</w:t>
      </w:r>
      <w:r>
        <w:t xml:space="preserve">    </w:t>
      </w:r>
      <w:r>
        <w:rPr>
          <w:b/>
        </w:rPr>
        <w:t xml:space="preserve">DOI: </w:t>
      </w:r>
      <w:hyperlink r:id="rId580">
        <w:r>
          <w:rPr>
            <w:color w:val="1155CC"/>
            <w:u w:val="single"/>
          </w:rPr>
          <w:t>10.1038/s41557-026-02182-x</w:t>
        </w:r>
      </w:hyperlink>
    </w:p>
    <w:p>
      <w:pPr>
        <w:spacing w:before="0" w:after="120"/>
      </w:pPr>
      <w:r>
        <w:rPr>
          <w:b/>
        </w:rPr>
        <w:t xml:space="preserve">Notes: </w:t>
      </w:r>
      <w:r>
        <w:t>abstract_source=nature_html</w:t>
      </w:r>
    </w:p>
    <w:p>
      <w:pPr>
        <w:spacing w:before="0" w:after="80" w:lineRule="auto" w:line="276"/>
      </w:pPr>
      <w:r>
        <w:rPr>
          <w:b/>
        </w:rPr>
        <w:t xml:space="preserve">摘要（ZH）: </w:t>
      </w:r>
      <w:r>
        <w:t>胰高血糖素用于治疗糖尿病患者的严重低血糖，PTH(1-34)（甲状旁腺激素的 N 末端片段）用于治疗骨质疏松症。每个肽都会激活同源 G 蛋白偶联受体 (GPCR)。肽-受体复合物的高分辨率结构表明，胰高血糖素和 PTH(1-34) 在结合状态下完全呈 α 螺旋。在这里，我们描述了一种设计策略，该策略破坏胰高血糖素或 PTH(1-34) 的螺旋构象，但仍然提供每种受体的有效激动剂。在选定位置用 d-α-氨基酸残基替换多个 l-α-氨基酸残基，生成胰高血糖素和 PTH(1-34) 的异手性类似物，其受体激活效力（cAMP 产生）接近全 l 肽。相对于全-1肽，异手性激动剂偏向远离β-抑制蛋白募集。相对于胰高血糖素本身，胰高血糖素类似物也偏向于远离受体内化。两个不同的 B1 类 GPCR 的这些意外发现提出了这样的前景：异手性设计将对该受体家族的其他成员产生影响，其中包括多个治疗靶点。该图像的替代文本可能是使用 AI 生成的。</w:t>
      </w:r>
    </w:p>
    <w:p>
      <w:pPr>
        <w:spacing w:before="0" w:after="200" w:lineRule="auto" w:line="276"/>
      </w:pPr>
      <w:r>
        <w:rPr>
          <w:b/>
        </w:rPr>
        <w:t xml:space="preserve">Abstract (EN): </w:t>
      </w:r>
      <w:r>
        <w:t>Glucagon is used to treat severe hypoglycaemia in patients with diabetes, and PTH(1–34), an N-terminal fragment of parathyroid hormone, is used to treat osteoporosis. Each peptide activates a cognate G-protein-coupled receptor (GPCR). High-resolution structures of peptide–receptor complexes show that glucagon and PTH(1–34) are fully α-helical in the bound state. Here we describe a design strategy that destabilizes the helical conformation of glucagon or PTH(1–34) but nevertheless delivers potent agonists of each receptor. Replacement of multiple l-α-amino-acid residues with d-α-amino-acid residues, at selected positions, generates heterochiral analogues of both glucagon and PTH(1–34) that approach the all-l peptide in receptor activation potency (cAMP production). The heterochiral agonists are biased away from β-arrestin recruitment relative to the all-l peptide. The glucagon analogues are also biased away from receptor internalization relative to glucagon itself. These unanticipated findings for two dissimilar class B1 GPCRs raise the prospect that heterochiral design will be impactful for other members of this receptor family, which includes multiple therapeutic targets.The alternative text for this image may have been generated using AI.</w:t>
      </w:r>
    </w:p>
    <w:p>
      <w:pPr>
        <w:spacing w:before="120" w:after="120"/>
      </w:pPr>
      <w:r>
        <w:rPr>
          <w:sz w:val="18"/>
        </w:rPr>
        <w:t>——————————————————————————————————————————————————————————————————————</w:t>
      </w:r>
    </w:p>
    <w:p>
      <w:pPr>
        <w:spacing w:before="160" w:after="40" w:line="240" w:lineRule="auto"/>
      </w:pPr>
      <w:r>
        <w:rPr>
          <w:b/>
        </w:rPr>
        <w:t xml:space="preserve">[174] </w:t>
      </w:r>
      <w:hyperlink r:id="rId581">
        <w:r>
          <w:rPr>
            <w:color w:val="1155CC"/>
            <w:u w:val="single"/>
          </w:rPr>
          <w:t>葡萄牙战舰基因组揭示了水母消失和海空界面适应的遗传基础</w:t>
        </w:r>
      </w:hyperlink>
    </w:p>
    <w:p>
      <w:pPr>
        <w:spacing w:before="0" w:after="80"/>
      </w:pPr>
      <w:r>
        <w:rPr>
          <w:i/>
          <w:sz w:val="20"/>
        </w:rPr>
        <w:t>EN: The Portuguese man-of-war genome reveals the genetic basis of medusa loss and sea–air interface adaptation</w:t>
      </w:r>
    </w:p>
    <w:p>
      <w:pPr>
        <w:spacing w:before="0" w:after="120"/>
      </w:pPr>
      <w:r>
        <w:rPr>
          <w:b/>
        </w:rPr>
        <w:t xml:space="preserve">Source: </w:t>
      </w:r>
      <w:r>
        <w:t>National Science Review Advance Access</w:t>
      </w:r>
      <w:r>
        <w:t xml:space="preserve">    </w:t>
      </w:r>
      <w:r>
        <w:rPr>
          <w:b/>
        </w:rPr>
        <w:t xml:space="preserve">Pub date: </w:t>
      </w:r>
      <w:r>
        <w:t>2026-06-16 00:00:00+00:00</w:t>
      </w:r>
      <w:r>
        <w:t xml:space="preserve">    </w:t>
      </w:r>
      <w:r>
        <w:rPr>
          <w:b/>
        </w:rPr>
        <w:t xml:space="preserve">DOI: </w:t>
      </w:r>
      <w:hyperlink r:id="rId582">
        <w:r>
          <w:rPr>
            <w:color w:val="1155CC"/>
            <w:u w:val="single"/>
          </w:rPr>
          <w:t>10.1093/nsr/nwag374</w:t>
        </w:r>
      </w:hyperlink>
    </w:p>
    <w:p>
      <w:pPr>
        <w:spacing w:before="0" w:after="120"/>
      </w:pPr>
      <w:r>
        <w:rPr>
          <w:b/>
        </w:rPr>
        <w:t xml:space="preserve">Notes: </w:t>
      </w:r>
      <w:r>
        <w:t>abstract_source=rss_oup</w:t>
      </w:r>
    </w:p>
    <w:p>
      <w:pPr>
        <w:spacing w:before="0" w:after="80" w:lineRule="auto" w:line="276"/>
      </w:pPr>
      <w:r>
        <w:rPr>
          <w:b/>
        </w:rPr>
        <w:t xml:space="preserve">摘要（ZH）: </w:t>
      </w:r>
      <w:r>
        <w:t>最引人注目的葡萄牙战舰，Physalia sp.，是一种中性水母，缺乏自由生活的水母阶段，具有充满气体的浮体和有毒的触手。然而，其专门的生态位适应的分子基础仍然未知。在此，我们生成了两种中性水母——P. utriculus 和 Porpita porpita（与远洋水母）的染色体水平基因组。观察到 P. utriculus 神经和肌肉基因家族的广泛收缩。 Hox1 的缺失与自由生活的水母的缺失相关，Hox1 敲除会导致水母发育异常，这表明 Hox1 是水母动物中水母发育的关键调节因子。由于失去了自由游动的水母阶段，P. utriculus 依靠其充满气体的漂浮物和有毒的触手来占据其生态位。单细胞转录组学揭示了浮力膨胀产生一氧化碳的机制。在触手中检测到神经毒性、细胞毒性和溶血代谢物和毒素，具有毒素结构域的扩展的 CtrA 基因可能会增强其捕食和生存能力。这些发现揭示了酸浆菌对海-气界面的遗传和细胞适应，阐明了关键的进化创新在动态海洋环境中形成独特的生存策略方面所发挥的关键作用。</w:t>
      </w:r>
    </w:p>
    <w:p>
      <w:pPr>
        <w:spacing w:before="0" w:after="200" w:lineRule="auto" w:line="276"/>
      </w:pPr>
      <w:r>
        <w:rPr>
          <w:b/>
        </w:rPr>
        <w:t xml:space="preserve">Abstract (EN): </w:t>
      </w:r>
      <w:r>
        <w:t>The most conspicuous Portuguese man-of-war, Physalia sp., is a neustonic hydromedusa that lacks a free-living medusa stage and features a gas-filled float and venomous tentacles. However, the molecular basis of its specialized niche adaptation remains unknown. Herein, we generated chromosome-level genomes of two neustonic hydromedusae, P. utriculus and Porpita porpita (with pelagic medusae). Extensive contractions of neural and muscular gene families were observed for P. utriculus. Loss of Hox1 was correlated with the absence of free-living medusae, and Hox1 knockdown caused abnormal medusa development, suggesting that Hox1 is a key regulator of medusa development in medusazoans. Since it has lost the free-swimming medusa stage, P. utriculus relies on its gas-filled float and toxic tentacles to occupy its ecological niche. Single-cell transcriptomics revealed the mechanism of carbon monoxide production for float inflation. Neurotoxic, cytotoxic, and hemolytic metabolites and toxins were detected in tentacles, and the expanded CtrA gene with toxin domains may enhance its predation and survival. These findings reveal the genetic and cellular adaptations of Physalia to the sea–air interface, elucidating the crucial role that key evolutionary innovations play in shaping unique survival strategies in dynamic marine environments.</w:t>
      </w:r>
    </w:p>
    <w:p>
      <w:pPr>
        <w:spacing w:before="120" w:after="120"/>
      </w:pPr>
      <w:r>
        <w:rPr>
          <w:sz w:val="18"/>
        </w:rPr>
        <w:t>——————————————————————————————————————————————————————————————————————</w:t>
      </w:r>
    </w:p>
    <w:p>
      <w:pPr>
        <w:spacing w:before="160" w:after="40" w:line="240" w:lineRule="auto"/>
      </w:pPr>
      <w:r>
        <w:rPr>
          <w:b/>
        </w:rPr>
        <w:t xml:space="preserve">[175] </w:t>
      </w:r>
      <w:hyperlink r:id="rId583">
        <w:r>
          <w:rPr>
            <w:color w:val="1155CC"/>
            <w:u w:val="single"/>
          </w:rPr>
          <w:t>通过高温活化自由能阐明玻璃形成液体中解耦的起源</w:t>
        </w:r>
      </w:hyperlink>
    </w:p>
    <w:p>
      <w:pPr>
        <w:spacing w:before="0" w:after="80"/>
      </w:pPr>
      <w:r>
        <w:rPr>
          <w:i/>
          <w:sz w:val="20"/>
        </w:rPr>
        <w:t>EN: Elucidating the origin of decoupling in glass-forming liquids through high-temperature activation free energies</w:t>
      </w:r>
    </w:p>
    <w:p>
      <w:pPr>
        <w:spacing w:before="0" w:after="120"/>
      </w:pPr>
      <w:r>
        <w:rPr>
          <w:b/>
        </w:rPr>
        <w:t xml:space="preserve">Source: </w:t>
      </w:r>
      <w:r>
        <w:t>National Science Review Advance Access</w:t>
      </w:r>
      <w:r>
        <w:t xml:space="preserve">    </w:t>
      </w:r>
      <w:r>
        <w:rPr>
          <w:b/>
        </w:rPr>
        <w:t xml:space="preserve">Pub date: </w:t>
      </w:r>
      <w:r>
        <w:t>2026-06-16 00:00:00+00:00</w:t>
      </w:r>
      <w:r>
        <w:t xml:space="preserve">    </w:t>
      </w:r>
      <w:r>
        <w:rPr>
          <w:b/>
        </w:rPr>
        <w:t xml:space="preserve">DOI: </w:t>
      </w:r>
      <w:hyperlink r:id="rId584">
        <w:r>
          <w:rPr>
            <w:color w:val="1155CC"/>
            <w:u w:val="single"/>
          </w:rPr>
          <w:t>10.1093/nsr/nwag366</w:t>
        </w:r>
      </w:hyperlink>
    </w:p>
    <w:p>
      <w:pPr>
        <w:spacing w:before="0" w:after="120"/>
      </w:pPr>
      <w:r>
        <w:rPr>
          <w:b/>
        </w:rPr>
        <w:t xml:space="preserve">Notes: </w:t>
      </w:r>
      <w:r>
        <w:t>abstract_source=rss_oup</w:t>
      </w:r>
    </w:p>
    <w:p>
      <w:pPr>
        <w:spacing w:before="0" w:after="80" w:lineRule="auto" w:line="276"/>
      </w:pPr>
      <w:r>
        <w:rPr>
          <w:b/>
        </w:rPr>
        <w:t xml:space="preserve">摘要（ZH）: </w:t>
      </w:r>
      <w:r>
        <w:t>众所周知，许多玻璃形成液体表现出与斯托克斯-爱因斯坦关系的偏差，斯托克斯-爱因斯坦关系通常通过质量扩散系数 D 和动量扩散系数（对应于剪切粘度 η）之间的幂律关系（所谓的分数斯托克斯-爱因斯坦关系）来量化。这种普遍存在的现象通常归因于冷却时的动态不均匀性，其特征是具有过高或过低迁移率的动态颗粒簇的平均尺寸和寿命逐渐增长。然而，对非通用幂律解耦指数 z 的预测性理论理解一直难以实现。在这里，对于各种模拟玻璃形成系统，我们确定了非高斯参数的结构弛豫时间 τα 和峰值时间 t* 之间的幂律关系，即 $t^* \sim \tau _{\alpha }^{1 - \zeta }$，类似于广泛研究的 Kob-Andersen 玻璃形成液体中 D 和 η 之间的幂律关系。我们证实了玻璃形成弦模型的预测，即 z 由动态异质性最小的温度范围内 t* 和 τα 的高温活化自由能之比确定。这一发现表明动态异质性并不是脱钩的原因，而是一种症状。我们的研究强调了高温液体动力学在理解玻璃形成的基本机制中的作用。预告片 斯托克斯-爱因斯坦关系的“崩溃”被证明源于</w:t>
      </w:r>
    </w:p>
    <w:p>
      <w:pPr>
        <w:spacing w:before="0" w:after="200" w:lineRule="auto" w:line="276"/>
      </w:pPr>
      <w:r>
        <w:rPr>
          <w:b/>
        </w:rPr>
        <w:t xml:space="preserve">Abstract (EN): </w:t>
      </w:r>
      <w:r>
        <w:t>It is well established that many glass-forming liquids exhibit a deviation from the Stokes–Einstein relation that is commonly quantified by a power-law relation (so-called fractional Stokes–Einstein relation) between the mass diffusion coefficient D and the momentum diffusion coefficient, corresponding to the shear viscosity η. This ubiquitous phenomenon is often attributed to dynamic heterogeneity upon cooling, characterized by the progressive growth in the average size and lifetime of dynamic clusters of particles having excessively high or low mobility. However, a predictive theoretical understanding of the non-universal power-law decoupling exponent ζ has been elusive. Here, for a wide variety of simulated glass-forming systems, we determine the power-law relation between the structural relaxation time τα and the peak time t* of the non-Gaussian parameter, i.e., $t^* \sim \tau _{\alpha }^{1 - \zeta }$, analogous to the power-law relation between D and η in the widely studied Kob–Andersen glass-forming liquid. We confirm the prediction from the string model of glass formation that ζ is determined by the ratio of the high-temperature activation free energies for t* and τα in the temperature regime where dynamic heterogeneity is minimal. This finding suggests that dynamic heterogeneity is not the cause of decoupling, but rather a symptom. Our study emphasizes the role of the high-temperature liquid dynamics in understanding the fundamental mechanisms of glass formation. Teaser Text The ‘breakdown’ of the Stokes-Einstein relation is shown to originate from the difference in the activation energies for momentum and mass transport in the high-temperature regime where dynamic heterogeneity is minimal.</w:t>
      </w:r>
    </w:p>
    <w:p>
      <w:pPr>
        <w:spacing w:before="120" w:after="120"/>
      </w:pPr>
      <w:r>
        <w:rPr>
          <w:sz w:val="18"/>
        </w:rPr>
        <w:t>——————————————————————————————————————————————————————————————————————</w:t>
      </w:r>
    </w:p>
    <w:p>
      <w:pPr>
        <w:spacing w:before="160" w:after="40" w:line="240" w:lineRule="auto"/>
      </w:pPr>
      <w:r>
        <w:rPr>
          <w:b/>
        </w:rPr>
        <w:t xml:space="preserve">[176] </w:t>
      </w:r>
      <w:hyperlink r:id="rId585">
        <w:r>
          <w:rPr>
            <w:color w:val="1155CC"/>
            <w:u w:val="single"/>
          </w:rPr>
          <w:t>研究人员如何选择研究内容？</w:t>
        </w:r>
      </w:hyperlink>
    </w:p>
    <w:p>
      <w:pPr>
        <w:spacing w:before="0" w:after="80"/>
      </w:pPr>
      <w:r>
        <w:rPr>
          <w:i/>
          <w:sz w:val="20"/>
        </w:rPr>
        <w:t>EN: How do researchers choose what to work on?</w:t>
      </w:r>
    </w:p>
    <w:p>
      <w:pPr>
        <w:spacing w:before="0" w:after="120"/>
      </w:pPr>
      <w:r>
        <w:rPr>
          <w:b/>
        </w:rPr>
        <w:t xml:space="preserve">Source: </w:t>
      </w:r>
      <w:r>
        <w:t>Nature</w:t>
      </w:r>
      <w:r>
        <w:t xml:space="preserve">    </w:t>
      </w:r>
      <w:r>
        <w:rPr>
          <w:b/>
        </w:rPr>
        <w:t xml:space="preserve">Pub date: </w:t>
      </w:r>
      <w:r>
        <w:t>2026-06-16 00:00:00+00:00</w:t>
      </w:r>
      <w:r>
        <w:t xml:space="preserve">    </w:t>
      </w:r>
      <w:r>
        <w:rPr>
          <w:b/>
        </w:rPr>
        <w:t xml:space="preserve">DOI: </w:t>
      </w:r>
      <w:hyperlink r:id="rId586">
        <w:r>
          <w:rPr>
            <w:color w:val="1155CC"/>
            <w:u w:val="single"/>
          </w:rPr>
          <w:t>10.1038/d41586-026-01811-2</w:t>
        </w:r>
      </w:hyperlink>
    </w:p>
    <w:p>
      <w:pPr>
        <w:spacing w:before="0" w:after="120"/>
      </w:pPr>
      <w:r>
        <w:rPr>
          <w:b/>
        </w:rPr>
        <w:t xml:space="preserve">Notes: </w:t>
      </w:r>
      <w:r>
        <w:t>abstract_source=nature_html</w:t>
      </w:r>
    </w:p>
    <w:p>
      <w:pPr>
        <w:spacing w:before="0" w:after="80" w:lineRule="auto" w:line="276"/>
      </w:pPr>
      <w:r>
        <w:rPr>
          <w:b/>
        </w:rPr>
        <w:t xml:space="preserve">摘要（ZH）: </w:t>
      </w:r>
      <w:r>
        <w:t>在我们每周深入《自然》档案的过程中，一位科学家讲述了如何将注意力转移到解决紧迫的问题上，而研究人员则考虑了保存鸡蛋的最佳方法。大自然过去的片段。</w:t>
      </w:r>
    </w:p>
    <w:p>
      <w:pPr>
        <w:spacing w:before="0" w:after="200" w:lineRule="auto" w:line="276"/>
      </w:pPr>
      <w:r>
        <w:rPr>
          <w:b/>
        </w:rPr>
        <w:t xml:space="preserve">Abstract (EN): </w:t>
      </w:r>
      <w:r>
        <w:t>A scientist’s account of switching focus to tackle pressing problems, and researchers consider the best way to preserve eggs, in our weekly dip into Nature’s archive. Snippets from Nature’s past.</w:t>
      </w:r>
    </w:p>
    <w:p>
      <w:pPr>
        <w:spacing w:before="120" w:after="120"/>
      </w:pPr>
      <w:r>
        <w:rPr>
          <w:sz w:val="18"/>
        </w:rPr>
        <w:t>——————————————————————————————————————————————————————————————————————</w:t>
      </w:r>
    </w:p>
    <w:p>
      <w:pPr>
        <w:spacing w:before="160" w:after="40" w:line="240" w:lineRule="auto"/>
      </w:pPr>
      <w:r>
        <w:rPr>
          <w:b/>
        </w:rPr>
        <w:t xml:space="preserve">[177] </w:t>
      </w:r>
      <w:hyperlink r:id="rId587">
        <w:r>
          <w:rPr>
            <w:color w:val="1155CC"/>
            <w:u w:val="single"/>
          </w:rPr>
          <w:t>作者更正：Thetis 细胞的个体发育和转录调控</w:t>
        </w:r>
      </w:hyperlink>
    </w:p>
    <w:p>
      <w:pPr>
        <w:spacing w:before="0" w:after="80"/>
      </w:pPr>
      <w:r>
        <w:rPr>
          <w:i/>
          <w:sz w:val="20"/>
        </w:rPr>
        <w:t>EN: Author Correction: Ontogeny and transcriptional regulation of Thetis cells</w:t>
      </w:r>
    </w:p>
    <w:p>
      <w:pPr>
        <w:spacing w:before="0" w:after="120"/>
      </w:pPr>
      <w:r>
        <w:rPr>
          <w:b/>
        </w:rPr>
        <w:t xml:space="preserve">Source: </w:t>
      </w:r>
      <w:r>
        <w:t>Nature</w:t>
      </w:r>
      <w:r>
        <w:t xml:space="preserve">    </w:t>
      </w:r>
      <w:r>
        <w:rPr>
          <w:b/>
        </w:rPr>
        <w:t xml:space="preserve">Pub date: </w:t>
      </w:r>
      <w:r>
        <w:t>2026-06-16 00:00:00+00:00</w:t>
      </w:r>
      <w:r>
        <w:t xml:space="preserve">    </w:t>
      </w:r>
      <w:r>
        <w:rPr>
          <w:b/>
        </w:rPr>
        <w:t xml:space="preserve">DOI: </w:t>
      </w:r>
      <w:hyperlink r:id="rId588">
        <w:r>
          <w:rPr>
            <w:color w:val="1155CC"/>
            <w:u w:val="single"/>
          </w:rPr>
          <w:t>10.1038/s41586-026-10770-7</w:t>
        </w:r>
      </w:hyperlink>
    </w:p>
    <w:p>
      <w:pPr>
        <w:spacing w:before="0" w:after="120"/>
      </w:pPr>
      <w:r>
        <w:rPr>
          <w:b/>
        </w:rPr>
        <w:t xml:space="preserve">Notes: </w:t>
      </w:r>
      <w:r>
        <w:t>abstract_source=openalex</w:t>
      </w:r>
    </w:p>
    <w:p>
      <w:pPr>
        <w:spacing w:before="0" w:after="80" w:lineRule="auto" w:line="276"/>
      </w:pPr>
      <w:r>
        <w:rPr>
          <w:b/>
        </w:rPr>
        <w:t xml:space="preserve">摘要（ZH）: </w:t>
      </w:r>
      <w:r>
        <w:t>本文发表后，我们通过 PubPeer 收到警报，发现扩展数据图 6c 中的值无意中出现重复错误。在将数据转录到 GraphPad Prism 期间，TCP（pLN 11 周）的数据值无意中从同一块的 LTi 细胞列中复制，而对于 Spleen P12，DC1 和 DC2 的前两行数据值无意中从 pLN P12 块的相应行复制。此外，还发现 Spleen P12 的列标题被调换（TCP、TC I-IV 而不是 TC I-IV、TCP）。</w:t>
      </w:r>
    </w:p>
    <w:p>
      <w:pPr>
        <w:spacing w:before="0" w:after="200" w:lineRule="auto" w:line="276"/>
      </w:pPr>
      <w:r>
        <w:rPr>
          <w:b/>
        </w:rPr>
        <w:t xml:space="preserve">Abstract (EN): </w:t>
      </w:r>
      <w:r>
        <w:t>Following publication of this article, we were alerted via PubPeer to an inadvertent duplication error of values in Extended Data Fig. 6c. During transcription of the data into GraphPad Prism, the data values for TCP (pLN 11 weeks) were inadvertently duplicated from the LTi cell column of the same block, and for Spleen P12, the first two rows of data values for DC1 and DC2 were inadvertently duplicated from the corresponding rows of the pLN P12 block. In addition, column headings for Spleen P12 were also found to be transposed (TCP, TC I-IV instead of TC I-IV, TCP).</w:t>
      </w:r>
    </w:p>
    <w:p>
      <w:pPr>
        <w:spacing w:before="120" w:after="120"/>
      </w:pPr>
      <w:r>
        <w:rPr>
          <w:sz w:val="18"/>
        </w:rPr>
        <w:t>——————————————————————————————————————————————————————————————————————</w:t>
      </w:r>
    </w:p>
    <w:p>
      <w:pPr>
        <w:spacing w:before="160" w:after="40" w:line="240" w:lineRule="auto"/>
      </w:pPr>
      <w:r>
        <w:rPr>
          <w:b/>
        </w:rPr>
        <w:t xml:space="preserve">[178] </w:t>
      </w:r>
      <w:hyperlink r:id="rId589">
        <w:r>
          <w:rPr>
            <w:color w:val="1155CC"/>
            <w:u w:val="single"/>
          </w:rPr>
          <w:t>哈伯-博世肥料生产过程应通过社会生态视角进行教授</w:t>
        </w:r>
      </w:hyperlink>
    </w:p>
    <w:p>
      <w:pPr>
        <w:spacing w:before="0" w:after="80"/>
      </w:pPr>
      <w:r>
        <w:rPr>
          <w:i/>
          <w:sz w:val="20"/>
        </w:rPr>
        <w:t>EN: The Haber–Bosch fertilizer production process should be taught through a social-ecological lens</w:t>
      </w:r>
    </w:p>
    <w:p>
      <w:pPr>
        <w:spacing w:before="0" w:after="120"/>
      </w:pPr>
      <w:r>
        <w:rPr>
          <w:b/>
        </w:rPr>
        <w:t xml:space="preserve">Source: </w:t>
      </w:r>
      <w:r>
        <w:t>Nature</w:t>
      </w:r>
      <w:r>
        <w:t xml:space="preserve">    </w:t>
      </w:r>
      <w:r>
        <w:rPr>
          <w:b/>
        </w:rPr>
        <w:t xml:space="preserve">Pub date: </w:t>
      </w:r>
      <w:r>
        <w:t>2026-06-16 00:00:00+00:00</w:t>
      </w:r>
      <w:r>
        <w:t xml:space="preserve">    </w:t>
      </w:r>
      <w:r>
        <w:rPr>
          <w:b/>
        </w:rPr>
        <w:t xml:space="preserve">DOI: </w:t>
      </w:r>
      <w:hyperlink r:id="rId590">
        <w:r>
          <w:rPr>
            <w:color w:val="1155CC"/>
            <w:u w:val="single"/>
          </w:rPr>
          <w:t>10.1038/d41586-026-01914-w</w:t>
        </w:r>
      </w:hyperlink>
    </w:p>
    <w:p>
      <w:pPr>
        <w:spacing w:before="0" w:after="120"/>
      </w:pPr>
      <w:r>
        <w:rPr>
          <w:b/>
        </w:rPr>
        <w:t xml:space="preserve">Notes: </w:t>
      </w:r>
      <w:r>
        <w:t>abstract_source=nature_html</w:t>
      </w:r>
    </w:p>
    <w:p>
      <w:pPr>
        <w:spacing w:before="0" w:after="80" w:lineRule="auto" w:line="276"/>
      </w:pPr>
      <w:r>
        <w:rPr>
          <w:b/>
        </w:rPr>
        <w:t xml:space="preserve">摘要（ZH）: </w:t>
      </w:r>
      <w:r>
        <w:t>给编辑的信</w:t>
      </w:r>
    </w:p>
    <w:p>
      <w:pPr>
        <w:spacing w:before="0" w:after="200" w:lineRule="auto" w:line="276"/>
      </w:pPr>
      <w:r>
        <w:rPr>
          <w:b/>
        </w:rPr>
        <w:t xml:space="preserve">Abstract (EN): </w:t>
      </w:r>
      <w:r>
        <w:t>Letter to the Editor</w:t>
      </w:r>
    </w:p>
    <w:p>
      <w:pPr>
        <w:spacing w:before="120" w:after="120"/>
      </w:pPr>
      <w:r>
        <w:rPr>
          <w:sz w:val="18"/>
        </w:rPr>
        <w:t>——————————————————————————————————————————————————————————————————————</w:t>
      </w:r>
    </w:p>
    <w:p>
      <w:pPr>
        <w:spacing w:before="160" w:after="40" w:line="240" w:lineRule="auto"/>
      </w:pPr>
      <w:r>
        <w:rPr>
          <w:b/>
        </w:rPr>
        <w:t xml:space="preserve">[179] </w:t>
      </w:r>
      <w:hyperlink r:id="rId591">
        <w:r>
          <w:rPr>
            <w:color w:val="1155CC"/>
            <w:u w:val="single"/>
          </w:rPr>
          <w:t>每日简报：基本粒子有多少？</w:t>
        </w:r>
      </w:hyperlink>
    </w:p>
    <w:p>
      <w:pPr>
        <w:spacing w:before="0" w:after="80"/>
      </w:pPr>
      <w:r>
        <w:rPr>
          <w:i/>
          <w:sz w:val="20"/>
        </w:rPr>
        <w:t>EN: Daily briefing: How many elementary particles are there?</w:t>
      </w:r>
    </w:p>
    <w:p>
      <w:pPr>
        <w:spacing w:before="0" w:after="120"/>
      </w:pPr>
      <w:r>
        <w:rPr>
          <w:b/>
        </w:rPr>
        <w:t xml:space="preserve">Source: </w:t>
      </w:r>
      <w:r>
        <w:t>Nature</w:t>
      </w:r>
      <w:r>
        <w:t xml:space="preserve">    </w:t>
      </w:r>
      <w:r>
        <w:rPr>
          <w:b/>
        </w:rPr>
        <w:t xml:space="preserve">Pub date: </w:t>
      </w:r>
      <w:r>
        <w:t>2026-06-16 00:00:00+00:00</w:t>
      </w:r>
      <w:r>
        <w:t xml:space="preserve">    </w:t>
      </w:r>
      <w:r>
        <w:rPr>
          <w:b/>
        </w:rPr>
        <w:t xml:space="preserve">DOI: </w:t>
      </w:r>
      <w:hyperlink r:id="rId592">
        <w:r>
          <w:rPr>
            <w:color w:val="1155CC"/>
            <w:u w:val="single"/>
          </w:rPr>
          <w:t>10.1038/d41586-026-01939-1</w:t>
        </w:r>
      </w:hyperlink>
    </w:p>
    <w:p>
      <w:pPr>
        <w:spacing w:before="0" w:after="120"/>
      </w:pPr>
      <w:r>
        <w:rPr>
          <w:b/>
        </w:rPr>
        <w:t xml:space="preserve">Notes: </w:t>
      </w:r>
      <w:r>
        <w:t>abstract_source=nature_html</w:t>
      </w:r>
    </w:p>
    <w:p>
      <w:pPr>
        <w:spacing w:before="0" w:after="80" w:lineRule="auto" w:line="276"/>
      </w:pPr>
      <w:r>
        <w:rPr>
          <w:b/>
        </w:rPr>
        <w:t xml:space="preserve">摘要（ZH）: </w:t>
      </w:r>
      <w:r>
        <w:t>估计范围为 17 至 995.5。此外，一名瘫痪男子正在家里使用脑机接口，而 GLP-1 减肥药物似乎可以提高睾酮和精子质量。估计范围为 17 至 995.5。此外，一名瘫痪男子正在家里使用脑机接口，而 GLP-1 减肥药物似乎可以提高睾酮和精子质量。</w:t>
      </w:r>
    </w:p>
    <w:p>
      <w:pPr>
        <w:spacing w:before="0" w:after="200" w:lineRule="auto" w:line="276"/>
      </w:pPr>
      <w:r>
        <w:rPr>
          <w:b/>
        </w:rPr>
        <w:t xml:space="preserve">Abstract (EN): </w:t>
      </w:r>
      <w:r>
        <w:t>Estimates range from 17 to 995.5. Plus, one man with paralysis is using a brain–computer interface at home and GLP-1 obesity drugs appear to boost testosterone and sperm quality. Estimates range from 17 to 995.5. Plus, one man with paralysis is using a brain–computer interface at home and GLP-1 obesity drugs appear to boost testosterone and sperm quality.</w:t>
      </w:r>
    </w:p>
    <w:p>
      <w:pPr>
        <w:spacing w:before="120" w:after="120"/>
      </w:pPr>
      <w:r>
        <w:rPr>
          <w:sz w:val="18"/>
        </w:rPr>
        <w:t>——————————————————————————————————————————————————————————————————————</w:t>
      </w:r>
    </w:p>
    <w:p>
      <w:pPr>
        <w:spacing w:before="160" w:after="40" w:line="240" w:lineRule="auto"/>
      </w:pPr>
      <w:r>
        <w:rPr>
          <w:b/>
        </w:rPr>
        <w:t xml:space="preserve">[180] </w:t>
      </w:r>
      <w:hyperlink r:id="rId593">
        <w:r>
          <w:rPr>
            <w:color w:val="1155CC"/>
            <w:u w:val="single"/>
          </w:rPr>
          <w:t>情意绵绵的条款？以人名命名的物种的名字偏差</w:t>
        </w:r>
      </w:hyperlink>
    </w:p>
    <w:p>
      <w:pPr>
        <w:spacing w:before="0" w:after="80"/>
      </w:pPr>
      <w:r>
        <w:rPr>
          <w:i/>
          <w:sz w:val="20"/>
        </w:rPr>
        <w:t>EN: Terms of endearment? Bias in first-name eponyms for species named after people</w:t>
      </w:r>
    </w:p>
    <w:p>
      <w:pPr>
        <w:spacing w:before="0" w:after="120"/>
      </w:pPr>
      <w:r>
        <w:rPr>
          <w:b/>
        </w:rPr>
        <w:t xml:space="preserve">Source: </w:t>
      </w:r>
      <w:r>
        <w:t>Nature</w:t>
      </w:r>
      <w:r>
        <w:t xml:space="preserve">    </w:t>
      </w:r>
      <w:r>
        <w:rPr>
          <w:b/>
        </w:rPr>
        <w:t xml:space="preserve">Pub date: </w:t>
      </w:r>
      <w:r>
        <w:t>2026-06-16 00:00:00+00:00</w:t>
      </w:r>
      <w:r>
        <w:t xml:space="preserve">    </w:t>
      </w:r>
      <w:r>
        <w:rPr>
          <w:b/>
        </w:rPr>
        <w:t xml:space="preserve">DOI: </w:t>
      </w:r>
      <w:hyperlink r:id="rId594">
        <w:r>
          <w:rPr>
            <w:color w:val="1155CC"/>
            <w:u w:val="single"/>
          </w:rPr>
          <w:t>10.1038/d41586-026-01916-8</w:t>
        </w:r>
      </w:hyperlink>
    </w:p>
    <w:p>
      <w:pPr>
        <w:spacing w:before="0" w:after="120"/>
      </w:pPr>
      <w:r>
        <w:rPr>
          <w:b/>
        </w:rPr>
        <w:t xml:space="preserve">Notes: </w:t>
      </w:r>
      <w:r>
        <w:t>abstract_source=nature_html</w:t>
      </w:r>
    </w:p>
    <w:p>
      <w:pPr>
        <w:spacing w:before="0" w:after="80" w:lineRule="auto" w:line="276"/>
      </w:pPr>
      <w:r>
        <w:rPr>
          <w:b/>
        </w:rPr>
        <w:t xml:space="preserve">摘要（ZH）: </w:t>
      </w:r>
      <w:r>
        <w:t>给编辑的信</w:t>
      </w:r>
    </w:p>
    <w:p>
      <w:pPr>
        <w:spacing w:before="0" w:after="200" w:lineRule="auto" w:line="276"/>
      </w:pPr>
      <w:r>
        <w:rPr>
          <w:b/>
        </w:rPr>
        <w:t xml:space="preserve">Abstract (EN): </w:t>
      </w:r>
      <w:r>
        <w:t>Letter to the Editor</w:t>
      </w:r>
    </w:p>
    <w:p>
      <w:pPr>
        <w:spacing w:before="120" w:after="120"/>
      </w:pPr>
      <w:r>
        <w:rPr>
          <w:sz w:val="18"/>
        </w:rPr>
        <w:t>——————————————————————————————————————————————————————————————————————</w:t>
      </w:r>
    </w:p>
    <w:p>
      <w:pPr>
        <w:spacing w:before="160" w:after="40" w:line="240" w:lineRule="auto"/>
      </w:pPr>
      <w:r>
        <w:rPr>
          <w:b/>
        </w:rPr>
        <w:t xml:space="preserve">[181] </w:t>
      </w:r>
      <w:hyperlink r:id="rId595">
        <w:r>
          <w:rPr>
            <w:color w:val="1155CC"/>
            <w:u w:val="single"/>
          </w:rPr>
          <w:t>热饱和世界中的厄尔尼诺现象</w:t>
        </w:r>
      </w:hyperlink>
    </w:p>
    <w:p>
      <w:pPr>
        <w:spacing w:before="0" w:after="80"/>
      </w:pPr>
      <w:r>
        <w:rPr>
          <w:i/>
          <w:sz w:val="20"/>
        </w:rPr>
        <w:t>EN: El Niño in a thermally saturated world</w:t>
      </w:r>
    </w:p>
    <w:p>
      <w:pPr>
        <w:spacing w:before="0" w:after="120"/>
      </w:pPr>
      <w:r>
        <w:rPr>
          <w:b/>
        </w:rPr>
        <w:t xml:space="preserve">Source: </w:t>
      </w:r>
      <w:r>
        <w:t>Nature</w:t>
      </w:r>
      <w:r>
        <w:t xml:space="preserve">    </w:t>
      </w:r>
      <w:r>
        <w:rPr>
          <w:b/>
        </w:rPr>
        <w:t xml:space="preserve">Pub date: </w:t>
      </w:r>
      <w:r>
        <w:t>2026-06-16 00:00:00+00:00</w:t>
      </w:r>
      <w:r>
        <w:t xml:space="preserve">    </w:t>
      </w:r>
      <w:r>
        <w:rPr>
          <w:b/>
        </w:rPr>
        <w:t xml:space="preserve">DOI: </w:t>
      </w:r>
      <w:hyperlink r:id="rId596">
        <w:r>
          <w:rPr>
            <w:color w:val="1155CC"/>
            <w:u w:val="single"/>
          </w:rPr>
          <w:t>10.1038/d41586-026-01915-9</w:t>
        </w:r>
      </w:hyperlink>
    </w:p>
    <w:p>
      <w:pPr>
        <w:spacing w:before="0" w:after="120"/>
      </w:pPr>
      <w:r>
        <w:rPr>
          <w:b/>
        </w:rPr>
        <w:t xml:space="preserve">Notes: </w:t>
      </w:r>
      <w:r>
        <w:t>abstract_source=nature_html</w:t>
      </w:r>
    </w:p>
    <w:p>
      <w:pPr>
        <w:spacing w:before="0" w:after="80" w:lineRule="auto" w:line="276"/>
      </w:pPr>
      <w:r>
        <w:rPr>
          <w:b/>
        </w:rPr>
        <w:t xml:space="preserve">摘要（ZH）: </w:t>
      </w:r>
      <w:r>
        <w:t>给编辑的信</w:t>
      </w:r>
    </w:p>
    <w:p>
      <w:pPr>
        <w:spacing w:before="0" w:after="200" w:lineRule="auto" w:line="276"/>
      </w:pPr>
      <w:r>
        <w:rPr>
          <w:b/>
        </w:rPr>
        <w:t xml:space="preserve">Abstract (EN): </w:t>
      </w:r>
      <w:r>
        <w:t>Letter to the Editor</w:t>
      </w:r>
    </w:p>
    <w:p>
      <w:pPr>
        <w:spacing w:before="120" w:after="120"/>
      </w:pPr>
      <w:r>
        <w:rPr>
          <w:sz w:val="18"/>
        </w:rPr>
        <w:t>——————————————————————————————————————————————————————————————————————</w:t>
      </w:r>
    </w:p>
    <w:p>
      <w:pPr>
        <w:spacing w:before="160" w:after="40" w:line="240" w:lineRule="auto"/>
      </w:pPr>
      <w:r>
        <w:rPr>
          <w:b/>
        </w:rPr>
        <w:t xml:space="preserve">[182] </w:t>
      </w:r>
      <w:hyperlink r:id="rId597">
        <w:r>
          <w:rPr>
            <w:color w:val="1155CC"/>
            <w:u w:val="single"/>
          </w:rPr>
          <w:t>通过近乎异常的耦合实现紧凑微腔中的光学多稳定性</w:t>
        </w:r>
      </w:hyperlink>
    </w:p>
    <w:p>
      <w:pPr>
        <w:spacing w:before="0" w:after="80"/>
      </w:pPr>
      <w:r>
        <w:rPr>
          <w:i/>
          <w:sz w:val="20"/>
        </w:rPr>
        <w:t>EN: Optical multistability in a compact microcavity enabled by near-exceptional coupling</w:t>
      </w:r>
    </w:p>
    <w:p>
      <w:pPr>
        <w:spacing w:before="0" w:after="120"/>
      </w:pPr>
      <w:r>
        <w:rPr>
          <w:b/>
        </w:rPr>
        <w:t xml:space="preserve">Source: </w:t>
      </w:r>
      <w:r>
        <w:t>Nature Nanotechnology</w:t>
      </w:r>
      <w:r>
        <w:t xml:space="preserve">    </w:t>
      </w:r>
      <w:r>
        <w:rPr>
          <w:b/>
        </w:rPr>
        <w:t xml:space="preserve">Pub date: </w:t>
      </w:r>
      <w:r>
        <w:t>2026-06-16 00:00:00+00:00</w:t>
      </w:r>
      <w:r>
        <w:t xml:space="preserve">    </w:t>
      </w:r>
      <w:r>
        <w:rPr>
          <w:b/>
        </w:rPr>
        <w:t xml:space="preserve">DOI: </w:t>
      </w:r>
      <w:hyperlink r:id="rId598">
        <w:r>
          <w:rPr>
            <w:color w:val="1155CC"/>
            <w:u w:val="single"/>
          </w:rPr>
          <w:t>10.1038/s41565-026-02197-y</w:t>
        </w:r>
      </w:hyperlink>
    </w:p>
    <w:p>
      <w:pPr>
        <w:spacing w:before="0" w:after="120"/>
      </w:pPr>
      <w:r>
        <w:rPr>
          <w:b/>
        </w:rPr>
        <w:t xml:space="preserve">Notes: </w:t>
      </w:r>
      <w:r>
        <w:t>abstract_source=nature_html</w:t>
      </w:r>
    </w:p>
    <w:p>
      <w:pPr>
        <w:spacing w:before="0" w:after="80" w:lineRule="auto" w:line="276"/>
      </w:pPr>
      <w:r>
        <w:rPr>
          <w:b/>
        </w:rPr>
        <w:t xml:space="preserve">摘要（ZH）: </w:t>
      </w:r>
      <w:r>
        <w:t>多稳定性（在相同条件下存在多个稳定状态）是非线性复杂性的标志，在光学中，是多级光学存储器的关键推动因素。然而，在适用于片上应用的紧凑封装中实现光学多稳定性仍然具有挑战性，因为光学非线性本质上很弱，并且大的自由光谱范围增加了多稳定性阈值。在这里，我们通过在光子晶体微腔中设计一对光谱接近的超高 Q 谐振来实现多稳定性。利用通过共享辐射通道故意引入非厄米耦合的结构扰动，我们将谐振驱动到一个具有近简并波长和接近 106 的几乎相同品质因数的特殊点。这种配置在 20 μm 直径的圆形足迹内通过热光非线性产生明显的三稳态，输入功率为 240 μW 的磁滞回线证明了这一点。然后，我们利用这个概念演示了一种概念验证光学随机存取存储器，该存储器通过多稳态之间的受控切换进行操作。</w:t>
      </w:r>
    </w:p>
    <w:p>
      <w:pPr>
        <w:spacing w:before="0" w:after="200" w:lineRule="auto" w:line="276"/>
      </w:pPr>
      <w:r>
        <w:rPr>
          <w:b/>
        </w:rPr>
        <w:t xml:space="preserve">Abstract (EN): </w:t>
      </w:r>
      <w:r>
        <w:t>Multistability—the presence of multiple stable states under identical conditions—is a hallmark of nonlinear complexity, and in optics, a key enabler for multilevel optical memory. Yet, realizing optical multistability in a compact footprint useful for on-chip applications remains challenging, because optical nonlinearities are intrinsically weak and large free spectral range increases the multistability threshold. Here we achieve multistability by engineering a pair of spectrally close, ultrahigh-Q resonances in a photonic crystal microcavity. Leveraging structural perturbations that deliberately introduce non-Hermitian coupling through a shared radiation channel, we drive the resonances towards an exceptional point with nearly degenerate wavelengths and almost-equal quality factors approaching 106. This configuration produces a pronounced tristability from thermo-optical nonlinearity within a 20-μm-diameter circular footprint, evidenced by hysteresis loops with 240-μW input power. Using this concept, we then demonstrate a proof-of-concept optical random-access memory that operates via controlled switching among the multistable states.</w:t>
      </w:r>
    </w:p>
    <w:p>
      <w:pPr>
        <w:spacing w:before="120" w:after="120"/>
      </w:pPr>
      <w:r>
        <w:rPr>
          <w:sz w:val="18"/>
        </w:rPr>
        <w:t>——————————————————————————————————————————————————————————————————————</w:t>
      </w:r>
    </w:p>
    <w:p>
      <w:pPr>
        <w:spacing w:before="160" w:after="40" w:line="240" w:lineRule="auto"/>
      </w:pPr>
      <w:r>
        <w:rPr>
          <w:b/>
        </w:rPr>
        <w:t xml:space="preserve">[183] </w:t>
      </w:r>
      <w:hyperlink r:id="rId599">
        <w:r>
          <w:rPr>
            <w:color w:val="1155CC"/>
            <w:u w:val="single"/>
          </w:rPr>
          <w:t>低碳未来和全球脱碳的能源建模</w:t>
        </w:r>
      </w:hyperlink>
    </w:p>
    <w:p>
      <w:pPr>
        <w:spacing w:before="0" w:after="80"/>
      </w:pPr>
      <w:r>
        <w:rPr>
          <w:i/>
          <w:sz w:val="20"/>
        </w:rPr>
        <w:t>EN: Energy modeling for a low-carbon future and global decarbonization</w:t>
      </w:r>
    </w:p>
    <w:p>
      <w:pPr>
        <w:spacing w:before="0" w:after="120"/>
      </w:pPr>
      <w:r>
        <w:rPr>
          <w:b/>
        </w:rPr>
        <w:t xml:space="preserve">Source: </w:t>
      </w:r>
      <w:r>
        <w:t>ScienceDirect Publication: Applied Energy</w:t>
      </w:r>
      <w:r>
        <w:t xml:space="preserve">    </w:t>
      </w:r>
      <w:r>
        <w:rPr>
          <w:b/>
        </w:rPr>
        <w:t xml:space="preserve">Pub date: </w:t>
      </w:r>
      <w:r>
        <w:t>2026-06-16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[184] </w:t>
      </w:r>
      <w:hyperlink r:id="rId600">
        <w:r>
          <w:rPr>
            <w:color w:val="1155CC"/>
            <w:u w:val="single"/>
          </w:rPr>
          <w:t>用于以人为本的智能电子产品的摩擦电可穿戴传感器：从自供电传感到人工智能辅助人机界面系统</w:t>
        </w:r>
      </w:hyperlink>
    </w:p>
    <w:p>
      <w:pPr>
        <w:spacing w:before="0" w:after="80"/>
      </w:pPr>
      <w:r>
        <w:rPr>
          <w:i/>
          <w:sz w:val="20"/>
        </w:rPr>
        <w:t>EN: Triboelectric Wearable Sensors for Human-Centric Smart Electronics: From Self-Powered Sensing to Artificial Intelligence-Assisted Human–Machine Interface Systems</w:t>
      </w:r>
    </w:p>
    <w:p>
      <w:pPr>
        <w:spacing w:before="0" w:after="120"/>
      </w:pPr>
      <w:r>
        <w:rPr>
          <w:b/>
        </w:rPr>
        <w:t xml:space="preserve">Source: </w:t>
      </w:r>
      <w:r>
        <w:t>Nano-Micro Letters</w:t>
      </w:r>
      <w:r>
        <w:t xml:space="preserve">    </w:t>
      </w:r>
      <w:r>
        <w:rPr>
          <w:b/>
        </w:rPr>
        <w:t xml:space="preserve">Pub date: </w:t>
      </w:r>
      <w:r>
        <w:t>2026-06-16 00:00:00+00:00</w:t>
      </w:r>
      <w:r>
        <w:t xml:space="preserve">    </w:t>
      </w:r>
      <w:r>
        <w:rPr>
          <w:b/>
        </w:rPr>
        <w:t xml:space="preserve">DOI: </w:t>
      </w:r>
      <w:hyperlink r:id="rId601">
        <w:r>
          <w:rPr>
            <w:color w:val="1155CC"/>
            <w:u w:val="single"/>
          </w:rPr>
          <w:t>10.1007/s40820-026-02263-z</w:t>
        </w:r>
      </w:hyperlink>
    </w:p>
    <w:p>
      <w:pPr>
        <w:spacing w:before="0" w:after="120"/>
      </w:pPr>
      <w:r>
        <w:rPr>
          <w:b/>
        </w:rPr>
        <w:t xml:space="preserve">Notes: </w:t>
      </w:r>
      <w:r>
        <w:t>abstract_source=rss_description</w:t>
      </w:r>
    </w:p>
    <w:p>
      <w:pPr>
        <w:spacing w:before="0" w:after="80" w:lineRule="auto" w:line="276"/>
      </w:pPr>
      <w:r>
        <w:rPr>
          <w:b/>
        </w:rPr>
        <w:t xml:space="preserve">摘要（ZH）: </w:t>
      </w:r>
      <w:r>
        <w:t>随着智能电子产品越来越多地融入日常生活、医疗保健、虚拟交互和辅助系统，人机界面 (HMI) 需要不仅可穿戴、自供电的传感平台，而且能够将人类信号转化为自适应机器功能。摩擦电可穿戴传感器在这方面特别有吸引力，因为它们直接转换人类产生的机械刺激，提供广泛的材料和结构设计自由度，并且易于适应身体接口格式。在这篇评论中，可穿戴性是指安装在身体上、皮肤界面、纺织品集成或以其他方式附着在人体上的摩擦电传感平台，而以人为中心的智能电子产品是指在功能上仍然锚定于人类起源的传感、解释、反馈或控制的下游电子系统。从这个角度来看，我们从基础到应用回顾了摩擦电可穿戴传感器，涵盖工作原理、材料选择、器件架构和制造策略。我们进一步讨论人工智能辅助信号处理、摩擦电人工突触和神经形态计算作为从自供电传感到智能 HMI 的关键桥梁。仅当可穿戴摩擦电传感作为主要人类输入界面时，才会讨论代表性应用领域，包括医疗保健、手势识别、设备控制、沉浸式虚拟交互、可穿戴设备到机器人的扩展和智能交通。最后，剩下的ch</w:t>
      </w:r>
    </w:p>
    <w:p>
      <w:pPr>
        <w:spacing w:before="0" w:after="200" w:lineRule="auto" w:line="276"/>
      </w:pPr>
      <w:r>
        <w:rPr>
          <w:b/>
        </w:rPr>
        <w:t xml:space="preserve">Abstract (EN): </w:t>
      </w:r>
      <w:r>
        <w:t>As intelligent electronics become increasingly integrated into daily life, health care, virtual interaction, and assistive systems, human–machine interfaces (HMIs) require sensing platforms that are not only wearable and self-powered but also capable of translating human signals into adaptive machine functions. Triboelectric wearable sensors are particularly attractive in this regard because they directly transduce human-generated mechanical stimuli, provide broad material and structural design freedom, and are readily adaptable to body-interfaced formats. In this review, wearability refers to body-mounted, skin-interfaced, textile-integrated, or otherwise human-attached triboelectric sensing platforms, whereas human-centric smart electronics refers to downstream electronic systems that remain functionally anchored to human-originated sensing, interpretation, feedback, or control. From this perspective, we review triboelectric wearable sensors from fundamentals to applications, covering working principles, material selection, device architectures, and fabrication strategies. We further discuss artificial intelligence-assisted signal processing, triboelectric artificial synapses, and neuromorphic computing as key bridges from self-powered sensing to intelligent HMI. Representative application spaces, including health care, gesture recognition, device control, immersive virtual interaction, wearable-to-robotic extensions, and intelligent transportation are discussed only when wearable triboelectric sensing serves as the primary human–input interface. Finally, the remaining challenges and future directions toward next-generation human-centric smart electronics are outlined. Highlights:1 A wearable-centered review framework is presented for triboelectric sensors, covering self-powered sensing principles, material selection, device architectures, and fabrication strategies.2 Artificial intelligence-assisted signal processing, triboelectric artificial synapses, and neuromorphic computing are identified as key bridges from self-powered sensing to adaptive human–machine interfaces.3 Representative applications and future directions are organized toward human-centric smart electronics, including health care, gesture interaction, robotics, intelligent transportation, and next-generation embodied systems.</w:t>
      </w:r>
    </w:p>
    <w:p>
      <w:pPr>
        <w:spacing w:before="120" w:after="120"/>
      </w:pPr>
      <w:r>
        <w:rPr>
          <w:sz w:val="18"/>
        </w:rPr>
        <w:t>——————————————————————————————————————————————————————————————————————</w:t>
      </w:r>
    </w:p>
    <w:p>
      <w:pPr>
        <w:spacing w:before="160" w:after="40" w:line="240" w:lineRule="auto"/>
      </w:pPr>
      <w:r>
        <w:rPr>
          <w:b/>
        </w:rPr>
        <w:t xml:space="preserve">[185] </w:t>
      </w:r>
      <w:hyperlink r:id="rId602">
        <w:r>
          <w:rPr>
            <w:color w:val="1155CC"/>
            <w:u w:val="single"/>
          </w:rPr>
          <w:t>弦滑动振动模式控制非晶材料中的玻色子峰和声子异常</w:t>
        </w:r>
      </w:hyperlink>
    </w:p>
    <w:p>
      <w:pPr>
        <w:spacing w:before="0" w:after="80"/>
      </w:pPr>
      <w:r>
        <w:rPr>
          <w:i/>
          <w:sz w:val="20"/>
        </w:rPr>
        <w:t>EN: String-sliding vibrational modes govern the boson peak and phonon anomalies in amorphous materials</w:t>
      </w:r>
    </w:p>
    <w:p>
      <w:pPr>
        <w:spacing w:before="0" w:after="120"/>
      </w:pPr>
      <w:r>
        <w:rPr>
          <w:b/>
        </w:rPr>
        <w:t xml:space="preserve">Source: </w:t>
      </w:r>
      <w:r>
        <w:t>Nature Materials</w:t>
      </w:r>
      <w:r>
        <w:t xml:space="preserve">    </w:t>
      </w:r>
      <w:r>
        <w:rPr>
          <w:b/>
        </w:rPr>
        <w:t xml:space="preserve">Pub date: </w:t>
      </w:r>
      <w:r>
        <w:t>2026-06-16 00:00:00+00:00</w:t>
      </w:r>
      <w:r>
        <w:t xml:space="preserve">    </w:t>
      </w:r>
      <w:r>
        <w:rPr>
          <w:b/>
        </w:rPr>
        <w:t xml:space="preserve">DOI: </w:t>
      </w:r>
      <w:hyperlink r:id="rId603">
        <w:r>
          <w:rPr>
            <w:color w:val="1155CC"/>
            <w:u w:val="single"/>
          </w:rPr>
          <w:t>10.1038/s41563-026-02592-9</w:t>
        </w:r>
      </w:hyperlink>
    </w:p>
    <w:p>
      <w:pPr>
        <w:spacing w:before="0" w:after="120"/>
      </w:pPr>
      <w:r>
        <w:rPr>
          <w:b/>
        </w:rPr>
        <w:t xml:space="preserve">Notes: </w:t>
      </w:r>
      <w:r>
        <w:t>abstract_source=nature_html</w:t>
      </w:r>
    </w:p>
    <w:p>
      <w:pPr>
        <w:spacing w:before="0" w:after="80" w:lineRule="auto" w:line="276"/>
      </w:pPr>
      <w:r>
        <w:rPr>
          <w:b/>
        </w:rPr>
        <w:t xml:space="preserve">摘要（ZH）: </w:t>
      </w:r>
      <w:r>
        <w:t>玻色子峰是非晶材料的普遍振动异常，但几十年来其微观起源仍不清楚。通过对二维和三维的普通、超均匀和无应力玻璃进行模拟，我们表明玻色子峰值源自声子和固有弦滑动振动模式之间的强共振耦合（由频率匹配引起）。我们确定了两类具有不同作用的激励：四极准局域模式（主导低频非仿射响应）和弦滑动振动模式（与太赫兹频率的声子共振以产生玻色子峰值过剩）。即使在没有准局域模式或相关弹性异质性的玻璃中，玻色子峰值仍然存在，而声子异常则直接源于这种共振机制。总之，这些发现确立了弦声子共振（而不是准局域模式或弹性异质性）作为玻色子峰的中心微观机制，并为理解和定制非晶固体的振动和机械特性提供了一个基于模式的统一框架。</w:t>
      </w:r>
    </w:p>
    <w:p>
      <w:pPr>
        <w:spacing w:before="0" w:after="200" w:lineRule="auto" w:line="276"/>
      </w:pPr>
      <w:r>
        <w:rPr>
          <w:b/>
        </w:rPr>
        <w:t xml:space="preserve">Abstract (EN): </w:t>
      </w:r>
      <w:r>
        <w:t>The boson peak is a universal vibrational anomaly of amorphous materials, yet its microscopic origin has remained unclear for decades. Using simulations of ordinary, hyperuniform and unstressed glasses in two and three dimensions, we show that the boson peak originates from the strong resonant coupling—arising from frequency matching—between phonons and intrinsic string-sliding vibrational modes. We identify two classes of excitations with distinct roles: quadrupolar quasi-localized modes (which dominate low-frequency non-affine responses) and string-sliding vibrational modes (which resonate with phonons at terahertz frequencies to generate the boson-peak excess). The boson peak persists even in glasses without quasi-localized modes or associated elastic heterogeneity, whereas phonon anomalies follow directly from this resonance mechanism. Together, these findings establish string–phonon resonance—rather than quasi-localized modes or elastic heterogeneity—as the central microscopic mechanism of the boson peak and provide a unified mode-based framework for understanding and tailoring the vibrational and mechanical properties of amorphous solids.</w:t>
      </w:r>
    </w:p>
    <w:p>
      <w:pPr>
        <w:spacing w:before="120" w:after="120"/>
      </w:pPr>
      <w:r>
        <w:rPr>
          <w:sz w:val="18"/>
        </w:rPr>
        <w:t>——————————————————————————————————————————————————————————————————————</w:t>
      </w:r>
    </w:p>
    <w:p>
      <w:pPr>
        <w:spacing w:before="160" w:after="40" w:line="240" w:lineRule="auto"/>
      </w:pPr>
      <w:r>
        <w:rPr>
          <w:b/>
        </w:rPr>
        <w:t xml:space="preserve">[186] </w:t>
      </w:r>
      <w:hyperlink r:id="rId604">
        <w:r>
          <w:rPr>
            <w:color w:val="1155CC"/>
            <w:u w:val="single"/>
          </w:rPr>
          <w:t>使用光纤尖端上的单像素设备识别光的模式、偏振、波长和强度</w:t>
        </w:r>
      </w:hyperlink>
    </w:p>
    <w:p>
      <w:pPr>
        <w:spacing w:before="0" w:after="80"/>
      </w:pPr>
      <w:r>
        <w:rPr>
          <w:i/>
          <w:sz w:val="20"/>
        </w:rPr>
        <w:t>EN: Identification of the mode, polarization, wavelength and intensity of light using a one-pixel device on an optical fibre tip</w:t>
      </w:r>
    </w:p>
    <w:p>
      <w:pPr>
        <w:spacing w:before="0" w:after="120"/>
      </w:pPr>
      <w:r>
        <w:rPr>
          <w:b/>
        </w:rPr>
        <w:t xml:space="preserve">Source: </w:t>
      </w:r>
      <w:r>
        <w:t>Nature Electronics</w:t>
      </w:r>
      <w:r>
        <w:t xml:space="preserve">    </w:t>
      </w:r>
      <w:r>
        <w:rPr>
          <w:b/>
        </w:rPr>
        <w:t xml:space="preserve">Pub date: </w:t>
      </w:r>
      <w:r>
        <w:t>2026-06-16 00:00:00+00:00</w:t>
      </w:r>
      <w:r>
        <w:t xml:space="preserve">    </w:t>
      </w:r>
      <w:r>
        <w:rPr>
          <w:b/>
        </w:rPr>
        <w:t xml:space="preserve">DOI: </w:t>
      </w:r>
      <w:hyperlink r:id="rId605">
        <w:r>
          <w:rPr>
            <w:color w:val="1155CC"/>
            <w:u w:val="single"/>
          </w:rPr>
          <w:t>10.1038/s41928-026-01660-x</w:t>
        </w:r>
      </w:hyperlink>
    </w:p>
    <w:p>
      <w:pPr>
        <w:spacing w:before="0" w:after="120"/>
      </w:pPr>
      <w:r>
        <w:rPr>
          <w:b/>
        </w:rPr>
        <w:t xml:space="preserve">Notes: </w:t>
      </w:r>
      <w:r>
        <w:t>abstract_source=nature_html</w:t>
      </w:r>
    </w:p>
    <w:p>
      <w:pPr>
        <w:spacing w:before="0" w:after="80" w:lineRule="auto" w:line="276"/>
      </w:pPr>
      <w:r>
        <w:rPr>
          <w:b/>
        </w:rPr>
        <w:t xml:space="preserve">摘要（ZH）: </w:t>
      </w:r>
      <w:r>
        <w:t>不同光参数的原位监测对于大容量信息技术的发展具有重要意义。然而，随着参数的增加，光状态的数量呈指数级增加，并且传统的检测系统必须使用庞大的光学器件将光信号分成多个通道和光电探测器。在这里，我们报告了一种集成在光纤尖端上的单像素设备，可以同时解析光的模式、偏振、波长和强度。该装置可以产生空间相关的响应，基于二维黑磷和黑砷磷的扭曲二向色层以及环形光栅电极。该设备产生六种不同的光响应，我们用它来通过一次性测量实现四维光检测，创建大约 104 个大型可识别输入状态空间。我们还表明，该方法可用于多维图像加密通信。</w:t>
      </w:r>
    </w:p>
    <w:p>
      <w:pPr>
        <w:spacing w:before="0" w:after="200" w:lineRule="auto" w:line="276"/>
      </w:pPr>
      <w:r>
        <w:rPr>
          <w:b/>
        </w:rPr>
        <w:t xml:space="preserve">Abstract (EN): </w:t>
      </w:r>
      <w:r>
        <w:t>The in situ monitoring of different parameters of light is important for the development of high-capacity information technology. However, the number of light states increases exponentially as parameters are added, and conventional detection systems must split light signals into numerous channels and photodetectors using bulky optics. Here we report a one-pixel device that is integrated on an optical fibre tip and can simultaneously resolve the mode, polarization, wavelength and intensity of light. The device, which can generate spatially dependent responses, is based on twisted, dichroic layers of two-dimensional black phosphorus and black arsenic–phosphorus, as well as ring-grating-like electrodes. The device generates six distinct photoresponses and we use it to achieve four-dimensional light detection with one-shot measurements, creating a large recognizable input-state space of around 104. We also show that the approach can be used for multidimensional image encryption communication.</w:t>
      </w:r>
    </w:p>
    <w:p>
      <w:pPr>
        <w:spacing w:before="120" w:after="120"/>
      </w:pPr>
      <w:r>
        <w:rPr>
          <w:sz w:val="18"/>
        </w:rPr>
        <w:t>——————————————————————————————————————————————————————————————————————</w:t>
      </w:r>
    </w:p>
    <w:p>
      <w:pPr>
        <w:spacing w:before="160" w:after="40" w:line="240" w:lineRule="auto"/>
      </w:pPr>
      <w:r>
        <w:rPr>
          <w:b/>
        </w:rPr>
        <w:t xml:space="preserve">[187] </w:t>
      </w:r>
      <w:hyperlink r:id="rId606">
        <w:r>
          <w:rPr>
            <w:color w:val="1155CC"/>
            <w:u w:val="single"/>
          </w:rPr>
          <w:t>具有可编程多相波形的无线供电、光控、生物可吸收刺激系统</w:t>
        </w:r>
      </w:hyperlink>
    </w:p>
    <w:p>
      <w:pPr>
        <w:spacing w:before="0" w:after="80"/>
      </w:pPr>
      <w:r>
        <w:rPr>
          <w:i/>
          <w:sz w:val="20"/>
        </w:rPr>
        <w:t>EN: A wirelessly powered, light-controlled, bioresorbable stimulation system with programmable polyphasic waveforms</w:t>
      </w:r>
    </w:p>
    <w:p>
      <w:pPr>
        <w:spacing w:before="0" w:after="120"/>
      </w:pPr>
      <w:r>
        <w:rPr>
          <w:b/>
        </w:rPr>
        <w:t xml:space="preserve">Source: </w:t>
      </w:r>
      <w:r>
        <w:t>Nature Electronics</w:t>
      </w:r>
      <w:r>
        <w:t xml:space="preserve">    </w:t>
      </w:r>
      <w:r>
        <w:rPr>
          <w:b/>
        </w:rPr>
        <w:t xml:space="preserve">Pub date: </w:t>
      </w:r>
      <w:r>
        <w:t>2026-06-16 00:00:00+00:00</w:t>
      </w:r>
      <w:r>
        <w:t xml:space="preserve">    </w:t>
      </w:r>
      <w:r>
        <w:rPr>
          <w:b/>
        </w:rPr>
        <w:t xml:space="preserve">DOI: </w:t>
      </w:r>
      <w:hyperlink r:id="rId607">
        <w:r>
          <w:rPr>
            <w:color w:val="1155CC"/>
            <w:u w:val="single"/>
          </w:rPr>
          <w:t>10.1038/s41928-026-01655-8</w:t>
        </w:r>
      </w:hyperlink>
    </w:p>
    <w:p>
      <w:pPr>
        <w:spacing w:before="0" w:after="120"/>
      </w:pPr>
      <w:r>
        <w:rPr>
          <w:b/>
        </w:rPr>
        <w:t xml:space="preserve">Notes: </w:t>
      </w:r>
      <w:r>
        <w:t>abstract_source=nature_html</w:t>
      </w:r>
    </w:p>
    <w:p>
      <w:pPr>
        <w:spacing w:before="0" w:after="80" w:lineRule="auto" w:line="276"/>
      </w:pPr>
      <w:r>
        <w:rPr>
          <w:b/>
        </w:rPr>
        <w:t xml:space="preserve">摘要（ZH）: </w:t>
      </w:r>
      <w:r>
        <w:t>用于电刺激的无线生物可吸收系统可以在临床相关的时间范围内提供电疗，然后以无害的方式溶解掉。此类系统此前已用于神经再生和心脏起搏，将单相脉冲传递到目标部位。在这里，我们报告了一种无线供电系统，该系统使用组织穿透的近红外光对刺激波形进行可编程控制。该方法依赖于生物可吸收硅光电晶体管，该晶体管旨在光学调制电路中关键节点的电流。我们证明，该方法可以提供对刺激脉冲的精确控制，允许将单相、双相和多相波形传送到单个或多个站点，并且所有电源都以无线方式传送到单个接收器单元。使用小型和大型动物模型，我们进一步证明该技术能够实现单腔和双腔心脏起搏，以及用于诱导和阻止膈肌偏移的膈神经肌肉刺激。</w:t>
      </w:r>
    </w:p>
    <w:p>
      <w:pPr>
        <w:spacing w:before="0" w:after="200" w:lineRule="auto" w:line="276"/>
      </w:pPr>
      <w:r>
        <w:rPr>
          <w:b/>
        </w:rPr>
        <w:t xml:space="preserve">Abstract (EN): </w:t>
      </w:r>
      <w:r>
        <w:t>Wireless bioresorbable systems for electrical stimulation can deliver electrotherapy over clinically relevant timeframes, and then subsequently dissolve away in a harmless fashion. Such systems have previously been used in neuroregeneration and cardiac pacing, delivering monophasic pulses to a targeted site. Here we report a wirelessly powered system with programmable control of the stimulation waveforms using tissue-penetrating near-infrared light. The approach relies on a bioresorbable silicon phototransistor that is designed to optically modulate current flows at critical nodes in electrical circuits. We show that the approach can offer precise control over stimulation pulses—allowing monophasic, biphasic and polyphasic waveforms to be delivered to single or multiple sites—and all with power wirelessly delivered to a single receiver unit. Using small and large animal models, we further show that the technology enables single- and dual-chamber cardiac pacing, as well as phrenic neuromuscular stimulation for inducing and blocking diaphragmatic excursion.</w:t>
      </w:r>
    </w:p>
    <w:p>
      <w:pPr>
        <w:spacing w:before="120" w:after="120"/>
      </w:pPr>
      <w:r>
        <w:rPr>
          <w:sz w:val="18"/>
        </w:rPr>
        <w:t>——————————————————————————————————————————————————————————————————————</w:t>
      </w:r>
    </w:p>
    <w:p>
      <w:pPr>
        <w:spacing w:before="160" w:after="40" w:line="240" w:lineRule="auto"/>
      </w:pPr>
      <w:r>
        <w:rPr>
          <w:b/>
        </w:rPr>
        <w:t xml:space="preserve">[188] </w:t>
      </w:r>
      <w:hyperlink r:id="rId608">
        <w:r>
          <w:rPr>
            <w:color w:val="1155CC"/>
            <w:u w:val="single"/>
          </w:rPr>
          <w:t>数学家正在制定人工智能使用规则——其他领域也应该效仿</w:t>
        </w:r>
      </w:hyperlink>
    </w:p>
    <w:p>
      <w:pPr>
        <w:spacing w:before="0" w:after="80"/>
      </w:pPr>
      <w:r>
        <w:rPr>
          <w:i/>
          <w:sz w:val="20"/>
        </w:rPr>
        <w:t>EN: Mathematicians are developing rules for AI use — other fields should follow</w:t>
      </w:r>
    </w:p>
    <w:p>
      <w:pPr>
        <w:spacing w:before="0" w:after="120"/>
      </w:pPr>
      <w:r>
        <w:rPr>
          <w:b/>
        </w:rPr>
        <w:t xml:space="preserve">Source: </w:t>
      </w:r>
      <w:r>
        <w:t>Nature</w:t>
      </w:r>
      <w:r>
        <w:t xml:space="preserve">    </w:t>
      </w:r>
      <w:r>
        <w:rPr>
          <w:b/>
        </w:rPr>
        <w:t xml:space="preserve">Pub date: </w:t>
      </w:r>
      <w:r>
        <w:t>2026-06-16 00:00:00+00:00</w:t>
      </w:r>
      <w:r>
        <w:t xml:space="preserve">    </w:t>
      </w:r>
      <w:r>
        <w:rPr>
          <w:b/>
        </w:rPr>
        <w:t xml:space="preserve">DOI: </w:t>
      </w:r>
      <w:hyperlink r:id="rId609">
        <w:r>
          <w:rPr>
            <w:color w:val="1155CC"/>
            <w:u w:val="single"/>
          </w:rPr>
          <w:t>10.1038/d41586-026-01881-2</w:t>
        </w:r>
      </w:hyperlink>
    </w:p>
    <w:p>
      <w:pPr>
        <w:spacing w:before="0" w:after="120"/>
      </w:pPr>
      <w:r>
        <w:rPr>
          <w:b/>
        </w:rPr>
        <w:t xml:space="preserve">Notes: </w:t>
      </w:r>
      <w:r>
        <w:t>abstract_source=nature_html</w:t>
      </w:r>
    </w:p>
    <w:p>
      <w:pPr>
        <w:spacing w:before="0" w:after="80" w:lineRule="auto" w:line="276"/>
      </w:pPr>
      <w:r>
        <w:rPr>
          <w:b/>
        </w:rPr>
        <w:t xml:space="preserve">摘要（ZH）: </w:t>
      </w:r>
      <w:r>
        <w:t>数学界呼吁在使用人工智能工具时保护透明度、完整性和公平性，这是正确的。其他学科的研究人员可以借鉴这种方法。数学界呼吁在使用人工智能工具时保护透明度、完整性和公平性，这是正确的。其他学科的研究人员可以借鉴这种方法。</w:t>
      </w:r>
    </w:p>
    <w:p>
      <w:pPr>
        <w:spacing w:before="0" w:after="200" w:lineRule="auto" w:line="276"/>
      </w:pPr>
      <w:r>
        <w:rPr>
          <w:b/>
        </w:rPr>
        <w:t xml:space="preserve">Abstract (EN): </w:t>
      </w:r>
      <w:r>
        <w:t>The mathematics community is right to call for transparency, integrity and fairness to be protected when AI tools are used. Researchers in other disciplines could learn from this approach. The mathematics community is right to call for transparency, integrity and fairness to be protected when AI tools are used. Researchers in other disciplines could learn from this approach.</w:t>
      </w:r>
    </w:p>
    <w:p>
      <w:pPr>
        <w:spacing w:before="120" w:after="120"/>
      </w:pPr>
      <w:r>
        <w:rPr>
          <w:sz w:val="18"/>
        </w:rPr>
        <w:t>——————————————————————————————————————————————————————————————————————</w:t>
      </w:r>
    </w:p>
    <w:p>
      <w:pPr>
        <w:spacing w:before="160" w:after="40" w:line="240" w:lineRule="auto"/>
      </w:pPr>
      <w:r>
        <w:rPr>
          <w:b/>
        </w:rPr>
        <w:t xml:space="preserve">[189] </w:t>
      </w:r>
      <w:hyperlink r:id="rId610">
        <w:r>
          <w:rPr>
            <w:color w:val="1155CC"/>
            <w:u w:val="single"/>
          </w:rPr>
          <w:t>神经网络驱动的阻抗梯度元设备实现超宽带微波吸收和可编程多光谱伪装</w:t>
        </w:r>
      </w:hyperlink>
    </w:p>
    <w:p>
      <w:pPr>
        <w:spacing w:before="0" w:after="80"/>
      </w:pPr>
      <w:r>
        <w:rPr>
          <w:i/>
          <w:sz w:val="20"/>
        </w:rPr>
        <w:t>EN: Ultra-Broadband Microwave Absorption and Programmable Multispectral Camouflage Enabled by Neural-Network-Driven Impedance-Gradient Metadevices</w:t>
      </w:r>
    </w:p>
    <w:p>
      <w:pPr>
        <w:spacing w:before="0" w:after="120"/>
      </w:pPr>
      <w:r>
        <w:rPr>
          <w:b/>
        </w:rPr>
        <w:t xml:space="preserve">Source: </w:t>
      </w:r>
      <w:r>
        <w:t>Nano-Micro Letters</w:t>
      </w:r>
      <w:r>
        <w:t xml:space="preserve">    </w:t>
      </w:r>
      <w:r>
        <w:rPr>
          <w:b/>
        </w:rPr>
        <w:t xml:space="preserve">Pub date: </w:t>
      </w:r>
      <w:r>
        <w:t>2026-06-16 00:00:00+00:00</w:t>
      </w:r>
      <w:r>
        <w:t xml:space="preserve">    </w:t>
      </w:r>
      <w:r>
        <w:rPr>
          <w:b/>
        </w:rPr>
        <w:t xml:space="preserve">DOI: </w:t>
      </w:r>
      <w:hyperlink r:id="rId611">
        <w:r>
          <w:rPr>
            <w:color w:val="1155CC"/>
            <w:u w:val="single"/>
          </w:rPr>
          <w:t>10.1007/s40820-026-02247-z</w:t>
        </w:r>
      </w:hyperlink>
    </w:p>
    <w:p>
      <w:pPr>
        <w:spacing w:before="0" w:after="120"/>
      </w:pPr>
      <w:r>
        <w:rPr>
          <w:b/>
        </w:rPr>
        <w:t xml:space="preserve">Notes: </w:t>
      </w:r>
      <w:r>
        <w:t>abstract_source=rss_description</w:t>
      </w:r>
    </w:p>
    <w:p>
      <w:pPr>
        <w:spacing w:before="0" w:after="80" w:lineRule="auto" w:line="276"/>
      </w:pPr>
      <w:r>
        <w:rPr>
          <w:b/>
        </w:rPr>
        <w:t xml:space="preserve">摘要（ZH）: </w:t>
      </w:r>
      <w:r>
        <w:t>由于电磁波长的明显差异以及天然材料响应机制的限制，实现全向多光谱兼容伪装仍然是一个重大挑战。这里，神经网络被用来智能地优化为多光谱兼容性而定制的多尺度阻抗梯度（IG）元设备的设计。宏梯度单元采用精确的阻抗匹配和高旋转对称性设计，可提供出色的微波超宽带吸收（2-18 GHz），不敏感角度达到 60°。通过将聚酰亚胺泡沫基材与 MXene 功能化纳米结构光致变色顶层相结合，最终的器件表现出卓越的红外隔热性 (ΔT 65 °C) 和低发射率 (0.38)，以及通过纳米级光致变色切换实现的快速可见颜色变化 (1 ~ 2 s)。此外，IG 元设备还提供可编程性和多模态，以及抗冲击性（约 30,000 N）和环境稳定性。这项工作为适应复杂场景的多光谱兼容伪装系统的智能设计提供了新颖的范例。亮点：1 利用神经网络智能设计了一种用于多光谱兼容迷彩的阻抗梯度元器件。2 该元器件表现出优异的微波超宽带吸收（2-18 GHz）、红外隔热（ΔT≈65 °C）、低发射率（0.38）和快速可见颜色变化（1-2 s）。3 组装的器件提供可编程性和多模态，同时还展示了</w:t>
      </w:r>
    </w:p>
    <w:p>
      <w:pPr>
        <w:spacing w:before="0" w:after="200" w:lineRule="auto" w:line="276"/>
      </w:pPr>
      <w:r>
        <w:rPr>
          <w:b/>
        </w:rPr>
        <w:t xml:space="preserve">Abstract (EN): </w:t>
      </w:r>
      <w:r>
        <w:t>Achieving omnidirectional multispectral compatible camouflage remains a significant challenge due to the pronounced disparities in electromagnetic wavelengths and constraints on the response mechanisms of natural materials. Herein, neural networks are employed to intelligently optimize the design of multiscale impedance-gradient (IG) metadevices tailored for multispectral compatibility. The macro-gradient unit is engineered with precise impedance matching and high rotational symmetry to provide exceptional microwave ultra-broadband absorption (2–18 GHz), with insensitivity angles reaching 60°. By integrating a polyimide foam substrate with an MXene-functionalized nanostructured photochromic top layer, the finalized device exhibits remarkable infrared thermal insulation (ΔT 65 °C) and low emissivity (0.38), alongside rapid visible color change (1 ~ 2 s) enabled by nanoscale photochromic switching. Furthermore, IG metadevices deliver programmability and multimodality, alongside impact resistance (~ 30,000 N) and environmental stability. This work provides novel paradigms for the intelligent design of multispectral compatible camouflage systems adaptable to complex scenarios. Highlights:1 An impedance-gradient metadevice for multispectral compatible camouflage was intelligently designed using the neural network.2 The metadevice demonstrates excellent microwave ultra-broadband absorption (2–18 GHz), infrared thermal insulation (ΔT≈65 °C), low emissivity (0.38), and rapid visible color change (1–2 s).3 The assembled device offers programmability and multimodality while also exhibiting impact resistance (~30,000 N) and environmental stability.</w:t>
      </w:r>
    </w:p>
    <w:p>
      <w:pPr>
        <w:spacing w:before="120" w:after="120"/>
      </w:pPr>
      <w:r>
        <w:rPr>
          <w:sz w:val="18"/>
        </w:rPr>
        <w:t>——————————————————————————————————————————————————————————————————————</w:t>
      </w:r>
    </w:p>
    <w:p>
      <w:pPr>
        <w:spacing w:before="160" w:after="40" w:line="240" w:lineRule="auto"/>
      </w:pPr>
      <w:r>
        <w:rPr>
          <w:b/>
        </w:rPr>
        <w:t xml:space="preserve">[190] </w:t>
      </w:r>
      <w:hyperlink r:id="rId612">
        <w:r>
          <w:rPr>
            <w:color w:val="1155CC"/>
            <w:u w:val="single"/>
          </w:rPr>
          <w:t>在共享变压器约束下协调多个充电服务提供商之间的电动汽车充电：容量分配和滚动优化的两阶段框架</w:t>
        </w:r>
      </w:hyperlink>
    </w:p>
    <w:p>
      <w:pPr>
        <w:spacing w:before="0" w:after="80"/>
      </w:pPr>
      <w:r>
        <w:rPr>
          <w:i/>
          <w:sz w:val="20"/>
        </w:rPr>
        <w:t>EN: Coordinating EV charging among multiple charging service providers under shared transformer constraints: A two-stage framework for capacity allocation and rolling optimization</w:t>
      </w:r>
    </w:p>
    <w:p>
      <w:pPr>
        <w:spacing w:before="0" w:after="120"/>
      </w:pPr>
      <w:r>
        <w:rPr>
          <w:b/>
        </w:rPr>
        <w:t xml:space="preserve">Source: </w:t>
      </w:r>
      <w:r>
        <w:t>ScienceDirect Publication: Applied Energy</w:t>
      </w:r>
      <w:r>
        <w:t xml:space="preserve">    </w:t>
      </w:r>
      <w:r>
        <w:rPr>
          <w:b/>
        </w:rPr>
        <w:t xml:space="preserve">Pub date: </w:t>
      </w:r>
      <w:r>
        <w:t>2026-06-16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[191] </w:t>
      </w:r>
      <w:hyperlink r:id="rId613">
        <w:r>
          <w:rPr>
            <w:color w:val="1155CC"/>
            <w:u w:val="single"/>
          </w:rPr>
          <w:t>各国技术扩散速度的驱动因素</w:t>
        </w:r>
      </w:hyperlink>
    </w:p>
    <w:p>
      <w:pPr>
        <w:spacing w:before="0" w:after="80"/>
      </w:pPr>
      <w:r>
        <w:rPr>
          <w:i/>
          <w:sz w:val="20"/>
        </w:rPr>
        <w:t>EN: Drivers of technology diffusion speed in countries</w:t>
      </w:r>
    </w:p>
    <w:p>
      <w:pPr>
        <w:spacing w:before="0" w:after="120"/>
      </w:pPr>
      <w:r>
        <w:rPr>
          <w:b/>
        </w:rPr>
        <w:t xml:space="preserve">Source: </w:t>
      </w:r>
      <w:r>
        <w:t>Earth and environmental sciences : Nature Communications subject feeds</w:t>
      </w:r>
      <w:r>
        <w:t xml:space="preserve">    </w:t>
      </w:r>
      <w:r>
        <w:rPr>
          <w:b/>
        </w:rPr>
        <w:t xml:space="preserve">Pub date: </w:t>
      </w:r>
      <w:r>
        <w:t>2026-06-16 00:00:00+00:00</w:t>
      </w:r>
    </w:p>
    <w:p>
      <w:pPr>
        <w:spacing w:before="0" w:after="120"/>
      </w:pPr>
      <w:r>
        <w:rPr>
          <w:b/>
        </w:rPr>
        <w:t xml:space="preserve">Notes: </w:t>
      </w:r>
      <w:r>
        <w:t>abstract_source=nature_html</w:t>
      </w:r>
    </w:p>
    <w:p>
      <w:pPr>
        <w:spacing w:before="0" w:after="80" w:lineRule="auto" w:line="276"/>
      </w:pPr>
      <w:r>
        <w:rPr>
          <w:b/>
        </w:rPr>
        <w:t xml:space="preserve">摘要（ZH）: </w:t>
      </w:r>
      <w:r>
        <w:t>减少温室气体排放和限制全球气温上升需要快速、大规模的技术转型。技术采用的历史趋势可以告诉我们这种转变发生的速度。我们使用扩展的技术采用历史 (HATCH) 数据集分析技术和国家特征对扩散速度的影响，该数据集包含 130 种技术和 228 个国家的 5990 个国家级时间序列。与之前的研究相比，该数据集能够对扩散驱动因素进行更广泛、更综合的评估。我们观察到增长率的巨大差异：更新、更简单、更标准化、更小、物质密集度较低且寿命较短的技术扩散得更快。这些发现表明，较小规模的技术可能比复杂的大规模技术更快地被采用，而复杂的大规模技术可能需要更多的支持和更长的时间才能广泛采用。</w:t>
      </w:r>
    </w:p>
    <w:p>
      <w:pPr>
        <w:spacing w:before="0" w:after="200" w:lineRule="auto" w:line="276"/>
      </w:pPr>
      <w:r>
        <w:rPr>
          <w:b/>
        </w:rPr>
        <w:t xml:space="preserve">Abstract (EN): </w:t>
      </w:r>
      <w:r>
        <w:t>Reducing greenhouse gas emissions and limiting global temperature increases require rapid, large-scale technological transitions. Historical trends in technology adoption can inform how quickly such transitions may occur. We analyse the effects of technology and country characteristics on diffusion speed using an expanded Historical Adoption of Technologies (HATCH) dataset, comprising 5990 national-level time series across 130 technologies and 228 countries. Compared to previous studies, this dataset enables a broader and more integrated assessment of diffusion drivers. We observe substantial variation in growth rates: newer, simpler, more standardised, smaller, less materially intensive, and shorter-lived technologies diffuse more rapidly. These findings suggest that smaller-scale technologies may be adopted faster than complex, large-scale technologies, which may require greater support and longer timeframes for widespread adoption.</w:t>
      </w:r>
    </w:p>
    <w:p>
      <w:pPr>
        <w:spacing w:before="120" w:after="120"/>
      </w:pPr>
      <w:r>
        <w:rPr>
          <w:sz w:val="18"/>
        </w:rPr>
        <w:t>——————————————————————————————————————————————————————————————————————</w:t>
      </w:r>
    </w:p>
    <w:p>
      <w:pPr>
        <w:spacing w:before="160" w:after="40" w:line="240" w:lineRule="auto"/>
      </w:pPr>
      <w:r>
        <w:rPr>
          <w:b/>
        </w:rPr>
        <w:t xml:space="preserve">[192] </w:t>
      </w:r>
      <w:hyperlink r:id="rId614">
        <w:r>
          <w:rPr>
            <w:color w:val="1155CC"/>
            <w:u w:val="single"/>
          </w:rPr>
          <w:t>变暖使北冰洋西部变成了漂流物质的中心</w:t>
        </w:r>
      </w:hyperlink>
    </w:p>
    <w:p>
      <w:pPr>
        <w:spacing w:before="0" w:after="80"/>
      </w:pPr>
      <w:r>
        <w:rPr>
          <w:i/>
          <w:sz w:val="20"/>
        </w:rPr>
        <w:t>EN: Warming transforms the western Arctic Ocean into a hub of drifting matter</w:t>
      </w:r>
    </w:p>
    <w:p>
      <w:pPr>
        <w:spacing w:before="0" w:after="120"/>
      </w:pPr>
      <w:r>
        <w:rPr>
          <w:b/>
        </w:rPr>
        <w:t xml:space="preserve">Source: </w:t>
      </w:r>
      <w:r>
        <w:t>Earth and environmental sciences : Nature Communications subject feeds</w:t>
      </w:r>
      <w:r>
        <w:t xml:space="preserve">    </w:t>
      </w:r>
      <w:r>
        <w:rPr>
          <w:b/>
        </w:rPr>
        <w:t xml:space="preserve">Pub date: </w:t>
      </w:r>
      <w:r>
        <w:t>2026-06-16 00:00:00+00:00</w:t>
      </w:r>
    </w:p>
    <w:p>
      <w:pPr>
        <w:spacing w:before="0" w:after="120"/>
      </w:pPr>
      <w:r>
        <w:rPr>
          <w:b/>
        </w:rPr>
        <w:t xml:space="preserve">Notes: </w:t>
      </w:r>
      <w:r>
        <w:t>abstract_source=nature_html</w:t>
      </w:r>
    </w:p>
    <w:p>
      <w:pPr>
        <w:spacing w:before="0" w:after="80" w:lineRule="auto" w:line="276"/>
      </w:pPr>
      <w:r>
        <w:rPr>
          <w:b/>
        </w:rPr>
        <w:t xml:space="preserve">摘要（ZH）: </w:t>
      </w:r>
      <w:r>
        <w:t>人为污染和快速环境变化给北冰洋带来越来越大的压力。河流排放通过向海洋输送淡水、营养物、碳和污染物，在这一转变中发挥着至关重要的作用。然而，在未来气候变暖的情况下，河流传播的物质将如何在北极传播仍不清楚。在这里，我们表明，气候变暖通过与海冰减少和上层海洋密度减少相关的海洋环流的多尺度变化，加速并扩大了北极河流水域和漂流物质的扩散。更强的海洋涡流活动和改变的风驱动环流将波弗特环流从主要区域性水库转变为泛北极辐合区，有效地积累了来自西伯利亚的河流衍生物质。与此同时，边界流的增强和跨极漂移加速了西伯利亚排放物向北大西洋的输出。总之，这些环流变化极大地增加了跨流域的连通性，对北部高纬度海洋的海洋生态系统和北极沿海社区产生广泛影响。</w:t>
      </w:r>
    </w:p>
    <w:p>
      <w:pPr>
        <w:spacing w:before="0" w:after="200" w:lineRule="auto" w:line="276"/>
      </w:pPr>
      <w:r>
        <w:rPr>
          <w:b/>
        </w:rPr>
        <w:t xml:space="preserve">Abstract (EN): </w:t>
      </w:r>
      <w:r>
        <w:t>The Arctic Ocean is increasingly stressed by anthropogenic pollution and rapid environmental change. River discharge plays a crucial role in this transition by delivering freshwater, nutrients, carbon, and contaminants to the ocean. Yet how river-borne materials will spread through the Arctic under future climate warming remains unclear. Here we show that climate warming accelerates and expands the dispersal of Arctic river waters and drifting materials through multi-scale changes in ocean circulation linked to sea-ice decline and reduced upper-ocean density. Stronger ocean eddy activity and altered wind-driven circulation transform the Beaufort Gyre from a predominantly regional reservoir into a pan-Arctic convergence zone that efficiently accumulates river-derived materials from Siberia. Meanwhile, intensified boundary currents and Transpolar Drift accelerate the export of Siberian discharge toward the North Atlantic. Together, these circulation changes greatly increase cross-basin connectivity, with broad implications for marine ecosystems in the northern high-latitude oceans and for Arctic coastal communities.</w:t>
      </w:r>
    </w:p>
    <w:p>
      <w:pPr>
        <w:spacing w:before="120" w:after="120"/>
      </w:pPr>
      <w:r>
        <w:rPr>
          <w:sz w:val="18"/>
        </w:rPr>
        <w:t>——————————————————————————————————————————————————————————————————————</w:t>
      </w:r>
    </w:p>
    <w:p>
      <w:pPr>
        <w:spacing w:before="160" w:after="40" w:line="240" w:lineRule="auto"/>
      </w:pPr>
      <w:r>
        <w:rPr>
          <w:b/>
        </w:rPr>
        <w:t xml:space="preserve">[193] </w:t>
      </w:r>
      <w:hyperlink r:id="rId615">
        <w:r>
          <w:rPr>
            <w:color w:val="1155CC"/>
            <w:u w:val="single"/>
          </w:rPr>
          <w:t>亚太地区罗斯贝波调制轨道降水异常</w:t>
        </w:r>
      </w:hyperlink>
    </w:p>
    <w:p>
      <w:pPr>
        <w:spacing w:before="0" w:after="80"/>
      </w:pPr>
      <w:r>
        <w:rPr>
          <w:i/>
          <w:sz w:val="20"/>
        </w:rPr>
        <w:t>EN: Rossby wave-modulated orbital precipitation anomalies in the Asia-Pacific region</w:t>
      </w:r>
    </w:p>
    <w:p>
      <w:pPr>
        <w:spacing w:before="0" w:after="120"/>
      </w:pPr>
      <w:r>
        <w:rPr>
          <w:b/>
        </w:rPr>
        <w:t xml:space="preserve">Source: </w:t>
      </w:r>
      <w:r>
        <w:t>Earth and environmental sciences : Nature Communications subject feeds</w:t>
      </w:r>
      <w:r>
        <w:t xml:space="preserve">    </w:t>
      </w:r>
      <w:r>
        <w:rPr>
          <w:b/>
        </w:rPr>
        <w:t xml:space="preserve">Pub date: </w:t>
      </w:r>
      <w:r>
        <w:t>2026-06-16 00:00:00+00:00</w:t>
      </w:r>
    </w:p>
    <w:p>
      <w:pPr>
        <w:spacing w:before="0" w:after="120"/>
      </w:pPr>
      <w:r>
        <w:rPr>
          <w:b/>
        </w:rPr>
        <w:t xml:space="preserve">Notes: </w:t>
      </w:r>
      <w:r>
        <w:t>abstract_source=nature_html</w:t>
      </w:r>
    </w:p>
    <w:p>
      <w:pPr>
        <w:spacing w:before="0" w:after="80" w:lineRule="auto" w:line="276"/>
      </w:pPr>
      <w:r>
        <w:rPr>
          <w:b/>
        </w:rPr>
        <w:t xml:space="preserve">摘要（ZH）: </w:t>
      </w:r>
      <w:r>
        <w:t>印度太平洋暖池（IPWP）是地球的主要热量和湿气来源，其轨道尺度动力学对全球水文气候产生了深远但尚未完全了解的影响。在这里，通过综合沉积代理和瞬态模拟，我们确定了整个亚太地区的连贯带状降水异常，这种异常不能仅用区域动力学来解释。我们表明，IPWP 上空的季节性深层对流会激发行星罗斯比波。在轨道时间尺度上，它们的综合效应与进动强迫一致，而进动同时调制影响其空间组织的大尺度大气背景状态。在夏季环流的引导下，与罗斯贝波相关的响应向极地延伸，并重新组织了中高纬度地区的大规模水汽输送和降水。累积波响应和背景态调制在轨道时间尺度上提供了热带对流和温带水文气候之间的强大动力联系。这种机制为低纬度轨道强迫如何通过行星波动力学影响整个泛亚洲的水文气候变化提供了物理上一致的解释。</w:t>
      </w:r>
    </w:p>
    <w:p>
      <w:pPr>
        <w:spacing w:before="0" w:after="200" w:lineRule="auto" w:line="276"/>
      </w:pPr>
      <w:r>
        <w:rPr>
          <w:b/>
        </w:rPr>
        <w:t xml:space="preserve">Abstract (EN): </w:t>
      </w:r>
      <w:r>
        <w:t>Orbital-scale dynamics of Indo-Pacific Warm Pool (IPWP), Earth’s dominant heat and moisture source, exert far-reaching yet incompletely understood influences on global hydroclimate. Here, by synthesizing sedimentary proxies with transient simulations, we identify a coherent, banded precipitation anomaly across the Asia-Pacific region that cannot be explained by regional dynamics alone. We show that seasonal deep convection over the IPWP excites planetary Rossby waves. On orbital timescales, their integrated effects are consistent with precessional forcing, while precession simultaneously modulates the large-scale atmospheric background state that influences their spatial organization. Guided by summer circulation, the Rossby-wave-related responses extend poleward and reorganize large-scale moisture transport and precipitation across the mid- and high-latitudes. The cumulative wave response and background-state modulation provide a robust dynamical linkage between tropical convection and extratropical hydroclimate on orbital timescales. This mechanism offers a physically consistent interpretation for how low-latitude orbital forcing imprints hydroclimate variability across Pan-Asia via planetary-wave dynamics.</w:t>
      </w:r>
    </w:p>
    <w:p>
      <w:pPr>
        <w:spacing w:before="120" w:after="120"/>
      </w:pPr>
      <w:r>
        <w:rPr>
          <w:sz w:val="18"/>
        </w:rPr>
        <w:t>——————————————————————————————————————————————————————————————————————</w:t>
      </w:r>
    </w:p>
    <w:p>
      <w:pPr>
        <w:spacing w:before="160" w:after="40" w:line="240" w:lineRule="auto"/>
      </w:pPr>
      <w:r>
        <w:rPr>
          <w:b/>
        </w:rPr>
        <w:t xml:space="preserve">[194] </w:t>
      </w:r>
      <w:hyperlink r:id="rId616">
        <w:r>
          <w:rPr>
            <w:color w:val="1155CC"/>
            <w:u w:val="single"/>
          </w:rPr>
          <w:t>海洋环流持续放缓导致冰河时代终止期间冰盖异常融化 IV</w:t>
        </w:r>
      </w:hyperlink>
    </w:p>
    <w:p>
      <w:pPr>
        <w:spacing w:before="0" w:after="80"/>
      </w:pPr>
      <w:r>
        <w:rPr>
          <w:i/>
          <w:sz w:val="20"/>
        </w:rPr>
        <w:t>EN: Protracted ocean circulation slowdown drove exceptional ice-sheet melting during ice age termination IV</w:t>
      </w:r>
    </w:p>
    <w:p>
      <w:pPr>
        <w:spacing w:before="0" w:after="120"/>
      </w:pPr>
      <w:r>
        <w:rPr>
          <w:b/>
        </w:rPr>
        <w:t xml:space="preserve">Source: </w:t>
      </w:r>
      <w:r>
        <w:t>Earth and environmental sciences : Nature Communications subject feeds</w:t>
      </w:r>
      <w:r>
        <w:t xml:space="preserve">    </w:t>
      </w:r>
      <w:r>
        <w:rPr>
          <w:b/>
        </w:rPr>
        <w:t xml:space="preserve">Pub date: </w:t>
      </w:r>
      <w:r>
        <w:t>2026-06-16 00:00:00+00:00</w:t>
      </w:r>
    </w:p>
    <w:p>
      <w:pPr>
        <w:spacing w:before="0" w:after="120"/>
      </w:pPr>
      <w:r>
        <w:rPr>
          <w:b/>
        </w:rPr>
        <w:t xml:space="preserve">Notes: </w:t>
      </w:r>
      <w:r>
        <w:t>abstract_source=nature_html</w:t>
      </w:r>
    </w:p>
    <w:p>
      <w:pPr>
        <w:spacing w:before="0" w:after="80" w:lineRule="auto" w:line="276"/>
      </w:pPr>
      <w:r>
        <w:rPr>
          <w:b/>
        </w:rPr>
        <w:t xml:space="preserve">摘要（ZH）: </w:t>
      </w:r>
      <w:r>
        <w:t>冰川终止因其海平面上升速度快而引人注目，特别是在融水脉冲期间。终端 IV（T-IV；距今约 340,000 年）就是一个突出的例子，海平面每世纪上升约 5 m。由于海洋记录中的绝对年龄限制很少，T-IV 海平面快速上升的原因仍然难以捉摸。在这项工作中，我们提供了意大利北部的洞穴生物年表，并将其转换为北大西洋海洋记录。我们推断，T-IV 海平面的高上升率可能与反馈有关，即长期融水释放导致海洋热量储存增强，随后循环恢复时热量释放，导致冰盖进一步塌陷。该分析强调了海洋反馈在推动终止期间海平面异常上升速度方面的关键作用。</w:t>
      </w:r>
    </w:p>
    <w:p>
      <w:pPr>
        <w:spacing w:before="0" w:after="200" w:lineRule="auto" w:line="276"/>
      </w:pPr>
      <w:r>
        <w:rPr>
          <w:b/>
        </w:rPr>
        <w:t xml:space="preserve">Abstract (EN): </w:t>
      </w:r>
      <w:r>
        <w:t>Glacial terminations stand out for their high rates of sea-level rise, particularly during meltwater pulses. Termination IV (T-IV; ~340,000 years before present) is a prominent example, with sea level rising at up to ~5 m per century. Due to sparse absolute age constraints on marine records, the causes for the high rates of sea-level rise at T-IV remain elusive. In this work, we provide a speleothem chronology from northern Italy, which we transpose to North Atlantic marine records. We infer that the high T-IV sea-level rise rate likely relates to a feedback whereby protracted meltwater release caused enhanced ocean heat storage, followed by heat release upon circulation recovery, driving additional ice-sheet collapse. This analysis highlights the critical role of oceanic feedbacks in driving exceptional rates of sea-level rise during terminations.</w:t>
      </w:r>
    </w:p>
    <w:p>
      <w:pPr>
        <w:spacing w:before="120" w:after="120"/>
      </w:pPr>
      <w:r>
        <w:rPr>
          <w:sz w:val="18"/>
        </w:rPr>
        <w:t>——————————————————————————————————————————————————————————————————————</w:t>
      </w:r>
    </w:p>
    <w:p>
      <w:pPr>
        <w:spacing w:before="160" w:after="40" w:line="240" w:lineRule="auto"/>
      </w:pPr>
      <w:r>
        <w:rPr>
          <w:b/>
        </w:rPr>
        <w:t xml:space="preserve">[195] </w:t>
      </w:r>
      <w:hyperlink r:id="rId617">
        <w:r>
          <w:rPr>
            <w:color w:val="1155CC"/>
            <w:u w:val="single"/>
          </w:rPr>
          <w:t>人类腺病毒7病毒样颗粒的结构，开发纳米疗法和研究衣壳组装的平台</w:t>
        </w:r>
      </w:hyperlink>
    </w:p>
    <w:p>
      <w:pPr>
        <w:spacing w:before="0" w:after="80"/>
      </w:pPr>
      <w:r>
        <w:rPr>
          <w:i/>
          <w:sz w:val="20"/>
        </w:rPr>
        <w:t>EN: Structure of Human adenovirus 7 virus-like particles, a platform for developing nanotherapeutics and studying capsid assembly</w:t>
      </w:r>
    </w:p>
    <w:p>
      <w:pPr>
        <w:spacing w:before="0" w:after="120"/>
      </w:pPr>
      <w:r>
        <w:rPr>
          <w:b/>
        </w:rPr>
        <w:t xml:space="preserve">Source: </w:t>
      </w:r>
      <w:r>
        <w:t>Proceedings of the National Academy of Sciences: Keyword search for query</w:t>
      </w:r>
      <w:r>
        <w:t xml:space="preserve">    </w:t>
      </w:r>
      <w:r>
        <w:rPr>
          <w:b/>
        </w:rPr>
        <w:t xml:space="preserve">Pub date: </w:t>
      </w:r>
      <w:r>
        <w:t>2026-06-16 07:00:00+00:00</w:t>
      </w:r>
      <w:r>
        <w:t xml:space="preserve">    </w:t>
      </w:r>
      <w:r>
        <w:rPr>
          <w:b/>
        </w:rPr>
        <w:t xml:space="preserve">DOI: </w:t>
      </w:r>
      <w:hyperlink r:id="rId618">
        <w:r>
          <w:rPr>
            <w:color w:val="1155CC"/>
            <w:u w:val="single"/>
          </w:rPr>
          <w:t>10.1073/pnas.2526969123</w:t>
        </w:r>
      </w:hyperlink>
    </w:p>
    <w:p>
      <w:pPr>
        <w:spacing w:before="0" w:after="120"/>
      </w:pPr>
      <w:r>
        <w:rPr>
          <w:b/>
        </w:rPr>
        <w:t xml:space="preserve">Notes: </w:t>
      </w:r>
      <w:r>
        <w:t>abstract_source=crossref</w:t>
      </w:r>
    </w:p>
    <w:p>
      <w:pPr>
        <w:spacing w:before="0" w:after="80" w:lineRule="auto" w:line="276"/>
      </w:pPr>
      <w:r>
        <w:rPr>
          <w:b/>
        </w:rPr>
        <w:t xml:space="preserve">摘要（ZH）: </w:t>
      </w:r>
      <w:r>
        <w:t>腺病毒科成员经常感染人类，表现出显着的遗传多样性，并与多种疾病相关。 4 型和 7 型病毒在美国经常流行，是呼吸道疾病的主要原因。感染可能导致住院，严重时甚至导致死亡。尽管存在针对这两种类型的活野生型病毒疫苗，但由于担心病毒脱落和基因重组的可能性，其使用仅限于军事人员。为了克服这些限制，我们最近开发了一种病毒样颗粒（VLP）平台作为替代疫苗接种策略。这些 VLP 很稳定，缺乏基因组物质，可在小鼠体内引发有效的体液免疫反应，有效中和腺病毒感染。在这里，我们描述了腺病毒 7 (AdV-7) VLP 的冷冻电镜结构。结构见解对于确保 VLP 上展示的中和抗原准确模拟病毒粒子的中和抗原、指导提高稳定性和功效的颗粒设计以及实现针对多种腺病毒类型的具有抗原特性的 VLP 工程至关重要。该结构表明，六邻体、五邻体、pIIIa、pVI、pVIII 和 IX 的组装与 AdV-5 相当，六邻体和五邻体中和表位适当地展示用于抗体识别，五邻体插入六邻体壳中促进水泥蛋白 pIIIa 增加其与周围六邻体的相互作用，核心基因组的存在与水泥蛋白 pVIII 和六邻体之间相互作用的增加有关。最后，有限的蛋白水解</w:t>
      </w:r>
    </w:p>
    <w:p>
      <w:pPr>
        <w:spacing w:before="0" w:after="200" w:lineRule="auto" w:line="276"/>
      </w:pPr>
      <w:r>
        <w:rPr>
          <w:b/>
        </w:rPr>
        <w:t xml:space="preserve">Abstract (EN): </w:t>
      </w:r>
      <w:r>
        <w:t>Adenoviridae family members routinely infect humans, exhibit significant genetic diversity, and are associated with a variety of illnesses. Types 4 and 7 frequently circulate in the United States and are major causes of respiratory disease. Infections can result in hospitalization and, in severe cases, death. Although a live wild-type-virus vaccine targeting these two types exists, its use is restricted to military personnel due to concerns about viral-shedding and potential for genetic recombination. To overcome these limitations, we recently developed a virus-like particle (VLP) platform as an alternative vaccination strategy. These VLPs are stable, lack genomic material, and elicit a potent humoral immune response in mice, effectively neutralizing adenoviral infection. Here, we describe the cryo-EM structure of adenovirus 7 (AdV-7) VLPs. Structural insights are essential to ensure that neutralizing antigens displayed on the VLPs accurately mimic those of the virion, guide the design of particles with improved stability and efficacy, and enable engineering of VLPs with antigenic properties targeting multiple adenovirus types. The structure shows that hexon, penton, pIIIa, pVI, pVIII, and IX assemble comparable to AdV-5, hexon and penton neutralizing epitopes are appropriately displayed for antibody recognition, penton insertion into the hexon shell promotes cement protein pIIIa to increase its interaction with the peripentonal hexons, and presence of the core-genome is associated with increased interaction between cement protein pVIII and hexon. Finally, limited proteolysis and mass spectrometry demonstrate that VLP incorporated hexons digest more readily than virion incorporated hexons, indicating the greater dynamic nature of the VLP.</w:t>
      </w:r>
    </w:p>
    <w:p>
      <w:pPr>
        <w:spacing w:before="120" w:after="120"/>
      </w:pPr>
      <w:r>
        <w:rPr>
          <w:sz w:val="18"/>
        </w:rPr>
        <w:t>——————————————————————————————————————————————————————————————————————</w:t>
      </w:r>
    </w:p>
    <w:p>
      <w:pPr>
        <w:spacing w:before="160" w:after="40" w:line="240" w:lineRule="auto"/>
      </w:pPr>
      <w:r>
        <w:rPr>
          <w:b/>
        </w:rPr>
        <w:t xml:space="preserve">[196] </w:t>
      </w:r>
      <w:hyperlink r:id="rId619">
        <w:r>
          <w:rPr>
            <w:color w:val="1155CC"/>
            <w:u w:val="single"/>
          </w:rPr>
          <w:t>时空转录组图谱揭示裸子植物胚珠发育的动态细胞和分子特征</w:t>
        </w:r>
      </w:hyperlink>
    </w:p>
    <w:p>
      <w:pPr>
        <w:spacing w:before="0" w:after="80"/>
      </w:pPr>
      <w:r>
        <w:rPr>
          <w:i/>
          <w:sz w:val="20"/>
        </w:rPr>
        <w:t>EN: Spatiotemporal transcriptome atlas reveals the dynamic cellular and molecular characteristics of ovule development in gymnosperms</w:t>
      </w:r>
    </w:p>
    <w:p>
      <w:pPr>
        <w:spacing w:before="0" w:after="120"/>
      </w:pPr>
      <w:r>
        <w:rPr>
          <w:b/>
        </w:rPr>
        <w:t xml:space="preserve">Source: </w:t>
      </w:r>
      <w:r>
        <w:t>Proceedings of the National Academy of Sciences: Keyword search for query</w:t>
      </w:r>
      <w:r>
        <w:t xml:space="preserve">    </w:t>
      </w:r>
      <w:r>
        <w:rPr>
          <w:b/>
        </w:rPr>
        <w:t xml:space="preserve">Pub date: </w:t>
      </w:r>
      <w:r>
        <w:t>2026-06-16 07:00:00+00:00</w:t>
      </w:r>
      <w:r>
        <w:t xml:space="preserve">    </w:t>
      </w:r>
      <w:r>
        <w:rPr>
          <w:b/>
        </w:rPr>
        <w:t xml:space="preserve">DOI: </w:t>
      </w:r>
      <w:hyperlink r:id="rId620">
        <w:r>
          <w:rPr>
            <w:color w:val="1155CC"/>
            <w:u w:val="single"/>
          </w:rPr>
          <w:t>10.1073/pnas.2524858123</w:t>
        </w:r>
      </w:hyperlink>
    </w:p>
    <w:p>
      <w:pPr>
        <w:spacing w:before="0" w:after="120"/>
      </w:pPr>
      <w:r>
        <w:rPr>
          <w:b/>
        </w:rPr>
        <w:t xml:space="preserve">Notes: </w:t>
      </w:r>
      <w:r>
        <w:t>abstract_source=crossref</w:t>
      </w:r>
    </w:p>
    <w:p>
      <w:pPr>
        <w:spacing w:before="0" w:after="80" w:lineRule="auto" w:line="276"/>
      </w:pPr>
      <w:r>
        <w:rPr>
          <w:b/>
        </w:rPr>
        <w:t xml:space="preserve">摘要（ZH）: </w:t>
      </w:r>
      <w:r>
        <w:t>胚珠作为种子的发育前体，代表了种子植物的关键进化创新。然而，它的起源和进化轨迹已经争论了一个多世纪，很大程度上是由于从化石中获得的形态信息与从现存被子植物推断出的胚珠发育的调控机制之间的脱节。裸子植物和被子植物共享的核心调控网络可能充当胚珠发育过程的桥梁。我们采用空间转录组测序来分析四种代表性裸子植物物种胚珠发育过程中的动态基因表达（</w:t>
      </w:r>
      <w:r>
        <w:t xml:space="preserve"> </w:t>
      </w:r>
      <w:r>
        <w:t>银杏叶</w:t>
      </w:r>
      <w:r>
        <w:t xml:space="preserve"> </w:t>
      </w:r>
      <w:r>
        <w:t>,</w:t>
      </w:r>
      <w:r>
        <w:t xml:space="preserve"> </w:t>
      </w:r>
      <w:r>
        <w:t>买麻藤</w:t>
      </w:r>
      <w:r>
        <w:t xml:space="preserve"> </w:t>
      </w:r>
      <w:r>
        <w:t>,</w:t>
      </w:r>
      <w:r>
        <w:t xml:space="preserve"> </w:t>
      </w:r>
      <w:r>
        <w:t>油松、</w:t>
      </w:r>
      <w:r>
        <w:t xml:space="preserve"> </w:t>
      </w:r>
      <w:r>
        <w:t>和</w:t>
      </w:r>
      <w:r>
        <w:t xml:space="preserve"> </w:t>
      </w:r>
      <w:r>
        <w:t>攀枝花苏铁</w:t>
      </w:r>
      <w:r>
        <w:t xml:space="preserve"> </w:t>
      </w:r>
      <w:r>
        <w:t>）。我们的分析揭示了组织形成过程中细胞类型分化的不同轨迹，揭示了参与胚珠原基起始、合点形成以及随后珠被和珠心发育的关键基因和途径。关键调控基因的时空表达模式，特别是与近端-远端（PD）极性建立相关的基因，有力地支持了这样的假设：早期形成的合点区域充当分生组织区，以让人想起茎尖分生组织活动的方式引起珠被和珠心的形成。此外，发育中的体被中的基因表达模式揭示了明确的 PD 和 adaxia</w:t>
      </w:r>
    </w:p>
    <w:p>
      <w:pPr>
        <w:spacing w:before="0" w:after="200" w:lineRule="auto" w:line="276"/>
      </w:pPr>
      <w:r>
        <w:rPr>
          <w:b/>
        </w:rPr>
        <w:t xml:space="preserve">Abstract (EN): </w:t>
      </w:r>
      <w:r>
        <w:t>Ovule, as the developmental precursor to seed, represents a key evolutionary innovation in seed plants. However, its origin and evolutionary trajectory have been debated for over a century, largely due to the disconnects between morphological information gained from fossils and the regulatory mechanisms of ovule development inferred from extant angiosperms. The core regulatory networks shared by gymnosperms and angiosperms may serve as a bridge in terms of the ovule developmental process. We employed spatial transcriptome sequencing to profile dynamic gene expression during ovule development in four representative gymnosperm species (</w:t>
      </w:r>
      <w:r>
        <w:t xml:space="preserve"> </w:t>
      </w:r>
      <w:r>
        <w:t>Ginkgo biloba</w:t>
      </w:r>
      <w:r>
        <w:t xml:space="preserve"> </w:t>
      </w:r>
      <w:r>
        <w:t>,</w:t>
      </w:r>
      <w:r>
        <w:t xml:space="preserve"> </w:t>
      </w:r>
      <w:r>
        <w:t>Gnetum montanum</w:t>
      </w:r>
      <w:r>
        <w:t xml:space="preserve"> </w:t>
      </w:r>
      <w:r>
        <w:t>,</w:t>
      </w:r>
      <w:r>
        <w:t xml:space="preserve"> </w:t>
      </w:r>
      <w:r>
        <w:t>Pinus tabuliformis,</w:t>
      </w:r>
      <w:r>
        <w:t xml:space="preserve"> </w:t>
      </w:r>
      <w:r>
        <w:t>and</w:t>
      </w:r>
      <w:r>
        <w:t xml:space="preserve"> </w:t>
      </w:r>
      <w:r>
        <w:t>Cycas panzhihuaensis</w:t>
      </w:r>
      <w:r>
        <w:t xml:space="preserve"> </w:t>
      </w:r>
      <w:r>
        <w:t>). Our analyses reveal distinct trajectories of cell-type differentiation during formation of tissues, uncovering critical genes and pathways involved in ovule primordium initiation, chalaza formation, and subsequently development of integument and nucellus. The spatiotemporal expression patterns of key regulatory genes, particularly those associated with proximal–distal (PD) polarity establishment, strongly support the hypothesis that early formed chalaza regions function as a meristematic zone, giving rise to the formation of integument and nucellus in a manner reminiscent of the shoot apical meristem activity. Moreover, gene expression patterns in the developing integument reveal well-defined PD and adaxial–abaxial polarity highly conserved across gymnosperm lineages. These findings suggest that integument development originated through the recruitment of preexisting regulatory networks into a core developmental module, providing clues for understanding the molecular mechanisms of integument formation underlying the origin of seed plant ovules.</w:t>
      </w:r>
    </w:p>
    <w:p>
      <w:pPr>
        <w:spacing w:before="120" w:after="120"/>
      </w:pPr>
      <w:r>
        <w:rPr>
          <w:sz w:val="18"/>
        </w:rPr>
        <w:t>——————————————————————————————————————————————————————————————————————</w:t>
      </w:r>
    </w:p>
    <w:p>
      <w:pPr>
        <w:spacing w:before="160" w:after="40" w:line="240" w:lineRule="auto"/>
      </w:pPr>
      <w:r>
        <w:rPr>
          <w:b/>
        </w:rPr>
        <w:t xml:space="preserve">[197] </w:t>
      </w:r>
      <w:hyperlink r:id="rId621">
        <w:r>
          <w:rPr>
            <w:color w:val="1155CC"/>
            <w:u w:val="single"/>
          </w:rPr>
          <w:t>本期</w:t>
        </w:r>
      </w:hyperlink>
    </w:p>
    <w:p>
      <w:pPr>
        <w:spacing w:before="0" w:after="80"/>
      </w:pPr>
      <w:r>
        <w:rPr>
          <w:i/>
          <w:sz w:val="20"/>
        </w:rPr>
        <w:t>EN: In This Issue</w:t>
      </w:r>
    </w:p>
    <w:p>
      <w:pPr>
        <w:spacing w:before="0" w:after="120"/>
      </w:pPr>
      <w:r>
        <w:rPr>
          <w:b/>
        </w:rPr>
        <w:t xml:space="preserve">Source: </w:t>
      </w:r>
      <w:r>
        <w:t>Proceedings of the National Academy of Sciences: Keyword search for query</w:t>
      </w:r>
      <w:r>
        <w:t xml:space="preserve">    </w:t>
      </w:r>
      <w:r>
        <w:rPr>
          <w:b/>
        </w:rPr>
        <w:t xml:space="preserve">Pub date: </w:t>
      </w:r>
      <w:r>
        <w:t>2026-06-16 07:00:00+00:00</w:t>
      </w:r>
      <w:r>
        <w:t xml:space="preserve">    </w:t>
      </w:r>
      <w:r>
        <w:rPr>
          <w:b/>
        </w:rPr>
        <w:t xml:space="preserve">DOI: </w:t>
      </w:r>
      <w:hyperlink r:id="rId622">
        <w:r>
          <w:rPr>
            <w:color w:val="1155CC"/>
            <w:u w:val="single"/>
          </w:rPr>
          <w:t>10.1073/iti2426123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[198] </w:t>
      </w:r>
      <w:hyperlink r:id="rId623">
        <w:r>
          <w:rPr>
            <w:color w:val="1155CC"/>
            <w:u w:val="single"/>
          </w:rPr>
          <w:t>金黄色葡萄球菌核糖核酸外切酶 YhaM 识别 RNA 的结构见解</w:t>
        </w:r>
      </w:hyperlink>
    </w:p>
    <w:p>
      <w:pPr>
        <w:spacing w:before="0" w:after="80"/>
      </w:pPr>
      <w:r>
        <w:rPr>
          <w:i/>
          <w:sz w:val="20"/>
        </w:rPr>
        <w:t>EN: Structural insights into RNA recognition by the Staphylococcus aureus exoribonuclease YhaM</w:t>
      </w:r>
    </w:p>
    <w:p>
      <w:pPr>
        <w:spacing w:before="0" w:after="120"/>
      </w:pPr>
      <w:r>
        <w:rPr>
          <w:b/>
        </w:rPr>
        <w:t xml:space="preserve">Source: </w:t>
      </w:r>
      <w:r>
        <w:t>Proceedings of the National Academy of Sciences: Keyword search for query</w:t>
      </w:r>
      <w:r>
        <w:t xml:space="preserve">    </w:t>
      </w:r>
      <w:r>
        <w:rPr>
          <w:b/>
        </w:rPr>
        <w:t xml:space="preserve">Pub date: </w:t>
      </w:r>
      <w:r>
        <w:t>2026-06-16 07:00:00+00:00</w:t>
      </w:r>
      <w:r>
        <w:t xml:space="preserve">    </w:t>
      </w:r>
      <w:r>
        <w:rPr>
          <w:b/>
        </w:rPr>
        <w:t xml:space="preserve">DOI: </w:t>
      </w:r>
      <w:hyperlink r:id="rId624">
        <w:r>
          <w:rPr>
            <w:color w:val="1155CC"/>
            <w:u w:val="single"/>
          </w:rPr>
          <w:t>10.1073/pnas.2600028123</w:t>
        </w:r>
      </w:hyperlink>
    </w:p>
    <w:p>
      <w:pPr>
        <w:spacing w:before="0" w:after="120"/>
      </w:pPr>
      <w:r>
        <w:rPr>
          <w:b/>
        </w:rPr>
        <w:t xml:space="preserve">Notes: </w:t>
      </w:r>
      <w:r>
        <w:t>abstract_source=crossref</w:t>
      </w:r>
    </w:p>
    <w:p>
      <w:pPr>
        <w:spacing w:before="0" w:after="80" w:lineRule="auto" w:line="276"/>
      </w:pPr>
      <w:r>
        <w:rPr>
          <w:b/>
        </w:rPr>
        <w:t xml:space="preserve">摘要（ZH）: </w:t>
      </w:r>
      <w:r>
        <w:t>细菌核糖核酸酶调节基因表达以响应环境压力和宿主相互作用。在</w:t>
      </w:r>
      <w:r>
        <w:t xml:space="preserve"> </w:t>
      </w:r>
      <w:r>
        <w:t>金黄色葡萄球菌</w:t>
      </w:r>
      <w:r>
        <w:t xml:space="preserve"> </w:t>
      </w:r>
      <w:r>
        <w:t>,</w:t>
      </w:r>
      <w:r>
        <w:t xml:space="preserve"> </w:t>
      </w:r>
      <w:r>
        <w:t>冬眠促进因子 (Hpf) 诱导 RNase R 抗性 100S 核糖体的形成。我们之前表明 3'-5' 核糖核酸外切酶 YhaM 会裂解</w:t>
      </w:r>
      <w:r>
        <w:t xml:space="preserve"> </w:t>
      </w:r>
      <w:r>
        <w:t>高压滤清器</w:t>
      </w:r>
      <w:r>
        <w:t xml:space="preserve"> </w:t>
      </w:r>
      <w:r>
        <w:t>转录物，减少 Hpf 合成并导致核糖体降解。没有任何与 RNA 结合的 YhaM 同源物的结构可用，并且 YhaM 的生物学研究仍然有限。在这里，我们发现删除了</w:t>
      </w:r>
      <w:r>
        <w:t xml:space="preserve"> </w:t>
      </w:r>
      <w:r>
        <w:t>yhaM</w:t>
      </w:r>
      <w:r>
        <w:t xml:space="preserve"> </w:t>
      </w:r>
      <w:r>
        <w:t>减弱</w:t>
      </w:r>
      <w:r>
        <w:t xml:space="preserve"> </w:t>
      </w:r>
      <w:r>
        <w:t>金黄色葡萄球菌</w:t>
      </w:r>
      <w:r>
        <w:t xml:space="preserve"> </w:t>
      </w:r>
      <w:r>
        <w:t>毒力在</w:t>
      </w:r>
      <w:r>
        <w:t xml:space="preserve"> </w:t>
      </w:r>
      <w:r>
        <w:t>大蜡螟</w:t>
      </w:r>
      <w:r>
        <w:t xml:space="preserve"> </w:t>
      </w:r>
      <w:r>
        <w:t>感染模型。我们进一步确定了 YhaM-RNA 复合物的电子冷冻显微镜结构。 YhaM采用环状排列的六聚体复合物，其N端寡核苷酸/寡糖结合（OB）结构域位于环的两侧，而催化组氨酸/富含天冬氨酸（HD）结构域活性位点埋在内部。 OB-1’’域识别</w:t>
      </w:r>
      <w:r>
        <w:t xml:space="preserve"> </w:t>
      </w:r>
      <w:r>
        <w:t>高压滤清器</w:t>
      </w:r>
      <w:r>
        <w:t xml:space="preserve"> </w:t>
      </w:r>
      <w:r>
        <w:t>通过互补小沟相互作用形成发夹。两个 YhaM OB 结构域的 RNA 结合是通过 RNA 底物的主链和核碱基的接合来介导的，其中芳香族残基和核碱基的堆积可能有助于底物识别。 YhaM b 的结构</w:t>
      </w:r>
    </w:p>
    <w:p>
      <w:pPr>
        <w:spacing w:before="0" w:after="200" w:lineRule="auto" w:line="276"/>
      </w:pPr>
      <w:r>
        <w:rPr>
          <w:b/>
        </w:rPr>
        <w:t xml:space="preserve">Abstract (EN): </w:t>
      </w:r>
      <w:r>
        <w:t>Bacterial ribonucleases regulate gene expression in response to environmental stress and host interactions. In</w:t>
      </w:r>
      <w:r>
        <w:t xml:space="preserve"> </w:t>
      </w:r>
      <w:r>
        <w:t>Staphylococcus aureus</w:t>
      </w:r>
      <w:r>
        <w:t xml:space="preserve"> </w:t>
      </w:r>
      <w:r>
        <w:t>,</w:t>
      </w:r>
      <w:r>
        <w:t xml:space="preserve"> </w:t>
      </w:r>
      <w:r>
        <w:t>the hibernation-promoting factor (Hpf) induces the formation of RNase R-resistant 100S ribosomes. We previously showed that the 3’-5’ exoribonuclease YhaM cleaves the</w:t>
      </w:r>
      <w:r>
        <w:t xml:space="preserve"> </w:t>
      </w:r>
      <w:r>
        <w:t>hpf</w:t>
      </w:r>
      <w:r>
        <w:t xml:space="preserve"> </w:t>
      </w:r>
      <w:r>
        <w:t>transcript, reducing Hpf synthesis and leading to ribosome degradation. No structure of any YhaM homolog bound to RNA is available, and biological investigations of YhaM remain limited. Here, we find that deletion of</w:t>
      </w:r>
      <w:r>
        <w:t xml:space="preserve"> </w:t>
      </w:r>
      <w:r>
        <w:t>yhaM</w:t>
      </w:r>
      <w:r>
        <w:t xml:space="preserve"> </w:t>
      </w:r>
      <w:r>
        <w:t>attenuates</w:t>
      </w:r>
      <w:r>
        <w:t xml:space="preserve"> </w:t>
      </w:r>
      <w:r>
        <w:t>S. aureus</w:t>
      </w:r>
      <w:r>
        <w:t xml:space="preserve"> </w:t>
      </w:r>
      <w:r>
        <w:t>virulence in a</w:t>
      </w:r>
      <w:r>
        <w:t xml:space="preserve"> </w:t>
      </w:r>
      <w:r>
        <w:t>Galleria mellonella</w:t>
      </w:r>
      <w:r>
        <w:t xml:space="preserve"> </w:t>
      </w:r>
      <w:r>
        <w:t>infection model. We further determined electron cryomicroscopy structures of YhaM–RNA complexes. YhaM adopts a hexameric complex arranged in a ring, with its N-terminal oligonucleotide/oligosaccharide-binding (OB) domains positioned on both sides of the ring while the catalytic histidine/aspartate-rich (HD) domain active sites are buried within the interior. The OB-1’’ domains recognize the</w:t>
      </w:r>
      <w:r>
        <w:t xml:space="preserve"> </w:t>
      </w:r>
      <w:r>
        <w:t>hpf</w:t>
      </w:r>
      <w:r>
        <w:t xml:space="preserve"> </w:t>
      </w:r>
      <w:r>
        <w:t>hairpin by the formation of complementary minor groove interactions. RNA binding by two YhaM OB domains is mediated through engagement of both the backbones and nucleobases of the RNA substrate, where stacking of aromatic residues and nucleobases likely contributes to substrate recognition. Structures of YhaM bound to a single-stranded RNA reveal how the 3’ ends of two RNAs are positioned within the HD domain poised for catalysis. Although six YhaM active sites are present, only two engage in RNA cleavage and further point to the importance of the remaining YhaM monomers as structural scaffolds for guiding RNA to the active site. In summary, these findings provide insights into the unique assembly of an understudied bacterial RNase.</w:t>
      </w:r>
    </w:p>
    <w:p>
      <w:pPr>
        <w:spacing w:before="120" w:after="120"/>
      </w:pPr>
      <w:r>
        <w:rPr>
          <w:sz w:val="18"/>
        </w:rPr>
        <w:t>——————————————————————————————————————————————————————————————————————</w:t>
      </w:r>
    </w:p>
    <w:p>
      <w:pPr>
        <w:spacing w:before="160" w:after="40" w:line="240" w:lineRule="auto"/>
      </w:pPr>
      <w:r>
        <w:rPr>
          <w:b/>
        </w:rPr>
        <w:t xml:space="preserve">[199] </w:t>
      </w:r>
      <w:hyperlink r:id="rId625">
        <w:r>
          <w:rPr>
            <w:color w:val="1155CC"/>
            <w:u w:val="single"/>
          </w:rPr>
          <w:t>果蝇精液蛋白网络中相关基因拷贝数的变化</w:t>
        </w:r>
      </w:hyperlink>
    </w:p>
    <w:p>
      <w:pPr>
        <w:spacing w:before="0" w:after="80"/>
      </w:pPr>
      <w:r>
        <w:rPr>
          <w:i/>
          <w:sz w:val="20"/>
        </w:rPr>
        <w:t>EN: Correlated gene copy number changes in a seminal fluid protein network in Drosophila</w:t>
      </w:r>
    </w:p>
    <w:p>
      <w:pPr>
        <w:spacing w:before="0" w:after="120"/>
      </w:pPr>
      <w:r>
        <w:rPr>
          <w:b/>
        </w:rPr>
        <w:t xml:space="preserve">Source: </w:t>
      </w:r>
      <w:r>
        <w:t>Proceedings of the National Academy of Sciences: Keyword search for query</w:t>
      </w:r>
      <w:r>
        <w:t xml:space="preserve">    </w:t>
      </w:r>
      <w:r>
        <w:rPr>
          <w:b/>
        </w:rPr>
        <w:t xml:space="preserve">Pub date: </w:t>
      </w:r>
      <w:r>
        <w:t>2026-06-16 07:00:00+00:00</w:t>
      </w:r>
      <w:r>
        <w:t xml:space="preserve">    </w:t>
      </w:r>
      <w:r>
        <w:rPr>
          <w:b/>
        </w:rPr>
        <w:t xml:space="preserve">DOI: </w:t>
      </w:r>
      <w:hyperlink r:id="rId626">
        <w:r>
          <w:rPr>
            <w:color w:val="1155CC"/>
            <w:u w:val="single"/>
          </w:rPr>
          <w:t>10.1073/pnas.2529899123</w:t>
        </w:r>
      </w:hyperlink>
    </w:p>
    <w:p>
      <w:pPr>
        <w:spacing w:before="0" w:after="120"/>
      </w:pPr>
      <w:r>
        <w:rPr>
          <w:b/>
        </w:rPr>
        <w:t xml:space="preserve">Notes: </w:t>
      </w:r>
      <w:r>
        <w:t>abstract_source=crossref</w:t>
      </w:r>
    </w:p>
    <w:p>
      <w:pPr>
        <w:spacing w:before="0" w:after="80" w:lineRule="auto" w:line="276"/>
      </w:pPr>
      <w:r>
        <w:rPr>
          <w:b/>
        </w:rPr>
        <w:t xml:space="preserve">摘要（ZH）: </w:t>
      </w:r>
      <w:r>
        <w:t>在</w:t>
      </w:r>
      <w:r>
        <w:t xml:space="preserve"> </w:t>
      </w:r>
      <w:r>
        <w:t>黑腹果蝇</w:t>
      </w:r>
      <w:r>
        <w:t xml:space="preserve"> </w:t>
      </w:r>
      <w:r>
        <w:t>，雄性精液蛋白性肽调节雌性生理和行为的持续交配后变化。雌性长期交配后反应的持续需要性肽与精子结合，这是由其他精液蛋白网络介导的。最近的一项研究记录了显着的拷贝数变异</w:t>
      </w:r>
      <w:r>
        <w:t xml:space="preserve"> </w:t>
      </w:r>
      <w:r>
        <w:t>性肽</w:t>
      </w:r>
      <w:r>
        <w:t xml:space="preserve"> </w:t>
      </w:r>
      <w:r>
        <w:t>基因在</w:t>
      </w:r>
      <w:r>
        <w:t xml:space="preserve"> </w:t>
      </w:r>
      <w:r>
        <w:t>果蝇</w:t>
      </w:r>
      <w:r>
        <w:t xml:space="preserve"> </w:t>
      </w:r>
      <w:r>
        <w:t>种。我们假设，由于共同的选择压力和维持功能的补偿性变化，性肽网络的成员应该表现出基因复制或丢失的相关模式。使用计算管道将迭代基因组搜索与系统发育聚类配对来解决同源关系，我们注释了性肽网络基因的物种间拷贝数变异。我们发现这些基因存在于人类的共同祖先中</w:t>
      </w:r>
      <w:r>
        <w:t xml:space="preserve"> </w:t>
      </w:r>
      <w:r>
        <w:t>果蝇</w:t>
      </w:r>
      <w:r>
        <w:t xml:space="preserve"> </w:t>
      </w:r>
      <w:r>
        <w:t>物种，并且在许多情况下早于</w:t>
      </w:r>
      <w:r>
        <w:t xml:space="preserve"> </w:t>
      </w:r>
      <w:r>
        <w:t>性肽</w:t>
      </w:r>
      <w:r>
        <w:t xml:space="preserve"> </w:t>
      </w:r>
      <w:r>
        <w:t>本身。此外，我们观察到网络成员之间的基因重复或丢失事件具有统计学上显着的相关性。我们的结果表明，作用于拷贝数变异的选择是生殖基因种间变异的另一个来源，并且这种选择有助于维持生殖基因相互作用。利用整个属的共享基因丢失模式，我们还确定了</w:t>
      </w:r>
    </w:p>
    <w:p>
      <w:pPr>
        <w:spacing w:before="0" w:after="200" w:lineRule="auto" w:line="276"/>
      </w:pPr>
      <w:r>
        <w:rPr>
          <w:b/>
        </w:rPr>
        <w:t xml:space="preserve">Abstract (EN): </w:t>
      </w:r>
      <w:r>
        <w:t>In</w:t>
      </w:r>
      <w:r>
        <w:t xml:space="preserve"> </w:t>
      </w:r>
      <w:r>
        <w:t>Drosophila melanogaster</w:t>
      </w:r>
      <w:r>
        <w:t xml:space="preserve"> </w:t>
      </w:r>
      <w:r>
        <w:t>, the male seminal fluid protein Sex Peptide regulates persistent postmating changes in female physiology and behavior. The persistence of long-term postmating responses in females requires Sex Peptide binding to sperm, which is mediated by a network of other seminal fluid proteins. A recent study documented substantial copy number variation of</w:t>
      </w:r>
      <w:r>
        <w:t xml:space="preserve"> </w:t>
      </w:r>
      <w:r>
        <w:t>Sex Peptide</w:t>
      </w:r>
      <w:r>
        <w:t xml:space="preserve"> </w:t>
      </w:r>
      <w:r>
        <w:t>genes in</w:t>
      </w:r>
      <w:r>
        <w:t xml:space="preserve"> </w:t>
      </w:r>
      <w:r>
        <w:t>Drosophila</w:t>
      </w:r>
      <w:r>
        <w:t xml:space="preserve"> </w:t>
      </w:r>
      <w:r>
        <w:t>species. We hypothesized that, due to shared selective pressures and compensatory changes to maintain functionality, members of the Sex Peptide network should exhibit correlated patterns of gene duplication or loss. Using a computational pipeline pairing iterative genome searches with phylogenetic clustering to resolve homology relationships, we annotated among-species copy number variation of Sex Peptide network genes. We found that these genes are present in the common ancestor of</w:t>
      </w:r>
      <w:r>
        <w:t xml:space="preserve"> </w:t>
      </w:r>
      <w:r>
        <w:t>Drosophila</w:t>
      </w:r>
      <w:r>
        <w:t xml:space="preserve"> </w:t>
      </w:r>
      <w:r>
        <w:t>species and in many cases predated the origin of</w:t>
      </w:r>
      <w:r>
        <w:t xml:space="preserve"> </w:t>
      </w:r>
      <w:r>
        <w:t>Sex Peptide</w:t>
      </w:r>
      <w:r>
        <w:t xml:space="preserve"> </w:t>
      </w:r>
      <w:r>
        <w:t>itself. Furthermore, we observed statistically significant correlations in gene duplication or loss events among network members. Our results suggest that selection acting on copy number variation is an additional source of among-species variation of reproductive genes, and that this selection contributes to the maintenance of reproductive gene interactions. Using patterns of shared gene loss across the genus, we also identified and experimentally validated a network member, suggesting the utility of using correlated loss to identify functionally related genes. In contrast to the Sex Peptide seminal fluid network, female-derived proteins that modulate functions downstream of sperm bound Sex Peptide showed no correlation of gene turnover events with Sex Peptide network members.</w:t>
      </w:r>
    </w:p>
    <w:p>
      <w:pPr>
        <w:spacing w:before="120" w:after="120"/>
      </w:pPr>
      <w:r>
        <w:rPr>
          <w:sz w:val="18"/>
        </w:rPr>
        <w:t>——————————————————————————————————————————————————————————————————————</w:t>
      </w:r>
    </w:p>
    <w:p>
      <w:pPr>
        <w:spacing w:before="160" w:after="40" w:line="240" w:lineRule="auto"/>
      </w:pPr>
      <w:r>
        <w:rPr>
          <w:b/>
        </w:rPr>
        <w:t xml:space="preserve">[200] </w:t>
      </w:r>
      <w:hyperlink r:id="rId627">
        <w:r>
          <w:rPr>
            <w:color w:val="1155CC"/>
            <w:u w:val="single"/>
          </w:rPr>
          <w:t>用于可视化蛋白质液滴成熟的香豆素荧光团双发射的结构控制</w:t>
        </w:r>
      </w:hyperlink>
    </w:p>
    <w:p>
      <w:pPr>
        <w:spacing w:before="0" w:after="80"/>
      </w:pPr>
      <w:r>
        <w:rPr>
          <w:i/>
          <w:sz w:val="20"/>
        </w:rPr>
        <w:t>EN: Structural Control of Dual Emission in Coumarin Fluorophores for Visualizing Protein Droplet Maturation</w:t>
      </w:r>
    </w:p>
    <w:p>
      <w:pPr>
        <w:spacing w:before="0" w:after="120"/>
      </w:pPr>
      <w:r>
        <w:rPr>
          <w:b/>
        </w:rPr>
        <w:t xml:space="preserve">Source: </w:t>
      </w:r>
      <w:r>
        <w:t>Wiley: Angewandte Chemie International Edition: Table of Contents</w:t>
      </w:r>
      <w:r>
        <w:t xml:space="preserve">    </w:t>
      </w:r>
      <w:r>
        <w:rPr>
          <w:b/>
        </w:rPr>
        <w:t xml:space="preserve">Pub date: </w:t>
      </w:r>
      <w:r>
        <w:t>2026-06-16 07:00:00+00:00</w:t>
      </w:r>
      <w:r>
        <w:t xml:space="preserve">    </w:t>
      </w:r>
      <w:r>
        <w:rPr>
          <w:b/>
        </w:rPr>
        <w:t xml:space="preserve">DOI: </w:t>
      </w:r>
      <w:hyperlink r:id="rId628">
        <w:r>
          <w:rPr>
            <w:color w:val="1155CC"/>
            <w:u w:val="single"/>
          </w:rPr>
          <w:t>10.1002/anie.8304737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通过液-液相分离（LLPS）形成的蛋白质液滴逐渐失去流动性并成熟为聚集和纤维状状态，引发淀粉样蛋白的纤维化。尽管人们对液滴成熟的兴趣日益浓厚，但用于可视化这一过程的高通量方法仍未开发出来。在这项研究中，我们报告了一种基于荧光的方法，使用双发射荧光团实时可视化液滴成熟度。与吸电子环缀合的基于香豆素的荧光团表现出源自多个基态构象异构体的双荧光，尽管从分子结构预测这种行为仍然具有挑战性。在这里，我们合成了带有直接共轭吸电子五元环的基于香豆素的荧光团，以通过空间位阻增加扭曲构象异构体的丰度。通过改变五元环内的杂原子来调节双发射特性和荧光量子产率。将探针与蛋白质共价结合后，比率共聚焦显微镜显示发射比率忠实地反映了液滴的成熟过程，从而能够定量评估成熟时间尺度和异质内部环境。此外，通过将该探针与光活性黄色蛋白（PYP）标签策略相结合，我们可视化了活细胞中蛋白质液滴内部环境的差异。该策略可以连续监测液滴的成熟度，并为液滴成熟的机制提供新的见解。</w:t>
      </w:r>
    </w:p>
    <w:p>
      <w:pPr>
        <w:spacing w:before="0" w:after="200" w:lineRule="auto" w:line="276"/>
      </w:pPr>
      <w:r>
        <w:rPr>
          <w:b/>
        </w:rPr>
        <w:t xml:space="preserve">Abstract (EN): </w:t>
      </w:r>
      <w:r>
        <w:t>Proteins droplets formed by liquid–liquid phase separation (LLPS) gradually lose fluidity and mature into aggregated and fibrillar states, initiating fibrillation of amyloidogenic proteins. Despite increasing interest in droplet maturation, high‐throughput methods for visualizing this process remain undeveloped. In this study, we report a fluorescence‐based method for real time visualization of droplet maturation using dual‐emission fluorophores. Coumarin‐based fluorophores conjugated with electron‐withdrawing rings exhibit dual fluorescence originating from multiple ground‐state conformers although predicting this behavior from molecular structure remains challenging. Here, we synthesized coumarin‐based fluorophores bearing directly conjugated electron‐withdrawing five‐membered ring to increase the abundance of twisted conformers through steric hindrance. The dual‐emission properties and fluorescence quantum yield were tuned by varying the heteroatoms within the five‐membered ring. Upon covalent conjugation of the probe to proteins, ratiometric confocal microscopy revealed that the emission ratio faithfully reflected the maturation process of liquid droplets, enabling quantitative evaluation of maturation timescale and heterogeneous internal environments. Furthermore, by combining this probe with the photoactive yellow protein (PYP) tag strategy, we visualized differences in the internal environments of protein droplets in living cells. This strategy allows continuous monitoring of droplet maturation and provides new insight into the mechanism of LLPS, amyloidogenic proteins fibrillations, and inhibitor screening against amyloid formation.</w:t>
      </w:r>
    </w:p>
    <w:p>
      <w:pPr>
        <w:spacing w:before="120" w:after="120"/>
      </w:pPr>
      <w:r>
        <w:rPr>
          <w:sz w:val="18"/>
        </w:rPr>
        <w:t>——————————————————————————————————————————————————————————————————————</w:t>
      </w:r>
    </w:p>
    <w:p>
      <w:pPr>
        <w:spacing w:before="160" w:after="40" w:line="240" w:lineRule="auto"/>
      </w:pPr>
      <w:r>
        <w:rPr>
          <w:b/>
        </w:rPr>
        <w:t xml:space="preserve">[201] </w:t>
      </w:r>
      <w:hyperlink r:id="rId629">
        <w:r>
          <w:rPr>
            <w:color w:val="1155CC"/>
            <w:u w:val="single"/>
          </w:rPr>
          <w:t>通过基因治疗恢复内质网和线粒体之间的相互作用可改善 2A 型腓骨肌萎缩症</w:t>
        </w:r>
      </w:hyperlink>
    </w:p>
    <w:p>
      <w:pPr>
        <w:spacing w:before="0" w:after="80"/>
      </w:pPr>
      <w:r>
        <w:rPr>
          <w:i/>
          <w:sz w:val="20"/>
        </w:rPr>
        <w:t>EN: Restoring the interplay between the endoplasmic reticulum and mitochondria by gene therapy improves Charcot–Marie–Tooth type 2A disease</w:t>
      </w:r>
    </w:p>
    <w:p>
      <w:pPr>
        <w:spacing w:before="0" w:after="120"/>
      </w:pPr>
      <w:r>
        <w:rPr>
          <w:b/>
        </w:rPr>
        <w:t xml:space="preserve">Source: </w:t>
      </w:r>
      <w:r>
        <w:t>Proceedings of the National Academy of Sciences: Keyword search for query</w:t>
      </w:r>
      <w:r>
        <w:t xml:space="preserve">    </w:t>
      </w:r>
      <w:r>
        <w:rPr>
          <w:b/>
        </w:rPr>
        <w:t xml:space="preserve">Pub date: </w:t>
      </w:r>
      <w:r>
        <w:t>2026-06-16 07:00:00+00:00</w:t>
      </w:r>
      <w:r>
        <w:t xml:space="preserve">    </w:t>
      </w:r>
      <w:r>
        <w:rPr>
          <w:b/>
        </w:rPr>
        <w:t xml:space="preserve">DOI: </w:t>
      </w:r>
      <w:hyperlink r:id="rId630">
        <w:r>
          <w:rPr>
            <w:color w:val="1155CC"/>
            <w:u w:val="single"/>
          </w:rPr>
          <w:t>10.1073/pnas.2530774123</w:t>
        </w:r>
      </w:hyperlink>
    </w:p>
    <w:p>
      <w:pPr>
        <w:spacing w:before="0" w:after="120"/>
      </w:pPr>
      <w:r>
        <w:rPr>
          <w:b/>
        </w:rPr>
        <w:t xml:space="preserve">Notes: </w:t>
      </w:r>
      <w:r>
        <w:t>abstract_source=crossref</w:t>
      </w:r>
    </w:p>
    <w:p>
      <w:pPr>
        <w:spacing w:before="0" w:after="80" w:lineRule="auto" w:line="276"/>
      </w:pPr>
      <w:r>
        <w:rPr>
          <w:b/>
        </w:rPr>
        <w:t xml:space="preserve">摘要（ZH）: </w:t>
      </w:r>
      <w:r>
        <w:t>2A 型腓骨肌萎缩症 (CMT2A) 是最常见的轴突 CMT，与早发的严重运动神经病相关。 CMT2A主要是由显性突变引起的</w:t>
      </w:r>
      <w:r>
        <w:t xml:space="preserve"> </w:t>
      </w:r>
      <w:r>
        <w:t>最惠国2</w:t>
      </w:r>
      <w:r>
        <w:t xml:space="preserve"> </w:t>
      </w:r>
      <w:r>
        <w:t>基因，编码 mitofusin-2，一种位于线粒体和内质网 (ER) 外膜的 GTP 酶。 MFN2 突变影响线粒体动力学。我们之前证明，突变的 MFN2 进一步破坏 ER 和线粒体之间的接触，导致轴突变性。 CMT2A 尚无治疗方法，目前正在开发的治疗方法主要集中于恢复线粒体功能。在这里，我们提供了野生型 MFN2 (MFN2) 神经元过度表达的概念证明</w:t>
      </w:r>
      <w:r>
        <w:t xml:space="preserve"> </w:t>
      </w:r>
      <w:r>
        <w:t>WT</w:t>
      </w:r>
      <w:r>
        <w:t xml:space="preserve"> </w:t>
      </w:r>
      <w:r>
        <w:t>）为转基因 CMT2A 小鼠以及源自诱导多能干细胞的 CMT2A 运动神经元提供治疗益处。鞘内递送表达 MFN2 的 AAV9 载体</w:t>
      </w:r>
      <w:r>
        <w:t xml:space="preserve"> </w:t>
      </w:r>
      <w:r>
        <w:t>WT</w:t>
      </w:r>
      <w:r>
        <w:t xml:space="preserve"> </w:t>
      </w:r>
      <w:r>
        <w:t>有效靶向运动和感觉神经元，恢复内质网-线粒体接触和线粒体形态，从而保持神经肌肉接头完整性和运动功能。引人注目的是，在症状出现后施用载体也能达到治疗效果。重要的是，AAV 给药耐受性良好，没有肝毒性或背根神经节炎症的证据。我们进一步表明，可以使用选择性增强 ER-mitoc 的 ER 靶向 MFN1 同工型在体外和体内纠正 CMT2A 病理学</w:t>
      </w:r>
    </w:p>
    <w:p>
      <w:pPr>
        <w:spacing w:before="0" w:after="200" w:lineRule="auto" w:line="276"/>
      </w:pPr>
      <w:r>
        <w:rPr>
          <w:b/>
        </w:rPr>
        <w:t xml:space="preserve">Abstract (EN): </w:t>
      </w:r>
      <w:r>
        <w:t>Charcot–Marie–Tooth disease type 2A (CMT2A) is the most common axonal CMT and is associated with an early onset and severe motor neuropathy. CMT2A is mainly caused by dominant mutations in the</w:t>
      </w:r>
      <w:r>
        <w:t xml:space="preserve"> </w:t>
      </w:r>
      <w:r>
        <w:t>MFN2</w:t>
      </w:r>
      <w:r>
        <w:t xml:space="preserve"> </w:t>
      </w:r>
      <w:r>
        <w:t>gene, encoding mitofusin-2, a GTPase located in the outer membrane of the mitochondria and endoplasmic reticulum (ER). Mutations in MFN2 affect mitochondrial dynamics. We previously demonstrated that mutated MFN2 further disrupts contacts between the ER and the mitochondria, leading to axonal degeneration. There are no treatments for CMT2A, and those currently under development primarily focus on restoring mitochondrial function. Here, we provide proof of concept that neuronal overexpression of wild-type MFN2 (MFN2</w:t>
      </w:r>
      <w:r>
        <w:t xml:space="preserve"> </w:t>
      </w:r>
      <w:r>
        <w:t>WT</w:t>
      </w:r>
      <w:r>
        <w:t xml:space="preserve"> </w:t>
      </w:r>
      <w:r>
        <w:t>) provides therapeutic benefit in transgenic CMT2A mice as well as in CMT2A-motor neurons derived from induced pluripotent stem cells. Intrathecal delivery of an AAV9 vector expressing MFN2</w:t>
      </w:r>
      <w:r>
        <w:t xml:space="preserve"> </w:t>
      </w:r>
      <w:r>
        <w:t>WT</w:t>
      </w:r>
      <w:r>
        <w:t xml:space="preserve"> </w:t>
      </w:r>
      <w:r>
        <w:t>effectively targets motor and sensory neurons, restoring ER–mitochondria contacts and mitochondrial morphology, thereby preserving both neuromuscular junction integrity and motor function. Strikingly, therapeutic efficacy is also achieved by administering the vector after the onset of symptoms. Importantly, AAV administration was well tolerated, with no evidence of hepatotoxicity or dorsal root ganglion inflammation. We further show that CMT2A pathology can be corrected in vitro and in vivo using an ER-targeting MFN1 isoform that selectively enhances ER–mitochondria contacts. These results establish that restoring contacts between the ER and mitochondria using gene therapy is a promising therapeutic avenue for CMT2A.</w:t>
      </w:r>
    </w:p>
    <w:p>
      <w:pPr>
        <w:spacing w:before="120" w:after="120"/>
      </w:pPr>
      <w:r>
        <w:rPr>
          <w:sz w:val="18"/>
        </w:rPr>
        <w:t>——————————————————————————————————————————————————————————————————————</w:t>
      </w:r>
    </w:p>
    <w:p>
      <w:pPr>
        <w:spacing w:before="160" w:after="40" w:line="240" w:lineRule="auto"/>
      </w:pPr>
      <w:r>
        <w:rPr>
          <w:b/>
        </w:rPr>
        <w:t xml:space="preserve">[202] </w:t>
      </w:r>
      <w:hyperlink r:id="rId631">
        <w:r>
          <w:rPr>
            <w:color w:val="1155CC"/>
            <w:u w:val="single"/>
          </w:rPr>
          <w:t>通过配体与微管稳定位点结合调节的微管晶格参数图谱</w:t>
        </w:r>
      </w:hyperlink>
    </w:p>
    <w:p>
      <w:pPr>
        <w:spacing w:before="0" w:after="80"/>
      </w:pPr>
      <w:r>
        <w:rPr>
          <w:i/>
          <w:sz w:val="20"/>
        </w:rPr>
        <w:t>EN: An atlas of microtubule lattice parameters regulated through ligand binding to the microtubule-stabilizing sites</w:t>
      </w:r>
    </w:p>
    <w:p>
      <w:pPr>
        <w:spacing w:before="0" w:after="120"/>
      </w:pPr>
      <w:r>
        <w:rPr>
          <w:b/>
        </w:rPr>
        <w:t xml:space="preserve">Source: </w:t>
      </w:r>
      <w:r>
        <w:t>Proceedings of the National Academy of Sciences: Keyword search for query</w:t>
      </w:r>
      <w:r>
        <w:t xml:space="preserve">    </w:t>
      </w:r>
      <w:r>
        <w:rPr>
          <w:b/>
        </w:rPr>
        <w:t xml:space="preserve">Pub date: </w:t>
      </w:r>
      <w:r>
        <w:t>2026-06-16 07:00:00+00:00</w:t>
      </w:r>
      <w:r>
        <w:t xml:space="preserve">    </w:t>
      </w:r>
      <w:r>
        <w:rPr>
          <w:b/>
        </w:rPr>
        <w:t xml:space="preserve">DOI: </w:t>
      </w:r>
      <w:hyperlink r:id="rId632">
        <w:r>
          <w:rPr>
            <w:color w:val="1155CC"/>
            <w:u w:val="single"/>
          </w:rPr>
          <w:t>10.1073/pnas.2532791123</w:t>
        </w:r>
      </w:hyperlink>
    </w:p>
    <w:p>
      <w:pPr>
        <w:spacing w:before="0" w:after="120"/>
      </w:pPr>
      <w:r>
        <w:rPr>
          <w:b/>
        </w:rPr>
        <w:t xml:space="preserve">Notes: </w:t>
      </w:r>
      <w:r>
        <w:t>abstract_source=crossref</w:t>
      </w:r>
    </w:p>
    <w:p>
      <w:pPr>
        <w:spacing w:before="0" w:after="80" w:lineRule="auto" w:line="276"/>
      </w:pPr>
      <w:r>
        <w:rPr>
          <w:b/>
        </w:rPr>
        <w:t xml:space="preserve">摘要（ZH）: </w:t>
      </w:r>
      <w:r>
        <w:t>微管是动态细胞骨架聚合物，其晶格结构调节力的产生、核苷酸水解以及运动蛋白和微管相关蛋白 (MAP) 的识别。微管稳定剂 (MSA)，包括紫杉烷类和月桂马内酯/peloruside 位点配体，通过与特定的晶格位点结合来抑制解聚，但稳定作用在结构上不是中性的。配体化学如何重塑晶格组织和功能仍未解决。在这里，我们解决三个机制问题。首先，不同的配体类别是否会诱导确定的晶格状态？使用 X 射线纤维衍射，我们表明 MSA 选择性地稳定两种优选的纵向构象，即紧凑状态（约 4.06 nm 单体上升）和扩展状态（约 4.17 nm），同时调节平均 MT 半径变化所反映的横向组织。这些轴向间距聚集在化学型的离散值周围，表明预先存在的构象最小值的稳定而不是连续的扭曲。其次，这些状态在配体占据变化时可以相互转换吗？时间分辨衍射表明，即使在亚化学计量占据下，纵向转变也会在配体添加后的几秒钟内发生，而横向平衡进行得较慢，与异质原丝组织内的重新分布一致。第三，这种结构状态是否会改变核苷酸水解和运动/MAP行为？扩展的晶格与稳态组装条件下表观 GTP 水解速率的降低和运动因子的改变有关</w:t>
      </w:r>
    </w:p>
    <w:p>
      <w:pPr>
        <w:spacing w:before="0" w:after="200" w:lineRule="auto" w:line="276"/>
      </w:pPr>
      <w:r>
        <w:rPr>
          <w:b/>
        </w:rPr>
        <w:t xml:space="preserve">Abstract (EN): </w:t>
      </w:r>
      <w:r>
        <w:t>Microtubules are dynamic cytoskeletal polymers whose lattice architecture regulates force generation, nucleotide hydrolysis, and recognition by motor proteins and microtubule-associated proteins (MAPs). Microtubule-stabilizing agents (MSAs), including taxanes and laulimalide/peloruside-site ligands, suppress depolymerization by binding to defined lattice sites, yet stabilization is not structurally neutral. How ligand chemistry reshapes lattice organization and function remains unresolved. Here, we address three mechanistic questions. First, do distinct ligand classes induce defined lattice states? Using X-ray fiber diffraction, we show that MSAs selectively stabilize two preferred longitudinal conformations, a compact state (~4.06 nm monomer rise) and an expanded state (~4.17 nm), while modulating lateral organization reflected in shifts in mean MT radius. These axial spacings cluster around discrete values across chemotypes, indicating stabilization of preexisting conformational minima rather than continuous distortion. Second, are these states interconvertible upon changes in ligand occupancy? Time-resolved diffraction reveals that longitudinal transitions occur within seconds of ligand addition even at substoichiometric occupancy, whereas, lateral equilibration proceeds slower, consistent with redistribution within heterogeneous protofilament organizations. Third, do such structural states alter nucleotide hydrolysis and motor/MAP behavior? Expanded lattices are associated with reduced apparent GTP hydrolysis rates under steady-state assembly conditions and altered kinesin motility, whereas compact lattices preferentially promote tau binding and distinct motor interaction profiles. Together, these findings establish longitudinal lattice conformation as a regulatory parameter and position MSAs as chemical tools that bias a dynamic structural landscape with predictable catalytic and transport consequences.</w:t>
      </w:r>
    </w:p>
    <w:p>
      <w:pPr>
        <w:spacing w:before="120" w:after="120"/>
      </w:pPr>
      <w:r>
        <w:rPr>
          <w:sz w:val="18"/>
        </w:rPr>
        <w:t>——————————————————————————————————————————————————————————————————————</w:t>
      </w:r>
    </w:p>
    <w:p>
      <w:pPr>
        <w:spacing w:before="160" w:after="40" w:line="240" w:lineRule="auto"/>
      </w:pPr>
      <w:r>
        <w:rPr>
          <w:b/>
        </w:rPr>
        <w:t xml:space="preserve">[203] </w:t>
      </w:r>
      <w:hyperlink r:id="rId633">
        <w:r>
          <w:rPr>
            <w:color w:val="1155CC"/>
            <w:u w:val="single"/>
          </w:rPr>
          <w:t>使用群体神经活动估计大脑完成的计算量</w:t>
        </w:r>
      </w:hyperlink>
    </w:p>
    <w:p>
      <w:pPr>
        <w:spacing w:before="0" w:after="80"/>
      </w:pPr>
      <w:r>
        <w:rPr>
          <w:i/>
          <w:sz w:val="20"/>
        </w:rPr>
        <w:t>EN: Estimating the amount of computation done by a brain using population neural activity</w:t>
      </w:r>
    </w:p>
    <w:p>
      <w:pPr>
        <w:spacing w:before="0" w:after="120"/>
      </w:pPr>
      <w:r>
        <w:rPr>
          <w:b/>
        </w:rPr>
        <w:t xml:space="preserve">Source: </w:t>
      </w:r>
      <w:r>
        <w:t>Proceedings of the National Academy of Sciences: Keyword search for query</w:t>
      </w:r>
      <w:r>
        <w:t xml:space="preserve">    </w:t>
      </w:r>
      <w:r>
        <w:rPr>
          <w:b/>
        </w:rPr>
        <w:t xml:space="preserve">Pub date: </w:t>
      </w:r>
      <w:r>
        <w:t>2026-06-16 07:00:00+00:00</w:t>
      </w:r>
      <w:r>
        <w:t xml:space="preserve">    </w:t>
      </w:r>
      <w:r>
        <w:rPr>
          <w:b/>
        </w:rPr>
        <w:t xml:space="preserve">DOI: </w:t>
      </w:r>
      <w:hyperlink r:id="rId634">
        <w:r>
          <w:rPr>
            <w:color w:val="1155CC"/>
            <w:u w:val="single"/>
          </w:rPr>
          <w:t>10.1073/pnas.2507932123</w:t>
        </w:r>
      </w:hyperlink>
    </w:p>
    <w:p>
      <w:pPr>
        <w:spacing w:before="0" w:after="120"/>
      </w:pPr>
      <w:r>
        <w:rPr>
          <w:b/>
        </w:rPr>
        <w:t xml:space="preserve">Notes: </w:t>
      </w:r>
      <w:r>
        <w:t>abstract_source=crossref</w:t>
      </w:r>
    </w:p>
    <w:p>
      <w:pPr>
        <w:spacing w:before="0" w:after="80" w:lineRule="auto" w:line="276"/>
      </w:pPr>
      <w:r>
        <w:rPr>
          <w:b/>
        </w:rPr>
        <w:t xml:space="preserve">摘要（ZH）: </w:t>
      </w:r>
      <w:r>
        <w:t>许多动力系统，从遗传回路到人脑再到人类社会系统，通常都具有计算性。尽管广泛的研究已经探索了它们的动态，但底层的计算往往仍然难以捉摸。即使是量化动态系统的计算量这一基本任务也仍未得到充分研究。在本研究中，我们引入了一个独立于任务的框架，以根据其动态的经验时间序列来估计所观察的系统所实现的计算量。该框架的工作原理是形成动态的统计重建，并根据复杂性和保真度定义计算量。我们通过证明我们的框架正确区分洛伦兹动力学的不同机制和元胞自动机的各种计算类别之间的相对计算量来验证我们的框架。然后我们将该框架应用于全脑神经记录</w:t>
      </w:r>
      <w:r>
        <w:t xml:space="preserve"> </w:t>
      </w:r>
      <w:r>
        <w:t>秀丽隐杆线虫</w:t>
      </w:r>
      <w:r>
        <w:t xml:space="preserve"> </w:t>
      </w:r>
      <w:r>
        <w:t>以及小鼠皮质的大规模群体记录。我们发现，高低计算量是自由移动和不动蠕虫神经动力学的基础。我们的分析进一步揭示了计算量</w:t>
      </w:r>
      <w:r>
        <w:t xml:space="preserve"> </w:t>
      </w:r>
      <w:r>
        <w:t>线虫</w:t>
      </w:r>
      <w:r>
        <w:t xml:space="preserve"> </w:t>
      </w:r>
      <w:r>
        <w:t>在各种运动状态下执行。当应用于视觉决策任务期间来自小鼠皮层的大规模电生理记录时，我们的框架恢复了任务的真实难度，将更多的计算量分配给更多的数据。</w:t>
      </w:r>
    </w:p>
    <w:p>
      <w:pPr>
        <w:spacing w:before="0" w:after="200" w:lineRule="auto" w:line="276"/>
      </w:pPr>
      <w:r>
        <w:rPr>
          <w:b/>
        </w:rPr>
        <w:t xml:space="preserve">Abstract (EN): </w:t>
      </w:r>
      <w:r>
        <w:t>Many dynamical systems, ranging from genetic circuits to the human brain to human social systems, are often characterized as computational. Although extensive research has explored their dynamics, the computations underlying often remain elusive. Even the fundamental task of quantifying the amount of computation underlying a dynamical system remains underinvestigated. In this study we introduce a task-independent framework to estimate the amount of computation implemented by an observed system based on empirical time-series of its dynamics. This framework works by forming a statistical reconstruction of that dynamics, and defining the amount of computation in terms of both the complexity and fidelity. We validate our framework by showing it appropriately distinguishes the relative amount of computation across different regimes of Lorenz dynamics and various computation classes of cellular automata. We then apply this framework to whole-brain neural recordings of</w:t>
      </w:r>
      <w:r>
        <w:t xml:space="preserve"> </w:t>
      </w:r>
      <w:r>
        <w:t>Caenorhabditis elegans</w:t>
      </w:r>
      <w:r>
        <w:t xml:space="preserve"> </w:t>
      </w:r>
      <w:r>
        <w:t>and large scale population recordings of the mouse cortex. We find that high and low amounts of computation underlie the neural dynamics of freely moving and immobile worms. Our analysis further sheds light on the amount of computation</w:t>
      </w:r>
      <w:r>
        <w:t xml:space="preserve"> </w:t>
      </w:r>
      <w:r>
        <w:t>C. elegans</w:t>
      </w:r>
      <w:r>
        <w:t xml:space="preserve"> </w:t>
      </w:r>
      <w:r>
        <w:t>performs in various locomotion states. When applied to large-scale electrophysiological recordings from the mouse cortex during a visual decision-making task, our framework recovers the ground-truth difficulty of the task, assigning higher amounts of computation to more difficult trials where sensory inputs are ambiguous. In sum, our study explores a powerful framework for quantifying the amount of computation performed by a system based on time-series data of its dynamics, and highlights neural computation in both simple and complex organisms.</w:t>
      </w:r>
    </w:p>
    <w:p>
      <w:pPr>
        <w:spacing w:before="120" w:after="120"/>
      </w:pPr>
      <w:r>
        <w:rPr>
          <w:sz w:val="18"/>
        </w:rPr>
        <w:t>——————————————————————————————————————————————————————————————————————</w:t>
      </w:r>
    </w:p>
    <w:p>
      <w:pPr>
        <w:spacing w:before="160" w:after="40" w:line="240" w:lineRule="auto"/>
      </w:pPr>
      <w:r>
        <w:rPr>
          <w:b/>
        </w:rPr>
        <w:t xml:space="preserve">[204] </w:t>
      </w:r>
      <w:hyperlink r:id="rId635">
        <w:r>
          <w:rPr>
            <w:color w:val="1155CC"/>
            <w:u w:val="single"/>
          </w:rPr>
          <w:t>p53 活性下游效应子的生理相关性</w:t>
        </w:r>
      </w:hyperlink>
    </w:p>
    <w:p>
      <w:pPr>
        <w:spacing w:before="0" w:after="80"/>
      </w:pPr>
      <w:r>
        <w:rPr>
          <w:i/>
          <w:sz w:val="20"/>
        </w:rPr>
        <w:t>EN: The physiological relevance of downstream effectors of p53 activity</w:t>
      </w:r>
    </w:p>
    <w:p>
      <w:pPr>
        <w:spacing w:before="0" w:after="120"/>
      </w:pPr>
      <w:r>
        <w:rPr>
          <w:b/>
        </w:rPr>
        <w:t xml:space="preserve">Source: </w:t>
      </w:r>
      <w:r>
        <w:t>Proceedings of the National Academy of Sciences: Keyword search for query</w:t>
      </w:r>
      <w:r>
        <w:t xml:space="preserve">    </w:t>
      </w:r>
      <w:r>
        <w:rPr>
          <w:b/>
        </w:rPr>
        <w:t xml:space="preserve">Pub date: </w:t>
      </w:r>
      <w:r>
        <w:t>2026-06-16 07:00:00+00:00</w:t>
      </w:r>
      <w:r>
        <w:t xml:space="preserve">    </w:t>
      </w:r>
      <w:r>
        <w:rPr>
          <w:b/>
        </w:rPr>
        <w:t xml:space="preserve">DOI: </w:t>
      </w:r>
      <w:hyperlink r:id="rId636">
        <w:r>
          <w:rPr>
            <w:color w:val="1155CC"/>
            <w:u w:val="single"/>
          </w:rPr>
          <w:t>10.1073/pnas.2536303123</w:t>
        </w:r>
      </w:hyperlink>
    </w:p>
    <w:p>
      <w:pPr>
        <w:spacing w:before="0" w:after="120"/>
      </w:pPr>
      <w:r>
        <w:rPr>
          <w:b/>
        </w:rPr>
        <w:t xml:space="preserve">Notes: </w:t>
      </w:r>
      <w:r>
        <w:t>abstract_source=crossref</w:t>
      </w:r>
    </w:p>
    <w:p>
      <w:pPr>
        <w:spacing w:before="0" w:after="80" w:lineRule="auto" w:line="276"/>
      </w:pPr>
      <w:r>
        <w:rPr>
          <w:b/>
        </w:rPr>
        <w:t xml:space="preserve">摘要（ZH）: </w:t>
      </w:r>
      <w:r>
        <w:t>的</w:t>
      </w:r>
      <w:r>
        <w:t xml:space="preserve"> </w:t>
      </w:r>
      <w:r>
        <w:t>TP53</w:t>
      </w:r>
      <w:r>
        <w:t xml:space="preserve"> </w:t>
      </w:r>
      <w:r>
        <w:t>肿瘤抑制基因编码一种转录因子，可调节数百个靶基因的表达。先前的小鼠研究已经鉴定出保守的 p53 依赖性转录特征，其中包括</w:t>
      </w:r>
      <w:r>
        <w:t xml:space="preserve"> </w:t>
      </w:r>
      <w:r>
        <w:t>Cdkn1A (p21)</w:t>
      </w:r>
      <w:r>
        <w:t xml:space="preserve"> </w:t>
      </w:r>
      <w:r>
        <w:t>,</w:t>
      </w:r>
      <w:r>
        <w:t xml:space="preserve"> </w:t>
      </w:r>
      <w:r>
        <w:t>Gtse1</w:t>
      </w:r>
      <w:r>
        <w:t xml:space="preserve"> </w:t>
      </w:r>
      <w:r>
        <w:t>（</w:t>
      </w:r>
      <w:r>
        <w:t xml:space="preserve"> </w:t>
      </w:r>
      <w:r>
        <w:t>G2和S期表达1</w:t>
      </w:r>
      <w:r>
        <w:t xml:space="preserve"> </w:t>
      </w:r>
      <w:r>
        <w:t>），以及</w:t>
      </w:r>
      <w:r>
        <w:t xml:space="preserve"> </w:t>
      </w:r>
      <w:r>
        <w:t>埃达2r</w:t>
      </w:r>
      <w:r>
        <w:t xml:space="preserve"> </w:t>
      </w:r>
      <w:r>
        <w:t>。在这项研究中，我们研究了这三个基因的生理作用，以及</w:t>
      </w:r>
      <w:r>
        <w:t xml:space="preserve"> </w:t>
      </w:r>
      <w:r>
        <w:t>英国广播公司3</w:t>
      </w:r>
      <w:r>
        <w:t xml:space="preserve"> </w:t>
      </w:r>
      <w:r>
        <w:t>(Puma)，一种参与细胞凋亡的 p53 靶点，作为 p53 活性的效应器。我们生成了等位基因</w:t>
      </w:r>
      <w:r>
        <w:t xml:space="preserve"> </w:t>
      </w:r>
      <w:r>
        <w:t>Gtse1</w:t>
      </w:r>
      <w:r>
        <w:t xml:space="preserve"> </w:t>
      </w:r>
      <w:r>
        <w:t>和</w:t>
      </w:r>
      <w:r>
        <w:t xml:space="preserve"> </w:t>
      </w:r>
      <w:r>
        <w:t>埃达2r</w:t>
      </w:r>
      <w:r>
        <w:t xml:space="preserve"> </w:t>
      </w:r>
      <w:r>
        <w:t>。与之前报道的相比</w:t>
      </w:r>
      <w:r>
        <w:t xml:space="preserve"> </w:t>
      </w:r>
      <w:r>
        <w:t>Cdkn1A-null</w:t>
      </w:r>
      <w:r>
        <w:t xml:space="preserve"> </w:t>
      </w:r>
      <w:r>
        <w:t>和</w:t>
      </w:r>
      <w:r>
        <w:t xml:space="preserve"> </w:t>
      </w:r>
      <w:r>
        <w:t>Bbc3-空</w:t>
      </w:r>
      <w:r>
        <w:t xml:space="preserve"> </w:t>
      </w:r>
      <w:r>
        <w:t>不表现出任何明显表型的小鼠，表达 N 末端缺失的小鼠</w:t>
      </w:r>
      <w:r>
        <w:t xml:space="preserve"> </w:t>
      </w:r>
      <w:r>
        <w:t>Gtse1</w:t>
      </w:r>
      <w:r>
        <w:t xml:space="preserve"> </w:t>
      </w:r>
      <w:r>
        <w:t>（</w:t>
      </w:r>
      <w:r>
        <w:t xml:space="preserve"> </w:t>
      </w:r>
      <w:r>
        <w:t>Gtse1Δ7</w:t>
      </w:r>
      <w:r>
        <w:t xml:space="preserve"> </w:t>
      </w:r>
      <w:r>
        <w:t>）和</w:t>
      </w:r>
      <w:r>
        <w:t xml:space="preserve"> </w:t>
      </w:r>
      <w:r>
        <w:t>埃达2r</w:t>
      </w:r>
      <w:r>
        <w:t xml:space="preserve"> </w:t>
      </w:r>
      <w:r>
        <w:t>（</w:t>
      </w:r>
      <w:r>
        <w:t xml:space="preserve"> </w:t>
      </w:r>
      <w:r>
        <w:t>埃达2rΔ11</w:t>
      </w:r>
      <w:r>
        <w:t xml:space="preserve"> </w:t>
      </w:r>
      <w:r>
        <w:t>）分别表现出精子发生缺陷和肝脏异常。我们将这些小鼠杂交到</w:t>
      </w:r>
      <w:r>
        <w:t xml:space="preserve"> </w:t>
      </w:r>
      <w:r>
        <w:t>MDM2</w:t>
      </w:r>
      <w:r>
        <w:t xml:space="preserve"> </w:t>
      </w:r>
      <w:r>
        <w:t>-组成型激活p53的缺失模型导致多种表型和致死率。值得注意的是，损失</w:t>
      </w:r>
      <w:r>
        <w:t xml:space="preserve"> </w:t>
      </w:r>
      <w:r>
        <w:t>p21</w:t>
      </w:r>
      <w:r>
        <w:t xml:space="preserve"> </w:t>
      </w:r>
      <w:r>
        <w:t>挽救了与构成相关的杀伤力</w:t>
      </w:r>
    </w:p>
    <w:p>
      <w:pPr>
        <w:spacing w:before="0" w:after="200" w:lineRule="auto" w:line="276"/>
      </w:pPr>
      <w:r>
        <w:rPr>
          <w:b/>
        </w:rPr>
        <w:t xml:space="preserve">Abstract (EN): </w:t>
      </w:r>
      <w:r>
        <w:t>The</w:t>
      </w:r>
      <w:r>
        <w:t xml:space="preserve"> </w:t>
      </w:r>
      <w:r>
        <w:t>TP53</w:t>
      </w:r>
      <w:r>
        <w:t xml:space="preserve"> </w:t>
      </w:r>
      <w:r>
        <w:t>tumor suppressor encodes a transcription factor that regulates the expression of hundreds of target genes. Previous mouse studies have identified a conserved p53-dependent transcriptional signature that includes</w:t>
      </w:r>
      <w:r>
        <w:t xml:space="preserve"> </w:t>
      </w:r>
      <w:r>
        <w:t>Cdkn1A (p21)</w:t>
      </w:r>
      <w:r>
        <w:t xml:space="preserve"> </w:t>
      </w:r>
      <w:r>
        <w:t>,</w:t>
      </w:r>
      <w:r>
        <w:t xml:space="preserve"> </w:t>
      </w:r>
      <w:r>
        <w:t>Gtse1</w:t>
      </w:r>
      <w:r>
        <w:t xml:space="preserve"> </w:t>
      </w:r>
      <w:r>
        <w:t>(</w:t>
      </w:r>
      <w:r>
        <w:t xml:space="preserve"> </w:t>
      </w:r>
      <w:r>
        <w:t>G2 and S-phase expressed 1</w:t>
      </w:r>
      <w:r>
        <w:t xml:space="preserve"> </w:t>
      </w:r>
      <w:r>
        <w:t>), and</w:t>
      </w:r>
      <w:r>
        <w:t xml:space="preserve"> </w:t>
      </w:r>
      <w:r>
        <w:t>Eda2r</w:t>
      </w:r>
      <w:r>
        <w:t xml:space="preserve"> </w:t>
      </w:r>
      <w:r>
        <w:t>. In this study, we investigated the physiological roles of these three genes, along with</w:t>
      </w:r>
      <w:r>
        <w:t xml:space="preserve"> </w:t>
      </w:r>
      <w:r>
        <w:t>Bbc3</w:t>
      </w:r>
      <w:r>
        <w:t xml:space="preserve"> </w:t>
      </w:r>
      <w:r>
        <w:t>(Puma), a p53 target involved in apoptosis, as effectors of p53 activity. We generated alleles of</w:t>
      </w:r>
      <w:r>
        <w:t xml:space="preserve"> </w:t>
      </w:r>
      <w:r>
        <w:t>Gtse1</w:t>
      </w:r>
      <w:r>
        <w:t xml:space="preserve"> </w:t>
      </w:r>
      <w:r>
        <w:t>and</w:t>
      </w:r>
      <w:r>
        <w:t xml:space="preserve"> </w:t>
      </w:r>
      <w:r>
        <w:t>Eda2r</w:t>
      </w:r>
      <w:r>
        <w:t xml:space="preserve"> </w:t>
      </w:r>
      <w:r>
        <w:t>. In contrast to previously reported</w:t>
      </w:r>
      <w:r>
        <w:t xml:space="preserve"> </w:t>
      </w:r>
      <w:r>
        <w:t>Cdkn1A-null</w:t>
      </w:r>
      <w:r>
        <w:t xml:space="preserve"> </w:t>
      </w:r>
      <w:r>
        <w:t>and</w:t>
      </w:r>
      <w:r>
        <w:t xml:space="preserve"> </w:t>
      </w:r>
      <w:r>
        <w:t>Bbc3-null</w:t>
      </w:r>
      <w:r>
        <w:t xml:space="preserve"> </w:t>
      </w:r>
      <w:r>
        <w:t>mice which do not exhibit any overt phenotypes, mice expressing N-terminal deletions of</w:t>
      </w:r>
      <w:r>
        <w:t xml:space="preserve"> </w:t>
      </w:r>
      <w:r>
        <w:t>Gtse1</w:t>
      </w:r>
      <w:r>
        <w:t xml:space="preserve"> </w:t>
      </w:r>
      <w:r>
        <w:t>(</w:t>
      </w:r>
      <w:r>
        <w:t xml:space="preserve"> </w:t>
      </w:r>
      <w:r>
        <w:t>Gtse1Δ7</w:t>
      </w:r>
      <w:r>
        <w:t xml:space="preserve"> </w:t>
      </w:r>
      <w:r>
        <w:t>) and</w:t>
      </w:r>
      <w:r>
        <w:t xml:space="preserve"> </w:t>
      </w:r>
      <w:r>
        <w:t>Eda2r</w:t>
      </w:r>
      <w:r>
        <w:t xml:space="preserve"> </w:t>
      </w:r>
      <w:r>
        <w:t>(</w:t>
      </w:r>
      <w:r>
        <w:t xml:space="preserve"> </w:t>
      </w:r>
      <w:r>
        <w:t>Eda2rΔ11</w:t>
      </w:r>
      <w:r>
        <w:t xml:space="preserve"> </w:t>
      </w:r>
      <w:r>
        <w:t>) displayed defects in spermatogenesis and liver abnormalities, respectively. We crossed these mice to an</w:t>
      </w:r>
      <w:r>
        <w:t xml:space="preserve"> </w:t>
      </w:r>
      <w:r>
        <w:t>Mdm2</w:t>
      </w:r>
      <w:r>
        <w:t xml:space="preserve"> </w:t>
      </w:r>
      <w:r>
        <w:t>-deletion model that constitutively activates p53 resulting in multiple phenotypes and lethality. Notably, loss of</w:t>
      </w:r>
      <w:r>
        <w:t xml:space="preserve"> </w:t>
      </w:r>
      <w:r>
        <w:t>p21</w:t>
      </w:r>
      <w:r>
        <w:t xml:space="preserve"> </w:t>
      </w:r>
      <w:r>
        <w:t>rescued the lethality associated with constitutive p53 activation in vivo, whereas the</w:t>
      </w:r>
      <w:r>
        <w:t xml:space="preserve"> </w:t>
      </w:r>
      <w:r>
        <w:t>Gtse1Δ7</w:t>
      </w:r>
      <w:r>
        <w:t xml:space="preserve"> </w:t>
      </w:r>
      <w:r>
        <w:t>mutant partially rescued this effect; no rescue was observed with</w:t>
      </w:r>
      <w:r>
        <w:t xml:space="preserve"> </w:t>
      </w:r>
      <w:r>
        <w:t>Eda2rΔ11</w:t>
      </w:r>
      <w:r>
        <w:t xml:space="preserve"> </w:t>
      </w:r>
      <w:r>
        <w:t>or</w:t>
      </w:r>
      <w:r>
        <w:t xml:space="preserve"> </w:t>
      </w:r>
      <w:r>
        <w:t>Bbc3</w:t>
      </w:r>
      <w:r>
        <w:t xml:space="preserve"> </w:t>
      </w:r>
      <w:r>
        <w:t>loss. These findings indicate that cell cycle regulators, rather than apoptosis-related genes, are the main drivers of sustained p53-induced gastrointestinal defects and lethality.</w:t>
      </w:r>
    </w:p>
    <w:p>
      <w:pPr>
        <w:spacing w:before="120" w:after="120"/>
      </w:pPr>
      <w:r>
        <w:rPr>
          <w:sz w:val="18"/>
        </w:rPr>
        <w:t>——————————————————————————————————————————————————————————————————————</w:t>
      </w:r>
    </w:p>
    <w:p>
      <w:pPr>
        <w:spacing w:before="160" w:after="40" w:line="240" w:lineRule="auto"/>
      </w:pPr>
      <w:r>
        <w:rPr>
          <w:b/>
        </w:rPr>
        <w:t xml:space="preserve">[205] </w:t>
      </w:r>
      <w:hyperlink r:id="rId637">
        <w:r>
          <w:rPr>
            <w:color w:val="1155CC"/>
            <w:u w:val="single"/>
          </w:rPr>
          <w:t>LRR-RP 介导的模式触发免疫需要规范的 EDS1/PAD4 小分子结合位点</w:t>
        </w:r>
      </w:hyperlink>
    </w:p>
    <w:p>
      <w:pPr>
        <w:spacing w:before="0" w:after="80"/>
      </w:pPr>
      <w:r>
        <w:rPr>
          <w:i/>
          <w:sz w:val="20"/>
        </w:rPr>
        <w:t>EN: Canonical EDS1/PAD4 small-molecule binding sites are required for LRR-RP-mediated pattern-triggered immunity</w:t>
      </w:r>
    </w:p>
    <w:p>
      <w:pPr>
        <w:spacing w:before="0" w:after="120"/>
      </w:pPr>
      <w:r>
        <w:rPr>
          <w:b/>
        </w:rPr>
        <w:t xml:space="preserve">Source: </w:t>
      </w:r>
      <w:r>
        <w:t>Proceedings of the National Academy of Sciences: Keyword search for query</w:t>
      </w:r>
      <w:r>
        <w:t xml:space="preserve">    </w:t>
      </w:r>
      <w:r>
        <w:rPr>
          <w:b/>
        </w:rPr>
        <w:t xml:space="preserve">Pub date: </w:t>
      </w:r>
      <w:r>
        <w:t>2026-06-16 07:00:00+00:00</w:t>
      </w:r>
      <w:r>
        <w:t xml:space="preserve">    </w:t>
      </w:r>
      <w:r>
        <w:rPr>
          <w:b/>
        </w:rPr>
        <w:t xml:space="preserve">DOI: </w:t>
      </w:r>
      <w:hyperlink r:id="rId638">
        <w:r>
          <w:rPr>
            <w:color w:val="1155CC"/>
            <w:u w:val="single"/>
          </w:rPr>
          <w:t>10.1073/pnas.2536973123</w:t>
        </w:r>
      </w:hyperlink>
    </w:p>
    <w:p>
      <w:pPr>
        <w:spacing w:before="0" w:after="120"/>
      </w:pPr>
      <w:r>
        <w:rPr>
          <w:b/>
        </w:rPr>
        <w:t xml:space="preserve">Notes: </w:t>
      </w:r>
      <w:r>
        <w:t>abstract_source=crossref</w:t>
      </w:r>
    </w:p>
    <w:p>
      <w:pPr>
        <w:spacing w:before="0" w:after="80" w:lineRule="auto" w:line="276"/>
      </w:pPr>
      <w:r>
        <w:rPr>
          <w:b/>
        </w:rPr>
        <w:t xml:space="preserve">摘要（ZH）: </w:t>
      </w:r>
      <w:r>
        <w:t>模式触发免疫（PTI）是一种关键的植物防御机制，由细胞表面受体（包括富含亮氨酸的重复受体蛋白（LRR-RP））识别病原体相关分子模式（PAMP）而启动。在感知 PAMP 后，LRR-RP 与 SOBIR1 结合，并将 SERK 辅助受体（例如 BAK1）招募到受体复合物中以启动 PTI。脂肪酶样蛋白 EDS1 和 PAD4 是效应物触发免疫 (ETI) 的核心成分。由 TIR 域 NADase 活性产生的小分子 (SM) 磷酸核糖基-AMP/ADP 促进 ADR1 家族的辅助 NLR 招募到 EDS1-PAD4 复合体中以执行 ETI。该 ETI 信号分支称为 EDS1–PAD4–ADR1 节点，与 SOBIR1 相关，对于 LRR-RP 介导的 PTI 至关重要。为了阐明 EDS1-PAD4 促进 PTI 的分子机制，我们发现 BAK1 募集至 LRR-RP 复合物介导的 PTI 启动在以下情况中不受影响：</w:t>
      </w:r>
      <w:r>
        <w:t xml:space="preserve"> </w:t>
      </w:r>
      <w:r>
        <w:t>eds1-2</w:t>
      </w:r>
      <w:r>
        <w:t xml:space="preserve"> </w:t>
      </w:r>
      <w:r>
        <w:t>或</w:t>
      </w:r>
      <w:r>
        <w:t xml:space="preserve"> </w:t>
      </w:r>
      <w:r>
        <w:t>垫4-1</w:t>
      </w:r>
      <w:r>
        <w:t xml:space="preserve"> </w:t>
      </w:r>
      <w:r>
        <w:t>突变体，但在</w:t>
      </w:r>
      <w:r>
        <w:t xml:space="preserve"> </w:t>
      </w:r>
      <w:r>
        <w:t>索比尔1-12</w:t>
      </w:r>
      <w:r>
        <w:t xml:space="preserve"> </w:t>
      </w:r>
      <w:r>
        <w:t>突变体，突出了 SOBIR1 在表面免疫受体复合物形成中的重要作用。此外，我们证明 SM 与 EDS1 和 PAD4 的结合除了在 ETI 中的作用外，对于 LRR-RP 介导的 PTI 也至关重要，因为 SM 结合缺陷的突变体无法恢复 PTI 反应。此外，后期 PTI 反应需要从头 SM 合成，包括</w:t>
      </w:r>
      <w:r>
        <w:t xml:space="preserve"> </w:t>
      </w:r>
      <w:r>
        <w:t>PR1</w:t>
      </w:r>
      <w:r>
        <w:t xml:space="preserve"> </w:t>
      </w:r>
      <w:r>
        <w:t>表达和细菌耐药性，但不适用于 e</w:t>
      </w:r>
    </w:p>
    <w:p>
      <w:pPr>
        <w:spacing w:before="0" w:after="200" w:lineRule="auto" w:line="276"/>
      </w:pPr>
      <w:r>
        <w:rPr>
          <w:b/>
        </w:rPr>
        <w:t xml:space="preserve">Abstract (EN): </w:t>
      </w:r>
      <w:r>
        <w:t>Pattern-triggered immunity (PTI) is a key plant defense mechanism initiated by the recognition of pathogen-associated molecular patterns (PAMPs) by cell-surface receptors, including leucine-rich repeat receptor proteins (LRR-RPs). Upon PAMP perception, LRR-RPs associate with SOBIR1 and recruit SERK coreceptors, such as BAK1, into the receptor complex to initiate PTI. The lipase-like protein EDS1 and PAD4 are central components of effector-triggered immunity (ETI). Small molecule (SM) phosphoribosyl-AMP/ADP, generated by TIR-domain NADase activity, promotes the recruitment of helper NLRs of the ADR1 family into the EDS1–PAD4 complex to execute ETI. This ETI signaling branch, known as the EDS1–PAD4–ADR1 node, is associated with SOBIR1 and is essential for LRR-RP-mediated PTI. To elucidate the molecular mechanism by which EDS1–PAD4 contributes to PTI, we show that PTI initiation mediated by BAK1 recruitment to LRR-RP complexes is unaffected in</w:t>
      </w:r>
      <w:r>
        <w:t xml:space="preserve"> </w:t>
      </w:r>
      <w:r>
        <w:t>eds1-2</w:t>
      </w:r>
      <w:r>
        <w:t xml:space="preserve"> </w:t>
      </w:r>
      <w:r>
        <w:t>or</w:t>
      </w:r>
      <w:r>
        <w:t xml:space="preserve"> </w:t>
      </w:r>
      <w:r>
        <w:t>pad4-1</w:t>
      </w:r>
      <w:r>
        <w:t xml:space="preserve"> </w:t>
      </w:r>
      <w:r>
        <w:t>mutants but is abolished in the</w:t>
      </w:r>
      <w:r>
        <w:t xml:space="preserve"> </w:t>
      </w:r>
      <w:r>
        <w:t>sobir1-12</w:t>
      </w:r>
      <w:r>
        <w:t xml:space="preserve"> </w:t>
      </w:r>
      <w:r>
        <w:t>mutant, highlighting the essential role of SOBIR1 in surface immune receptor complex formation. Furthermore, we demonstrate that SM binding to EDS1 and PAD4, in addition to its role in ETI, is also critical for LRR-RP-mediated PTI, as SM-binding-deficient mutants fail to restore PTI responses. Moreover, de novo SM synthesis is required for late PTI responses, including</w:t>
      </w:r>
      <w:r>
        <w:t xml:space="preserve"> </w:t>
      </w:r>
      <w:r>
        <w:t>PR1</w:t>
      </w:r>
      <w:r>
        <w:t xml:space="preserve"> </w:t>
      </w:r>
      <w:r>
        <w:t>expression and bacterial resistance, but not for early responses such as reactive oxygen species and ethylene production. Finally, the TNL SADR1 functions specifically in late PTI responses. Together, these findings indicate that a preformed EDS1–PAD4–ADR1 complex is essential for PTI and reveal a two-tiered role for TIR-domain proteins in PTI signaling.</w:t>
      </w:r>
    </w:p>
    <w:p>
      <w:pPr>
        <w:spacing w:before="120" w:after="120"/>
      </w:pPr>
      <w:r>
        <w:rPr>
          <w:sz w:val="18"/>
        </w:rPr>
        <w:t>——————————————————————————————————————————————————————————————————————</w:t>
      </w:r>
    </w:p>
    <w:p>
      <w:pPr>
        <w:spacing w:before="160" w:after="40" w:line="240" w:lineRule="auto"/>
      </w:pPr>
      <w:r>
        <w:rPr>
          <w:b/>
        </w:rPr>
        <w:t xml:space="preserve">[206] </w:t>
      </w:r>
      <w:hyperlink r:id="rId639">
        <w:r>
          <w:rPr>
            <w:color w:val="1155CC"/>
            <w:u w:val="single"/>
          </w:rPr>
          <w:t>两种蛋白质拓扑异构体的计算设计和细胞合成：所罗门链接与三扭结</w:t>
        </w:r>
      </w:hyperlink>
    </w:p>
    <w:p>
      <w:pPr>
        <w:spacing w:before="0" w:after="80"/>
      </w:pPr>
      <w:r>
        <w:rPr>
          <w:i/>
          <w:sz w:val="20"/>
        </w:rPr>
        <w:t>EN: Computational design and cellular synthesis of two protein topological isomers: Solomon link vs. three-twist knot</w:t>
      </w:r>
    </w:p>
    <w:p>
      <w:pPr>
        <w:spacing w:before="0" w:after="120"/>
      </w:pPr>
      <w:r>
        <w:rPr>
          <w:b/>
        </w:rPr>
        <w:t xml:space="preserve">Source: </w:t>
      </w:r>
      <w:r>
        <w:t>Proceedings of the National Academy of Sciences: Keyword search for query</w:t>
      </w:r>
      <w:r>
        <w:t xml:space="preserve">    </w:t>
      </w:r>
      <w:r>
        <w:rPr>
          <w:b/>
        </w:rPr>
        <w:t xml:space="preserve">Pub date: </w:t>
      </w:r>
      <w:r>
        <w:t>2026-06-16 07:00:00+00:00</w:t>
      </w:r>
      <w:r>
        <w:t xml:space="preserve">    </w:t>
      </w:r>
      <w:r>
        <w:rPr>
          <w:b/>
        </w:rPr>
        <w:t xml:space="preserve">DOI: </w:t>
      </w:r>
      <w:hyperlink r:id="rId640">
        <w:r>
          <w:rPr>
            <w:color w:val="1155CC"/>
            <w:u w:val="single"/>
          </w:rPr>
          <w:t>10.1073/pnas.2537891123</w:t>
        </w:r>
      </w:hyperlink>
    </w:p>
    <w:p>
      <w:pPr>
        <w:spacing w:before="0" w:after="120"/>
      </w:pPr>
      <w:r>
        <w:rPr>
          <w:b/>
        </w:rPr>
        <w:t xml:space="preserve">Notes: </w:t>
      </w:r>
      <w:r>
        <w:t>abstract_source=crossref</w:t>
      </w:r>
    </w:p>
    <w:p>
      <w:pPr>
        <w:spacing w:before="0" w:after="80" w:lineRule="auto" w:line="276"/>
      </w:pPr>
      <w:r>
        <w:rPr>
          <w:b/>
        </w:rPr>
        <w:t xml:space="preserve">摘要（ZH）: </w:t>
      </w:r>
      <w:r>
        <w:t>化学拓扑已成为蛋白质工程中的一个独特维度，激发了对拓扑非平凡蛋白质结构的追求，以实现功能优势，例如增强的稳定性和丰富的动力学。然而，人工机械连锁蛋白质的结构多样性仍然有限。在这里，我们报告了通过正交缠结基序的对称组装一对拓扑异构体的计算设计和细胞合成。通过融合两个</w:t>
      </w:r>
      <w:r>
        <w:t xml:space="preserve"> </w:t>
      </w:r>
      <w:r>
        <w:t>C</w:t>
      </w:r>
      <w:r>
        <w:rPr>
          <w:vertAlign w:val="subscript"/>
        </w:rPr>
        <w:t>2</w:t>
      </w:r>
      <w:r>
        <w:t>对称缠结基序，即 p53dim 和 HP0242，在特定排列中，我们编程形成多重交叉，环化后产生蛋白质所罗门连接和蛋白质三扭结。融合模式和接头长度经过系统优化，以指导预期拓扑的形成。它们的成功细胞合成通过生物物理和结构分析得到验证，包括十二烷基硫酸钠-聚丙烯酰胺凝胶电泳、尺寸排阻色谱法和液相色谱-质谱法。值得注意的是，我们报告了人造蛋白质三扭结的晶体结构。相对于具有较低拓扑复杂性的对照（例如，Hopf 连杆、三叶结和线性形式），所罗门连杆和三扭结都表现出更高的结构致密性和稳定性，这可以通过其优异的热稳定性和抗化学变性来证明。这种模块化设计策略为多样化的设计提供了合理且可扩展的途径</w:t>
      </w:r>
    </w:p>
    <w:p>
      <w:pPr>
        <w:spacing w:before="0" w:after="200" w:lineRule="auto" w:line="276"/>
      </w:pPr>
      <w:r>
        <w:rPr>
          <w:b/>
        </w:rPr>
        <w:t xml:space="preserve">Abstract (EN): </w:t>
      </w:r>
      <w:r>
        <w:t>Chemical topology has emerged as a unique dimension in protein engineering, motivating the pursuit of topologically nontrivial protein architectures for functional advantages, such as enhanced stability and rich dynamics. However, the structural diversity of artificial mechanically interlocked proteins remains limited. Here, we report the computational design and cellular synthesis of a pair of topological isomers via symmetric assembly of orthogonal entangling motifs. By fusing two</w:t>
      </w:r>
      <w:r>
        <w:t xml:space="preserve"> </w:t>
      </w:r>
      <w:r>
        <w:t>C</w:t>
      </w:r>
      <w:r>
        <w:rPr>
          <w:vertAlign w:val="subscript"/>
        </w:rPr>
        <w:t>2</w:t>
      </w:r>
      <w:r>
        <w:t>symmetric entangling motifs, i.e., p53dim and HP0242, in specific arrangements, we programmed the formation of multiple crossings, which upon cyclization yielded a protein Solomon link and a protein three-twist knot. The fusion patterns and linker lengths were systematically optimized to direct the formation of the intended topologies. Their successful cellular synthesis was validated through biophysical and structural analyses, including sodium dodecyl sulfate-polyacrylamide gel electrophoresis, size exclusion chromatography, and liquid chromatography-mass spectrometry. Notably, we report the crystal structure of an artificial protein three-twist knot. Both the Solomon link and the three-twist knot displayed increased structural compactness and stability relative to their controls with lower topological complexity (e.g., Hopf link, trefoil knot, and linear forms), as evidenced by their superior thermal stability and resistance to chemical denaturation. This modular design strategy provides a rational and extensible route to diverse mechanically interlocked proteins and could be generalized to access even more complex architectures, such as protein chainmail-like nanocages and woven protein frameworks.</w:t>
      </w:r>
    </w:p>
    <w:p>
      <w:pPr>
        <w:spacing w:before="120" w:after="120"/>
      </w:pPr>
      <w:r>
        <w:rPr>
          <w:sz w:val="18"/>
        </w:rPr>
        <w:t>——————————————————————————————————————————————————————————————————————</w:t>
      </w:r>
    </w:p>
    <w:p>
      <w:pPr>
        <w:spacing w:before="160" w:after="40" w:line="240" w:lineRule="auto"/>
      </w:pPr>
      <w:r>
        <w:rPr>
          <w:b/>
        </w:rPr>
        <w:t xml:space="preserve">[207] </w:t>
      </w:r>
      <w:hyperlink r:id="rId641">
        <w:r>
          <w:rPr>
            <w:color w:val="1155CC"/>
            <w:u w:val="single"/>
          </w:rPr>
          <w:t>受伤引起的糖运输重定向促进组织修复</w:t>
        </w:r>
      </w:hyperlink>
    </w:p>
    <w:p>
      <w:pPr>
        <w:spacing w:before="0" w:after="80"/>
      </w:pPr>
      <w:r>
        <w:rPr>
          <w:i/>
          <w:sz w:val="20"/>
        </w:rPr>
        <w:t>EN: Wounding-induced redirection of sugar transport fuels tissue repair</w:t>
      </w:r>
    </w:p>
    <w:p>
      <w:pPr>
        <w:spacing w:before="0" w:after="120"/>
      </w:pPr>
      <w:r>
        <w:rPr>
          <w:b/>
        </w:rPr>
        <w:t xml:space="preserve">Source: </w:t>
      </w:r>
      <w:r>
        <w:t>Proceedings of the National Academy of Sciences: Keyword search for query</w:t>
      </w:r>
      <w:r>
        <w:t xml:space="preserve">    </w:t>
      </w:r>
      <w:r>
        <w:rPr>
          <w:b/>
        </w:rPr>
        <w:t xml:space="preserve">Pub date: </w:t>
      </w:r>
      <w:r>
        <w:t>2026-06-16 07:00:00+00:00</w:t>
      </w:r>
      <w:r>
        <w:t xml:space="preserve">    </w:t>
      </w:r>
      <w:r>
        <w:rPr>
          <w:b/>
        </w:rPr>
        <w:t xml:space="preserve">DOI: </w:t>
      </w:r>
      <w:hyperlink r:id="rId642">
        <w:r>
          <w:rPr>
            <w:color w:val="1155CC"/>
            <w:u w:val="single"/>
          </w:rPr>
          <w:t>10.1073/pnas.2535587123</w:t>
        </w:r>
      </w:hyperlink>
    </w:p>
    <w:p>
      <w:pPr>
        <w:spacing w:before="0" w:after="120"/>
      </w:pPr>
      <w:r>
        <w:rPr>
          <w:b/>
        </w:rPr>
        <w:t xml:space="preserve">Notes: </w:t>
      </w:r>
      <w:r>
        <w:t>abstract_source=crossref</w:t>
      </w:r>
    </w:p>
    <w:p>
      <w:pPr>
        <w:spacing w:before="0" w:after="80" w:lineRule="auto" w:line="276"/>
      </w:pPr>
      <w:r>
        <w:rPr>
          <w:b/>
        </w:rPr>
        <w:t xml:space="preserve">摘要（ZH）: </w:t>
      </w:r>
      <w:r>
        <w:t>受伤会触发生长程序来恢复受损组织，从而导致局部代谢需求激增。如何修改资源招募以满足这一需求尚不清楚。在这里，我们表明，解剖根尖的再生以剂量依赖的方式依赖于光合蔗糖，尽管蔗糖本身被排除在损伤部位之外。对实时葡萄糖报告仪 Glifon 的高分辨率跟踪显示，葡萄糖在切口附近积聚。葡萄糖积累需要质外糖转运成分</w:t>
      </w:r>
      <w:r>
        <w:t xml:space="preserve"> </w:t>
      </w:r>
      <w:r>
        <w:t>细胞壁转化酶</w:t>
      </w:r>
      <w:r>
        <w:t xml:space="preserve"> </w:t>
      </w:r>
      <w:r>
        <w:t>（</w:t>
      </w:r>
      <w:r>
        <w:t xml:space="preserve"> </w:t>
      </w:r>
      <w:r>
        <w:t>CWINV</w:t>
      </w:r>
      <w:r>
        <w:t xml:space="preserve"> </w:t>
      </w:r>
      <w:r>
        <w:t>）和</w:t>
      </w:r>
      <w:r>
        <w:t xml:space="preserve"> </w:t>
      </w:r>
      <w:r>
        <w:t>糖转运蛋白</w:t>
      </w:r>
      <w:r>
        <w:t xml:space="preserve"> </w:t>
      </w:r>
      <w:r>
        <w:t>（</w:t>
      </w:r>
      <w:r>
        <w:t xml:space="preserve"> </w:t>
      </w:r>
      <w:r>
        <w:t>直通车</w:t>
      </w:r>
      <w:r>
        <w:t xml:space="preserve"> </w:t>
      </w:r>
      <w:r>
        <w:t>），这是由受伤迅速诱发的。 CWINV 或 STP 功能的丧失会损害根部修复，特别是在蔗糖可用性有限的情况下，而增加</w:t>
      </w:r>
      <w:r>
        <w:t xml:space="preserve"> </w:t>
      </w:r>
      <w:r>
        <w:t>STP13</w:t>
      </w:r>
      <w:r>
        <w:t xml:space="preserve"> </w:t>
      </w:r>
      <w:r>
        <w:t>基因剂量提高了修复率。类似的糖转运基因在其他伤口环境中被激活，并促进伤口诱导的不定根起始。我们认为损伤会引起糖流的主动局部变化，以促进资源补充和维持组织修复。</w:t>
      </w:r>
    </w:p>
    <w:p>
      <w:pPr>
        <w:spacing w:before="0" w:after="200" w:lineRule="auto" w:line="276"/>
      </w:pPr>
      <w:r>
        <w:rPr>
          <w:b/>
        </w:rPr>
        <w:t xml:space="preserve">Abstract (EN): </w:t>
      </w:r>
      <w:r>
        <w:t>Wounding triggers growth programs to restore damaged tissues, creating a local surge in metabolic demand. How resource recruitment is modified to meet this demand is unclear. Here, we show that regeneration of dissected root tips is dependent on photosynthetic sucrose in a dose-dependent manner, although sucrose itself is excluded from the injury site. High-resolution tracking of Glifon, a live glucose reporter, reveals that glucose accumulates near the cut. Glucose accumulation required the apoplasmic sugar transport components</w:t>
      </w:r>
      <w:r>
        <w:t xml:space="preserve"> </w:t>
      </w:r>
      <w:r>
        <w:t>CELL WALL INVERTASE</w:t>
      </w:r>
      <w:r>
        <w:t xml:space="preserve"> </w:t>
      </w:r>
      <w:r>
        <w:t>(</w:t>
      </w:r>
      <w:r>
        <w:t xml:space="preserve"> </w:t>
      </w:r>
      <w:r>
        <w:t>CWINV</w:t>
      </w:r>
      <w:r>
        <w:t xml:space="preserve"> </w:t>
      </w:r>
      <w:r>
        <w:t>) and</w:t>
      </w:r>
      <w:r>
        <w:t xml:space="preserve"> </w:t>
      </w:r>
      <w:r>
        <w:t>SUGAR TRANSPORTER PROTEINS</w:t>
      </w:r>
      <w:r>
        <w:t xml:space="preserve"> </w:t>
      </w:r>
      <w:r>
        <w:t>(</w:t>
      </w:r>
      <w:r>
        <w:t xml:space="preserve"> </w:t>
      </w:r>
      <w:r>
        <w:t>STP</w:t>
      </w:r>
      <w:r>
        <w:t xml:space="preserve"> </w:t>
      </w:r>
      <w:r>
        <w:t>), which were rapidly induced by wounding. Loss of CWINV or STP function compromised root repair, particularly under limited sucrose availability, whereas increased</w:t>
      </w:r>
      <w:r>
        <w:t xml:space="preserve"> </w:t>
      </w:r>
      <w:r>
        <w:t>STP13</w:t>
      </w:r>
      <w:r>
        <w:t xml:space="preserve"> </w:t>
      </w:r>
      <w:r>
        <w:t>gene dosage enhanced repair rates. Similar sugar transport genes were activated in other wounding contexts and promoted wound-induced adventitious root initiation. We propose that injury elicits a proactive local shift in sugar flow to promote resource recruitment and sustain tissue repair.</w:t>
      </w:r>
    </w:p>
    <w:p>
      <w:pPr>
        <w:spacing w:before="120" w:after="120"/>
      </w:pPr>
      <w:r>
        <w:rPr>
          <w:sz w:val="18"/>
        </w:rPr>
        <w:t>——————————————————————————————————————————————————————————————————————</w:t>
      </w:r>
    </w:p>
    <w:p>
      <w:pPr>
        <w:spacing w:before="160" w:after="40" w:line="240" w:lineRule="auto"/>
      </w:pPr>
      <w:r>
        <w:rPr>
          <w:b/>
        </w:rPr>
        <w:t xml:space="preserve">[208] </w:t>
      </w:r>
      <w:hyperlink r:id="rId643">
        <w:r>
          <w:rPr>
            <w:color w:val="1155CC"/>
            <w:u w:val="single"/>
          </w:rPr>
          <w:t>回复 Borst 等人：针灸和安慰剂效应</w:t>
        </w:r>
      </w:hyperlink>
    </w:p>
    <w:p>
      <w:pPr>
        <w:spacing w:before="0" w:after="80"/>
      </w:pPr>
      <w:r>
        <w:rPr>
          <w:i/>
          <w:sz w:val="20"/>
        </w:rPr>
        <w:t>EN: Reply to Borst et al.: Acupuncture and the placebo effect</w:t>
      </w:r>
    </w:p>
    <w:p>
      <w:pPr>
        <w:spacing w:before="0" w:after="120"/>
      </w:pPr>
      <w:r>
        <w:rPr>
          <w:b/>
        </w:rPr>
        <w:t xml:space="preserve">Source: </w:t>
      </w:r>
      <w:r>
        <w:t>Proceedings of the National Academy of Sciences: Keyword search for query</w:t>
      </w:r>
      <w:r>
        <w:t xml:space="preserve">    </w:t>
      </w:r>
      <w:r>
        <w:rPr>
          <w:b/>
        </w:rPr>
        <w:t xml:space="preserve">Pub date: </w:t>
      </w:r>
      <w:r>
        <w:t>2026-06-16 07:00:00+00:00</w:t>
      </w:r>
      <w:r>
        <w:t xml:space="preserve">    </w:t>
      </w:r>
      <w:r>
        <w:rPr>
          <w:b/>
        </w:rPr>
        <w:t xml:space="preserve">DOI: </w:t>
      </w:r>
      <w:hyperlink r:id="rId644">
        <w:r>
          <w:rPr>
            <w:color w:val="1155CC"/>
            <w:u w:val="single"/>
          </w:rPr>
          <w:t>10.1073/pnas.2618232123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[209] </w:t>
      </w:r>
      <w:hyperlink r:id="rId645">
        <w:r>
          <w:rPr>
            <w:color w:val="1155CC"/>
            <w:u w:val="single"/>
          </w:rPr>
          <w:t>水稻外囊亚基 OsEXO70L2 和 OsSEC3A 通过调节 OsPIN1a/b 介导的生长素分布来调节根部发育</w:t>
        </w:r>
      </w:hyperlink>
    </w:p>
    <w:p>
      <w:pPr>
        <w:spacing w:before="0" w:after="80"/>
      </w:pPr>
      <w:r>
        <w:rPr>
          <w:i/>
          <w:sz w:val="20"/>
        </w:rPr>
        <w:t>EN: The exocyst subunits OsEXO70L2 and OsSEC3A regulate root development through modulating OsPIN1a/b-mediated auxin distribution in rice</w:t>
      </w:r>
    </w:p>
    <w:p>
      <w:pPr>
        <w:spacing w:before="0" w:after="120"/>
      </w:pPr>
      <w:r>
        <w:rPr>
          <w:b/>
        </w:rPr>
        <w:t xml:space="preserve">Source: </w:t>
      </w:r>
      <w:r>
        <w:t>Proceedings of the National Academy of Sciences: Keyword search for query</w:t>
      </w:r>
      <w:r>
        <w:t xml:space="preserve">    </w:t>
      </w:r>
      <w:r>
        <w:rPr>
          <w:b/>
        </w:rPr>
        <w:t xml:space="preserve">Pub date: </w:t>
      </w:r>
      <w:r>
        <w:t>2026-06-16 07:00:00+00:00</w:t>
      </w:r>
      <w:r>
        <w:t xml:space="preserve">    </w:t>
      </w:r>
      <w:r>
        <w:rPr>
          <w:b/>
        </w:rPr>
        <w:t xml:space="preserve">DOI: </w:t>
      </w:r>
      <w:hyperlink r:id="rId646">
        <w:r>
          <w:rPr>
            <w:color w:val="1155CC"/>
            <w:u w:val="single"/>
          </w:rPr>
          <w:t>10.1073/pnas.2602053123</w:t>
        </w:r>
      </w:hyperlink>
    </w:p>
    <w:p>
      <w:pPr>
        <w:spacing w:before="0" w:after="120"/>
      </w:pPr>
      <w:r>
        <w:rPr>
          <w:b/>
        </w:rPr>
        <w:t xml:space="preserve">Notes: </w:t>
      </w:r>
      <w:r>
        <w:t>abstract_source=crossref</w:t>
      </w:r>
    </w:p>
    <w:p>
      <w:pPr>
        <w:spacing w:before="0" w:after="80" w:lineRule="auto" w:line="276"/>
      </w:pPr>
      <w:r>
        <w:rPr>
          <w:b/>
        </w:rPr>
        <w:t xml:space="preserve">摘要（ZH）: </w:t>
      </w:r>
      <w:r>
        <w:t>胞外囊复合物介导的囊泡运输对于植物生长和发育至关重要，但其在作物根系发育中的作用仍知之甚少。之前，我们发现外囊亚基编码基因的突变</w:t>
      </w:r>
      <w:r>
        <w:t xml:space="preserve"> </w:t>
      </w:r>
      <w:r>
        <w:t>osEXO70L2</w:t>
      </w:r>
      <w:r>
        <w:t xml:space="preserve"> </w:t>
      </w:r>
      <w:r>
        <w:t>导致根部长度减少</w:t>
      </w:r>
      <w:r>
        <w:t xml:space="preserve"> </w:t>
      </w:r>
      <w:r>
        <w:t>短根1</w:t>
      </w:r>
      <w:r>
        <w:t xml:space="preserve"> </w:t>
      </w:r>
      <w:r>
        <w:t>（</w:t>
      </w:r>
      <w:r>
        <w:t xml:space="preserve"> </w:t>
      </w:r>
      <w:r>
        <w:t>SR1</w:t>
      </w:r>
      <w:r>
        <w:t xml:space="preserve"> </w:t>
      </w:r>
      <w:r>
        <w:t>）突变，但潜在机制尚不清楚。在这里，我们证明了 OsEXO70L2 与另一个外囊亚基 OsSEC3A 相互作用。的</w:t>
      </w:r>
      <w:r>
        <w:t xml:space="preserve"> </w:t>
      </w:r>
      <w:r>
        <w:t>OsSEC3A</w:t>
      </w:r>
      <w:r>
        <w:t xml:space="preserve"> </w:t>
      </w:r>
      <w:r>
        <w:t>敲除突变体</w:t>
      </w:r>
      <w:r>
        <w:t xml:space="preserve"> </w:t>
      </w:r>
      <w:r>
        <w:t>秒3a-1</w:t>
      </w:r>
      <w:r>
        <w:t xml:space="preserve"> </w:t>
      </w:r>
      <w:r>
        <w:t>表现出根部缩短、根尖分生组织减少和囊泡运输缺陷，表型弱于</w:t>
      </w:r>
      <w:r>
        <w:t xml:space="preserve"> </w:t>
      </w:r>
      <w:r>
        <w:t>SR1</w:t>
      </w:r>
      <w:r>
        <w:t xml:space="preserve"> </w:t>
      </w:r>
      <w:r>
        <w:t>。的</w:t>
      </w:r>
      <w:r>
        <w:t xml:space="preserve"> </w:t>
      </w:r>
      <w:r>
        <w:t>sr1 秒3a-1</w:t>
      </w:r>
      <w:r>
        <w:t xml:space="preserve"> </w:t>
      </w:r>
      <w:r>
        <w:t>双突变体类似</w:t>
      </w:r>
      <w:r>
        <w:t xml:space="preserve"> </w:t>
      </w:r>
      <w:r>
        <w:t>SR1</w:t>
      </w:r>
      <w:r>
        <w:t xml:space="preserve"> </w:t>
      </w:r>
      <w:r>
        <w:t>，表明 OsEXO70L2 和 OsSEC3A 在同一途径中发挥作用。两者都</w:t>
      </w:r>
      <w:r>
        <w:t xml:space="preserve"> </w:t>
      </w:r>
      <w:r>
        <w:t>SR1</w:t>
      </w:r>
      <w:r>
        <w:t xml:space="preserve"> </w:t>
      </w:r>
      <w:r>
        <w:t>和</w:t>
      </w:r>
      <w:r>
        <w:t xml:space="preserve"> </w:t>
      </w:r>
      <w:r>
        <w:t>秒3a-1</w:t>
      </w:r>
      <w:r>
        <w:t xml:space="preserve"> </w:t>
      </w:r>
      <w:r>
        <w:t>对外源吲哚-3-乙酸和生长素转运抑制剂 1-萘基邻苯二甲酸的敏感性降低，同时根尖中生长素的分布受到破坏。 OsEXO70L2 和 OsSEC3A 调节生长素外排载体 OsPIN1a/b 的质膜丰度和定位。一致地，</w:t>
      </w:r>
      <w:r>
        <w:t xml:space="preserve"> </w:t>
      </w:r>
      <w:r>
        <w:t>ospin1a ospin1b</w:t>
      </w:r>
      <w:r>
        <w:t xml:space="preserve"> </w:t>
      </w:r>
      <w:r>
        <w:t>双突变体表现出更严重的短根表型和生长素分布缺陷，证实</w:t>
      </w:r>
    </w:p>
    <w:p>
      <w:pPr>
        <w:spacing w:before="0" w:after="200" w:lineRule="auto" w:line="276"/>
      </w:pPr>
      <w:r>
        <w:rPr>
          <w:b/>
        </w:rPr>
        <w:t xml:space="preserve">Abstract (EN): </w:t>
      </w:r>
      <w:r>
        <w:t>Exocyst complex–mediated vesicle trafficking is essential for plant growth and development, yet its roles in crop root development remain poorly understood. Previously, we showed that mutation of the exocyst subunit encoded gene</w:t>
      </w:r>
      <w:r>
        <w:t xml:space="preserve"> </w:t>
      </w:r>
      <w:r>
        <w:t>OsEXO70L2</w:t>
      </w:r>
      <w:r>
        <w:t xml:space="preserve"> </w:t>
      </w:r>
      <w:r>
        <w:t>leads to reduced root length in the</w:t>
      </w:r>
      <w:r>
        <w:t xml:space="preserve"> </w:t>
      </w:r>
      <w:r>
        <w:t>short-root 1</w:t>
      </w:r>
      <w:r>
        <w:t xml:space="preserve"> </w:t>
      </w:r>
      <w:r>
        <w:t>(</w:t>
      </w:r>
      <w:r>
        <w:t xml:space="preserve"> </w:t>
      </w:r>
      <w:r>
        <w:t>sr1</w:t>
      </w:r>
      <w:r>
        <w:t xml:space="preserve"> </w:t>
      </w:r>
      <w:r>
        <w:t>) mutant, but the underlying mechanism was unclear. Here, we demonstrate that OsEXO70L2 interacts with another exocyst subunit, OsSEC3A. The</w:t>
      </w:r>
      <w:r>
        <w:t xml:space="preserve"> </w:t>
      </w:r>
      <w:r>
        <w:t>OsSEC3A</w:t>
      </w:r>
      <w:r>
        <w:t xml:space="preserve"> </w:t>
      </w:r>
      <w:r>
        <w:t>knockout mutant</w:t>
      </w:r>
      <w:r>
        <w:t xml:space="preserve"> </w:t>
      </w:r>
      <w:r>
        <w:t>sec3a-1</w:t>
      </w:r>
      <w:r>
        <w:t xml:space="preserve"> </w:t>
      </w:r>
      <w:r>
        <w:t>exhibits shortened roots, a reduced root apical meristem, and vesicle trafficking defects, with phenotypes weaker than those of</w:t>
      </w:r>
      <w:r>
        <w:t xml:space="preserve"> </w:t>
      </w:r>
      <w:r>
        <w:t>sr1</w:t>
      </w:r>
      <w:r>
        <w:t xml:space="preserve"> </w:t>
      </w:r>
      <w:r>
        <w:t>. The</w:t>
      </w:r>
      <w:r>
        <w:t xml:space="preserve"> </w:t>
      </w:r>
      <w:r>
        <w:t>sr1 sec3a-1</w:t>
      </w:r>
      <w:r>
        <w:t xml:space="preserve"> </w:t>
      </w:r>
      <w:r>
        <w:t>double mutant resembles</w:t>
      </w:r>
      <w:r>
        <w:t xml:space="preserve"> </w:t>
      </w:r>
      <w:r>
        <w:t>sr1</w:t>
      </w:r>
      <w:r>
        <w:t xml:space="preserve"> </w:t>
      </w:r>
      <w:r>
        <w:t>, indicating that OsEXO70L2 and OsSEC3A act in the same pathway. Both</w:t>
      </w:r>
      <w:r>
        <w:t xml:space="preserve"> </w:t>
      </w:r>
      <w:r>
        <w:t>sr1</w:t>
      </w:r>
      <w:r>
        <w:t xml:space="preserve"> </w:t>
      </w:r>
      <w:r>
        <w:t>and</w:t>
      </w:r>
      <w:r>
        <w:t xml:space="preserve"> </w:t>
      </w:r>
      <w:r>
        <w:t>sec3a-1</w:t>
      </w:r>
      <w:r>
        <w:t xml:space="preserve"> </w:t>
      </w:r>
      <w:r>
        <w:t>show reduced sensitivity to exogenous indole-3-acetic acid and the auxin transport inhibitor 1-naphthylphthalamic acid, accompanied by disrupted auxin distribution in the root tips. OsEXO70L2 and OsSEC3A regulate the plasma membrane abundance and localization of the auxin efflux carriers OsPIN1a/b. Consistently, the</w:t>
      </w:r>
      <w:r>
        <w:t xml:space="preserve"> </w:t>
      </w:r>
      <w:r>
        <w:t>ospin1a ospin1b</w:t>
      </w:r>
      <w:r>
        <w:t xml:space="preserve"> </w:t>
      </w:r>
      <w:r>
        <w:t>double mutant displays more severe short-root phenotypes and auxin distribution defects, confirming OsPIN1a/b as downstream targets. This study elucidates that OsEXO70L2 and OsSEC3A control root length by regulating vesicle trafficking-dependent OsPIN1a/b localization and auxin distribution in the root tips.</w:t>
      </w:r>
    </w:p>
    <w:p>
      <w:pPr>
        <w:spacing w:before="120" w:after="120"/>
      </w:pPr>
      <w:r>
        <w:rPr>
          <w:sz w:val="18"/>
        </w:rPr>
        <w:t>——————————————————————————————————————————————————————————————————————</w:t>
      </w:r>
    </w:p>
    <w:p>
      <w:pPr>
        <w:spacing w:before="160" w:after="40" w:line="240" w:lineRule="auto"/>
      </w:pPr>
      <w:r>
        <w:rPr>
          <w:b/>
        </w:rPr>
        <w:t xml:space="preserve">[210] </w:t>
      </w:r>
      <w:hyperlink r:id="rId647">
        <w:r>
          <w:rPr>
            <w:color w:val="1155CC"/>
            <w:u w:val="single"/>
          </w:rPr>
          <w:t>ERAD 通路介导胆固醇合成中两个控制点之间的串扰：HMG CoA 还原酶和角鲨烯单加氧酶</w:t>
        </w:r>
      </w:hyperlink>
    </w:p>
    <w:p>
      <w:pPr>
        <w:spacing w:before="0" w:after="80"/>
      </w:pPr>
      <w:r>
        <w:rPr>
          <w:i/>
          <w:sz w:val="20"/>
        </w:rPr>
        <w:t>EN: The ERAD pathway mediates cross talk between two control points in cholesterol synthesis: HMG CoA reductase and squalene monooxygenase</w:t>
      </w:r>
    </w:p>
    <w:p>
      <w:pPr>
        <w:spacing w:before="0" w:after="120"/>
      </w:pPr>
      <w:r>
        <w:rPr>
          <w:b/>
        </w:rPr>
        <w:t xml:space="preserve">Source: </w:t>
      </w:r>
      <w:r>
        <w:t>Proceedings of the National Academy of Sciences: Keyword search for query</w:t>
      </w:r>
      <w:r>
        <w:t xml:space="preserve">    </w:t>
      </w:r>
      <w:r>
        <w:rPr>
          <w:b/>
        </w:rPr>
        <w:t xml:space="preserve">Pub date: </w:t>
      </w:r>
      <w:r>
        <w:t>2026-06-16 07:00:00+00:00</w:t>
      </w:r>
      <w:r>
        <w:t xml:space="preserve">    </w:t>
      </w:r>
      <w:r>
        <w:rPr>
          <w:b/>
        </w:rPr>
        <w:t xml:space="preserve">DOI: </w:t>
      </w:r>
      <w:hyperlink r:id="rId648">
        <w:r>
          <w:rPr>
            <w:color w:val="1155CC"/>
            <w:u w:val="single"/>
          </w:rPr>
          <w:t>10.1073/pnas.2602559123</w:t>
        </w:r>
      </w:hyperlink>
    </w:p>
    <w:p>
      <w:pPr>
        <w:spacing w:before="0" w:after="120"/>
      </w:pPr>
      <w:r>
        <w:rPr>
          <w:b/>
        </w:rPr>
        <w:t xml:space="preserve">Notes: </w:t>
      </w:r>
      <w:r>
        <w:t>abstract_source=crossref</w:t>
      </w:r>
    </w:p>
    <w:p>
      <w:pPr>
        <w:spacing w:before="0" w:after="80" w:lineRule="auto" w:line="276"/>
      </w:pPr>
      <w:r>
        <w:rPr>
          <w:b/>
        </w:rPr>
        <w:t xml:space="preserve">摘要（ZH）: </w:t>
      </w:r>
      <w:r>
        <w:t>两种关键酶，HMG CoA 还原酶 (HMGCR) 和角鲨烯单加氧酶 (SM)，受到不同的内质网相关降解 (ERAD) 途径的影响，以维持胆固醇稳态。 HMGCR 催化 HMG CoA 转化为甲羟戊酸，这是胆固醇合成的第一个限速步骤。甾醇通过促进 HMGCR 与 Insig 蛋白的结合来加速 HMGCR 的 ERAD，Insig 蛋白招募 E3 泛素连接酶进行泛素化和降解。在下游，SM 催化角鲨烯的氧化，将中间体用于甾醇合成。胆固醇刺激 SM 的 ERAD，但通过 E3 连接酶 MARCH6 介导的 Insig 独立机制。在这里，我们报告了一种翻译后调节机制，涉及甾醇剥夺细胞中 HMGCR 和 SM 之间的稳定复合物。这两种酶以不依赖 Insig 的方式在 ER 膜内发生物理相互作用，这种相互作用可以保护两种蛋白质免受 ERAD 的影响。任何一种酶的丢失都会使另一种酶不稳定，这表明存在共稳定机制。这些发现揭示了胆固醇合成中的一层协调，表明 HMGCR 和 SM 作为一个整合的复合物发挥作用，以确保该途径的早期和晚期步骤的同步。</w:t>
      </w:r>
    </w:p>
    <w:p>
      <w:pPr>
        <w:spacing w:before="0" w:after="200" w:lineRule="auto" w:line="276"/>
      </w:pPr>
      <w:r>
        <w:rPr>
          <w:b/>
        </w:rPr>
        <w:t xml:space="preserve">Abstract (EN): </w:t>
      </w:r>
      <w:r>
        <w:t>Two key enzymes, HMG CoA reductase (HMGCR) and squalene monooxygenase (SM), are subjected to distinct endoplasmic reticulum–associated degradation (ERAD) pathways to maintain cholesterol homeostasis. HMGCR catalyzes conversion of HMG CoA to mevalonate, the first rate-limiting step in cholesterol synthesis. Sterols accelerate ERAD of HMGCR by promoting its binding to Insig proteins, which recruit E3 ubiquitin ligases for ubiquitination and degradation. Downstream, SM catalyzes oxygenation of squalene, committing intermediates to sterol synthesis. Cholesterol stimulates ERAD of SM, but through an Insig-independent mechanism mediated by the E3 ligase MARCH6. Here, we report a mechanism of posttranslational regulation involving a stable complex between HMGCR and SM in sterol-deprived cells. The two enzymes physically interact within ER membranes in an Insig-independent manner, and this interaction protects both proteins from ERAD. Loss of either enzyme destabilizes the other, indicating a costabilization mechanism. These findings uncover a layer of coordination in cholesterol synthesis, suggesting HMGCR and SM function as an integrated complex to ensure synchronization of early and late steps of the pathway.</w:t>
      </w:r>
    </w:p>
    <w:p>
      <w:pPr>
        <w:spacing w:before="120" w:after="120"/>
      </w:pPr>
      <w:r>
        <w:rPr>
          <w:sz w:val="18"/>
        </w:rPr>
        <w:t>——————————————————————————————————————————————————————————————————————</w:t>
      </w:r>
    </w:p>
    <w:p>
      <w:pPr>
        <w:spacing w:before="160" w:after="40" w:line="240" w:lineRule="auto"/>
      </w:pPr>
      <w:r>
        <w:rPr>
          <w:b/>
        </w:rPr>
        <w:t xml:space="preserve">[211] </w:t>
      </w:r>
      <w:hyperlink r:id="rId649">
        <w:r>
          <w:rPr>
            <w:color w:val="1155CC"/>
            <w:u w:val="single"/>
          </w:rPr>
          <w:t>MyoD1 水平升高扩大了全基因组结合和调控基因库</w:t>
        </w:r>
      </w:hyperlink>
    </w:p>
    <w:p>
      <w:pPr>
        <w:spacing w:before="0" w:after="80"/>
      </w:pPr>
      <w:r>
        <w:rPr>
          <w:i/>
          <w:sz w:val="20"/>
        </w:rPr>
        <w:t>EN: Elevated MyoD1 levels expand genome-wide binding and the repertoire of regulated genes</w:t>
      </w:r>
    </w:p>
    <w:p>
      <w:pPr>
        <w:spacing w:before="0" w:after="120"/>
      </w:pPr>
      <w:r>
        <w:rPr>
          <w:b/>
        </w:rPr>
        <w:t xml:space="preserve">Source: </w:t>
      </w:r>
      <w:r>
        <w:t>Proceedings of the National Academy of Sciences: Keyword search for query</w:t>
      </w:r>
      <w:r>
        <w:t xml:space="preserve">    </w:t>
      </w:r>
      <w:r>
        <w:rPr>
          <w:b/>
        </w:rPr>
        <w:t xml:space="preserve">Pub date: </w:t>
      </w:r>
      <w:r>
        <w:t>2026-06-16 07:00:00+00:00</w:t>
      </w:r>
      <w:r>
        <w:t xml:space="preserve">    </w:t>
      </w:r>
      <w:r>
        <w:rPr>
          <w:b/>
        </w:rPr>
        <w:t xml:space="preserve">DOI: </w:t>
      </w:r>
      <w:hyperlink r:id="rId650">
        <w:r>
          <w:rPr>
            <w:color w:val="1155CC"/>
            <w:u w:val="single"/>
          </w:rPr>
          <w:t>10.1073/pnas.2605749123</w:t>
        </w:r>
      </w:hyperlink>
    </w:p>
    <w:p>
      <w:pPr>
        <w:spacing w:before="0" w:after="120"/>
      </w:pPr>
      <w:r>
        <w:rPr>
          <w:b/>
        </w:rPr>
        <w:t xml:space="preserve">Notes: </w:t>
      </w:r>
      <w:r>
        <w:t>abstract_source=crossref</w:t>
      </w:r>
    </w:p>
    <w:p>
      <w:pPr>
        <w:spacing w:before="0" w:after="80" w:lineRule="auto" w:line="276"/>
      </w:pPr>
      <w:r>
        <w:rPr>
          <w:b/>
        </w:rPr>
        <w:t xml:space="preserve">摘要（ZH）: </w:t>
      </w:r>
      <w:r>
        <w:t>转录因子 (TF) 上调伴随着许多细胞状态转变，但 TF 丰度增加如何影响基因调控仍不清楚。通常会调用两种广泛的模型，即较高的 TF 水平会放大预先存在的靶基因的表达，或者通过大规模作用结合，将基因组参与和调节扩展到亲和力较低的位点。我们试图阐明这两种调节模式如何通过上调 C2C12 成肌细胞中肌源性 TF MyoD1 的表达来促进已明确表征的肌源性系统中的细胞分化。出乎意料的是，MyoD1 水平升高会损害成肌细胞融合（肌源性分化的标志），但却使已形成的肌管发生强烈收缩。活细胞单分子成像以及 CUT 和 RUN 分析表明，MyoD1 剂量升高会增加全基因组染色质结合，并通过优先接合低亲和力位点来扩大基因组占有率。将 CUT 和 RUN 与 RNA 测序 (RNA-seq) 实验相结合，将 MyoD1 结合的扩展与细胞粘附基因的上调联系起来。细胞混合和分级RNA-seq实验支持两个群体模型，其中粘附基因上调的、未融合的成肌细胞群体支持由具有融合能力的细胞形成的肌管的收缩。几个单独的 MyoD1 上调细胞粘附基因的异位表达足以重现“不符合剧本”的肌管收缩表型。总之，这些结果支持 MyoD1 剂量依赖性“溢出”模型，其中 TF 丰度增加扩大了顺式调控参与范围</w:t>
      </w:r>
    </w:p>
    <w:p>
      <w:pPr>
        <w:spacing w:before="0" w:after="200" w:lineRule="auto" w:line="276"/>
      </w:pPr>
      <w:r>
        <w:rPr>
          <w:b/>
        </w:rPr>
        <w:t xml:space="preserve">Abstract (EN): </w:t>
      </w:r>
      <w:r>
        <w:t>Transcription factor (TF) upregulation accompanies many cellular state transitions, yet how increased TF abundance impacts gene regulation remains unclear. Two broad models are often invoked, whereby higher TF levels amplify the expression of preexisting target genes, or, by mass-action binding, expand genome engagement and regulation to lower-affinity sites. We sought to elucidate how these two regulatory modes contribute to cell differentiation in a well-characterized myogenic system by upregulating the expression of the myogenic TF MyoD1 in C2C12 myoblasts. Unexpectedly, elevated MyoD1 levels impaired myoblast fusion (a hallmark of myogenic differentiation), yet enabled robust contraction in myotubes that did form. Live-cell single-molecule imaging and CUT and RUN profiling revealed that elevated MyoD1 dosage increased total genome-wide chromatin binding and broadened genome occupancy by preferentially engaging lower-affinity sites. Integrating CUT and RUN with RNA sequencing (RNA-seq) experiments linked expanded MyoD1 binding to upregulation of cell adhesion genes. Cell mixing and fractionated RNA-seq experiments supported a two-population model in which an adhesion-gene-upregulated, unfused myoblast population supported contraction of myotubes formed by fusion-competent cells. Ectopic expression of several individual MyoD1-upregulated cell adhesion genes was sufficient to recapitulate the “off script” myotube contraction phenotype. Together, these results support a MyoD1 dose-dependent “spillover” model, in which increased TF abundance broadens cis-regulatory engagement and produces distinct cell differentiation outcomes.</w:t>
      </w:r>
    </w:p>
    <w:p>
      <w:pPr>
        <w:spacing w:before="120" w:after="120"/>
      </w:pPr>
      <w:r>
        <w:rPr>
          <w:sz w:val="18"/>
        </w:rPr>
        <w:t>——————————————————————————————————————————————————————————————————————</w:t>
      </w:r>
    </w:p>
    <w:p>
      <w:pPr>
        <w:spacing w:before="160" w:after="40" w:line="240" w:lineRule="auto"/>
      </w:pPr>
      <w:r>
        <w:rPr>
          <w:b/>
        </w:rPr>
        <w:t xml:space="preserve">[212] </w:t>
      </w:r>
      <w:hyperlink r:id="rId651">
        <w:r>
          <w:rPr>
            <w:color w:val="1155CC"/>
            <w:u w:val="single"/>
          </w:rPr>
          <w:t>DMD-Null 小鼠表现出严重的肌肉无力、再生受损和卫星细胞功能缺陷</w:t>
        </w:r>
      </w:hyperlink>
    </w:p>
    <w:p>
      <w:pPr>
        <w:spacing w:before="0" w:after="80"/>
      </w:pPr>
      <w:r>
        <w:rPr>
          <w:i/>
          <w:sz w:val="20"/>
        </w:rPr>
        <w:t>EN: DMD-Null mice exhibit severe muscle weakness, impaired regeneration, and deficient satellite cell function</w:t>
      </w:r>
    </w:p>
    <w:p>
      <w:pPr>
        <w:spacing w:before="0" w:after="120"/>
      </w:pPr>
      <w:r>
        <w:rPr>
          <w:b/>
        </w:rPr>
        <w:t xml:space="preserve">Source: </w:t>
      </w:r>
      <w:r>
        <w:t>Proceedings of the National Academy of Sciences: Keyword search for query</w:t>
      </w:r>
      <w:r>
        <w:t xml:space="preserve">    </w:t>
      </w:r>
      <w:r>
        <w:rPr>
          <w:b/>
        </w:rPr>
        <w:t xml:space="preserve">Pub date: </w:t>
      </w:r>
      <w:r>
        <w:t>2026-06-16 07:00:00+00:00</w:t>
      </w:r>
      <w:r>
        <w:t xml:space="preserve">    </w:t>
      </w:r>
      <w:r>
        <w:rPr>
          <w:b/>
        </w:rPr>
        <w:t xml:space="preserve">DOI: </w:t>
      </w:r>
      <w:hyperlink r:id="rId652">
        <w:r>
          <w:rPr>
            <w:color w:val="1155CC"/>
            <w:u w:val="single"/>
          </w:rPr>
          <w:t>10.1073/pnas.2606703123</w:t>
        </w:r>
      </w:hyperlink>
    </w:p>
    <w:p>
      <w:pPr>
        <w:spacing w:before="0" w:after="120"/>
      </w:pPr>
      <w:r>
        <w:rPr>
          <w:b/>
        </w:rPr>
        <w:t xml:space="preserve">Notes: </w:t>
      </w:r>
      <w:r>
        <w:t>abstract_source=crossref</w:t>
      </w:r>
    </w:p>
    <w:p>
      <w:pPr>
        <w:spacing w:before="0" w:after="80" w:lineRule="auto" w:line="276"/>
      </w:pPr>
      <w:r>
        <w:rPr>
          <w:b/>
        </w:rPr>
        <w:t xml:space="preserve">摘要（ZH）: </w:t>
      </w:r>
      <w:r>
        <w:t>杜氏肌营养不良症 (DMD) 是一种使人衰弱且致命的 X 连锁疾病，影响全球 1/5,000 名男性，目前无法治愈 [D. Duan，N. Goemans，S. Takeda，E. Mercuri，A. Aartsma-Rus，</w:t>
      </w:r>
      <w:r>
        <w:t xml:space="preserve"> </w:t>
      </w:r>
      <w:r>
        <w:t>纳特。牧师迪斯。引物</w:t>
      </w:r>
      <w:r>
        <w:rPr>
          <w:vertAlign w:val="subscript"/>
        </w:rPr>
        <w:t>7</w:t>
      </w:r>
      <w:r>
        <w:t>，1–19（2021），10.1038/s41572-021-00248-3]。人们对 DMD 进行了大量的研究，其中最常见的 DMD 研究动物模型之一是小鼠肌营养不良症 (DMD)。</w:t>
      </w:r>
      <w:r>
        <w:t xml:space="preserve"> </w:t>
      </w:r>
      <w:r>
        <w:t>米德克斯</w:t>
      </w:r>
      <w:r>
        <w:t xml:space="preserve"> </w:t>
      </w:r>
      <w:r>
        <w:t>）模型[J。 W. McGreevy、C. H. Hakim、M. A. McIntosh、D. Duan、</w:t>
      </w:r>
      <w:r>
        <w:t xml:space="preserve"> </w:t>
      </w:r>
      <w:r>
        <w:t>数字万用表Dis.模型。机甲。</w:t>
      </w:r>
      <w:r>
        <w:rPr>
          <w:vertAlign w:val="subscript"/>
        </w:rPr>
        <w:t>8</w:t>
      </w:r>
      <w:r>
        <w:t>，195–213（2015），10.1242/DMM.018424/-/DC1]。不幸的是，尽管有共同的遗传病因，</w:t>
      </w:r>
      <w:r>
        <w:t xml:space="preserve"> </w:t>
      </w:r>
      <w:r>
        <w:t>米德克斯</w:t>
      </w:r>
      <w:r>
        <w:t xml:space="preserve"> </w:t>
      </w:r>
      <w:r>
        <w:t>与受影响的人类相比，小鼠表现出相对轻微的营养不良表型，限制了其作为研究模型的整体实用性（G. Donen、N. Milad、P. Bernatchez、</w:t>
      </w:r>
      <w:r>
        <w:t xml:space="preserve"> </w:t>
      </w:r>
      <w:r>
        <w:t>J.神经肌肉。迪斯。</w:t>
      </w:r>
      <w:r>
        <w:rPr>
          <w:vertAlign w:val="subscript"/>
        </w:rPr>
        <w:t>10</w:t>
      </w:r>
      <w:r>
        <w:t>，1003（2023），10.3233/JND-230126]。值得注意的是，</w:t>
      </w:r>
      <w:r>
        <w:t xml:space="preserve"> </w:t>
      </w:r>
      <w:r>
        <w:t>米德克斯</w:t>
      </w:r>
      <w:r>
        <w:t xml:space="preserve"> </w:t>
      </w:r>
      <w:r>
        <w:t>小鼠具有阻止产生全长肌营养不良蛋白的突变，但仍然能够产生大量短亚型肌营养不良蛋白。在这里，我们提供了 DMD-Null 小鼠的全面功能表征，该小鼠缺乏所有肌营养不良蛋白亚型。我们的研究表明 DMD-Null 小鼠表现出比 DMD-Null 小鼠更严重的骨骼肌表型</w:t>
      </w:r>
      <w:r>
        <w:t xml:space="preserve"> </w:t>
      </w:r>
      <w:r>
        <w:t>米德克斯</w:t>
      </w:r>
      <w:r>
        <w:t xml:space="preserve"> </w:t>
      </w:r>
      <w:r>
        <w:t>小鼠的特征是严重虚弱、运动量减少</w:t>
      </w:r>
    </w:p>
    <w:p>
      <w:pPr>
        <w:spacing w:before="0" w:after="200" w:lineRule="auto" w:line="276"/>
      </w:pPr>
      <w:r>
        <w:rPr>
          <w:b/>
        </w:rPr>
        <w:t xml:space="preserve">Abstract (EN): </w:t>
      </w:r>
      <w:r>
        <w:t>Duchenne muscular dystrophy (DMD) is a debilitating and fatal X-linked disease affecting 1/5,000 males worldwide that currently has no cure [D. Duan, N. Goemans, S. Takeda, E. Mercuri, A. Aartsma-Rus,</w:t>
      </w:r>
      <w:r>
        <w:t xml:space="preserve"> </w:t>
      </w:r>
      <w:r>
        <w:t>Nat. Rev. Dis. Primers</w:t>
      </w:r>
      <w:r>
        <w:rPr>
          <w:vertAlign w:val="subscript"/>
        </w:rPr>
        <w:t>7</w:t>
      </w:r>
      <w:r>
        <w:t>, 1–19 (2021), 10.1038/s41572-021-00248-3]. Vast amounts of research have been conducted on DMD, and one of the most common animal models for DMD studies is the mouse muscular dystrophy (</w:t>
      </w:r>
      <w:r>
        <w:t xml:space="preserve"> </w:t>
      </w:r>
      <w:r>
        <w:t>mdx</w:t>
      </w:r>
      <w:r>
        <w:t xml:space="preserve"> </w:t>
      </w:r>
      <w:r>
        <w:t>) model [J. W. McGreevy, C. H. Hakim, M. A. McIntosh, D. Duan,</w:t>
      </w:r>
      <w:r>
        <w:t xml:space="preserve"> </w:t>
      </w:r>
      <w:r>
        <w:t>DMM Dis. Model. Mech.</w:t>
      </w:r>
      <w:r>
        <w:rPr>
          <w:vertAlign w:val="subscript"/>
        </w:rPr>
        <w:t>8</w:t>
      </w:r>
      <w:r>
        <w:t>, 195–213 (2015), 10.1242/DMM.018424/-/DC1]. Unfortunately, despite its shared genetic etiology, the</w:t>
      </w:r>
      <w:r>
        <w:t xml:space="preserve"> </w:t>
      </w:r>
      <w:r>
        <w:t>mdx</w:t>
      </w:r>
      <w:r>
        <w:t xml:space="preserve"> </w:t>
      </w:r>
      <w:r>
        <w:t>mouse shows a relatively mild dystrophic phenotype compared to affected humans, limiting its overall utility as a research model (G. Donen, N. Milad, P. Bernatchez,</w:t>
      </w:r>
      <w:r>
        <w:t xml:space="preserve"> </w:t>
      </w:r>
      <w:r>
        <w:t>J. Neuromuscul. Dis.</w:t>
      </w:r>
      <w:r>
        <w:rPr>
          <w:vertAlign w:val="subscript"/>
        </w:rPr>
        <w:t>10</w:t>
      </w:r>
      <w:r>
        <w:t>, 1003 (2023), 10.3233/JND-230126]. Notably,</w:t>
      </w:r>
      <w:r>
        <w:t xml:space="preserve"> </w:t>
      </w:r>
      <w:r>
        <w:t>mdx</w:t>
      </w:r>
      <w:r>
        <w:t xml:space="preserve"> </w:t>
      </w:r>
      <w:r>
        <w:t>mice have a mutation preventing the production of full-length dystrophin but are still able to produce numerous short isoforms of dystrophin. Here, we provide a comprehensive functional characterization of DMD-Null mice, which lack all dystrophin isoforms. Our studies demonstrate that DMD-Null mice show a more severe skeletal muscle phenotype than</w:t>
      </w:r>
      <w:r>
        <w:t xml:space="preserve"> </w:t>
      </w:r>
      <w:r>
        <w:t>mdx</w:t>
      </w:r>
      <w:r>
        <w:t xml:space="preserve"> </w:t>
      </w:r>
      <w:r>
        <w:t>mice, characterized by profound weakness, decreased exercise tolerance, and impaired muscle regeneration, while utrophin upregulation was similarly observed in DMD-Null and</w:t>
      </w:r>
      <w:r>
        <w:t xml:space="preserve"> </w:t>
      </w:r>
      <w:r>
        <w:t>mdx</w:t>
      </w:r>
      <w:r>
        <w:t xml:space="preserve"> </w:t>
      </w:r>
      <w:r>
        <w:t>mice. We identify a marked deficit in satellite cell proliferation and myogenic differentiation, accompanied by downregulation of regenerative gene programs. These findings suggest potential contributions of short dystrophin isoforms to muscle stem cell function, and establish DMD-Null mice as a unique model for investigating the pathogenesis of DMD and testing therapeutic interventions targeting satellite cell health and regeneration.</w:t>
      </w:r>
    </w:p>
    <w:p>
      <w:pPr>
        <w:spacing w:before="120" w:after="120"/>
      </w:pPr>
      <w:r>
        <w:rPr>
          <w:sz w:val="18"/>
        </w:rPr>
        <w:t>——————————————————————————————————————————————————————————————————————</w:t>
      </w:r>
    </w:p>
    <w:p>
      <w:pPr>
        <w:spacing w:before="160" w:after="40" w:line="240" w:lineRule="auto"/>
      </w:pPr>
      <w:r>
        <w:rPr>
          <w:b/>
        </w:rPr>
        <w:t xml:space="preserve">[213] </w:t>
      </w:r>
      <w:hyperlink r:id="rId653">
        <w:r>
          <w:rPr>
            <w:color w:val="1155CC"/>
            <w:u w:val="single"/>
          </w:rPr>
          <w:t>一个简短的提示会在涡虫中留下一天的内部状态印记</w:t>
        </w:r>
      </w:hyperlink>
    </w:p>
    <w:p>
      <w:pPr>
        <w:spacing w:before="0" w:after="80"/>
      </w:pPr>
      <w:r>
        <w:rPr>
          <w:i/>
          <w:sz w:val="20"/>
        </w:rPr>
        <w:t>EN: A single brief cue leaves a day-long internal state imprint in planarians</w:t>
      </w:r>
    </w:p>
    <w:p>
      <w:pPr>
        <w:spacing w:before="0" w:after="120"/>
      </w:pPr>
      <w:r>
        <w:rPr>
          <w:b/>
        </w:rPr>
        <w:t xml:space="preserve">Source: </w:t>
      </w:r>
      <w:r>
        <w:t>Proceedings of the National Academy of Sciences: Keyword search for query</w:t>
      </w:r>
      <w:r>
        <w:t xml:space="preserve">    </w:t>
      </w:r>
      <w:r>
        <w:rPr>
          <w:b/>
        </w:rPr>
        <w:t xml:space="preserve">Pub date: </w:t>
      </w:r>
      <w:r>
        <w:t>2026-06-16 07:00:00+00:00</w:t>
      </w:r>
      <w:r>
        <w:t xml:space="preserve">    </w:t>
      </w:r>
      <w:r>
        <w:rPr>
          <w:b/>
        </w:rPr>
        <w:t xml:space="preserve">DOI: </w:t>
      </w:r>
      <w:hyperlink r:id="rId654">
        <w:r>
          <w:rPr>
            <w:color w:val="1155CC"/>
            <w:u w:val="single"/>
          </w:rPr>
          <w:t>10.1073/pnas.2606749123</w:t>
        </w:r>
      </w:hyperlink>
    </w:p>
    <w:p>
      <w:pPr>
        <w:spacing w:before="0" w:after="120"/>
      </w:pPr>
      <w:r>
        <w:rPr>
          <w:b/>
        </w:rPr>
        <w:t xml:space="preserve">Notes: </w:t>
      </w:r>
      <w:r>
        <w:t>abstract_source=crossref</w:t>
      </w:r>
    </w:p>
    <w:p>
      <w:pPr>
        <w:spacing w:before="0" w:after="80" w:lineRule="auto" w:line="276"/>
      </w:pPr>
      <w:r>
        <w:rPr>
          <w:b/>
        </w:rPr>
        <w:t xml:space="preserve">摘要（ZH）: </w:t>
      </w:r>
      <w:r>
        <w:t>行为决策是由环境刺激引起的，但它们受到内部状态的严格调节。持续的状态依赖性偏差通常归因于累积的感觉历史、高强度刺激或持续的环境条件。然而，生物体也会遇到孤立的、无害的扰动，其长期影响仍知之甚少。在这里，我们表明，单个简短的机械提示会引起涡虫自发运动活动的变化</w:t>
      </w:r>
      <w:r>
        <w:t xml:space="preserve"> </w:t>
      </w:r>
      <w:r>
        <w:t>日本龙舌兰</w:t>
      </w:r>
      <w:r>
        <w:t xml:space="preserve"> </w:t>
      </w:r>
      <w:r>
        <w:t>持续一天的时间范围。这一提示特别缩短了休息回合，而不改变回合内的运动运动学，表明休息后的过渡概率发生了有针对性的转变，而不是运动活动的普遍上调。此外，随着这种日尺度效应的减弱，潜在的超电活动交替持续存在。我们的结果表明，提示后行为组织采用两种时间尺度结构，将日尺度持久性与多小时模式相结合。这种双层架构为理解单一环境遭遇如何在没有进一步感官输入的情况下重新编程长期行为模式提供了经验基础，从而扩展了紧凑神经系统的时间范围。</w:t>
      </w:r>
    </w:p>
    <w:p>
      <w:pPr>
        <w:spacing w:before="0" w:after="200" w:lineRule="auto" w:line="276"/>
      </w:pPr>
      <w:r>
        <w:rPr>
          <w:b/>
        </w:rPr>
        <w:t xml:space="preserve">Abstract (EN): </w:t>
      </w:r>
      <w:r>
        <w:t>Behavioral decisions are elicited by environmental stimuli, but they are critically modulated by internal states. Persistent state-dependent biases are typically attributed to accumulated sensory history, high-intensity stimulation, or sustained environmental conditions. However, organisms also encounter isolated, innocuous perturbations whose long-term impacts remain poorly understood. Here, we show that a single brief mechanical cue induces changes in spontaneous locomotor activity in the planarian</w:t>
      </w:r>
      <w:r>
        <w:t xml:space="preserve"> </w:t>
      </w:r>
      <w:r>
        <w:t>Dugesia japonica</w:t>
      </w:r>
      <w:r>
        <w:t xml:space="preserve"> </w:t>
      </w:r>
      <w:r>
        <w:t>that persist over a day-long timescale. This cue specifically shortened rest bouts without altering within-bout movement kinematics, indicating a targeted shift in the transition probability out of rest rather than a general upregulation of motor activity. Furthermore, as this day-scale effect decayed, an underlying ultradian alternation in activity persisted. Our results demonstrate that postcue behavioral organization adopts a two-timescale structure, combining day-scale persistence with multihour patterning. This dual-layer architecture provides an empirical basis for understanding how a single environmental encounter can reprogram long-term behavioral patterns without further sensory input, extending the temporal reach of even compact nervous systems.</w:t>
      </w:r>
    </w:p>
    <w:p>
      <w:pPr>
        <w:spacing w:before="120" w:after="120"/>
      </w:pPr>
      <w:r>
        <w:rPr>
          <w:sz w:val="18"/>
        </w:rPr>
        <w:t>——————————————————————————————————————————————————————————————————————</w:t>
      </w:r>
    </w:p>
    <w:p>
      <w:pPr>
        <w:spacing w:before="160" w:after="40" w:line="240" w:lineRule="auto"/>
      </w:pPr>
      <w:r>
        <w:rPr>
          <w:b/>
        </w:rPr>
        <w:t xml:space="preserve">[214] </w:t>
      </w:r>
      <w:hyperlink r:id="rId655">
        <w:r>
          <w:rPr>
            <w:color w:val="1155CC"/>
            <w:u w:val="single"/>
          </w:rPr>
          <w:t>转录活性降低和剪接变化驱动衰老转录组中基因长度偏向的重新布线</w:t>
        </w:r>
      </w:hyperlink>
    </w:p>
    <w:p>
      <w:pPr>
        <w:spacing w:before="0" w:after="80"/>
      </w:pPr>
      <w:r>
        <w:rPr>
          <w:i/>
          <w:sz w:val="20"/>
        </w:rPr>
        <w:t>EN: Diminished transcriptional activity and splicing changes drive gene length–biased rewiring in the aging transcriptome</w:t>
      </w:r>
    </w:p>
    <w:p>
      <w:pPr>
        <w:spacing w:before="0" w:after="120"/>
      </w:pPr>
      <w:r>
        <w:rPr>
          <w:b/>
        </w:rPr>
        <w:t xml:space="preserve">Source: </w:t>
      </w:r>
      <w:r>
        <w:t>Proceedings of the National Academy of Sciences: Keyword search for query</w:t>
      </w:r>
      <w:r>
        <w:t xml:space="preserve">    </w:t>
      </w:r>
      <w:r>
        <w:rPr>
          <w:b/>
        </w:rPr>
        <w:t xml:space="preserve">Pub date: </w:t>
      </w:r>
      <w:r>
        <w:t>2026-06-16 07:00:00+00:00</w:t>
      </w:r>
      <w:r>
        <w:t xml:space="preserve">    </w:t>
      </w:r>
      <w:r>
        <w:rPr>
          <w:b/>
        </w:rPr>
        <w:t xml:space="preserve">DOI: </w:t>
      </w:r>
      <w:hyperlink r:id="rId656">
        <w:r>
          <w:rPr>
            <w:color w:val="1155CC"/>
            <w:u w:val="single"/>
          </w:rPr>
          <w:t>10.1073/pnas.2607264123</w:t>
        </w:r>
      </w:hyperlink>
    </w:p>
    <w:p>
      <w:pPr>
        <w:spacing w:before="0" w:after="120"/>
      </w:pPr>
      <w:r>
        <w:rPr>
          <w:b/>
        </w:rPr>
        <w:t xml:space="preserve">Notes: </w:t>
      </w:r>
      <w:r>
        <w:t>abstract_source=crossref</w:t>
      </w:r>
    </w:p>
    <w:p>
      <w:pPr>
        <w:spacing w:before="0" w:after="80" w:lineRule="auto" w:line="276"/>
      </w:pPr>
      <w:r>
        <w:rPr>
          <w:b/>
        </w:rPr>
        <w:t xml:space="preserve">摘要（ZH）: </w:t>
      </w:r>
      <w:r>
        <w:t>人们越来越认识到，RNA 聚合酶 II (RNAPII) 的转录对于蛋白质编码基因表达和细胞功能至关重要，但它会随着衰老而失调。在这里，我们使用多模式方法来全面表征小鼠和人体组织中 RNAPII 介导的转录的年龄依赖性变化。用于分析新生转录的短读长总 RNA 测序 (RNA-seq) 揭示了衰老组织中总体转录活性/频率的整体降低，而延伸率没有明显变化。转录组分析揭示了衰老组织中短基因优先表达的转变，衰老小鼠大脑中短应激反应基因显着上调，长神经发育基因下调。通过分析人体组织的总 RNA-seq 数据概括了这些结果。利用长读长RNA-seq，我们确定老年小鼠大脑中异常的单外显子和内含子保留剪接亚型的表现有所增加。最后，我们描述了 RNAPII 转录机制的组成，发现老年小鼠肝脏和大脑的染色质中 RNAPII 和介体复合物之间的相互作用减少。总的来说，这些分析为未来的衰老研究提供了见解，并揭示了抗衰老药物开发的潜在转录控制目标。</w:t>
      </w:r>
    </w:p>
    <w:p>
      <w:pPr>
        <w:spacing w:before="0" w:after="200" w:lineRule="auto" w:line="276"/>
      </w:pPr>
      <w:r>
        <w:rPr>
          <w:b/>
        </w:rPr>
        <w:t xml:space="preserve">Abstract (EN): </w:t>
      </w:r>
      <w:r>
        <w:t>Transcription by RNA polymerase II (RNAPII), which is essential for protein-coding gene expression and cellular function, is increasingly understood to become dysregulated with aging. Here, we use a multimodal approach to comprehensively characterize age-dependent changes in RNAPII-mediated transcription in both mouse and human tissues. Short-read total RNA sequencing (RNA-seq) to profile nascent transcription reveals a global reduction in overall transcriptional activity/frequency in aged tissues, without apparent change in elongation rates. Transcriptomic analysis reveals a shift toward preferential expression of short genes in aged tissues, with notable upregulation of short stress-response genes and downregulation of long neurodevelopmental genes in the aged mouse brain. These results are recapitulated by analysis of total RNA-seq data from human tissues. Leveraging long-read RNA-seq, we determine that the representation of aberrant mono-exonic and intron-retention splice isoforms is increased in the aged mouse brain. Finally, we characterize the composition of RNAPII transcriptional machinery, finding that interactions between RNAPII and the Mediator complex are decreased in the chromatin of aged mouse liver and brain. Collectively, these analyses provide insight for future aging studies and reveal potential transcriptional control targets for anti-aging drug development.</w:t>
      </w:r>
    </w:p>
    <w:p>
      <w:pPr>
        <w:spacing w:before="120" w:after="120"/>
      </w:pPr>
      <w:r>
        <w:rPr>
          <w:sz w:val="18"/>
        </w:rPr>
        <w:t>——————————————————————————————————————————————————————————————————————</w:t>
      </w:r>
    </w:p>
    <w:p>
      <w:pPr>
        <w:spacing w:before="160" w:after="40" w:line="240" w:lineRule="auto"/>
      </w:pPr>
      <w:r>
        <w:rPr>
          <w:b/>
        </w:rPr>
        <w:t xml:space="preserve">[215] </w:t>
      </w:r>
      <w:hyperlink r:id="rId657">
        <w:r>
          <w:rPr>
            <w:color w:val="1155CC"/>
            <w:u w:val="single"/>
          </w:rPr>
          <w:t>上皮细胞激发电压尖峰</w:t>
        </w:r>
      </w:hyperlink>
    </w:p>
    <w:p>
      <w:pPr>
        <w:spacing w:before="0" w:after="80"/>
      </w:pPr>
      <w:r>
        <w:rPr>
          <w:i/>
          <w:sz w:val="20"/>
        </w:rPr>
        <w:t>EN: Epithelial cells fire voltage spikes</w:t>
      </w:r>
    </w:p>
    <w:p>
      <w:pPr>
        <w:spacing w:before="0" w:after="120"/>
      </w:pPr>
      <w:r>
        <w:rPr>
          <w:b/>
        </w:rPr>
        <w:t xml:space="preserve">Source: </w:t>
      </w:r>
      <w:r>
        <w:t>Proceedings of the National Academy of Sciences: Keyword search for query</w:t>
      </w:r>
      <w:r>
        <w:t xml:space="preserve">    </w:t>
      </w:r>
      <w:r>
        <w:rPr>
          <w:b/>
        </w:rPr>
        <w:t xml:space="preserve">Pub date: </w:t>
      </w:r>
      <w:r>
        <w:t>2026-06-16 07:00:00+00:00</w:t>
      </w:r>
      <w:r>
        <w:t xml:space="preserve">    </w:t>
      </w:r>
      <w:r>
        <w:rPr>
          <w:b/>
        </w:rPr>
        <w:t xml:space="preserve">DOI: </w:t>
      </w:r>
      <w:hyperlink r:id="rId658">
        <w:r>
          <w:rPr>
            <w:color w:val="1155CC"/>
            <w:u w:val="single"/>
          </w:rPr>
          <w:t>10.1073/pnas.2601750123</w:t>
        </w:r>
      </w:hyperlink>
    </w:p>
    <w:p>
      <w:pPr>
        <w:spacing w:before="0" w:after="120"/>
      </w:pPr>
      <w:r>
        <w:rPr>
          <w:b/>
        </w:rPr>
        <w:t xml:space="preserve">Notes: </w:t>
      </w:r>
      <w:r>
        <w:t>abstract_source=crossref</w:t>
      </w:r>
    </w:p>
    <w:p>
      <w:pPr>
        <w:spacing w:before="0" w:after="80" w:lineRule="auto" w:line="276"/>
      </w:pPr>
      <w:r>
        <w:rPr>
          <w:b/>
        </w:rPr>
        <w:t xml:space="preserve">摘要（ZH）: </w:t>
      </w:r>
      <w:r>
        <w:t>生物电信号在神经元和心肌细胞中得到了很好的表征，但在上皮细胞中仍然很大程度上未被探索。使用多电极阵列，我们证明对上皮单层（原代人角质形成细胞和 MDCK 细胞）的局部激光损伤会在损伤后 60 分钟内触发每分钟 4 至 12 次的电压峰值。这些尖峰表现出持续 1 至 2 秒的去极化、复极化和超极化阶段，时间尺度比神经元动作电位慢三个数量级。在距损伤部位（测量的最大距离）740 μm 处检测到的尖峰振幅和频率与 140 μm 处的峰值振幅和频率相当，并且表现出非单调的空间分布，反对伤口的简单径向传播。与乙二胺四乙酸的钙螯合完全消除了尖峰，并且用肌球蛋白 II 与肌球蛋白 II 的抑制产生了同等的抑制作用，表明钙流入和肌动球蛋白收缩性都是必需的。机械敏感通道修饰剂 GsMTx4 部分抑制尖峰，暗示拉伸激活离子通道的作用。最引人注目的是，即使在没有损伤的情况下，机械敏感通道 TRPV4 和 Piezo1 的药理学激活也会产生高振幅尖峰（1 至 10 mV），这表明机械敏感通道激活足以驱动上皮电兴奋性。这些发现表明，长期以来被认为缺乏动作电位样动力学的上皮细胞具有由机械应力控制的内在生物电兴奋性，挑战了传统的生物电兴奋性。</w:t>
      </w:r>
    </w:p>
    <w:p>
      <w:pPr>
        <w:spacing w:before="0" w:after="200" w:lineRule="auto" w:line="276"/>
      </w:pPr>
      <w:r>
        <w:rPr>
          <w:b/>
        </w:rPr>
        <w:t xml:space="preserve">Abstract (EN): </w:t>
      </w:r>
      <w:r>
        <w:t>Bioelectric signaling is well characterized in neurons and cardiomyocytes but remains largely unexplored in epithelia. Using multielectrode arrays, we demonstrate that localized laser injury to epithelial monolayers (primary human keratinocytes and MDCK cells) triggers voltage spikes in the range of 4 to 12 per min for over 60 min postinjury. These spikes exhibit depolarization, repolarization, and hyperpolarization phases lasting 1 to 2 s, a timescale three orders of magnitude slower than neuronal action potentials. Spike amplitudes and frequencies detected at 740 μm from the injury site (the maximum distance measured) are comparable to those at 140 μm and exhibit a nonmonotonic spatial profile, arguing against simple radial propagation from the wound. Calcium chelation with ethylenediaminetetraacetic acid abolishes spiking entirely, and inhibition of myosin II with blebbistatin produces equivalent suppression, indicating that calcium influx and actomyosin contractility are both required. The mechanosensitive channel modifier GsMTx4 partially suppresses spiking, implicating the role of stretch-activated ion channels. Most strikingly, pharmacological activation of the mechanosensitive channel TRPV4 and Piezo1 generates high-amplitude spikes (1 to 10 mV) even in the absence of injury, demonstrating that mechanosensitive channel activation is sufficient to drive epithelial electrical excitability. These findings reveal that epithelia, long thought to lack action-potential-like dynamics, possess intrinsic bioelectric excitability gated by mechanical stress, challenging the classical distinction that electrical signaling is exclusive to specialized tissues like neurons and muscles and suggesting a signaling modality for coordinating collective cellular responses across tissue-scale distances.</w:t>
      </w:r>
    </w:p>
    <w:p>
      <w:pPr>
        <w:spacing w:before="120" w:after="120"/>
      </w:pPr>
      <w:r>
        <w:rPr>
          <w:sz w:val="18"/>
        </w:rPr>
        <w:t>——————————————————————————————————————————————————————————————————————</w:t>
      </w:r>
    </w:p>
    <w:p>
      <w:pPr>
        <w:spacing w:before="160" w:after="40" w:line="240" w:lineRule="auto"/>
      </w:pPr>
      <w:r>
        <w:rPr>
          <w:b/>
        </w:rPr>
        <w:t xml:space="preserve">[216] </w:t>
      </w:r>
      <w:hyperlink r:id="rId659">
        <w:r>
          <w:rPr>
            <w:color w:val="1155CC"/>
            <w:u w:val="single"/>
          </w:rPr>
          <w:t>细菌共生体和植物病毒通过诱导针对真菌寄生虫的物理防御来增强昆虫的适应性</w:t>
        </w:r>
      </w:hyperlink>
    </w:p>
    <w:p>
      <w:pPr>
        <w:spacing w:before="0" w:after="80"/>
      </w:pPr>
      <w:r>
        <w:rPr>
          <w:i/>
          <w:sz w:val="20"/>
        </w:rPr>
        <w:t>EN: A bacterial symbiont and a plant virus enhance insect fitness by inducing physical defenses against fungal parasites</w:t>
      </w:r>
    </w:p>
    <w:p>
      <w:pPr>
        <w:spacing w:before="0" w:after="120"/>
      </w:pPr>
      <w:r>
        <w:rPr>
          <w:b/>
        </w:rPr>
        <w:t xml:space="preserve">Source: </w:t>
      </w:r>
      <w:r>
        <w:t>Proceedings of the National Academy of Sciences: Keyword search for query</w:t>
      </w:r>
      <w:r>
        <w:t xml:space="preserve">    </w:t>
      </w:r>
      <w:r>
        <w:rPr>
          <w:b/>
        </w:rPr>
        <w:t xml:space="preserve">Pub date: </w:t>
      </w:r>
      <w:r>
        <w:t>2026-06-16 07:00:00+00:00</w:t>
      </w:r>
      <w:r>
        <w:t xml:space="preserve">    </w:t>
      </w:r>
      <w:r>
        <w:rPr>
          <w:b/>
        </w:rPr>
        <w:t xml:space="preserve">DOI: </w:t>
      </w:r>
      <w:hyperlink r:id="rId660">
        <w:r>
          <w:rPr>
            <w:color w:val="1155CC"/>
            <w:u w:val="single"/>
          </w:rPr>
          <w:t>10.1073/pnas.2534981123</w:t>
        </w:r>
      </w:hyperlink>
    </w:p>
    <w:p>
      <w:pPr>
        <w:spacing w:before="0" w:after="120"/>
      </w:pPr>
      <w:r>
        <w:rPr>
          <w:b/>
        </w:rPr>
        <w:t xml:space="preserve">Notes: </w:t>
      </w:r>
      <w:r>
        <w:t>abstract_source=crossref</w:t>
      </w:r>
    </w:p>
    <w:p>
      <w:pPr>
        <w:spacing w:before="0" w:after="80" w:lineRule="auto" w:line="276"/>
      </w:pPr>
      <w:r>
        <w:rPr>
          <w:b/>
        </w:rPr>
        <w:t xml:space="preserve">摘要（ZH）: </w:t>
      </w:r>
      <w:r>
        <w:t>有益微生物保护宿主免受天敌侵害的防御共生在动物和植物中普遍存在，但其潜在机制仍知之甚少。现场调查和实验室检测表明，入侵性粉虱的感染</w:t>
      </w:r>
      <w:r>
        <w:t xml:space="preserve"> </w:t>
      </w:r>
      <w:r>
        <w:t>烟粉虱</w:t>
      </w:r>
      <w:r>
        <w:t xml:space="preserve"> </w:t>
      </w:r>
      <w:r>
        <w:t>通过细菌共生体</w:t>
      </w:r>
      <w:r>
        <w:t xml:space="preserve"> </w:t>
      </w:r>
      <w:r>
        <w:t>立克次体</w:t>
      </w:r>
      <w:r>
        <w:t xml:space="preserve"> </w:t>
      </w:r>
      <w:r>
        <w:t>和植物 Begomovirus 彼此呈正相关，但均与寄生真菌感染呈负相关（</w:t>
      </w:r>
      <w:r>
        <w:t xml:space="preserve"> </w:t>
      </w:r>
      <w:r>
        <w:t>白僵菌</w:t>
      </w:r>
      <w:r>
        <w:t xml:space="preserve"> </w:t>
      </w:r>
      <w:r>
        <w:t>）在主机中。我们发现，begomovirus 通过触发粉虱几丁质合成途径基因的表达，通过促进几丁质产生来增强角质层，从而赋予粉虱对寄生真菌的抵抗力。兼性共生体</w:t>
      </w:r>
      <w:r>
        <w:t xml:space="preserve"> </w:t>
      </w:r>
      <w:r>
        <w:t>立克次体</w:t>
      </w:r>
      <w:r>
        <w:t xml:space="preserve"> </w:t>
      </w:r>
      <w:r>
        <w:t>促进角质层形成，从而通过与专性共生体的代谢合作诱导针对昆虫病原真菌的物理防御</w:t>
      </w:r>
      <w:r>
        <w:t xml:space="preserve"> </w:t>
      </w:r>
      <w:r>
        <w:t>波尔蒂埃拉</w:t>
      </w:r>
      <w:r>
        <w:t xml:space="preserve"> </w:t>
      </w:r>
      <w:r>
        <w:t>用于在粉虱中合成苯丙氨酸和酪氨酸，用于生成角质层蛋白和色素。几丁质酶和蛋白酶基因突变</w:t>
      </w:r>
      <w:r>
        <w:t xml:space="preserve"> </w:t>
      </w:r>
      <w:r>
        <w:t>乙</w:t>
      </w:r>
      <w:r>
        <w:t xml:space="preserve"> </w:t>
      </w:r>
      <w:r>
        <w:t>。</w:t>
      </w:r>
      <w:r>
        <w:t xml:space="preserve"> </w:t>
      </w:r>
      <w:r>
        <w:t>白僵菌</w:t>
      </w:r>
      <w:r>
        <w:t xml:space="preserve"> </w:t>
      </w:r>
      <w:r>
        <w:t>粉虱的真菌感染受损。通过抑制几丁质和苯丙氨酸合成来抑制粉虱角质层形成促进真菌感染</w:t>
      </w:r>
    </w:p>
    <w:p>
      <w:pPr>
        <w:spacing w:before="0" w:after="200" w:lineRule="auto" w:line="276"/>
      </w:pPr>
      <w:r>
        <w:rPr>
          <w:b/>
        </w:rPr>
        <w:t xml:space="preserve">Abstract (EN): </w:t>
      </w:r>
      <w:r>
        <w:t>Defensive symbioses in which beneficial microbes protect hosts from natural enemies are ubiquitous across animals and plants, but the underlying mechanisms remain poorly understood. Field surveys and laboratory assays revealed that infection of the invasive whitefly</w:t>
      </w:r>
      <w:r>
        <w:t xml:space="preserve"> </w:t>
      </w:r>
      <w:r>
        <w:t>Bemisia tabaci</w:t>
      </w:r>
      <w:r>
        <w:t xml:space="preserve"> </w:t>
      </w:r>
      <w:r>
        <w:t>by the bacterial symbiont</w:t>
      </w:r>
      <w:r>
        <w:t xml:space="preserve"> </w:t>
      </w:r>
      <w:r>
        <w:t>Rickettsia</w:t>
      </w:r>
      <w:r>
        <w:t xml:space="preserve"> </w:t>
      </w:r>
      <w:r>
        <w:t>and plant begomovirus were positively correlated with each other but each negatively correlated with a parasitic fungal infection (</w:t>
      </w:r>
      <w:r>
        <w:t xml:space="preserve"> </w:t>
      </w:r>
      <w:r>
        <w:t>Beauveria bassiana</w:t>
      </w:r>
      <w:r>
        <w:t xml:space="preserve"> </w:t>
      </w:r>
      <w:r>
        <w:t>) in the host. We show that begomovirus conferred whitefly’s resistance to the parasitic fungus by triggering the expression of chitin synthesis pathway genes in whiteflies, reinforcing the cuticle by promoting chitin production. The facultative symbiont</w:t>
      </w:r>
      <w:r>
        <w:t xml:space="preserve"> </w:t>
      </w:r>
      <w:r>
        <w:t>Rickettsia</w:t>
      </w:r>
      <w:r>
        <w:t xml:space="preserve"> </w:t>
      </w:r>
      <w:r>
        <w:t>facilitated cuticle formation and thereby induced physical defense against entomopathogenic fungus via metabolic cooperation with the obligate symbiont</w:t>
      </w:r>
      <w:r>
        <w:t xml:space="preserve"> </w:t>
      </w:r>
      <w:r>
        <w:t>Portiera</w:t>
      </w:r>
      <w:r>
        <w:t xml:space="preserve"> </w:t>
      </w:r>
      <w:r>
        <w:t>for the synthesis of phenylalanine and tyrosine in whiteflies, which is used to generate cuticular proteins and pigments. Mutation of chitinase and protease genes in</w:t>
      </w:r>
      <w:r>
        <w:t xml:space="preserve"> </w:t>
      </w:r>
      <w:r>
        <w:t>B</w:t>
      </w:r>
      <w:r>
        <w:t xml:space="preserve"> </w:t>
      </w:r>
      <w:r>
        <w:t>.</w:t>
      </w:r>
      <w:r>
        <w:t xml:space="preserve"> </w:t>
      </w:r>
      <w:r>
        <w:t>bassiana</w:t>
      </w:r>
      <w:r>
        <w:t xml:space="preserve"> </w:t>
      </w:r>
      <w:r>
        <w:t>impaired fungal infection of whiteflies. Inhibiting whitefly cuticle formation by repressing chitin and phenylalanine synthesis facilitated fungal infection. Thus, begomovirus and</w:t>
      </w:r>
      <w:r>
        <w:t xml:space="preserve"> </w:t>
      </w:r>
      <w:r>
        <w:t>Rickettsia</w:t>
      </w:r>
      <w:r>
        <w:t xml:space="preserve"> </w:t>
      </w:r>
      <w:r>
        <w:t>have convergent effects on cuticle defense in whiteflies by impacting distinct molecular pathways. Such defensive symbioses apparently contribute to</w:t>
      </w:r>
      <w:r>
        <w:t xml:space="preserve"> </w:t>
      </w:r>
      <w:r>
        <w:t>B</w:t>
      </w:r>
      <w:r>
        <w:t xml:space="preserve"> </w:t>
      </w:r>
      <w:r>
        <w:t>.</w:t>
      </w:r>
      <w:r>
        <w:t xml:space="preserve"> </w:t>
      </w:r>
      <w:r>
        <w:t>tabaci</w:t>
      </w:r>
      <w:r>
        <w:t xml:space="preserve"> </w:t>
      </w:r>
      <w:r>
        <w:t>fitness in the field and our findings reveal that interactions among the host, beneficial microbes, and pathogens have important implications for insect ecology and evolution. This study suggests avenues for pest management by leveraging defensive microbes and targeting the host cuticle.</w:t>
      </w:r>
    </w:p>
    <w:p>
      <w:pPr>
        <w:spacing w:before="120" w:after="120"/>
      </w:pPr>
      <w:r>
        <w:rPr>
          <w:sz w:val="18"/>
        </w:rPr>
        <w:t>——————————————————————————————————————————————————————————————————————</w:t>
      </w:r>
    </w:p>
    <w:p>
      <w:pPr>
        <w:spacing w:before="160" w:after="40" w:line="240" w:lineRule="auto"/>
      </w:pPr>
      <w:r>
        <w:rPr>
          <w:b/>
        </w:rPr>
        <w:t xml:space="preserve">[217] </w:t>
      </w:r>
      <w:hyperlink r:id="rId661">
        <w:r>
          <w:rPr>
            <w:color w:val="1155CC"/>
            <w:u w:val="single"/>
          </w:rPr>
          <w:t>通过自旋极化中子散射直接演示旋磁 YMn6Sn6 中的电手性控制</w:t>
        </w:r>
      </w:hyperlink>
    </w:p>
    <w:p>
      <w:pPr>
        <w:spacing w:before="0" w:after="80"/>
      </w:pPr>
      <w:r>
        <w:rPr>
          <w:i/>
          <w:sz w:val="20"/>
        </w:rPr>
        <w:t>EN: Direct demonstration of electric chirality control in a helimagnetic YMn6Sn6 by spin-polarized neutron scattering</w:t>
      </w:r>
    </w:p>
    <w:p>
      <w:pPr>
        <w:spacing w:before="0" w:after="120"/>
      </w:pPr>
      <w:r>
        <w:rPr>
          <w:b/>
        </w:rPr>
        <w:t xml:space="preserve">Source: </w:t>
      </w:r>
      <w:r>
        <w:t>Proceedings of the National Academy of Sciences: Keyword search for query</w:t>
      </w:r>
      <w:r>
        <w:t xml:space="preserve">    </w:t>
      </w:r>
      <w:r>
        <w:rPr>
          <w:b/>
        </w:rPr>
        <w:t xml:space="preserve">Pub date: </w:t>
      </w:r>
      <w:r>
        <w:t>2026-06-16 07:00:00+00:00</w:t>
      </w:r>
      <w:r>
        <w:t xml:space="preserve">    </w:t>
      </w:r>
      <w:r>
        <w:rPr>
          <w:b/>
        </w:rPr>
        <w:t xml:space="preserve">DOI: </w:t>
      </w:r>
      <w:hyperlink r:id="rId662">
        <w:r>
          <w:rPr>
            <w:color w:val="1155CC"/>
            <w:u w:val="single"/>
          </w:rPr>
          <w:t>10.1073/pnas.2600410123</w:t>
        </w:r>
      </w:hyperlink>
    </w:p>
    <w:p>
      <w:pPr>
        <w:spacing w:before="0" w:after="120"/>
      </w:pPr>
      <w:r>
        <w:rPr>
          <w:b/>
        </w:rPr>
        <w:t xml:space="preserve">Notes: </w:t>
      </w:r>
      <w:r>
        <w:t>abstract_source=crossref</w:t>
      </w:r>
    </w:p>
    <w:p>
      <w:pPr>
        <w:spacing w:before="0" w:after="80" w:lineRule="auto" w:line="276"/>
      </w:pPr>
      <w:r>
        <w:rPr>
          <w:b/>
        </w:rPr>
        <w:t xml:space="preserve">摘要（ZH）: </w:t>
      </w:r>
      <w:r>
        <w:t>磁矩的螺旋旋向性（称为手性）会在螺旋磁体中产生电磁现象。在被称为多铁性的绝缘螺旋磁体中，摆线自旋结构利用逆 Dzyaloshinskii-Moriya 机制诱导电极化。自旋极化中子衍射实验直接探测圆形自旋排列，清楚地表明电场控制多铁螺旋磁体的手性。另一方面，直到最近还不清楚如何在无法施加大电场的金属螺旋磁体中控制手性，而金属螺旋磁体中的手性控制技术应该能够探索手性依赖的自旋电子功能。最近，江等人。通过在金属螺旋磁体中同时施加磁场和电流，成功地控制了螺旋结构的手性，利用不可逆电子输运作为手性的间接探针，强调了直接探测手性的中子衍射实验的必要性。在这里，我们直接演示了金属螺旋磁体 YMn 中的手性控制</w:t>
      </w:r>
      <w:r>
        <w:rPr>
          <w:vertAlign w:val="subscript"/>
        </w:rPr>
        <w:t>6</w:t>
      </w:r>
      <w:r>
        <w:t>锡</w:t>
      </w:r>
      <w:r>
        <w:rPr>
          <w:vertAlign w:val="subscript"/>
        </w:rPr>
        <w:t>6</w:t>
      </w:r>
      <w:r>
        <w:t>通过自旋极化中子衍射，这将为未来螺旋磁自旋电子学的发展奠定坚实的基础。</w:t>
      </w:r>
    </w:p>
    <w:p>
      <w:pPr>
        <w:spacing w:before="0" w:after="200" w:lineRule="auto" w:line="276"/>
      </w:pPr>
      <w:r>
        <w:rPr>
          <w:b/>
        </w:rPr>
        <w:t xml:space="preserve">Abstract (EN): </w:t>
      </w:r>
      <w:r>
        <w:t>The spiral handedness of magnetic moments, referred to as chirality, gives rise to emergent electromagnetic phenomena in helimagnets. In insulating helimagnets, known as multiferroics, the cycloidal spin structure induces electric polarization by utilizing the inverse Dzyaloshinskii–Moriya mechanism. Spin-polarized neutron diffraction experiments, which directly probe circular spin arrangements, clearly demonstrated that an electric field controlled the chirality in multiferroic helimagnets. On the other hand, it was unclear until recently how the chirality could be controlled in metallic helimagnets where a large electric field cannot be applied, while the chirality control technique in metallic helimagnets should enable the exploration of chirality-dependent spintronic functionalities. Recently, Jiang et al. succeeded in controlling the chirality of a spiral structure by the simultaneous application of a magnetic field and electric current in a metallic helimagnet, utilizing the nonreciprocal electronic transport as an indirect probe of chirality, highlighting the need for a neutron diffraction experiment that directly probes the chirality. Here, we directly demonstrate the chirality control in a metallic helimagnet YMn</w:t>
      </w:r>
      <w:r>
        <w:rPr>
          <w:vertAlign w:val="subscript"/>
        </w:rPr>
        <w:t>6</w:t>
      </w:r>
      <w:r>
        <w:t>Sn</w:t>
      </w:r>
      <w:r>
        <w:rPr>
          <w:vertAlign w:val="subscript"/>
        </w:rPr>
        <w:t>6</w:t>
      </w:r>
      <w:r>
        <w:t>by means of spin-polarized neutron diffraction, which should give rise to a firm basis for the development of future helimagnetic spintronics.</w:t>
      </w:r>
    </w:p>
    <w:p>
      <w:pPr>
        <w:spacing w:before="120" w:after="120"/>
      </w:pPr>
      <w:r>
        <w:rPr>
          <w:sz w:val="18"/>
        </w:rPr>
        <w:t>——————————————————————————————————————————————————————————————————————</w:t>
      </w:r>
    </w:p>
    <w:p>
      <w:pPr>
        <w:spacing w:before="160" w:after="40" w:line="240" w:lineRule="auto"/>
      </w:pPr>
      <w:r>
        <w:rPr>
          <w:b/>
        </w:rPr>
        <w:t xml:space="preserve">[218] </w:t>
      </w:r>
      <w:hyperlink r:id="rId663">
        <w:r>
          <w:rPr>
            <w:color w:val="1155CC"/>
            <w:u w:val="single"/>
          </w:rPr>
          <w:t>碳水化合物的物理化学性质：α-葡萄糖苷和α-半乳糖苷醇基团的固有氢键供给能力</w:t>
        </w:r>
      </w:hyperlink>
    </w:p>
    <w:p>
      <w:pPr>
        <w:spacing w:before="0" w:after="80"/>
      </w:pPr>
      <w:r>
        <w:rPr>
          <w:i/>
          <w:sz w:val="20"/>
        </w:rPr>
        <w:t>EN: Carbohydrate Physicochemical Properties: The Innate Hydrogen Bond Donating Capacities of α‐Glucoside and α‐Galactoside Alcohol Groups</w:t>
      </w:r>
    </w:p>
    <w:p>
      <w:pPr>
        <w:spacing w:before="0" w:after="120"/>
      </w:pPr>
      <w:r>
        <w:rPr>
          <w:b/>
        </w:rPr>
        <w:t xml:space="preserve">Source: </w:t>
      </w:r>
      <w:r>
        <w:t>Wiley: Angewandte Chemie International Edition: Table of Contents</w:t>
      </w:r>
      <w:r>
        <w:t xml:space="preserve">    </w:t>
      </w:r>
      <w:r>
        <w:rPr>
          <w:b/>
        </w:rPr>
        <w:t xml:space="preserve">Pub date: </w:t>
      </w:r>
      <w:r>
        <w:t>2026-06-16 07:02:59+00:00</w:t>
      </w:r>
      <w:r>
        <w:t xml:space="preserve">    </w:t>
      </w:r>
      <w:r>
        <w:rPr>
          <w:b/>
        </w:rPr>
        <w:t xml:space="preserve">DOI: </w:t>
      </w:r>
      <w:hyperlink r:id="rId664">
        <w:r>
          <w:rPr>
            <w:color w:val="1155CC"/>
            <w:u w:val="single"/>
          </w:rPr>
          <w:t>10.1002/anie.3574068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尽管氢键在蛋白质-碳水化合物相互作用、碳水化合物构象和结晶度（溶解度）中具有重要意义，但给定糖的各个醇基团的相对氢键供给能力（HBDC）却很少被表征。这里首次系统测定了单个糖醇组的 HBDC，并按照 HB 等级进行了排名（p</w:t>
      </w:r>
      <w:r>
        <w:t xml:space="preserve"> </w:t>
      </w:r>
      <w:r>
        <w:t>K</w:t>
      </w:r>
      <w:r>
        <w:t xml:space="preserve"> </w:t>
      </w:r>
      <w:r>
        <w:t>啊哈伊</w:t>
      </w:r>
      <w:r>
        <w:t xml:space="preserve"> </w:t>
      </w:r>
      <w:r>
        <w:t>‐规模）与药物化学目的相关。 HB 测定是使用基于 IR 的方案以及基于甲基 α-葡萄糖苷和 α-半乳糖苷的模型化合物来实现的，排除了 HB 协同效应的任何贡献。我们发现 HBDC 存在很大的差异，尤其是半乳糖，不仅对醇基本身具有强烈的立体化学依赖性，而且对相邻甚至较远的位置也具有很强的立体化学依赖性。葡萄糖 4-OH 基团和半乳糖 6-OH 基团是最强的供体，而葡萄糖 2-OH 基团和半乳糖 4-OH 基团是最弱的供体。有趣的是，半乳糖 6-OH 是唯一比环己醇具有更强 HBDC 的基团。这些差异可以通过结合红外、核磁共振和计算分析来定性合理化，指出抵消了感应效应和通常多种可能的分子内氢键效应的影响。讨论了决定碳水化合物 HB 贡献能力和布朗斯台德酸度的因素之间的差异。</w:t>
      </w:r>
    </w:p>
    <w:p>
      <w:pPr>
        <w:spacing w:before="0" w:after="200" w:lineRule="auto" w:line="276"/>
      </w:pPr>
      <w:r>
        <w:rPr>
          <w:b/>
        </w:rPr>
        <w:t xml:space="preserve">Abstract (EN): </w:t>
      </w:r>
      <w:r>
        <w:t>Despite the significance of hydrogen bonding in protein‐carbohydrate interactions, carbohydrate conformation, and crystallinity (solubility), relative hydrogen bond donating capacities (HBDC) of individual alcohol groups of a given sugar are poorly characterised. Here the first systematic determination of the HBDC of individual sugar alcohol groups has been achieved, which were ranked in a HB‐scale (p</w:t>
      </w:r>
      <w:r>
        <w:t xml:space="preserve"> </w:t>
      </w:r>
      <w:r>
        <w:t>K</w:t>
      </w:r>
      <w:r>
        <w:t xml:space="preserve"> </w:t>
      </w:r>
      <w:r>
        <w:t>AHY</w:t>
      </w:r>
      <w:r>
        <w:t xml:space="preserve"> </w:t>
      </w:r>
      <w:r>
        <w:t>‐scale) that is relevant for medicinal chemistry purposes. HB determination was achieved using an IR‐based protocol with methyl α‐glucoside‐ and α‐galactoside‐based model compounds that exclude any contributions from HB cooperativity effects. A wide variation in HBDC was found, especially for galactose, with a strong stereochemical dependence not only of the alcohol group itself, but also at adjacent and even remote positions. The glucose 4‐OH and, notably, the galactose 6‐OH groups were the strongest donors, whereas the glucose 2‐OH and, notably, the galactose 4‐OH groups were the weakest donors. Interestingly, the galactose 6‐OH is the only group with a stronger HBDC than cyclohexanol. These differences could be qualitatively rationalised by a combined IR, NMR, and computational analysis, pointing to counteracting influences from inductive and the often multiple possible intramolecular hydrogen‐bonding effects. The difference between the factors that determine carbohydrate HB donating capacities and Brønsted acidities is discussed.</w:t>
      </w:r>
    </w:p>
    <w:p>
      <w:pPr>
        <w:spacing w:before="120" w:after="120"/>
      </w:pPr>
      <w:r>
        <w:rPr>
          <w:sz w:val="18"/>
        </w:rPr>
        <w:t>——————————————————————————————————————————————————————————————————————</w:t>
      </w:r>
    </w:p>
    <w:p>
      <w:pPr>
        <w:spacing w:before="160" w:after="40" w:line="240" w:lineRule="auto"/>
      </w:pPr>
      <w:r>
        <w:rPr>
          <w:b/>
        </w:rPr>
        <w:t xml:space="preserve">[219] </w:t>
      </w:r>
      <w:hyperlink r:id="rId665">
        <w:r>
          <w:rPr>
            <w:color w:val="1155CC"/>
            <w:u w:val="single"/>
          </w:rPr>
          <w:t>间氟化吡啶的安全方法</w:t>
        </w:r>
      </w:hyperlink>
    </w:p>
    <w:p>
      <w:pPr>
        <w:spacing w:before="0" w:after="80"/>
      </w:pPr>
      <w:r>
        <w:rPr>
          <w:i/>
          <w:sz w:val="20"/>
        </w:rPr>
        <w:t>EN: A Safe Approach to meta‐Fluorinated Pyridines</w:t>
      </w:r>
    </w:p>
    <w:p>
      <w:pPr>
        <w:spacing w:before="0" w:after="120"/>
      </w:pPr>
      <w:r>
        <w:rPr>
          <w:b/>
        </w:rPr>
        <w:t xml:space="preserve">Source: </w:t>
      </w:r>
      <w:r>
        <w:t>Wiley: Angewandte Chemie International Edition: Table of Contents</w:t>
      </w:r>
      <w:r>
        <w:t xml:space="preserve">    </w:t>
      </w:r>
      <w:r>
        <w:rPr>
          <w:b/>
        </w:rPr>
        <w:t xml:space="preserve">Pub date: </w:t>
      </w:r>
      <w:r>
        <w:t>2026-06-16 07:03:58+00:00</w:t>
      </w:r>
      <w:r>
        <w:t xml:space="preserve">    </w:t>
      </w:r>
      <w:r>
        <w:rPr>
          <w:b/>
        </w:rPr>
        <w:t xml:space="preserve">DOI: </w:t>
      </w:r>
      <w:hyperlink r:id="rId666">
        <w:r>
          <w:rPr>
            <w:color w:val="1155CC"/>
            <w:u w:val="single"/>
          </w:rPr>
          <w:t>10.1002/anie.7155694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自 1947 年以来，Balz-Schiemann 反应一直是最流行的合成方法</w:t>
      </w:r>
      <w:r>
        <w:t xml:space="preserve"> </w:t>
      </w:r>
      <w:r>
        <w:t>元</w:t>
      </w:r>
      <w:r>
        <w:t xml:space="preserve"> </w:t>
      </w:r>
      <w:r>
        <w:t>‐氟吡啶。该方法涉及危险的吡啶基重氮盐，并已导致许多有记录的爆炸事件。安全的替代品</w:t>
      </w:r>
      <w:r>
        <w:t xml:space="preserve"> </w:t>
      </w:r>
      <w:r>
        <w:t>元</w:t>
      </w:r>
      <w:r>
        <w:t xml:space="preserve"> </w:t>
      </w:r>
      <w:r>
        <w:t>‐氟吡啶现已在 1,3-断开策略的基础上开发出来。</w:t>
      </w:r>
    </w:p>
    <w:p>
      <w:pPr>
        <w:spacing w:before="0" w:after="200" w:lineRule="auto" w:line="276"/>
      </w:pPr>
      <w:r>
        <w:rPr>
          <w:b/>
        </w:rPr>
        <w:t xml:space="preserve">Abstract (EN): </w:t>
      </w:r>
      <w:r>
        <w:t>Since 1947, the Balz–Schiemann reaction has remained the most popular method for the synthesis of</w:t>
      </w:r>
      <w:r>
        <w:t xml:space="preserve"> </w:t>
      </w:r>
      <w:r>
        <w:t>meta</w:t>
      </w:r>
      <w:r>
        <w:t xml:space="preserve"> </w:t>
      </w:r>
      <w:r>
        <w:t>‐fluoropyridines. The method involves dangerous pyridyl diazonium salts and has led to numerous documented explosions. A safe alternative to</w:t>
      </w:r>
      <w:r>
        <w:t xml:space="preserve"> </w:t>
      </w:r>
      <w:r>
        <w:t>meta</w:t>
      </w:r>
      <w:r>
        <w:t xml:space="preserve"> </w:t>
      </w:r>
      <w:r>
        <w:t>‐fluoropyridines has now been developed on the basis of a 1,3‐disconnection strategy.</w:t>
      </w:r>
    </w:p>
    <w:p>
      <w:pPr>
        <w:spacing w:before="120" w:after="120"/>
      </w:pPr>
      <w:r>
        <w:rPr>
          <w:sz w:val="18"/>
        </w:rPr>
        <w:t>——————————————————————————————————————————————————————————————————————</w:t>
      </w:r>
    </w:p>
    <w:p>
      <w:pPr>
        <w:spacing w:before="160" w:after="40" w:line="240" w:lineRule="auto"/>
      </w:pPr>
      <w:r>
        <w:rPr>
          <w:b/>
        </w:rPr>
        <w:t xml:space="preserve">[220] </w:t>
      </w:r>
      <w:hyperlink r:id="rId667">
        <w:r>
          <w:rPr>
            <w:color w:val="1155CC"/>
            <w:u w:val="single"/>
          </w:rPr>
          <w:t>CsCaCl3 中 Ln3+/Ln2+ 的 X 射线和机械诱导价态跃迁及发光</w:t>
        </w:r>
      </w:hyperlink>
    </w:p>
    <w:p>
      <w:pPr>
        <w:spacing w:before="0" w:after="80"/>
      </w:pPr>
      <w:r>
        <w:rPr>
          <w:i/>
          <w:sz w:val="20"/>
        </w:rPr>
        <w:t>EN: X‐Ray and Mechano‐Induced Valence Transition and Luminescence of Ln3+/Ln2+ in CsCaCl3</w:t>
      </w:r>
    </w:p>
    <w:p>
      <w:pPr>
        <w:spacing w:before="0" w:after="120"/>
      </w:pPr>
      <w:r>
        <w:rPr>
          <w:b/>
        </w:rPr>
        <w:t xml:space="preserve">Source: </w:t>
      </w:r>
      <w:r>
        <w:t>Wiley: Angewandte Chemie International Edition: Table of Contents</w:t>
      </w:r>
      <w:r>
        <w:t xml:space="preserve">    </w:t>
      </w:r>
      <w:r>
        <w:rPr>
          <w:b/>
        </w:rPr>
        <w:t xml:space="preserve">Pub date: </w:t>
      </w:r>
      <w:r>
        <w:t>2026-06-16 07:07:31+00:00</w:t>
      </w:r>
      <w:r>
        <w:t xml:space="preserve">    </w:t>
      </w:r>
      <w:r>
        <w:rPr>
          <w:b/>
        </w:rPr>
        <w:t xml:space="preserve">DOI: </w:t>
      </w:r>
      <w:hyperlink r:id="rId668">
        <w:r>
          <w:rPr>
            <w:color w:val="1155CC"/>
            <w:u w:val="single"/>
          </w:rPr>
          <w:t>10.1002/anie.1852444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稀土（Ln）掺杂的钙钛矿在发光方面表现出巨大的潜力。虽然Ln</w:t>
      </w:r>
      <w:r>
        <w:t xml:space="preserve"> </w:t>
      </w:r>
      <w:r>
        <w:t>2+</w:t>
      </w:r>
      <w:r>
        <w:t xml:space="preserve"> </w:t>
      </w:r>
      <w:r>
        <w:t>与 Ln 相比，离子具有卓越的发光效率和光谱可调性</w:t>
      </w:r>
      <w:r>
        <w:t xml:space="preserve"> </w:t>
      </w:r>
      <w:r>
        <w:t>3+</w:t>
      </w:r>
      <w:r>
        <w:t xml:space="preserve"> </w:t>
      </w:r>
      <w:r>
        <w:t>，实现 Ln</w:t>
      </w:r>
      <w:r>
        <w:t xml:space="preserve"> </w:t>
      </w:r>
      <w:r>
        <w:t>2+</w:t>
      </w:r>
      <w:r>
        <w:t xml:space="preserve"> </w:t>
      </w:r>
      <w:r>
        <w:t>发光仍然是一个艰巨的挑战。这里，基于 12 Ln 还原潜力的新颖策略</w:t>
      </w:r>
      <w:r>
        <w:t xml:space="preserve"> </w:t>
      </w:r>
      <w:r>
        <w:t>3+</w:t>
      </w:r>
      <w:r>
        <w:t xml:space="preserve"> </w:t>
      </w:r>
      <w:r>
        <w:t>开发离子以实现 Ln 的选择性还原</w:t>
      </w:r>
      <w:r>
        <w:t xml:space="preserve"> </w:t>
      </w:r>
      <w:r>
        <w:t>3+</w:t>
      </w:r>
      <w:r>
        <w:t xml:space="preserve"> </w:t>
      </w:r>
      <w:r>
        <w:t>至 Ln</w:t>
      </w:r>
      <w:r>
        <w:t xml:space="preserve"> </w:t>
      </w:r>
      <w:r>
        <w:t>2+</w:t>
      </w:r>
      <w:r>
        <w:t xml:space="preserve"> </w:t>
      </w:r>
      <w:r>
        <w:t>在氯化铯中</w:t>
      </w:r>
      <w:r>
        <w:rPr>
          <w:vertAlign w:val="subscript"/>
        </w:rPr>
        <w:t>3</w:t>
      </w:r>
      <w:r>
        <w:t>使用 X 射线和机械力。具体来说，还原电位较低的离子（Eu</w:t>
      </w:r>
      <w:r>
        <w:t xml:space="preserve"> </w:t>
      </w:r>
      <w:r>
        <w:t>3+</w:t>
      </w:r>
      <w:r>
        <w:t xml:space="preserve"> </w:t>
      </w:r>
      <w:r>
        <w:t>, 镱</w:t>
      </w:r>
      <w:r>
        <w:t xml:space="preserve"> </w:t>
      </w:r>
      <w:r>
        <w:t>3+</w:t>
      </w:r>
      <w:r>
        <w:t xml:space="preserve"> </w:t>
      </w:r>
      <w:r>
        <w:t>, 钐</w:t>
      </w:r>
      <w:r>
        <w:t xml:space="preserve"> </w:t>
      </w:r>
      <w:r>
        <w:t>3+</w:t>
      </w:r>
      <w:r>
        <w:t xml:space="preserve"> </w:t>
      </w:r>
      <w:r>
        <w:t>）被还原为二价状态，而具有较高还原电位的那些仍保持三价。值得注意的是，Eu 的光致发光</w:t>
      </w:r>
      <w:r>
        <w:t xml:space="preserve"> </w:t>
      </w:r>
      <w:r>
        <w:t>2+</w:t>
      </w:r>
      <w:r>
        <w:t xml:space="preserve"> </w:t>
      </w:r>
      <w:r>
        <w:t>X射线照射后增加了两个数量级。同时，不可还原的 Ln</w:t>
      </w:r>
      <w:r>
        <w:t xml:space="preserve"> </w:t>
      </w:r>
      <w:r>
        <w:t>3+</w:t>
      </w:r>
      <w:r>
        <w:t xml:space="preserve"> </w:t>
      </w:r>
      <w:r>
        <w:t>离子表现出从紫外到近红外区域的超长持续发光，其中Tb</w:t>
      </w:r>
      <w:r>
        <w:t xml:space="preserve"> </w:t>
      </w:r>
      <w:r>
        <w:t>3+</w:t>
      </w:r>
      <w:r>
        <w:t xml:space="preserve"> </w:t>
      </w:r>
      <w:r>
        <w:t>显示出 98 秒的持久时间（衰减至其初始强度的 1/10），优于大多数商业材料。此外，两个 Ln</w:t>
      </w:r>
      <w:r>
        <w:t xml:space="preserve"> </w:t>
      </w:r>
      <w:r>
        <w:t>2+</w:t>
      </w:r>
      <w:r>
        <w:t xml:space="preserve"> </w:t>
      </w:r>
      <w:r>
        <w:t>和 Ln</w:t>
      </w:r>
      <w:r>
        <w:t xml:space="preserve"> </w:t>
      </w:r>
      <w:r>
        <w:t>3+</w:t>
      </w:r>
    </w:p>
    <w:p>
      <w:pPr>
        <w:spacing w:before="0" w:after="200" w:lineRule="auto" w:line="276"/>
      </w:pPr>
      <w:r>
        <w:rPr>
          <w:b/>
        </w:rPr>
        <w:t xml:space="preserve">Abstract (EN): </w:t>
      </w:r>
      <w:r>
        <w:t>Lanthanide (Ln)‐doped perovskites show immense potential in luminescence. Although Ln</w:t>
      </w:r>
      <w:r>
        <w:t xml:space="preserve"> </w:t>
      </w:r>
      <w:r>
        <w:t>2+</w:t>
      </w:r>
      <w:r>
        <w:t xml:space="preserve"> </w:t>
      </w:r>
      <w:r>
        <w:t>ions offer superior luminescence efficiency and spectral tunability over Ln</w:t>
      </w:r>
      <w:r>
        <w:t xml:space="preserve"> </w:t>
      </w:r>
      <w:r>
        <w:t>3+</w:t>
      </w:r>
      <w:r>
        <w:t xml:space="preserve"> </w:t>
      </w:r>
      <w:r>
        <w:t>, realizing Ln</w:t>
      </w:r>
      <w:r>
        <w:t xml:space="preserve"> </w:t>
      </w:r>
      <w:r>
        <w:t>2+</w:t>
      </w:r>
      <w:r>
        <w:t xml:space="preserve"> </w:t>
      </w:r>
      <w:r>
        <w:t>luminescence remains a formidable challenge. Here, a novel strategy based on reduction potentials of 12 Ln</w:t>
      </w:r>
      <w:r>
        <w:t xml:space="preserve"> </w:t>
      </w:r>
      <w:r>
        <w:t>3+</w:t>
      </w:r>
      <w:r>
        <w:t xml:space="preserve"> </w:t>
      </w:r>
      <w:r>
        <w:t>ions is developed to achieve selective reduction of Ln</w:t>
      </w:r>
      <w:r>
        <w:t xml:space="preserve"> </w:t>
      </w:r>
      <w:r>
        <w:t>3+</w:t>
      </w:r>
      <w:r>
        <w:t xml:space="preserve"> </w:t>
      </w:r>
      <w:r>
        <w:t>to Ln</w:t>
      </w:r>
      <w:r>
        <w:t xml:space="preserve"> </w:t>
      </w:r>
      <w:r>
        <w:t>2+</w:t>
      </w:r>
      <w:r>
        <w:t xml:space="preserve"> </w:t>
      </w:r>
      <w:r>
        <w:t>in CsCaCl</w:t>
      </w:r>
      <w:r>
        <w:rPr>
          <w:vertAlign w:val="subscript"/>
        </w:rPr>
        <w:t>3</w:t>
      </w:r>
      <w:r>
        <w:t>using x‐rays and mechanical force. Specifically, ions with lower reduction potentials (Eu</w:t>
      </w:r>
      <w:r>
        <w:t xml:space="preserve"> </w:t>
      </w:r>
      <w:r>
        <w:t>3+</w:t>
      </w:r>
      <w:r>
        <w:t xml:space="preserve"> </w:t>
      </w:r>
      <w:r>
        <w:t>, Yb</w:t>
      </w:r>
      <w:r>
        <w:t xml:space="preserve"> </w:t>
      </w:r>
      <w:r>
        <w:t>3+</w:t>
      </w:r>
      <w:r>
        <w:t xml:space="preserve"> </w:t>
      </w:r>
      <w:r>
        <w:t>, Sm</w:t>
      </w:r>
      <w:r>
        <w:t xml:space="preserve"> </w:t>
      </w:r>
      <w:r>
        <w:t>3+</w:t>
      </w:r>
      <w:r>
        <w:t xml:space="preserve"> </w:t>
      </w:r>
      <w:r>
        <w:t>) are reduced to the divalent state, whereas those with higher reduction potentials remain trivalent. Notably, the photoluminescence of Eu</w:t>
      </w:r>
      <w:r>
        <w:t xml:space="preserve"> </w:t>
      </w:r>
      <w:r>
        <w:t>2+</w:t>
      </w:r>
      <w:r>
        <w:t xml:space="preserve"> </w:t>
      </w:r>
      <w:r>
        <w:t>increases by two orders of magnitude after x‐ray irradiation. Meanwhile, non‐reducible Ln</w:t>
      </w:r>
      <w:r>
        <w:t xml:space="preserve"> </w:t>
      </w:r>
      <w:r>
        <w:t>3+</w:t>
      </w:r>
      <w:r>
        <w:t xml:space="preserve"> </w:t>
      </w:r>
      <w:r>
        <w:t>ions exhibit ultra‐long persistent luminescence from the ultraviolet to near‐infrared region, with Tb</w:t>
      </w:r>
      <w:r>
        <w:t xml:space="preserve"> </w:t>
      </w:r>
      <w:r>
        <w:t>3+</w:t>
      </w:r>
      <w:r>
        <w:t xml:space="preserve"> </w:t>
      </w:r>
      <w:r>
        <w:t>showing a persistence time of 98 s (decay to 1/10 of its initial intensity) outperforming most commercial materials. Moreover, both Ln</w:t>
      </w:r>
      <w:r>
        <w:t xml:space="preserve"> </w:t>
      </w:r>
      <w:r>
        <w:t>2+</w:t>
      </w:r>
      <w:r>
        <w:t xml:space="preserve"> </w:t>
      </w:r>
      <w:r>
        <w:t>and Ln</w:t>
      </w:r>
      <w:r>
        <w:t xml:space="preserve"> </w:t>
      </w:r>
      <w:r>
        <w:t>3+</w:t>
      </w:r>
      <w:r>
        <w:t xml:space="preserve"> </w:t>
      </w:r>
      <w:r>
        <w:t>in CsCaCl</w:t>
      </w:r>
      <w:r>
        <w:rPr>
          <w:vertAlign w:val="subscript"/>
        </w:rPr>
        <w:t>3</w:t>
      </w:r>
      <w:r>
        <w:t>exhibit bright mechanoluminescence. Mechanistic investigations identify Cs vacancies as hole traps and Cl vacancies as electron traps, governing carrier storage and release. Leveraging these properties, proof‐of‐concept applications are presented in radiation warning, collision detection, and x‐ray imaging. This work establishes a multi‐stimuli‐responsive platform for valence‐selective luminescence, opening new avenues for smart optoelectronic devices.</w:t>
      </w:r>
    </w:p>
    <w:p>
      <w:pPr>
        <w:spacing w:before="120" w:after="120"/>
      </w:pPr>
      <w:r>
        <w:rPr>
          <w:sz w:val="18"/>
        </w:rPr>
        <w:t>——————————————————————————————————————————————————————————————————————</w:t>
      </w:r>
    </w:p>
    <w:p>
      <w:pPr>
        <w:spacing w:before="160" w:after="40" w:line="240" w:lineRule="auto"/>
      </w:pPr>
      <w:r>
        <w:rPr>
          <w:b/>
        </w:rPr>
        <w:t xml:space="preserve">[221] </w:t>
      </w:r>
      <w:hyperlink r:id="rId669">
        <w:r>
          <w:rPr>
            <w:color w:val="1155CC"/>
            <w:u w:val="single"/>
          </w:rPr>
          <w:t>用于编码太赫兹波前控制的光学可编程 GST 超表面</w:t>
        </w:r>
      </w:hyperlink>
    </w:p>
    <w:p>
      <w:pPr>
        <w:spacing w:before="0" w:after="80"/>
      </w:pPr>
      <w:r>
        <w:rPr>
          <w:i/>
          <w:sz w:val="20"/>
        </w:rPr>
        <w:t>EN: Optically Programmable GST Metasurface for Coded Terahertz Wavefront Control</w:t>
      </w:r>
    </w:p>
    <w:p>
      <w:pPr>
        <w:spacing w:before="0" w:after="120"/>
      </w:pPr>
      <w:r>
        <w:rPr>
          <w:b/>
        </w:rPr>
        <w:t xml:space="preserve">Source: </w:t>
      </w:r>
      <w:r>
        <w:t>Wiley: Advanced Materials: Table of Contents</w:t>
      </w:r>
      <w:r>
        <w:t xml:space="preserve">    </w:t>
      </w:r>
      <w:r>
        <w:rPr>
          <w:b/>
        </w:rPr>
        <w:t xml:space="preserve">Pub date: </w:t>
      </w:r>
      <w:r>
        <w:t>2026-06-16 07:15:12+00:00</w:t>
      </w:r>
      <w:r>
        <w:t xml:space="preserve">    </w:t>
      </w:r>
      <w:r>
        <w:rPr>
          <w:b/>
        </w:rPr>
        <w:t xml:space="preserve">DOI: </w:t>
      </w:r>
      <w:hyperlink r:id="rId670">
        <w:r>
          <w:rPr>
            <w:color w:val="1155CC"/>
            <w:u w:val="single"/>
          </w:rPr>
          <w:t>10.1002/adma.73683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紧凑且可编程的波前控制是推进太赫兹 (THz) 波谱、成像和无线通信的核心任务。尽管电可编程超表面表现出显着的多功能性并显着促进了太赫兹动态器件的发展，但实现二维（2D）、非易失性、宽带和高分辨率波前控制仍然是一个关键目标。在这里，我们提出了一种光学可编程超表面方法，该方法可以通过利用硫族化物材料Ge的可逆相变来克服这些困难</w:t>
      </w:r>
      <w:r>
        <w:rPr>
          <w:vertAlign w:val="subscript"/>
        </w:rPr>
        <w:t>2</w:t>
      </w:r>
      <w:r>
        <w:t>锑</w:t>
      </w:r>
      <w:r>
        <w:rPr>
          <w:vertAlign w:val="subscript"/>
        </w:rPr>
        <w:t>2</w:t>
      </w:r>
      <w:r>
        <w:t>碲</w:t>
      </w:r>
      <w:r>
        <w:rPr>
          <w:vertAlign w:val="subscript"/>
        </w:rPr>
        <w:t>5</w:t>
      </w:r>
      <w:r>
        <w:t>（消费税）。核心创新在于使用选择性光学激发来局部处理和诱导组成 GST 斑块的相变，从而实现元原子对称性的可重构和非易失性逆转。这种独特的机制在元原子水平上产生了强大的宽带 0/π 相切换能力，以亚波长分辨率运行，并且不需要复杂的集成电极。通过采用带有预先设计的掩模的空间图案光泵浦作为示例，我们通过实验演示了两种不同的二维编码功能：可控光束转向和可调光束聚焦。我们的方法为可编程太赫兹超表面建立了一个新的范例，为主动和灵活的太赫兹波前工程提供了一条有前途的途径，这对于需要长距离的系统至关重要</w:t>
      </w:r>
    </w:p>
    <w:p>
      <w:pPr>
        <w:spacing w:before="0" w:after="200" w:lineRule="auto" w:line="276"/>
      </w:pPr>
      <w:r>
        <w:rPr>
          <w:b/>
        </w:rPr>
        <w:t xml:space="preserve">Abstract (EN): </w:t>
      </w:r>
      <w:r>
        <w:t>Compact and programmable wavefront control is a central task for advancing terahertz (THz) wave spectroscopy, imaging, and wireless communications. Although electrically programmable metasurfaces have exhibited remarkable versatility and significantly promoted THz dynamic device development, realizing two‐dimensional (2D), nonvolatile, broadband, and high‐resolution wavefront control remains a critical objective. Here, we present an optically programmable metasurface method that potentially overcomes these difficulties by leveraging the reversible phase change of the chalcogenide material Ge</w:t>
      </w:r>
      <w:r>
        <w:rPr>
          <w:vertAlign w:val="subscript"/>
        </w:rPr>
        <w:t>2</w:t>
      </w:r>
      <w:r>
        <w:t>Sb</w:t>
      </w:r>
      <w:r>
        <w:rPr>
          <w:vertAlign w:val="subscript"/>
        </w:rPr>
        <w:t>2</w:t>
      </w:r>
      <w:r>
        <w:t>Te</w:t>
      </w:r>
      <w:r>
        <w:rPr>
          <w:vertAlign w:val="subscript"/>
        </w:rPr>
        <w:t>5</w:t>
      </w:r>
      <w:r>
        <w:t>(GST). The core innovation lies in the use of selective optical excitation to locally address and induce phase changes in constituent GST patches, enabling reconfigurable and nonvolatile reversal of the meta‐atom symmetry. This unique mechanism yields a robust and broadband 0/π phase‐switching capability at the meta‐atom level, operating with subwavelength resolution and without the need for complex integrated electrodes. By employing spatially patterned optical pumping with predesigned masks as examples, we experimentally demonstrate two distinct 2D coded functionalities: controllable beam steering and tunable beam focusing. Our method establishes a new paradigm for programmable THz metasurfaces, offering a promising pathway for active and flexible THz wavefront engineering critical for systems requiring long‐term, stable functionalities.</w:t>
      </w:r>
    </w:p>
    <w:p>
      <w:pPr>
        <w:spacing w:before="120" w:after="120"/>
      </w:pPr>
      <w:r>
        <w:rPr>
          <w:sz w:val="18"/>
        </w:rPr>
        <w:t>——————————————————————————————————————————————————————————————————————</w:t>
      </w:r>
    </w:p>
    <w:p>
      <w:pPr>
        <w:spacing w:before="160" w:after="40" w:line="240" w:lineRule="auto"/>
      </w:pPr>
      <w:r>
        <w:rPr>
          <w:b/>
        </w:rPr>
        <w:t xml:space="preserve">[222] </w:t>
      </w:r>
      <w:hyperlink r:id="rId671">
        <w:r>
          <w:rPr>
            <w:color w:val="1155CC"/>
            <w:u w:val="single"/>
          </w:rPr>
          <w:t>本征可拉伸和可修复半导体聚合物的四氢键工程</w:t>
        </w:r>
      </w:hyperlink>
    </w:p>
    <w:p>
      <w:pPr>
        <w:spacing w:before="0" w:after="80"/>
      </w:pPr>
      <w:r>
        <w:rPr>
          <w:i/>
          <w:sz w:val="20"/>
        </w:rPr>
        <w:t>EN: Quadruple Hydrogen‐Bonds Engineering for Intrinsically Stretchable and Healable Semiconducting Polymers</w:t>
      </w:r>
    </w:p>
    <w:p>
      <w:pPr>
        <w:spacing w:before="0" w:after="120"/>
      </w:pPr>
      <w:r>
        <w:rPr>
          <w:b/>
        </w:rPr>
        <w:t xml:space="preserve">Source: </w:t>
      </w:r>
      <w:r>
        <w:t>Wiley: Angewandte Chemie International Edition: Table of Contents</w:t>
      </w:r>
      <w:r>
        <w:t xml:space="preserve">    </w:t>
      </w:r>
      <w:r>
        <w:rPr>
          <w:b/>
        </w:rPr>
        <w:t xml:space="preserve">Pub date: </w:t>
      </w:r>
      <w:r>
        <w:t>2026-06-16 07:15:37+00:00</w:t>
      </w:r>
      <w:r>
        <w:t xml:space="preserve">    </w:t>
      </w:r>
      <w:r>
        <w:rPr>
          <w:b/>
        </w:rPr>
        <w:t xml:space="preserve">DOI: </w:t>
      </w:r>
      <w:hyperlink r:id="rId672">
        <w:r>
          <w:rPr>
            <w:color w:val="1155CC"/>
            <w:u w:val="single"/>
          </w:rPr>
          <w:t>10.1002/anie.9060680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开发具有高载流子迁移率的本质上可拉伸和可修复的半导体聚合物对于下一代柔性电子产品至关重要；然而，整合这些相互冲突的功能仍然是一项艰巨的挑战。在这里，我们报告了一种“四氢键封端”策略，以实现高性能可拉伸和可修复的半导体聚合物。通过将与烷基间隔基连接的封端单元之间的四重氢键结合到聚合物主链中，我们设计了一种超分子结构，可实现增强的结晶度和改进的有序堆积，减少 π-π 堆积距离，并在拉伸过程中保持分子有序性，从而实现优异的拉伸性。此外，增强的链流动性以及结构中的动态和可逆氢键位点有助于有效愈合。因此，我们设计的半导体聚合物的迁移率增加了两倍以上，同时在应变下表现出稳定的迁移率保留、愈合后的高迁移率恢复以及完全可拉伸晶体管阵列的可扩展性。这项工作提供了一种有效的分子设计策略，可同时提高有机电子器件的电气性能、机械拉伸性和修复能力。</w:t>
      </w:r>
    </w:p>
    <w:p>
      <w:pPr>
        <w:spacing w:before="0" w:after="200" w:lineRule="auto" w:line="276"/>
      </w:pPr>
      <w:r>
        <w:rPr>
          <w:b/>
        </w:rPr>
        <w:t xml:space="preserve">Abstract (EN): </w:t>
      </w:r>
      <w:r>
        <w:t>Developing intrinsically stretchable and healable semiconducting polymers with high charge‐carrier mobility is critical for next‐generation flexible electronics; however, integrating these conflicting functionalities remains a formidable challenge. Here, we report a “quadruple‐hydrogen‐bonds end‐capping” strategy to realize high‐performance stretchable and healable semiconducting polymers. By incorporating quadruple hydrogen‐bonds between end‐capping units linked with alkyl spacers into polymer backbone, we engineer a supramolecular architecture that achieves enhanced crystallinity and improved ordered packing with reduced π‐π stacking distance, and also superior stretchabillity with molecular‐ordering retention during stretching. Moreover, enhanced chain mobility together with dynamic and reversible and hydrogen‐bonding sites in the architecture contribute to efficient healing. Consequently, our designed semiconducting polymer exhibits a more than 2‐fold increase in mobility, while demonstrating stable mobility retention under strain, high mobility recovery after healing, and scalability in fully stretchable transistor arrays. This work provides an effective molecular design strategy for achieving simultaneous improvements in electrical performance, mechanical stretchability, and healing ability in organic electronics.</w:t>
      </w:r>
    </w:p>
    <w:p>
      <w:pPr>
        <w:spacing w:before="120" w:after="120"/>
      </w:pPr>
      <w:r>
        <w:rPr>
          <w:sz w:val="18"/>
        </w:rPr>
        <w:t>——————————————————————————————————————————————————————————————————————</w:t>
      </w:r>
    </w:p>
    <w:p>
      <w:pPr>
        <w:spacing w:before="160" w:after="40" w:line="240" w:lineRule="auto"/>
      </w:pPr>
      <w:r>
        <w:rPr>
          <w:b/>
        </w:rPr>
        <w:t xml:space="preserve">[223] </w:t>
      </w:r>
      <w:hyperlink r:id="rId673">
        <w:r>
          <w:rPr>
            <w:color w:val="1155CC"/>
            <w:u w:val="single"/>
          </w:rPr>
          <w:t>定义靶向细胞内能量转移的合理光电子路径</w:t>
        </w:r>
      </w:hyperlink>
    </w:p>
    <w:p>
      <w:pPr>
        <w:spacing w:before="0" w:after="80"/>
      </w:pPr>
      <w:r>
        <w:rPr>
          <w:i/>
          <w:sz w:val="20"/>
        </w:rPr>
        <w:t>EN: Defining Rational Photoelectron Routing for Targeted Intracellular Energy Transfer</w:t>
      </w:r>
    </w:p>
    <w:p>
      <w:pPr>
        <w:spacing w:before="0" w:after="120"/>
      </w:pPr>
      <w:r>
        <w:rPr>
          <w:b/>
        </w:rPr>
        <w:t xml:space="preserve">Source: </w:t>
      </w:r>
      <w:r>
        <w:t>Wiley: Angewandte Chemie International Edition: Table of Contents</w:t>
      </w:r>
      <w:r>
        <w:t xml:space="preserve">    </w:t>
      </w:r>
      <w:r>
        <w:rPr>
          <w:b/>
        </w:rPr>
        <w:t xml:space="preserve">Pub date: </w:t>
      </w:r>
      <w:r>
        <w:t>2026-06-16 07:18:26+00:00</w:t>
      </w:r>
      <w:r>
        <w:t xml:space="preserve">    </w:t>
      </w:r>
      <w:r>
        <w:rPr>
          <w:b/>
        </w:rPr>
        <w:t xml:space="preserve">DOI: </w:t>
      </w:r>
      <w:hyperlink r:id="rId674">
        <w:r>
          <w:rPr>
            <w:color w:val="1155CC"/>
            <w:u w:val="single"/>
          </w:rPr>
          <w:t>10.1002/anie.2408585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微生物人工光合作用为光驱动生物制造提供了一种有前途的策略，但其效率仍然受到光生电子非选择性转化为代谢可用还原能的限制，导致能量耗散以及光捕获和代谢反应之间的弱耦合。在这里，我们报告了一种合理的策略，使用核黄素（RF），一种膜渗透性和生物相容性的黄素光敏剂，选择性地将光子能量引导至细胞内 NADPH 再生。量子化学计算和光谱分析表明，光激发 RF 对 NADP 表现出特定的结合亲和力和有利的电子转移趋势</w:t>
      </w:r>
      <w:r>
        <w:t xml:space="preserve"> </w:t>
      </w:r>
      <w:r>
        <w:t>+</w:t>
      </w:r>
      <w:r>
        <w:t xml:space="preserve"> </w:t>
      </w:r>
      <w:r>
        <w:t>。在体内，RF 激活显着提高了细胞内 NADPH 水平，并通过 NADPH 还原酶相关途径增强了 NADPH 依赖性代谢物的合成。转录组学和抑制分析将 RF 介导的 NADPH 再生与 NADP 联系起来</w:t>
      </w:r>
      <w:r>
        <w:t xml:space="preserve"> </w:t>
      </w:r>
      <w:r>
        <w:t>+</w:t>
      </w:r>
      <w:r>
        <w:t xml:space="preserve"> </w:t>
      </w:r>
      <w:r>
        <w:t>/NADPH 氧化还原酶而不是葡萄糖-6-磷酸脱氢酶介导的通量，而 NADH 相关的氧化还原基因基本上不受影响，证明了这种还原途径的选择性。跨物种和多产品验证一致地再现了这些结果，强调了这种机制在不同的 NADPH 依赖性微生物底盘中的普遍性。这项工作建立了一个机械定义且广泛适用的框架，用于将光生电子引导到特定的区域。</w:t>
      </w:r>
    </w:p>
    <w:p>
      <w:pPr>
        <w:spacing w:before="0" w:after="200" w:lineRule="auto" w:line="276"/>
      </w:pPr>
      <w:r>
        <w:rPr>
          <w:b/>
        </w:rPr>
        <w:t xml:space="preserve">Abstract (EN): </w:t>
      </w:r>
      <w:r>
        <w:t>Microbial artificial photosynthesis offers a promising strategy for light‐driven biomanufacturing, yet its efficiency remains limited by the non‐selective conversion of photogenerated electrons into metabolically usable reducing power, causing energy dissipation and weak coupling between light capture and metabolic reactions. Here, we report a rational strategy using riboflavin (RF), a membrane‐permeable and biocompatible flavin photosensitizer, to selectively channel photonic energy into intracellular NADPH regeneration. Quantum chemical calculations and spectroscopic analyses reveal that light‐excited RF exhibits a specific binding affinity and favorable electron transfer trend toward NADP</w:t>
      </w:r>
      <w:r>
        <w:t xml:space="preserve"> </w:t>
      </w:r>
      <w:r>
        <w:t>+</w:t>
      </w:r>
      <w:r>
        <w:t xml:space="preserve"> </w:t>
      </w:r>
      <w:r>
        <w:t>. In vivo, RF activation markedly elevated intracellular NADPH levels and enhanced the synthesis of NADPH‐dependent metabolites through NADPH reductase‐associated pathways. Transcriptomic and inhibition analyses linked RF‐mediated NADPH regeneration to NADP</w:t>
      </w:r>
      <w:r>
        <w:t xml:space="preserve"> </w:t>
      </w:r>
      <w:r>
        <w:t>+</w:t>
      </w:r>
      <w:r>
        <w:t xml:space="preserve"> </w:t>
      </w:r>
      <w:r>
        <w:t>/NADPH redox enzymes rather than glucose‐6‐phosphate dehydrogenase‐mediated flux, while NADH‐related redox genes remained largely unaffected, demonstrating the selectivity of this reductive route. Cross‐species and multi‐product validations consistently reproduced these results, underscoring the generality of this mechanism across distinct NADPH‐dependent microbial chassis. This work establishes a mechanistically defined and broadly applicable framework for directing photogenerated electrons into specific cellular reducing equivalents, paving the way for efficient artificial photosynthetic and bioelectrochemical platforms.</w:t>
      </w:r>
    </w:p>
    <w:p>
      <w:pPr>
        <w:spacing w:before="120" w:after="120"/>
      </w:pPr>
      <w:r>
        <w:rPr>
          <w:sz w:val="18"/>
        </w:rPr>
        <w:t>——————————————————————————————————————————————————————————————————————</w:t>
      </w:r>
    </w:p>
    <w:p>
      <w:pPr>
        <w:spacing w:before="160" w:after="40" w:line="240" w:lineRule="auto"/>
      </w:pPr>
      <w:r>
        <w:rPr>
          <w:b/>
        </w:rPr>
        <w:t xml:space="preserve">[224] </w:t>
      </w:r>
      <w:hyperlink r:id="rId675">
        <w:r>
          <w:rPr>
            <w:color w:val="1155CC"/>
            <w:u w:val="single"/>
          </w:rPr>
          <w:t>卷起过渡金属硫属化物/氧化物异质结构可实现极性可调和高开关忆阻器</w:t>
        </w:r>
      </w:hyperlink>
    </w:p>
    <w:p>
      <w:pPr>
        <w:spacing w:before="0" w:after="80"/>
      </w:pPr>
      <w:r>
        <w:rPr>
          <w:i/>
          <w:sz w:val="20"/>
        </w:rPr>
        <w:t>EN: Rolling Up Transition Metal Chalcogenides/Oxide Heterostructures Enables Polarity‐Tunable and High‐Switchable Memristors</w:t>
      </w:r>
    </w:p>
    <w:p>
      <w:pPr>
        <w:spacing w:before="0" w:after="120"/>
      </w:pPr>
      <w:r>
        <w:rPr>
          <w:b/>
        </w:rPr>
        <w:t xml:space="preserve">Source: </w:t>
      </w:r>
      <w:r>
        <w:t>Wiley: Advanced Materials: Table of Contents</w:t>
      </w:r>
      <w:r>
        <w:t xml:space="preserve">    </w:t>
      </w:r>
      <w:r>
        <w:rPr>
          <w:b/>
        </w:rPr>
        <w:t xml:space="preserve">Pub date: </w:t>
      </w:r>
      <w:r>
        <w:t>2026-06-16 07:18:27+00:00</w:t>
      </w:r>
      <w:r>
        <w:t xml:space="preserve">    </w:t>
      </w:r>
      <w:r>
        <w:rPr>
          <w:b/>
        </w:rPr>
        <w:t xml:space="preserve">DOI: </w:t>
      </w:r>
      <w:hyperlink r:id="rId676">
        <w:r>
          <w:rPr>
            <w:color w:val="1155CC"/>
            <w:u w:val="single"/>
          </w:rPr>
          <w:t>10.1002/adma.202522853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利用过渡金属二硫化物（TMDC）作为忆阻器，为实现高密度数据存储和神经形态功能提供了一条有前途的途径。然而单一的工作模式和不足的开关比极大地限制了器件的最终性能。在这里，我们通过卷起氧化物/TMDC异质结构设计并构建了一种基于高阶超晶格的忆阻器，该忆阻器具有可调节的电阻切换极性和高开/关比。通过精细控制的氧等离子体创建四种类型的异质结构，将顶部几层原位氧化成均匀的过渡金属氧化物。利用有机试剂中的毛细管力来驱动这些异质结构自发卷起。横截面扫描透射电子显微镜和相应的元素图清晰地解析了所形成的具有交替堆叠的TMDCs和氧化物的高阶氧化物/TMDCs超晶格。通过预设的氧化层提供移动氧原子，在垂直隧道电流测量中实现了基于高阶超晶格的忆阻器的双极电阻切换。相反，当顶部和底部电极以交错配置布置时，导电丝的空间限制将开关行为转换为单极模式。此外，这种极性可调忆阻器表现出出色的开/关比，约为 10</w:t>
      </w:r>
      <w:r>
        <w:rPr>
          <w:vertAlign w:val="subscript"/>
        </w:rPr>
        <w:t>7</w:t>
      </w:r>
      <w:r>
        <w:t>和强大的多级电阻性能。我们的工作开辟了一条新途径</w:t>
      </w:r>
    </w:p>
    <w:p>
      <w:pPr>
        <w:spacing w:before="0" w:after="200" w:lineRule="auto" w:line="276"/>
      </w:pPr>
      <w:r>
        <w:rPr>
          <w:b/>
        </w:rPr>
        <w:t xml:space="preserve">Abstract (EN): </w:t>
      </w:r>
      <w:r>
        <w:t>Harnessing transition metal dichalcogenides (TMDCs) for memristors provides a promising pathway toward high‐density data storage and neuromorphic functionalities. Yet the single operation mode and insufficient on/off ratio extremely restrict the ultimate device performance. Here, we design and construct a high‐order superlattice‐based memristor by rolling up oxide/TMDCs heterostructures, which exhibits tunable resistive switching polarity and a high on/off ratio. Four types of heterostructures are created via fine‐controlled oxygen plasma to in situ oxidize the top few layers into uniform transition metal oxide. Capillary forces in organic reagents are utilized to drive these heterostructures to spontaneously roll up. The as‐formed high‐order oxide/TMDCs superlattices with alternately stacked TMDCs and oxides are clearly resolved by the cross‐section scanning transmission electron microscope and corresponding elemental mappings. With pre‐set oxide layers supplying mobile oxygen atoms, bipolar resistive switching of the high‐order superlattice‐based memristors is realized in vertical tunneling current measurements. In contrast, when the top and bottom electrodes are arranged in an interleaved configuration, the spatial confinement of conductive filaments converts the switching behavior into a unipolar mode. Furthermore, this polarity‐tunable memristor exhibits an outstanding on/off ratio of approximately 10</w:t>
      </w:r>
      <w:r>
        <w:rPr>
          <w:vertAlign w:val="subscript"/>
        </w:rPr>
        <w:t>7</w:t>
      </w:r>
      <w:r>
        <w:t>and a robust multilevel resistance performance. Our work opens a new avenue for the fundamental design of high‐performance and multimodal memristors.</w:t>
      </w:r>
    </w:p>
    <w:p>
      <w:pPr>
        <w:spacing w:before="120" w:after="120"/>
      </w:pPr>
      <w:r>
        <w:rPr>
          <w:sz w:val="18"/>
        </w:rPr>
        <w:t>——————————————————————————————————————————————————————————————————————</w:t>
      </w:r>
    </w:p>
    <w:p>
      <w:pPr>
        <w:spacing w:before="160" w:after="40" w:line="240" w:lineRule="auto"/>
      </w:pPr>
      <w:r>
        <w:rPr>
          <w:b/>
        </w:rPr>
        <w:t xml:space="preserve">[225] </w:t>
      </w:r>
      <w:hyperlink r:id="rId677">
        <w:r>
          <w:rPr>
            <w:color w:val="1155CC"/>
            <w:u w:val="single"/>
          </w:rPr>
          <w:t>量子近似优化算法的自旋玻色子映射</w:t>
        </w:r>
      </w:hyperlink>
    </w:p>
    <w:p>
      <w:pPr>
        <w:spacing w:before="0" w:after="80"/>
      </w:pPr>
      <w:r>
        <w:rPr>
          <w:i/>
          <w:sz w:val="20"/>
        </w:rPr>
        <w:t>EN: Spin–Boson Mapping of the Quantum Approximate Optimization Algorithm</w:t>
      </w:r>
    </w:p>
    <w:p>
      <w:pPr>
        <w:spacing w:before="0" w:after="120"/>
      </w:pPr>
      <w:r>
        <w:rPr>
          <w:b/>
        </w:rPr>
        <w:t xml:space="preserve">Source: </w:t>
      </w:r>
      <w:r>
        <w:t>Recent Articles in Phys. Rev. Lett.</w:t>
      </w:r>
      <w:r>
        <w:t xml:space="preserve">    </w:t>
      </w:r>
      <w:r>
        <w:rPr>
          <w:b/>
        </w:rPr>
        <w:t xml:space="preserve">Pub date: </w:t>
      </w:r>
      <w:r>
        <w:t>2026-06-16 10:00:00+00:00</w:t>
      </w:r>
      <w:r>
        <w:t xml:space="preserve">    </w:t>
      </w:r>
      <w:r>
        <w:rPr>
          <w:b/>
        </w:rPr>
        <w:t xml:space="preserve">DOI: </w:t>
      </w:r>
      <w:hyperlink r:id="rId678">
        <w:r>
          <w:rPr>
            <w:color w:val="1155CC"/>
            <w:u w:val="single"/>
          </w:rPr>
          <w:t>10.1103/2w94-rymn</w:t>
        </w:r>
      </w:hyperlink>
    </w:p>
    <w:p>
      <w:pPr>
        <w:spacing w:before="0" w:after="120"/>
      </w:pPr>
      <w:r>
        <w:rPr>
          <w:b/>
        </w:rPr>
        <w:t xml:space="preserve">Notes: </w:t>
      </w:r>
      <w:r>
        <w:t>abstract_source=rss_description</w:t>
      </w:r>
    </w:p>
    <w:p>
      <w:pPr>
        <w:spacing w:before="0" w:after="80" w:lineRule="auto" w:line="276"/>
      </w:pPr>
      <w:r>
        <w:rPr>
          <w:b/>
        </w:rPr>
        <w:t xml:space="preserve">摘要（ZH）: </w:t>
      </w:r>
      <w:r>
        <w:t>作者：Sami Boulebnane、Abid Khan、Minzhao Liu、Jeffrey Larson、Dylan Herman、Ruslan Shaydulin 和 Marco Pistoia 量子近似优化算法 (QAOA) 实现了电路深度 $p$ 的单调改进性能，但现有精确评估技术的 $p$ 成本呈指数增长，阻碍了对高深度状态的研究。在这封信中，我们证明，在无限……[物理。莱特牧师。 136, 240601] 2026 年 6 月 16 日星期二发布</w:t>
      </w:r>
    </w:p>
    <w:p>
      <w:pPr>
        <w:spacing w:before="0" w:after="200" w:lineRule="auto" w:line="276"/>
      </w:pPr>
      <w:r>
        <w:rPr>
          <w:b/>
        </w:rPr>
        <w:t xml:space="preserve">Abstract (EN): </w:t>
      </w:r>
      <w:r>
        <w:t>Author(s): Sami Boulebnane, Abid Khan, Minzhao Liu, Jeffrey Larson, Dylan Herman, Ruslan Shaydulin, and Marco PistoiaThe quantum approximate optimization algorithm (QAOA) achieves monotonically improving performance with circuit depth $p$, yet the study of the high-depth regime has been obstructed by the exponential in $p$ cost of existing exact evaluation techniques. In this Letter, we prove that, in the infinite…[Phys. Rev. Lett. 136, 240601] Published Tue Jun 16, 2026</w:t>
      </w:r>
    </w:p>
    <w:p>
      <w:pPr>
        <w:spacing w:before="120" w:after="120"/>
      </w:pPr>
      <w:r>
        <w:rPr>
          <w:sz w:val="18"/>
        </w:rPr>
        <w:t>——————————————————————————————————————————————————————————————————————</w:t>
      </w:r>
    </w:p>
    <w:p>
      <w:pPr>
        <w:spacing w:before="160" w:after="40" w:line="240" w:lineRule="auto"/>
      </w:pPr>
      <w:r>
        <w:rPr>
          <w:b/>
        </w:rPr>
        <w:t xml:space="preserve">[226] </w:t>
      </w:r>
      <w:hyperlink r:id="rId679">
        <w:r>
          <w:rPr>
            <w:color w:val="1155CC"/>
            <w:u w:val="single"/>
          </w:rPr>
          <w:t>氘核永久电偶极矩的首次实验极限</w:t>
        </w:r>
      </w:hyperlink>
    </w:p>
    <w:p>
      <w:pPr>
        <w:spacing w:before="0" w:after="80"/>
      </w:pPr>
      <w:r>
        <w:rPr>
          <w:i/>
          <w:sz w:val="20"/>
        </w:rPr>
        <w:t>EN: First Experimental Limit on the Permanent Electric Dipole Moment of the Deuteron</w:t>
      </w:r>
    </w:p>
    <w:p>
      <w:pPr>
        <w:spacing w:before="0" w:after="120"/>
      </w:pPr>
      <w:r>
        <w:rPr>
          <w:b/>
        </w:rPr>
        <w:t xml:space="preserve">Source: </w:t>
      </w:r>
      <w:r>
        <w:t>Recent Articles in Phys. Rev. Lett.</w:t>
      </w:r>
      <w:r>
        <w:t xml:space="preserve">    </w:t>
      </w:r>
      <w:r>
        <w:rPr>
          <w:b/>
        </w:rPr>
        <w:t xml:space="preserve">Pub date: </w:t>
      </w:r>
      <w:r>
        <w:t>2026-06-16 10:00:00+00:00</w:t>
      </w:r>
      <w:r>
        <w:t xml:space="preserve">    </w:t>
      </w:r>
      <w:r>
        <w:rPr>
          <w:b/>
        </w:rPr>
        <w:t xml:space="preserve">DOI: </w:t>
      </w:r>
      <w:hyperlink r:id="rId680">
        <w:r>
          <w:rPr>
            <w:color w:val="1155CC"/>
            <w:u w:val="single"/>
          </w:rPr>
          <w:t>10.1103/ns3s-ld4k</w:t>
        </w:r>
      </w:hyperlink>
    </w:p>
    <w:p>
      <w:pPr>
        <w:spacing w:before="0" w:after="120"/>
      </w:pPr>
      <w:r>
        <w:rPr>
          <w:b/>
        </w:rPr>
        <w:t xml:space="preserve">Notes: </w:t>
      </w:r>
      <w:r>
        <w:t>abstract_source=rss_description</w:t>
      </w:r>
    </w:p>
    <w:p>
      <w:pPr>
        <w:spacing w:before="0" w:after="80" w:lineRule="auto" w:line="276"/>
      </w:pPr>
      <w:r>
        <w:rPr>
          <w:b/>
        </w:rPr>
        <w:t xml:space="preserve">摘要（ZH）: </w:t>
      </w:r>
      <w:r>
        <w:t>作者：A. Andres 等人。 （JEDI 协作）永久电偶极矩 (EDM) 提供了超出标准模型的灵敏物理学探测，并且与 $CP$ 违反的其他来源直接相关，可以解释宇宙的物质与反物质不对称性。存储环中带电粒子的 EDM 测量依赖于 d…[Phys.莱特牧师。 136, 241801] 2026 年 6 月 16 日星期二发布</w:t>
      </w:r>
    </w:p>
    <w:p>
      <w:pPr>
        <w:spacing w:before="0" w:after="200" w:lineRule="auto" w:line="276"/>
      </w:pPr>
      <w:r>
        <w:rPr>
          <w:b/>
        </w:rPr>
        <w:t xml:space="preserve">Abstract (EN): </w:t>
      </w:r>
      <w:r>
        <w:t>Author(s): A. Andres et al. (JEDI Collaboration)Permanent electric dipole moments (EDMs) provide a sensitive probe of physics beyond the standard model and are directly linked to additional sources of $CP$ violation that could explain the matter-antimatter asymmetry of the Universe. EDM measurements of charged particles in storage rings rely on d…[Phys. Rev. Lett. 136, 241801] Published Tue Jun 16, 2026</w:t>
      </w:r>
    </w:p>
    <w:p>
      <w:pPr>
        <w:spacing w:before="120" w:after="120"/>
      </w:pPr>
      <w:r>
        <w:rPr>
          <w:sz w:val="18"/>
        </w:rPr>
        <w:t>——————————————————————————————————————————————————————————————————————</w:t>
      </w:r>
    </w:p>
    <w:p>
      <w:pPr>
        <w:spacing w:before="160" w:after="40" w:line="240" w:lineRule="auto"/>
      </w:pPr>
      <w:r>
        <w:rPr>
          <w:b/>
        </w:rPr>
        <w:t xml:space="preserve">[227] </w:t>
      </w:r>
      <w:hyperlink r:id="rId681">
        <w:r>
          <w:rPr>
            <w:color w:val="1155CC"/>
            <w:u w:val="single"/>
          </w:rPr>
          <w:t>辐射衰变观测${D}_{s0}^{*}(2317{)}^{+}→{D}_{s}^{*+}γ$</w:t>
        </w:r>
      </w:hyperlink>
    </w:p>
    <w:p>
      <w:pPr>
        <w:spacing w:before="0" w:after="80"/>
      </w:pPr>
      <w:r>
        <w:rPr>
          <w:i/>
          <w:sz w:val="20"/>
        </w:rPr>
        <w:t>EN: Observation of the Radiative Decay ${D}_{s0}^{*}(2317{)}^{+}→{D}_{s}^{*+}γ$</w:t>
      </w:r>
    </w:p>
    <w:p>
      <w:pPr>
        <w:spacing w:before="0" w:after="120"/>
      </w:pPr>
      <w:r>
        <w:rPr>
          <w:b/>
        </w:rPr>
        <w:t xml:space="preserve">Source: </w:t>
      </w:r>
      <w:r>
        <w:t>Recent Articles in Phys. Rev. Lett.</w:t>
      </w:r>
      <w:r>
        <w:t xml:space="preserve">    </w:t>
      </w:r>
      <w:r>
        <w:rPr>
          <w:b/>
        </w:rPr>
        <w:t xml:space="preserve">Pub date: </w:t>
      </w:r>
      <w:r>
        <w:t>2026-06-16 10:00:00+00:00</w:t>
      </w:r>
      <w:r>
        <w:t xml:space="preserve">    </w:t>
      </w:r>
      <w:r>
        <w:rPr>
          <w:b/>
        </w:rPr>
        <w:t xml:space="preserve">DOI: </w:t>
      </w:r>
      <w:hyperlink r:id="rId682">
        <w:r>
          <w:rPr>
            <w:color w:val="1155CC"/>
            <w:u w:val="single"/>
          </w:rPr>
          <w:t>10.1103/vcld-225s</w:t>
        </w:r>
      </w:hyperlink>
    </w:p>
    <w:p>
      <w:pPr>
        <w:spacing w:before="0" w:after="120"/>
      </w:pPr>
      <w:r>
        <w:rPr>
          <w:b/>
        </w:rPr>
        <w:t xml:space="preserve">Notes: </w:t>
      </w:r>
      <w:r>
        <w:t>abstract_source=rss_description</w:t>
      </w:r>
    </w:p>
    <w:p>
      <w:pPr>
        <w:spacing w:before="0" w:after="80" w:lineRule="auto" w:line="276"/>
      </w:pPr>
      <w:r>
        <w:rPr>
          <w:b/>
        </w:rPr>
        <w:t xml:space="preserve">摘要（ZH）: </w:t>
      </w:r>
      <w:r>
        <w:t>作者：M. Abumusabh 等人。 （Belle 和 Belle II 合作）奇异介子的光子发射衰变为了解粒子长期争论的结构打开了一扇窗户。莱特牧师。 136, 241901] 2026 年 6 月 16 日星期二发布</w:t>
      </w:r>
    </w:p>
    <w:p>
      <w:pPr>
        <w:spacing w:before="0" w:after="200" w:lineRule="auto" w:line="276"/>
      </w:pPr>
      <w:r>
        <w:rPr>
          <w:b/>
        </w:rPr>
        <w:t xml:space="preserve">Abstract (EN): </w:t>
      </w:r>
      <w:r>
        <w:t>Author(s): M. Abumusabh et al. (Belle and Belle II Collaboration)An exotic meson’s photon-emitting decay opens a window into the particle’s long-debated structure.[Phys. Rev. Lett. 136, 241901] Published Tue Jun 16, 2026</w:t>
      </w:r>
    </w:p>
    <w:p>
      <w:pPr>
        <w:spacing w:before="120" w:after="120"/>
      </w:pPr>
      <w:r>
        <w:rPr>
          <w:sz w:val="18"/>
        </w:rPr>
        <w:t>——————————————————————————————————————————————————————————————————————</w:t>
      </w:r>
    </w:p>
    <w:p>
      <w:pPr>
        <w:spacing w:before="160" w:after="40" w:line="240" w:lineRule="auto"/>
      </w:pPr>
      <w:r>
        <w:rPr>
          <w:b/>
        </w:rPr>
        <w:t xml:space="preserve">[228] </w:t>
      </w:r>
      <w:hyperlink r:id="rId683">
        <w:r>
          <w:rPr>
            <w:color w:val="1155CC"/>
            <w:u w:val="single"/>
          </w:rPr>
          <w:t>利用里德堡原子光谱探测超冷气体中的巴丁-库珀-施里弗配对和准粒子形成</w:t>
        </w:r>
      </w:hyperlink>
    </w:p>
    <w:p>
      <w:pPr>
        <w:spacing w:before="0" w:after="80"/>
      </w:pPr>
      <w:r>
        <w:rPr>
          <w:i/>
          <w:sz w:val="20"/>
        </w:rPr>
        <w:t>EN: Probing Bardeen-Cooper-Schrieffer Pairing and Quasiparticle Formation in Ultracold Gases by Rydberg Atom Spectroscopy</w:t>
      </w:r>
    </w:p>
    <w:p>
      <w:pPr>
        <w:spacing w:before="0" w:after="120"/>
      </w:pPr>
      <w:r>
        <w:rPr>
          <w:b/>
        </w:rPr>
        <w:t xml:space="preserve">Source: </w:t>
      </w:r>
      <w:r>
        <w:t>Recent Articles in Phys. Rev. Lett.</w:t>
      </w:r>
      <w:r>
        <w:t xml:space="preserve">    </w:t>
      </w:r>
      <w:r>
        <w:rPr>
          <w:b/>
        </w:rPr>
        <w:t xml:space="preserve">Pub date: </w:t>
      </w:r>
      <w:r>
        <w:t>2026-06-16 10:00:00+00:00</w:t>
      </w:r>
      <w:r>
        <w:t xml:space="preserve">    </w:t>
      </w:r>
      <w:r>
        <w:rPr>
          <w:b/>
        </w:rPr>
        <w:t xml:space="preserve">DOI: </w:t>
      </w:r>
      <w:hyperlink r:id="rId684">
        <w:r>
          <w:rPr>
            <w:color w:val="1155CC"/>
            <w:u w:val="single"/>
          </w:rPr>
          <w:t>10.1103/3js1-2zc1</w:t>
        </w:r>
      </w:hyperlink>
    </w:p>
    <w:p>
      <w:pPr>
        <w:spacing w:before="0" w:after="120"/>
      </w:pPr>
      <w:r>
        <w:rPr>
          <w:b/>
        </w:rPr>
        <w:t xml:space="preserve">Notes: </w:t>
      </w:r>
      <w:r>
        <w:t>abstract_source=rss_description</w:t>
      </w:r>
    </w:p>
    <w:p>
      <w:pPr>
        <w:spacing w:before="0" w:after="80" w:lineRule="auto" w:line="276"/>
      </w:pPr>
      <w:r>
        <w:rPr>
          <w:b/>
        </w:rPr>
        <w:t xml:space="preserve">摘要（ZH）: </w:t>
      </w:r>
      <w:r>
        <w:t>作者：埃米利奥·拉莫斯·罗德里格斯、马塞尔·吉弗斯和理查德·施密特从微观到宏观尺度局部探测费米子超流体的配对一直是一个长期存在的挑战。在这里，我们研究了一种新方法，该方法使用里德伯杂质作为超冷成对费米子周围强相关态的光谱传感器。电子......[物理。莱特牧师。 136, 243401] 2026 年 6 月 16 日星期二发布</w:t>
      </w:r>
    </w:p>
    <w:p>
      <w:pPr>
        <w:spacing w:before="0" w:after="200" w:lineRule="auto" w:line="276"/>
      </w:pPr>
      <w:r>
        <w:rPr>
          <w:b/>
        </w:rPr>
        <w:t xml:space="preserve">Abstract (EN): </w:t>
      </w:r>
      <w:r>
        <w:t>Author(s): Emilio Ramos Rodríguez, Marcel Gievers, and Richard SchmidtLocally probing pairing in fermionic superfluids, ranging from micro- to macroscopic scales, has been a long-standing challenge. Here, we investigate a new approach that uses Rydberg impurities as a spectroscopic sensor of the surrounding strongly correlated state of ultracold paired fermions. The e…[Phys. Rev. Lett. 136, 243401] Published Tue Jun 16, 2026</w:t>
      </w:r>
    </w:p>
    <w:p>
      <w:pPr>
        <w:spacing w:before="120" w:after="120"/>
      </w:pPr>
      <w:r>
        <w:rPr>
          <w:sz w:val="18"/>
        </w:rPr>
        <w:t>——————————————————————————————————————————————————————————————————————</w:t>
      </w:r>
    </w:p>
    <w:p>
      <w:pPr>
        <w:spacing w:before="160" w:after="40" w:line="240" w:lineRule="auto"/>
      </w:pPr>
      <w:r>
        <w:rPr>
          <w:b/>
        </w:rPr>
        <w:t xml:space="preserve">[229] </w:t>
      </w:r>
      <w:hyperlink r:id="rId685">
        <w:r>
          <w:rPr>
            <w:color w:val="1155CC"/>
            <w:u w:val="single"/>
          </w:rPr>
          <w:t>通过 MONUMENT 实验确定 $^{76}\mathrm{Se}$ 中的 μ 子寿命</w:t>
        </w:r>
      </w:hyperlink>
    </w:p>
    <w:p>
      <w:pPr>
        <w:spacing w:before="0" w:after="80"/>
      </w:pPr>
      <w:r>
        <w:rPr>
          <w:i/>
          <w:sz w:val="20"/>
        </w:rPr>
        <w:t>EN: Determination of the muon lifetime in $^{76}\mathrm{Se}$ with the MONUMENT experiment</w:t>
      </w:r>
    </w:p>
    <w:p>
      <w:pPr>
        <w:spacing w:before="0" w:after="120"/>
      </w:pPr>
      <w:r>
        <w:rPr>
          <w:b/>
        </w:rPr>
        <w:t xml:space="preserve">Source: </w:t>
      </w:r>
      <w:r>
        <w:t>Recent Articles in Phys. Rev. C</w:t>
      </w:r>
      <w:r>
        <w:t xml:space="preserve">    </w:t>
      </w:r>
      <w:r>
        <w:rPr>
          <w:b/>
        </w:rPr>
        <w:t xml:space="preserve">Pub date: </w:t>
      </w:r>
      <w:r>
        <w:t>2026-06-16 10:00:00+00:00</w:t>
      </w:r>
      <w:r>
        <w:t xml:space="preserve">    </w:t>
      </w:r>
      <w:r>
        <w:rPr>
          <w:b/>
        </w:rPr>
        <w:t xml:space="preserve">DOI: </w:t>
      </w:r>
      <w:hyperlink r:id="rId686">
        <w:r>
          <w:rPr>
            <w:color w:val="1155CC"/>
            <w:u w:val="single"/>
          </w:rPr>
          <w:t>10.1103/ky7q-nbr7</w:t>
        </w:r>
      </w:hyperlink>
    </w:p>
    <w:p>
      <w:pPr>
        <w:spacing w:before="0" w:after="120"/>
      </w:pPr>
      <w:r>
        <w:rPr>
          <w:b/>
        </w:rPr>
        <w:t xml:space="preserve">Notes: </w:t>
      </w:r>
      <w:r>
        <w:t>abstract_source=rss_description</w:t>
      </w:r>
    </w:p>
    <w:p>
      <w:pPr>
        <w:spacing w:before="0" w:after="80" w:lineRule="auto" w:line="276"/>
      </w:pPr>
      <w:r>
        <w:rPr>
          <w:b/>
        </w:rPr>
        <w:t xml:space="preserve">摘要（ZH）: </w:t>
      </w:r>
      <w:r>
        <w:t>作者：G. R. Araujo 等人（MONUMENT 合作）普通 μ 子俘获为可比较动量传递条件下的无中微子 39 双 β 衰变的核物理模型提供了基准。总捕获强度定义了μ子原子的寿命。 $^{76}\mathrm{Se}$ 中的 μ 子寿命，$^{76}\ma 的子核…[Phys.修订版 C 113, 064613] 于 2026 年 6 月 16 日星期二发布</w:t>
      </w:r>
    </w:p>
    <w:p>
      <w:pPr>
        <w:spacing w:before="0" w:after="200" w:lineRule="auto" w:line="276"/>
      </w:pPr>
      <w:r>
        <w:rPr>
          <w:b/>
        </w:rPr>
        <w:t xml:space="preserve">Abstract (EN): </w:t>
      </w:r>
      <w:r>
        <w:t>Author(s): G. R. Araujo et al. (MONUMENT Collaboration)Ordinary muon capture provides a benchmark for the nuclear physics models of neutrinoless 39 double beta decay under comparable momentum transfer conditions. The total capture strength defines the lifetime of the muonic atom. The muon lifetime in $^{76}\mathrm{Se}$, the daughter nucleus of $^{76}\ma…[Phys. Rev. C 113, 064613] Published Tue Jun 16, 2026</w:t>
      </w:r>
    </w:p>
    <w:p>
      <w:pPr>
        <w:spacing w:before="120" w:after="120"/>
      </w:pPr>
      <w:r>
        <w:rPr>
          <w:sz w:val="18"/>
        </w:rPr>
        <w:t>——————————————————————————————————————————————————————————————————————</w:t>
      </w:r>
    </w:p>
    <w:p>
      <w:pPr>
        <w:spacing w:before="160" w:after="40" w:line="240" w:lineRule="auto"/>
      </w:pPr>
      <w:r>
        <w:rPr>
          <w:b/>
        </w:rPr>
        <w:t xml:space="preserve">[230] </w:t>
      </w:r>
      <w:hyperlink r:id="rId687">
        <w:r>
          <w:rPr>
            <w:color w:val="1155CC"/>
            <w:u w:val="single"/>
          </w:rPr>
          <w:t>大型费米系统的局域量子冷却与配对</w:t>
        </w:r>
      </w:hyperlink>
    </w:p>
    <w:p>
      <w:pPr>
        <w:spacing w:before="0" w:after="80"/>
      </w:pPr>
      <w:r>
        <w:rPr>
          <w:i/>
          <w:sz w:val="20"/>
        </w:rPr>
        <w:t>EN: Local quantum cooling for large Fermi systems with pairing</w:t>
      </w:r>
    </w:p>
    <w:p>
      <w:pPr>
        <w:spacing w:before="0" w:after="120"/>
      </w:pPr>
      <w:r>
        <w:rPr>
          <w:b/>
        </w:rPr>
        <w:t xml:space="preserve">Source: </w:t>
      </w:r>
      <w:r>
        <w:t>Recent Articles in Phys. Rev. C</w:t>
      </w:r>
      <w:r>
        <w:t xml:space="preserve">    </w:t>
      </w:r>
      <w:r>
        <w:rPr>
          <w:b/>
        </w:rPr>
        <w:t xml:space="preserve">Pub date: </w:t>
      </w:r>
      <w:r>
        <w:t>2026-06-16 10:00:00+00:00</w:t>
      </w:r>
      <w:r>
        <w:t xml:space="preserve">    </w:t>
      </w:r>
      <w:r>
        <w:rPr>
          <w:b/>
        </w:rPr>
        <w:t xml:space="preserve">DOI: </w:t>
      </w:r>
      <w:hyperlink r:id="rId688">
        <w:r>
          <w:rPr>
            <w:color w:val="1155CC"/>
            <w:u w:val="single"/>
          </w:rPr>
          <w:t>10.1103/723d-pspf</w:t>
        </w:r>
      </w:hyperlink>
    </w:p>
    <w:p>
      <w:pPr>
        <w:spacing w:before="0" w:after="120"/>
      </w:pPr>
      <w:r>
        <w:rPr>
          <w:b/>
        </w:rPr>
        <w:t xml:space="preserve">Notes: </w:t>
      </w:r>
      <w:r>
        <w:t>abstract_source=rss_description</w:t>
      </w:r>
    </w:p>
    <w:p>
      <w:pPr>
        <w:spacing w:before="0" w:after="80" w:lineRule="auto" w:line="276"/>
      </w:pPr>
      <w:r>
        <w:rPr>
          <w:b/>
        </w:rPr>
        <w:t xml:space="preserve">摘要（ZH）: </w:t>
      </w:r>
      <w:r>
        <w:t>作者：J. E. Alba-Arroyo、Daniel Pęcak、Michael McNeil Forbes 和 Gabriel Wlazłowski 我们提出了一个局部量子冷却框架，可以有效地应用于大规模费米系统。该方法引入局部埃尔米特算子作为冷却势，同时严格保持时间演化的幺正性。我们的配方可以很好地适应系统尺寸，并且可以......[Phys。 Rev. C 113, 065805] 2026 年 6 月 16 日星期二发布</w:t>
      </w:r>
    </w:p>
    <w:p>
      <w:pPr>
        <w:spacing w:before="0" w:after="200" w:lineRule="auto" w:line="276"/>
      </w:pPr>
      <w:r>
        <w:rPr>
          <w:b/>
        </w:rPr>
        <w:t xml:space="preserve">Abstract (EN): </w:t>
      </w:r>
      <w:r>
        <w:t>Author(s): J. E. Alba-Arroyo, Daniel Pęcak, Michael McNeil Forbes, and Gabriel WlazłowskiWe present a framework for local quantum cooling that can be efficiently applied to large-scale Fermi systems. The method introduces local Hermitian operators as a cooling potential while strictly preserving the unitarity of time evolution. Our formulation scales favorably with system size and can b…[Phys. Rev. C 113, 065805] Published Tue Jun 16, 2026</w:t>
      </w:r>
    </w:p>
    <w:p>
      <w:pPr>
        <w:spacing w:before="120" w:after="120"/>
      </w:pPr>
      <w:r>
        <w:rPr>
          <w:sz w:val="18"/>
        </w:rPr>
        <w:t>——————————————————————————————————————————————————————————————————————</w:t>
      </w:r>
    </w:p>
    <w:p>
      <w:pPr>
        <w:spacing w:before="160" w:after="40" w:line="240" w:lineRule="auto"/>
      </w:pPr>
      <w:r>
        <w:rPr>
          <w:b/>
        </w:rPr>
        <w:t xml:space="preserve">[231] </w:t>
      </w:r>
      <w:hyperlink r:id="rId689">
        <w:r>
          <w:rPr>
            <w:color w:val="1155CC"/>
            <w:u w:val="single"/>
          </w:rPr>
          <w:t>共形场论和精确边际算子的连续族</w:t>
        </w:r>
      </w:hyperlink>
    </w:p>
    <w:p>
      <w:pPr>
        <w:spacing w:before="0" w:after="80"/>
      </w:pPr>
      <w:r>
        <w:rPr>
          <w:i/>
          <w:sz w:val="20"/>
        </w:rPr>
        <w:t>EN: Continuous Family of Conformal Field Theories and Exactly Marginal Operators</w:t>
      </w:r>
    </w:p>
    <w:p>
      <w:pPr>
        <w:spacing w:before="0" w:after="120"/>
      </w:pPr>
      <w:r>
        <w:rPr>
          <w:b/>
        </w:rPr>
        <w:t xml:space="preserve">Source: </w:t>
      </w:r>
      <w:r>
        <w:t>Recent Articles in Phys. Rev. Lett.</w:t>
      </w:r>
      <w:r>
        <w:t xml:space="preserve">    </w:t>
      </w:r>
      <w:r>
        <w:rPr>
          <w:b/>
        </w:rPr>
        <w:t xml:space="preserve">Pub date: </w:t>
      </w:r>
      <w:r>
        <w:t>2026-06-16 10:00:00+00:00</w:t>
      </w:r>
      <w:r>
        <w:t xml:space="preserve">    </w:t>
      </w:r>
      <w:r>
        <w:rPr>
          <w:b/>
        </w:rPr>
        <w:t xml:space="preserve">DOI: </w:t>
      </w:r>
      <w:hyperlink r:id="rId690">
        <w:r>
          <w:rPr>
            <w:color w:val="1155CC"/>
            <w:u w:val="single"/>
          </w:rPr>
          <w:t>10.1103/4759-7qj2</w:t>
        </w:r>
      </w:hyperlink>
    </w:p>
    <w:p>
      <w:pPr>
        <w:spacing w:before="0" w:after="120"/>
      </w:pPr>
      <w:r>
        <w:rPr>
          <w:b/>
        </w:rPr>
        <w:t xml:space="preserve">Notes: </w:t>
      </w:r>
      <w:r>
        <w:t>abstract_source=rss_description</w:t>
      </w:r>
    </w:p>
    <w:p>
      <w:pPr>
        <w:spacing w:before="0" w:after="80" w:lineRule="auto" w:line="276"/>
      </w:pPr>
      <w:r>
        <w:rPr>
          <w:b/>
        </w:rPr>
        <w:t xml:space="preserve">摘要（ZH）: </w:t>
      </w:r>
      <w:r>
        <w:t>作者：Shota Komatsu、Yuya Kusuki、Marco Meineri 和 Hirosi Ooguri 共形流形是否意味着精确边际算子的存在？我们肯定地回答这个问题，假设存在一个共形界面，该界面具有连接附近共形场论的某些属性。我们证明了连接……[Phys.莱特牧师。 136, 241603] 2026 年 6 月 16 日星期二发布</w:t>
      </w:r>
    </w:p>
    <w:p>
      <w:pPr>
        <w:spacing w:before="0" w:after="200" w:lineRule="auto" w:line="276"/>
      </w:pPr>
      <w:r>
        <w:rPr>
          <w:b/>
        </w:rPr>
        <w:t xml:space="preserve">Abstract (EN): </w:t>
      </w:r>
      <w:r>
        <w:t>Author(s): Shota Komatsu, Yuya Kusuki, Marco Meineri, and Hirosi OoguriDoes a conformal manifold imply the existence of exactly marginal operators? We answer this question affirmatively under the assumption that there exists a conformal interface with certain properties connecting nearby conformal field theories. We show that the exactly marginal operator that connects…[Phys. Rev. Lett. 136, 241603] Published Tue Jun 16, 2026</w:t>
      </w:r>
    </w:p>
    <w:p>
      <w:pPr>
        <w:spacing w:before="120" w:after="120"/>
      </w:pPr>
      <w:r>
        <w:rPr>
          <w:sz w:val="18"/>
        </w:rPr>
        <w:t>——————————————————————————————————————————————————————————————————————</w:t>
      </w:r>
    </w:p>
    <w:p>
      <w:pPr>
        <w:spacing w:before="160" w:after="40" w:line="240" w:lineRule="auto"/>
      </w:pPr>
      <w:r>
        <w:rPr>
          <w:b/>
        </w:rPr>
        <w:t xml:space="preserve">[232] </w:t>
      </w:r>
      <w:hyperlink r:id="rId691">
        <w:r>
          <w:rPr>
            <w:color w:val="1155CC"/>
            <w:u w:val="single"/>
          </w:rPr>
          <w:t>朗道能级中排斥相互作用驱动的拓扑超导性与$s$波超导体的耦合</w:t>
        </w:r>
      </w:hyperlink>
    </w:p>
    <w:p>
      <w:pPr>
        <w:spacing w:before="0" w:after="80"/>
      </w:pPr>
      <w:r>
        <w:rPr>
          <w:i/>
          <w:sz w:val="20"/>
        </w:rPr>
        <w:t>EN: Repulsive-Interaction-Driven Topological Superconductivity in a Landau Level Coupled to an $s$-Wave Superconductor</w:t>
      </w:r>
    </w:p>
    <w:p>
      <w:pPr>
        <w:spacing w:before="0" w:after="120"/>
      </w:pPr>
      <w:r>
        <w:rPr>
          <w:b/>
        </w:rPr>
        <w:t xml:space="preserve">Source: </w:t>
      </w:r>
      <w:r>
        <w:t>Recent Articles in Phys. Rev. Lett.</w:t>
      </w:r>
      <w:r>
        <w:t xml:space="preserve">    </w:t>
      </w:r>
      <w:r>
        <w:rPr>
          <w:b/>
        </w:rPr>
        <w:t xml:space="preserve">Pub date: </w:t>
      </w:r>
      <w:r>
        <w:t>2026-06-16 10:00:00+00:00</w:t>
      </w:r>
      <w:r>
        <w:t xml:space="preserve">    </w:t>
      </w:r>
      <w:r>
        <w:rPr>
          <w:b/>
        </w:rPr>
        <w:t xml:space="preserve">DOI: </w:t>
      </w:r>
      <w:hyperlink r:id="rId692">
        <w:r>
          <w:rPr>
            <w:color w:val="1155CC"/>
            <w:u w:val="single"/>
          </w:rPr>
          <w:t>10.1103/gpyx-z281</w:t>
        </w:r>
      </w:hyperlink>
    </w:p>
    <w:p>
      <w:pPr>
        <w:spacing w:before="0" w:after="120"/>
      </w:pPr>
      <w:r>
        <w:rPr>
          <w:b/>
        </w:rPr>
        <w:t xml:space="preserve">Notes: </w:t>
      </w:r>
      <w:r>
        <w:t>abstract_source=rss_description</w:t>
      </w:r>
    </w:p>
    <w:p>
      <w:pPr>
        <w:spacing w:before="0" w:after="80" w:lineRule="auto" w:line="276"/>
      </w:pPr>
      <w:r>
        <w:rPr>
          <w:b/>
        </w:rPr>
        <w:t xml:space="preserve">摘要（ZH）: </w:t>
      </w:r>
      <w:r>
        <w:t>作者：Koji Kudo、Ryota Nakai、Hiroki Isobe、J. K. Jain 和 Kentaro Nomura 预计非相互作用电子的二维拓扑非平凡状态（例如三维拓扑绝缘体的表面状态）在与普通 $s$ 波超导体邻近耦合时会实现拓扑超导体。相反，非相互作用的电......[物理。莱特牧师。 136, 246601] 2026 年 6 月 16 日星期二发布</w:t>
      </w:r>
    </w:p>
    <w:p>
      <w:pPr>
        <w:spacing w:before="0" w:after="200" w:lineRule="auto" w:line="276"/>
      </w:pPr>
      <w:r>
        <w:rPr>
          <w:b/>
        </w:rPr>
        <w:t xml:space="preserve">Abstract (EN): </w:t>
      </w:r>
      <w:r>
        <w:t>Author(s): Koji Kudo, Ryota Nakai, Hiroki Isobe, J. K. Jain, and Kentaro NomuraA two-dimensional topologically nontrivial state of noninteracting electrons, such as the surface state of a three-dimensional topological insulator, is predicted to realize a topological superconductor when proximity-coupled to an ordinary $s$-wave superconductor. In contrast, noninteracting electr…[Phys. Rev. Lett. 136, 246601] Published Tue Jun 16, 2026</w:t>
      </w:r>
    </w:p>
    <w:p>
      <w:pPr>
        <w:spacing w:before="120" w:after="120"/>
      </w:pPr>
      <w:r>
        <w:rPr>
          <w:sz w:val="18"/>
        </w:rPr>
        <w:t>——————————————————————————————————————————————————————————————————————</w:t>
      </w:r>
    </w:p>
    <w:p>
      <w:pPr>
        <w:spacing w:before="160" w:after="40" w:line="240" w:lineRule="auto"/>
      </w:pPr>
      <w:r>
        <w:rPr>
          <w:b/>
        </w:rPr>
        <w:t xml:space="preserve">[233] </w:t>
      </w:r>
      <w:hyperlink r:id="rId693">
        <w:r>
          <w:rPr>
            <w:color w:val="1155CC"/>
            <w:u w:val="single"/>
          </w:rPr>
          <w:t>高维量子非定域性的二值化无漏洞观测</w:t>
        </w:r>
      </w:hyperlink>
    </w:p>
    <w:p>
      <w:pPr>
        <w:spacing w:before="0" w:after="80"/>
      </w:pPr>
      <w:r>
        <w:rPr>
          <w:i/>
          <w:sz w:val="20"/>
        </w:rPr>
        <w:t>EN: Binarization-Loophole-Free Observation of High-Dimensional Quantum Nonlocality</w:t>
      </w:r>
    </w:p>
    <w:p>
      <w:pPr>
        <w:spacing w:before="0" w:after="120"/>
      </w:pPr>
      <w:r>
        <w:rPr>
          <w:b/>
        </w:rPr>
        <w:t xml:space="preserve">Source: </w:t>
      </w:r>
      <w:r>
        <w:t>Recent Articles in Phys. Rev. Lett.</w:t>
      </w:r>
      <w:r>
        <w:t xml:space="preserve">    </w:t>
      </w:r>
      <w:r>
        <w:rPr>
          <w:b/>
        </w:rPr>
        <w:t xml:space="preserve">Pub date: </w:t>
      </w:r>
      <w:r>
        <w:t>2026-06-16 10:00:00+00:00</w:t>
      </w:r>
      <w:r>
        <w:t xml:space="preserve">    </w:t>
      </w:r>
      <w:r>
        <w:rPr>
          <w:b/>
        </w:rPr>
        <w:t xml:space="preserve">DOI: </w:t>
      </w:r>
      <w:hyperlink r:id="rId694">
        <w:r>
          <w:rPr>
            <w:color w:val="1155CC"/>
            <w:u w:val="single"/>
          </w:rPr>
          <w:t>10.1103/ydch-vgmy</w:t>
        </w:r>
      </w:hyperlink>
    </w:p>
    <w:p>
      <w:pPr>
        <w:spacing w:before="0" w:after="120"/>
      </w:pPr>
      <w:r>
        <w:rPr>
          <w:b/>
        </w:rPr>
        <w:t xml:space="preserve">Notes: </w:t>
      </w:r>
      <w:r>
        <w:t>abstract_source=rss_description</w:t>
      </w:r>
    </w:p>
    <w:p>
      <w:pPr>
        <w:spacing w:before="0" w:after="80" w:lineRule="auto" w:line="276"/>
      </w:pPr>
      <w:r>
        <w:rPr>
          <w:b/>
        </w:rPr>
        <w:t xml:space="preserve">摘要（ZH）: </w:t>
      </w:r>
      <w:r>
        <w:t>作者：Jia-le Miao、Elna Svegborn、Zhuo Chen、Yuuo、Xiao-Min Hu、Yun-Feng Huang、Chuan-Feng Li、Guang-CanGuo、Armin Tavakoli 和 Bi-Heng LiuBell 基于高维纠缠的不等式检验通常需要能够解决多种可能结果的测量。然而，高维多结果测量的实施通常只能通过“点击或无点击”测量的集合来模拟。这种减少......[物理。莱特牧师。 136, 240201] 2026 年 6 月 16 日星期二发布</w:t>
      </w:r>
    </w:p>
    <w:p>
      <w:pPr>
        <w:spacing w:before="0" w:after="200" w:lineRule="auto" w:line="276"/>
      </w:pPr>
      <w:r>
        <w:rPr>
          <w:b/>
        </w:rPr>
        <w:t xml:space="preserve">Abstract (EN): </w:t>
      </w:r>
      <w:r>
        <w:t>Author(s): Jia-le Miao, Elna Svegborn, Zhuo Chen, Yu Guo, Xiao-Min Hu, Yun-Feng Huang, Chuan-Feng Li, Guang-Can Guo, Armin Tavakoli, and Bi-Heng LiuBell inequality tests based on high-dimensional entanglement usually require measurements that can resolve multiple possible outcomes. However, the implementation of high-dimensional multioutcome measurements is often only emulated via a collection of “click or no-click” measurements. This reduction…[Phys. Rev. Lett. 136, 240201] Published Tue Jun 16, 2026</w:t>
      </w:r>
    </w:p>
    <w:p>
      <w:pPr>
        <w:spacing w:before="120" w:after="120"/>
      </w:pPr>
      <w:r>
        <w:rPr>
          <w:sz w:val="18"/>
        </w:rPr>
        <w:t>——————————————————————————————————————————————————————————————————————</w:t>
      </w:r>
    </w:p>
    <w:p>
      <w:pPr>
        <w:spacing w:before="160" w:after="40" w:line="240" w:lineRule="auto"/>
      </w:pPr>
      <w:r>
        <w:rPr>
          <w:b/>
        </w:rPr>
        <w:t xml:space="preserve">[234] </w:t>
      </w:r>
      <w:hyperlink r:id="rId695">
        <w:r>
          <w:rPr>
            <w:color w:val="1155CC"/>
            <w:u w:val="single"/>
          </w:rPr>
          <w:t>压缩金属单硫族化物中普遍的声子介导超导性超越安德森局域化</w:t>
        </w:r>
      </w:hyperlink>
    </w:p>
    <w:p>
      <w:pPr>
        <w:spacing w:before="0" w:after="80"/>
      </w:pPr>
      <w:r>
        <w:rPr>
          <w:i/>
          <w:sz w:val="20"/>
        </w:rPr>
        <w:t>EN: Universal Phonon-Mediated Superconductivity in Compressed Metal Monochalcogenides beyond Anderson Localization</w:t>
      </w:r>
    </w:p>
    <w:p>
      <w:pPr>
        <w:spacing w:before="0" w:after="120"/>
      </w:pPr>
      <w:r>
        <w:rPr>
          <w:b/>
        </w:rPr>
        <w:t xml:space="preserve">Source: </w:t>
      </w:r>
      <w:r>
        <w:t>Recent Articles in Phys. Rev. Lett.</w:t>
      </w:r>
      <w:r>
        <w:t xml:space="preserve">    </w:t>
      </w:r>
      <w:r>
        <w:rPr>
          <w:b/>
        </w:rPr>
        <w:t xml:space="preserve">Pub date: </w:t>
      </w:r>
      <w:r>
        <w:t>2026-06-16 10:00:00+00:00</w:t>
      </w:r>
      <w:r>
        <w:t xml:space="preserve">    </w:t>
      </w:r>
      <w:r>
        <w:rPr>
          <w:b/>
        </w:rPr>
        <w:t xml:space="preserve">DOI: </w:t>
      </w:r>
      <w:hyperlink r:id="rId696">
        <w:r>
          <w:rPr>
            <w:color w:val="1155CC"/>
            <w:u w:val="single"/>
          </w:rPr>
          <w:t>10.1103/rbzb-km7n</w:t>
        </w:r>
      </w:hyperlink>
    </w:p>
    <w:p>
      <w:pPr>
        <w:spacing w:before="0" w:after="120"/>
      </w:pPr>
      <w:r>
        <w:rPr>
          <w:b/>
        </w:rPr>
        <w:t xml:space="preserve">Notes: </w:t>
      </w:r>
      <w:r>
        <w:t>abstract_source=rss_description</w:t>
      </w:r>
    </w:p>
    <w:p>
      <w:pPr>
        <w:spacing w:before="0" w:after="80" w:lineRule="auto" w:line="276"/>
      </w:pPr>
      <w:r>
        <w:rPr>
          <w:b/>
        </w:rPr>
        <w:t xml:space="preserve">摘要（ZH）: </w:t>
      </w:r>
      <w:r>
        <w:t>作者：Ertğrul Karaca、Fang Hong 和 Daniel Errandonea 金属单硫属化物中的高压超导性被归因于无序驱动的安德森局域化 [Phys.莱特牧师。 134, 196001 (2025)]。利用密度泛函微扰理论和 Migdal-Eliashberg 计算，我们表明 BiSe、PbSe、PbS 和 HgS 中的超导性是……[Phys.莱特牧师。 136, 246001] 2026 年 6 月 16 日星期二发布</w:t>
      </w:r>
    </w:p>
    <w:p>
      <w:pPr>
        <w:spacing w:before="0" w:after="200" w:lineRule="auto" w:line="276"/>
      </w:pPr>
      <w:r>
        <w:rPr>
          <w:b/>
        </w:rPr>
        <w:t xml:space="preserve">Abstract (EN): </w:t>
      </w:r>
      <w:r>
        <w:t>Author(s): Ertuğrul Karaca, Fang Hong, and Daniel ErrandoneaHigh-pressure superconductivity in metal monochalcogenides has been ascribed to disorder-driven Anderson localization [Phys. Rev. Lett. 134, 196001 (2025)]. Using density-functional perturbation theory and Migdal-Eliashberg calculations, we show that superconductivity in BiSe, PbSe, PbS, and HgS is …[Phys. Rev. Lett. 136, 246001] Published Tue Jun 16, 2026</w:t>
      </w:r>
    </w:p>
    <w:p>
      <w:pPr>
        <w:spacing w:before="120" w:after="120"/>
      </w:pPr>
      <w:r>
        <w:rPr>
          <w:sz w:val="18"/>
        </w:rPr>
        <w:t>——————————————————————————————————————————————————————————————————————</w:t>
      </w:r>
    </w:p>
    <w:p>
      <w:pPr>
        <w:spacing w:before="160" w:after="40" w:line="240" w:lineRule="auto"/>
      </w:pPr>
      <w:r>
        <w:rPr>
          <w:b/>
        </w:rPr>
        <w:t xml:space="preserve">[235] </w:t>
      </w:r>
      <w:hyperlink r:id="rId697">
        <w:r>
          <w:rPr>
            <w:color w:val="1155CC"/>
            <w:u w:val="single"/>
          </w:rPr>
          <w:t>补偿马尔可夫网络中的随机转移检测中断</w:t>
        </w:r>
      </w:hyperlink>
    </w:p>
    <w:p>
      <w:pPr>
        <w:spacing w:before="0" w:after="80"/>
      </w:pPr>
      <w:r>
        <w:rPr>
          <w:i/>
          <w:sz w:val="20"/>
        </w:rPr>
        <w:t>EN: Compensating Random Transition-Detection Blackouts in Markov Networks</w:t>
      </w:r>
    </w:p>
    <w:p>
      <w:pPr>
        <w:spacing w:before="0" w:after="120"/>
      </w:pPr>
      <w:r>
        <w:rPr>
          <w:b/>
        </w:rPr>
        <w:t xml:space="preserve">Source: </w:t>
      </w:r>
      <w:r>
        <w:t>Recent Articles in Phys. Rev. Lett.</w:t>
      </w:r>
      <w:r>
        <w:t xml:space="preserve">    </w:t>
      </w:r>
      <w:r>
        <w:rPr>
          <w:b/>
        </w:rPr>
        <w:t xml:space="preserve">Pub date: </w:t>
      </w:r>
      <w:r>
        <w:t>2026-06-16 10:00:00+00:00</w:t>
      </w:r>
      <w:r>
        <w:t xml:space="preserve">    </w:t>
      </w:r>
      <w:r>
        <w:rPr>
          <w:b/>
        </w:rPr>
        <w:t xml:space="preserve">DOI: </w:t>
      </w:r>
      <w:hyperlink r:id="rId698">
        <w:r>
          <w:rPr>
            <w:color w:val="1155CC"/>
            <w:u w:val="single"/>
          </w:rPr>
          <w:t>10.1103/p8yf-12yz</w:t>
        </w:r>
      </w:hyperlink>
    </w:p>
    <w:p>
      <w:pPr>
        <w:spacing w:before="0" w:after="120"/>
      </w:pPr>
      <w:r>
        <w:rPr>
          <w:b/>
        </w:rPr>
        <w:t xml:space="preserve">Notes: </w:t>
      </w:r>
      <w:r>
        <w:t>abstract_source=rss_description</w:t>
      </w:r>
    </w:p>
    <w:p>
      <w:pPr>
        <w:spacing w:before="0" w:after="80" w:lineRule="auto" w:line="276"/>
      </w:pPr>
      <w:r>
        <w:rPr>
          <w:b/>
        </w:rPr>
        <w:t xml:space="preserve">摘要（ZH）: </w:t>
      </w:r>
      <w:r>
        <w:t>作者：Alexander M. Maier、Benjamin Häsler 和 Udo Seifert 在马尔可夫网络中，未知频率的测量中断会损害观测结果，从而无法再可靠地推断出热力学量。特别是，观察到的电流既不能区分平衡与非平衡，也不能用于现有的熵估计器……[物理学。莱特牧师。 136, 247101] 2026 年 6 月 16 日星期二发布</w:t>
      </w:r>
    </w:p>
    <w:p>
      <w:pPr>
        <w:spacing w:before="0" w:after="200" w:lineRule="auto" w:line="276"/>
      </w:pPr>
      <w:r>
        <w:rPr>
          <w:b/>
        </w:rPr>
        <w:t xml:space="preserve">Abstract (EN): </w:t>
      </w:r>
      <w:r>
        <w:t>Author(s): Alexander M. Maier, Benjamin Häsler, and Udo SeifertIn Markov networks, measurement blackouts with unknown frequency compromise observations such that thermodynamic quantities can no longer be inferred reliably. In particular, the observed currents neither discern equilibrium from nonequilibrium nor can they be used in extant estimators of entropy pr…[Phys. Rev. Lett. 136, 247101] Published Tue Jun 16, 2026</w:t>
      </w:r>
    </w:p>
    <w:p>
      <w:pPr>
        <w:spacing w:before="120" w:after="120"/>
      </w:pPr>
      <w:r>
        <w:rPr>
          <w:sz w:val="18"/>
        </w:rPr>
        <w:t>——————————————————————————————————————————————————————————————————————</w:t>
      </w:r>
    </w:p>
    <w:p>
      <w:pPr>
        <w:spacing w:before="160" w:after="40" w:line="240" w:lineRule="auto"/>
      </w:pPr>
      <w:r>
        <w:rPr>
          <w:b/>
        </w:rPr>
        <w:t xml:space="preserve">[236] </w:t>
      </w:r>
      <w:hyperlink r:id="rId699">
        <w:r>
          <w:rPr>
            <w:color w:val="1155CC"/>
            <w:u w:val="single"/>
          </w:rPr>
          <w:t>拓扑摩擦：固定拓扑聚合物网络中测试链动力学的见解</w:t>
        </w:r>
      </w:hyperlink>
    </w:p>
    <w:p>
      <w:pPr>
        <w:spacing w:before="0" w:after="80"/>
      </w:pPr>
      <w:r>
        <w:rPr>
          <w:i/>
          <w:sz w:val="20"/>
        </w:rPr>
        <w:t>EN: Topological Friction: Insight from Dynamics of a Test Chain in a Fixed-Topology Polymer Network</w:t>
      </w:r>
    </w:p>
    <w:p>
      <w:pPr>
        <w:spacing w:before="0" w:after="120"/>
      </w:pPr>
      <w:r>
        <w:rPr>
          <w:b/>
        </w:rPr>
        <w:t xml:space="preserve">Source: </w:t>
      </w:r>
      <w:r>
        <w:t>Recent Articles in Phys. Rev. Lett.</w:t>
      </w:r>
      <w:r>
        <w:t xml:space="preserve">    </w:t>
      </w:r>
      <w:r>
        <w:rPr>
          <w:b/>
        </w:rPr>
        <w:t xml:space="preserve">Pub date: </w:t>
      </w:r>
      <w:r>
        <w:t>2026-06-16 10:00:00+00:00</w:t>
      </w:r>
      <w:r>
        <w:t xml:space="preserve">    </w:t>
      </w:r>
      <w:r>
        <w:rPr>
          <w:b/>
        </w:rPr>
        <w:t xml:space="preserve">DOI: </w:t>
      </w:r>
      <w:hyperlink r:id="rId700">
        <w:r>
          <w:rPr>
            <w:color w:val="1155CC"/>
            <w:u w:val="single"/>
          </w:rPr>
          <w:t>10.1103/cpp1-j6lc</w:t>
        </w:r>
      </w:hyperlink>
    </w:p>
    <w:p>
      <w:pPr>
        <w:spacing w:before="0" w:after="120"/>
      </w:pPr>
      <w:r>
        <w:rPr>
          <w:b/>
        </w:rPr>
        <w:t xml:space="preserve">Notes: </w:t>
      </w:r>
      <w:r>
        <w:t>abstract_source=rss_description</w:t>
      </w:r>
    </w:p>
    <w:p>
      <w:pPr>
        <w:spacing w:before="0" w:after="80" w:lineRule="auto" w:line="276"/>
      </w:pPr>
      <w:r>
        <w:rPr>
          <w:b/>
        </w:rPr>
        <w:t xml:space="preserve">摘要（ZH）: </w:t>
      </w:r>
      <w:r>
        <w:t>作者：王振华、陆玉媛、安立嘉和王振刚管模型长期以来一直是纠缠聚合物动力学和流变学的基石。我们通过使用分子动力学模拟研究固定拓扑聚合物网络中自由链的平衡动力学来测试管模型的一些关键概念。我们的结果揭示了重要的......[物理。莱特牧师。 136, 248101] 2026 年 6 月 16 日星期二发布</w:t>
      </w:r>
    </w:p>
    <w:p>
      <w:pPr>
        <w:spacing w:before="0" w:after="200" w:lineRule="auto" w:line="276"/>
      </w:pPr>
      <w:r>
        <w:rPr>
          <w:b/>
        </w:rPr>
        <w:t xml:space="preserve">Abstract (EN): </w:t>
      </w:r>
      <w:r>
        <w:t>Author(s): Zhenhua Wang, Yuyuan Lu, Lijia An, and Zhen-Gang WangThe tube model has long served as a cornerstone of entangled polymer dynamics and rheology. We test some of the key concepts of the tube model by investigating the equilibrium dynamics of a free chain in a fixed-topology polymer network using molecular dynamics simulation. Our results reveal signifi…[Phys. Rev. Lett. 136, 248101] Published Tue Jun 16, 2026</w:t>
      </w:r>
    </w:p>
    <w:p>
      <w:pPr>
        <w:spacing w:before="120" w:after="120"/>
      </w:pPr>
      <w:r>
        <w:rPr>
          <w:sz w:val="18"/>
        </w:rPr>
        <w:t>——————————————————————————————————————————————————————————————————————</w:t>
      </w:r>
    </w:p>
    <w:p>
      <w:pPr>
        <w:spacing w:before="160" w:after="40" w:line="240" w:lineRule="auto"/>
      </w:pPr>
      <w:r>
        <w:rPr>
          <w:b/>
        </w:rPr>
        <w:t xml:space="preserve">[237] </w:t>
      </w:r>
      <w:hyperlink r:id="rId701">
        <w:r>
          <w:rPr>
            <w:color w:val="1155CC"/>
            <w:u w:val="single"/>
          </w:rPr>
          <w:t>基于光子相关性${g}^{(2)}$和${g}^{(3)}$的量子非高斯判据</w:t>
        </w:r>
      </w:hyperlink>
    </w:p>
    <w:p>
      <w:pPr>
        <w:spacing w:before="0" w:after="80"/>
      </w:pPr>
      <w:r>
        <w:rPr>
          <w:i/>
          <w:sz w:val="20"/>
        </w:rPr>
        <w:t>EN: Quantum Non-Gaussianity Criterion Based on Photon Correlations ${g}^{(2)}$ and ${g}^{(3)}$</w:t>
      </w:r>
    </w:p>
    <w:p>
      <w:pPr>
        <w:spacing w:before="0" w:after="120"/>
      </w:pPr>
      <w:r>
        <w:rPr>
          <w:b/>
        </w:rPr>
        <w:t xml:space="preserve">Source: </w:t>
      </w:r>
      <w:r>
        <w:t>Recent Articles in Phys. Rev. Lett.</w:t>
      </w:r>
      <w:r>
        <w:t xml:space="preserve">    </w:t>
      </w:r>
      <w:r>
        <w:rPr>
          <w:b/>
        </w:rPr>
        <w:t xml:space="preserve">Pub date: </w:t>
      </w:r>
      <w:r>
        <w:t>2026-06-16 10:00:00+00:00</w:t>
      </w:r>
      <w:r>
        <w:t xml:space="preserve">    </w:t>
      </w:r>
      <w:r>
        <w:rPr>
          <w:b/>
        </w:rPr>
        <w:t xml:space="preserve">DOI: </w:t>
      </w:r>
      <w:hyperlink r:id="rId702">
        <w:r>
          <w:rPr>
            <w:color w:val="1155CC"/>
            <w:u w:val="single"/>
          </w:rPr>
          <w:t>10.1103/1t2q-qm97</w:t>
        </w:r>
      </w:hyperlink>
    </w:p>
    <w:p>
      <w:pPr>
        <w:spacing w:before="0" w:after="120"/>
      </w:pPr>
      <w:r>
        <w:rPr>
          <w:b/>
        </w:rPr>
        <w:t xml:space="preserve">Notes: </w:t>
      </w:r>
      <w:r>
        <w:t>abstract_source=rss_description</w:t>
      </w:r>
    </w:p>
    <w:p>
      <w:pPr>
        <w:spacing w:before="0" w:after="80" w:lineRule="auto" w:line="276"/>
      </w:pPr>
      <w:r>
        <w:rPr>
          <w:b/>
        </w:rPr>
        <w:t xml:space="preserve">摘要（ZH）: </w:t>
      </w:r>
      <w:r>
        <w:t>作者：Christoph Hotter、Clara Henke、Cornelis Jacobus van Diepen、Peter Lodahl 和 Anders Søndberg Sørensen 量子非高斯态不能写成高斯态的混合，它对于在连续变量系统中实现量子优势是必要的。它们代表了实现先进量子光源的重要基准，因为它们不能通过诸如……[物理。莱特牧师。 136, 243601] 2026 年 6 月 16 日星期二发布</w:t>
      </w:r>
    </w:p>
    <w:p>
      <w:pPr>
        <w:spacing w:before="0" w:after="200" w:lineRule="auto" w:line="276"/>
      </w:pPr>
      <w:r>
        <w:rPr>
          <w:b/>
        </w:rPr>
        <w:t xml:space="preserve">Abstract (EN): </w:t>
      </w:r>
      <w:r>
        <w:t>Author(s): Christoph Hotter, Clara Henke, Cornelis Jacobus van Diepen, Peter Lodahl, and Anders Søndberg SørensenQuantum non-Gaussian states, which cannot be written as mixtures of Gaussian states, are necessary to achieve a quantum advantage in continuous variable systems. They represent an important benchmark for the realization of an advanced quantum light source, as they cannot be made by simple means such…[Phys. Rev. Lett. 136, 243601] Published Tue Jun 16, 2026</w:t>
      </w:r>
    </w:p>
    <w:p>
      <w:pPr>
        <w:spacing w:before="120" w:after="120"/>
      </w:pPr>
      <w:r>
        <w:rPr>
          <w:sz w:val="18"/>
        </w:rPr>
        <w:t>——————————————————————————————————————————————————————————————————————</w:t>
      </w:r>
    </w:p>
    <w:p>
      <w:pPr>
        <w:spacing w:before="160" w:after="40" w:line="240" w:lineRule="auto"/>
      </w:pPr>
      <w:r>
        <w:rPr>
          <w:b/>
        </w:rPr>
        <w:t xml:space="preserve">[238] </w:t>
      </w:r>
      <w:hyperlink r:id="rId703">
        <w:r>
          <w:rPr>
            <w:color w:val="1155CC"/>
            <w:u w:val="single"/>
          </w:rPr>
          <w:t>在所有旋转中对克尔度量进行有效的场论修正</w:t>
        </w:r>
      </w:hyperlink>
    </w:p>
    <w:p>
      <w:pPr>
        <w:spacing w:before="0" w:after="80"/>
      </w:pPr>
      <w:r>
        <w:rPr>
          <w:i/>
          <w:sz w:val="20"/>
        </w:rPr>
        <w:t>EN: Leading Effective Field Theory Corrections to the Kerr Metric at All Spins</w:t>
      </w:r>
    </w:p>
    <w:p>
      <w:pPr>
        <w:spacing w:before="0" w:after="120"/>
      </w:pPr>
      <w:r>
        <w:rPr>
          <w:b/>
        </w:rPr>
        <w:t xml:space="preserve">Source: </w:t>
      </w:r>
      <w:r>
        <w:t>Recent Articles in Phys. Rev. Lett.</w:t>
      </w:r>
      <w:r>
        <w:t xml:space="preserve">    </w:t>
      </w:r>
      <w:r>
        <w:rPr>
          <w:b/>
        </w:rPr>
        <w:t xml:space="preserve">Pub date: </w:t>
      </w:r>
      <w:r>
        <w:t>2026-06-16 10:00:00+00:00</w:t>
      </w:r>
      <w:r>
        <w:t xml:space="preserve">    </w:t>
      </w:r>
      <w:r>
        <w:rPr>
          <w:b/>
        </w:rPr>
        <w:t xml:space="preserve">DOI: </w:t>
      </w:r>
      <w:hyperlink r:id="rId704">
        <w:r>
          <w:rPr>
            <w:color w:val="1155CC"/>
            <w:u w:val="single"/>
          </w:rPr>
          <w:t>10.1103/5rk7-zljb</w:t>
        </w:r>
      </w:hyperlink>
    </w:p>
    <w:p>
      <w:pPr>
        <w:spacing w:before="0" w:after="120"/>
      </w:pPr>
      <w:r>
        <w:rPr>
          <w:b/>
        </w:rPr>
        <w:t xml:space="preserve">Notes: </w:t>
      </w:r>
      <w:r>
        <w:t>abstract_source=rss_description</w:t>
      </w:r>
    </w:p>
    <w:p>
      <w:pPr>
        <w:spacing w:before="0" w:after="80" w:lineRule="auto" w:line="276"/>
      </w:pPr>
      <w:r>
        <w:rPr>
          <w:b/>
        </w:rPr>
        <w:t xml:space="preserve">摘要（ZH）: </w:t>
      </w:r>
      <w:r>
        <w:t>作者：佩德罗·G·S·费尔南德斯（Pedro G. S. Fernandes）对广义相对论的主要修正可以通过低能有效场论中的高导数相互作用来参数化，其方式对于重力的精确紫外完成是通用且不可知的。使用数值方法，我们计算 Kerr met 的前阶修正......[Phys。莱特牧师。 136, 241401] 2026 年 6 月 16 日星期二发布</w:t>
      </w:r>
    </w:p>
    <w:p>
      <w:pPr>
        <w:spacing w:before="0" w:after="200" w:lineRule="auto" w:line="276"/>
      </w:pPr>
      <w:r>
        <w:rPr>
          <w:b/>
        </w:rPr>
        <w:t xml:space="preserve">Abstract (EN): </w:t>
      </w:r>
      <w:r>
        <w:t>Author(s): Pedro G. S. FernandesThe leading corrections to general relativity can be parametrized by higher-derivative interactions in a low-energy effective field theory, in a way that is general and agnostic to the precise UV completion of gravity. Using numerical methods, we compute the leading-order corrections to the Kerr met…[Phys. Rev. Lett. 136, 241401] Published Tue Jun 16, 2026</w:t>
      </w:r>
    </w:p>
    <w:p>
      <w:pPr>
        <w:spacing w:before="120" w:after="120"/>
      </w:pPr>
      <w:r>
        <w:rPr>
          <w:sz w:val="18"/>
        </w:rPr>
        <w:t>——————————————————————————————————————————————————————————————————————</w:t>
      </w:r>
    </w:p>
    <w:p>
      <w:pPr>
        <w:spacing w:before="160" w:after="40" w:line="240" w:lineRule="auto"/>
      </w:pPr>
      <w:r>
        <w:rPr>
          <w:b/>
        </w:rPr>
        <w:t xml:space="preserve">[239] </w:t>
      </w:r>
      <w:hyperlink r:id="rId705">
        <w:r>
          <w:rPr>
            <w:color w:val="1155CC"/>
            <w:u w:val="single"/>
          </w:rPr>
          <w:t>切向力控制密集摩擦悬架中的粘性-惯性转变</w:t>
        </w:r>
      </w:hyperlink>
    </w:p>
    <w:p>
      <w:pPr>
        <w:spacing w:before="0" w:after="80"/>
      </w:pPr>
      <w:r>
        <w:rPr>
          <w:i/>
          <w:sz w:val="20"/>
        </w:rPr>
        <w:t>EN: Tangential Forces Govern the Viscous-Inertial Transition in Dense Frictional Suspensions</w:t>
      </w:r>
    </w:p>
    <w:p>
      <w:pPr>
        <w:spacing w:before="0" w:after="120"/>
      </w:pPr>
      <w:r>
        <w:rPr>
          <w:b/>
        </w:rPr>
        <w:t xml:space="preserve">Source: </w:t>
      </w:r>
      <w:r>
        <w:t>Recent Articles in Phys. Rev. Lett.</w:t>
      </w:r>
      <w:r>
        <w:t xml:space="preserve">    </w:t>
      </w:r>
      <w:r>
        <w:rPr>
          <w:b/>
        </w:rPr>
        <w:t xml:space="preserve">Pub date: </w:t>
      </w:r>
      <w:r>
        <w:t>2026-06-16 10:00:00+00:00</w:t>
      </w:r>
      <w:r>
        <w:t xml:space="preserve">    </w:t>
      </w:r>
      <w:r>
        <w:rPr>
          <w:b/>
        </w:rPr>
        <w:t xml:space="preserve">DOI: </w:t>
      </w:r>
      <w:hyperlink r:id="rId706">
        <w:r>
          <w:rPr>
            <w:color w:val="1155CC"/>
            <w:u w:val="single"/>
          </w:rPr>
          <w:t>10.1103/66pp-4rdj</w:t>
        </w:r>
      </w:hyperlink>
    </w:p>
    <w:p>
      <w:pPr>
        <w:spacing w:before="0" w:after="120"/>
      </w:pPr>
      <w:r>
        <w:rPr>
          <w:b/>
        </w:rPr>
        <w:t xml:space="preserve">Notes: </w:t>
      </w:r>
      <w:r>
        <w:t>abstract_source=rss_description</w:t>
      </w:r>
    </w:p>
    <w:p>
      <w:pPr>
        <w:spacing w:before="0" w:after="80" w:lineRule="auto" w:line="276"/>
      </w:pPr>
      <w:r>
        <w:rPr>
          <w:b/>
        </w:rPr>
        <w:t xml:space="preserve">摘要（ZH）: </w:t>
      </w:r>
      <w:r>
        <w:t>作者：Sudarshan Konidena、Franco Tapia、Alireza Khodabakhshi、Élisabeth Guazzelli、Pascale Aussillous 和 Bernhard Vowinckel 我们利用压力流变学对经历粘性-惯性转变的致密摩擦悬浮液进行了粒子解析模拟。通过改变流体粘度、剪切速率和颗粒压力，我们证明转变发生在斯托克斯数 $≈8$（接近 v…[Phys. Rev. Lett. 136, 248201] 2026 年 6 月 16 日星期二发布</w:t>
      </w:r>
    </w:p>
    <w:p>
      <w:pPr>
        <w:spacing w:before="0" w:after="200" w:lineRule="auto" w:line="276"/>
      </w:pPr>
      <w:r>
        <w:rPr>
          <w:b/>
        </w:rPr>
        <w:t xml:space="preserve">Abstract (EN): </w:t>
      </w:r>
      <w:r>
        <w:t>Author(s): Sudarshan Konidena, Franco Tapia, Alireza Khodabakhshi, Élisabeth Guazzelli, Pascale Aussillous, and Bernhard VowinckelWe present particle-resolved simulations of dense frictional suspensions undergoing the viscous-inertial transition using pressure-imposed rheology. By varying the fluid viscosity, shear rate, and granular pressure, we demonstrate that the transition occurs at a Stokes number of $≈8$ (close to the v…[Phys. Rev. Lett. 136, 248201] Published Tue Jun 16, 2026</w:t>
      </w:r>
    </w:p>
    <w:p>
      <w:pPr>
        <w:spacing w:before="120" w:after="120"/>
      </w:pPr>
      <w:r>
        <w:rPr>
          <w:sz w:val="18"/>
        </w:rPr>
        <w:t>——————————————————————————————————————————————————————————————————————</w:t>
      </w:r>
    </w:p>
    <w:p>
      <w:pPr>
        <w:spacing w:before="160" w:after="40" w:line="240" w:lineRule="auto"/>
      </w:pPr>
      <w:r>
        <w:rPr>
          <w:b/>
        </w:rPr>
        <w:t xml:space="preserve">[240] </w:t>
      </w:r>
      <w:hyperlink r:id="rId707">
        <w:r>
          <w:rPr>
            <w:color w:val="1155CC"/>
            <w:u w:val="single"/>
          </w:rPr>
          <w:t>高增益状态下基于激光等离子体的种子自由电子激光器</w:t>
        </w:r>
      </w:hyperlink>
    </w:p>
    <w:p>
      <w:pPr>
        <w:spacing w:before="0" w:after="80"/>
      </w:pPr>
      <w:r>
        <w:rPr>
          <w:i/>
          <w:sz w:val="20"/>
        </w:rPr>
        <w:t>EN: Laser-Plasma Based Seeded Free Electron Laser in the High-Gain Regime</w:t>
      </w:r>
    </w:p>
    <w:p>
      <w:pPr>
        <w:spacing w:before="0" w:after="120"/>
      </w:pPr>
      <w:r>
        <w:rPr>
          <w:b/>
        </w:rPr>
        <w:t xml:space="preserve">Source: </w:t>
      </w:r>
      <w:r>
        <w:t>Recent Articles in Phys. Rev. Lett.</w:t>
      </w:r>
      <w:r>
        <w:t xml:space="preserve">    </w:t>
      </w:r>
      <w:r>
        <w:rPr>
          <w:b/>
        </w:rPr>
        <w:t xml:space="preserve">Pub date: </w:t>
      </w:r>
      <w:r>
        <w:t>2026-06-16 10:00:00+00:00</w:t>
      </w:r>
      <w:r>
        <w:t xml:space="preserve">    </w:t>
      </w:r>
      <w:r>
        <w:rPr>
          <w:b/>
        </w:rPr>
        <w:t xml:space="preserve">DOI: </w:t>
      </w:r>
      <w:hyperlink r:id="rId708">
        <w:r>
          <w:rPr>
            <w:color w:val="1155CC"/>
            <w:u w:val="single"/>
          </w:rPr>
          <w:t>10.1103/ndsf-kyr4</w:t>
        </w:r>
      </w:hyperlink>
    </w:p>
    <w:p>
      <w:pPr>
        <w:spacing w:before="0" w:after="120"/>
      </w:pPr>
      <w:r>
        <w:rPr>
          <w:b/>
        </w:rPr>
        <w:t xml:space="preserve">Notes: </w:t>
      </w:r>
      <w:r>
        <w:t>abstract_source=rss_description</w:t>
      </w:r>
    </w:p>
    <w:p>
      <w:pPr>
        <w:spacing w:before="0" w:after="80" w:lineRule="auto" w:line="276"/>
      </w:pPr>
      <w:r>
        <w:rPr>
          <w:b/>
        </w:rPr>
        <w:t xml:space="preserve">摘要（ZH）: </w:t>
      </w:r>
      <w:r>
        <w:t>作者：Marie Labat、Susanne Schöbel、Amin Ghaith、Franziska Marie Herrmann、Maxwell LaBerge、Eléonore Roussel、Ulrich Schramm、Patrick Ufer、Marie-Emmanuelle Couprie 和 Arie Irman 近二十年来一直在尝试实现紧凑型激光等离子体加速器 (LPA) 驱动的自由电子激光器 (FEL)，但仍难以克服电子束质量和稳定性问题直到最近才阻止FEL发射激光。基于 LPA 的 FEL 现在已在自放大……[Phys.莱特牧师。 136, 245001] 2026 年 6 月 16 日星期二发布</w:t>
      </w:r>
    </w:p>
    <w:p>
      <w:pPr>
        <w:spacing w:before="0" w:after="200" w:lineRule="auto" w:line="276"/>
      </w:pPr>
      <w:r>
        <w:rPr>
          <w:b/>
        </w:rPr>
        <w:t xml:space="preserve">Abstract (EN): </w:t>
      </w:r>
      <w:r>
        <w:t>Author(s): Marie Labat, Susanne Schöbel, Amin Ghaith, Franziska Marie Herrmann, Maxwell LaBerge, Eléonore Roussel, Ulrich Schramm, Patrick Ufer, Marie-Emmanuelle Couprie, and Arie IrmanThe realization of compact laser-plasma accelerator (LPA) driven free electron lasers (FELs) has been attempted for nearly two decades, yet, difficult to overcome electron beam quality and stability issues prevented FEL lasing until recently. LPA based FEL is now demonstrated in both the self-amplif…[Phys. Rev. Lett. 136, 245001] Published Tue Jun 16, 2026</w:t>
      </w:r>
    </w:p>
    <w:p>
      <w:pPr>
        <w:spacing w:before="120" w:after="120"/>
      </w:pPr>
      <w:r>
        <w:rPr>
          <w:sz w:val="18"/>
        </w:rPr>
        <w:t>——————————————————————————————————————————————————————————————————————</w:t>
      </w:r>
    </w:p>
    <w:p>
      <w:pPr>
        <w:spacing w:before="160" w:after="40" w:line="240" w:lineRule="auto"/>
      </w:pPr>
      <w:r>
        <w:rPr>
          <w:b/>
        </w:rPr>
        <w:t xml:space="preserve">[241] </w:t>
      </w:r>
      <w:hyperlink r:id="rId709">
        <w:r>
          <w:rPr>
            <w:color w:val="1155CC"/>
            <w:u w:val="single"/>
          </w:rPr>
          <w:t>量子梳增强干涉测量理论</w:t>
        </w:r>
      </w:hyperlink>
    </w:p>
    <w:p>
      <w:pPr>
        <w:spacing w:before="0" w:after="80"/>
      </w:pPr>
      <w:r>
        <w:rPr>
          <w:i/>
          <w:sz w:val="20"/>
        </w:rPr>
        <w:t>EN: Theory of Quantum Comb Enhanced Interferometry</w:t>
      </w:r>
    </w:p>
    <w:p>
      <w:pPr>
        <w:spacing w:before="0" w:after="120"/>
      </w:pPr>
      <w:r>
        <w:rPr>
          <w:b/>
        </w:rPr>
        <w:t xml:space="preserve">Source: </w:t>
      </w:r>
      <w:r>
        <w:t>Recent Articles in Phys. Rev. Lett.</w:t>
      </w:r>
      <w:r>
        <w:t xml:space="preserve">    </w:t>
      </w:r>
      <w:r>
        <w:rPr>
          <w:b/>
        </w:rPr>
        <w:t xml:space="preserve">Pub date: </w:t>
      </w:r>
      <w:r>
        <w:t>2026-06-16 10:00:00+00:00</w:t>
      </w:r>
      <w:r>
        <w:t xml:space="preserve">    </w:t>
      </w:r>
      <w:r>
        <w:rPr>
          <w:b/>
        </w:rPr>
        <w:t xml:space="preserve">DOI: </w:t>
      </w:r>
      <w:hyperlink r:id="rId710">
        <w:r>
          <w:rPr>
            <w:color w:val="1155CC"/>
            <w:u w:val="single"/>
          </w:rPr>
          <w:t>10.1103/5qrd-28df</w:t>
        </w:r>
      </w:hyperlink>
    </w:p>
    <w:p>
      <w:pPr>
        <w:spacing w:before="0" w:after="120"/>
      </w:pPr>
      <w:r>
        <w:rPr>
          <w:b/>
        </w:rPr>
        <w:t xml:space="preserve">Notes: </w:t>
      </w:r>
      <w:r>
        <w:t>abstract_source=rss_description</w:t>
      </w:r>
    </w:p>
    <w:p>
      <w:pPr>
        <w:spacing w:before="0" w:after="80" w:lineRule="auto" w:line="276"/>
      </w:pPr>
      <w:r>
        <w:rPr>
          <w:b/>
        </w:rPr>
        <w:t xml:space="preserve">摘要（ZH）: </w:t>
      </w:r>
      <w:r>
        <w:t>作者：Haowei Shi 和 Quntao Zhuang 光学频率梳因其频谱中的梳状峰而得名，对于各种传感应用至关重要。随着技术的发展，其性能已达到相干光场量子涨落决定的标准量子极限。量子梳，及其量子……[物理。莱特牧师。 136, 243602] 2026 年 6 月 16 日星期二发布</w:t>
      </w:r>
    </w:p>
    <w:p>
      <w:pPr>
        <w:spacing w:before="0" w:after="200" w:lineRule="auto" w:line="276"/>
      </w:pPr>
      <w:r>
        <w:rPr>
          <w:b/>
        </w:rPr>
        <w:t xml:space="preserve">Abstract (EN): </w:t>
      </w:r>
      <w:r>
        <w:t>Author(s): Haowei Shi and Quntao ZhuangOptical frequency combs, named for their comblike peaks in the spectrum, are essential for various sensing applications. As the technology develops, its performance has reached the standard quantum limit dictated by the quantum fluctuations of coherent light field. Quantum combs, with their quantum …[Phys. Rev. Lett. 136, 243602] Published Tue Jun 16, 2026</w:t>
      </w:r>
    </w:p>
    <w:p>
      <w:pPr>
        <w:spacing w:before="120" w:after="120"/>
      </w:pPr>
      <w:r>
        <w:rPr>
          <w:sz w:val="18"/>
        </w:rPr>
        <w:t>——————————————————————————————————————————————————————————————————————</w:t>
      </w:r>
    </w:p>
    <w:p>
      <w:pPr>
        <w:spacing w:before="160" w:after="40" w:line="240" w:lineRule="auto"/>
      </w:pPr>
      <w:r>
        <w:rPr>
          <w:b/>
        </w:rPr>
        <w:t xml:space="preserve">[242] </w:t>
      </w:r>
      <w:hyperlink r:id="rId711">
        <w:r>
          <w:rPr>
            <w:color w:val="1155CC"/>
            <w:u w:val="single"/>
          </w:rPr>
          <w:t>钯纳米团簇的 Sb 维度重编程以增强催化作用</w:t>
        </w:r>
      </w:hyperlink>
    </w:p>
    <w:p>
      <w:pPr>
        <w:spacing w:before="0" w:after="80"/>
      </w:pPr>
      <w:r>
        <w:rPr>
          <w:i/>
          <w:sz w:val="20"/>
        </w:rPr>
        <w:t>EN: Sb‐Enabled Dimensional Reprogramming of Palladium Nanoclusters for Enhanced Catalysis</w:t>
      </w:r>
    </w:p>
    <w:p>
      <w:pPr>
        <w:spacing w:before="0" w:after="120"/>
      </w:pPr>
      <w:r>
        <w:rPr>
          <w:b/>
        </w:rPr>
        <w:t xml:space="preserve">Source: </w:t>
      </w:r>
      <w:r>
        <w:t>Wiley: Advanced Materials: Table of Contents</w:t>
      </w:r>
      <w:r>
        <w:t xml:space="preserve">    </w:t>
      </w:r>
      <w:r>
        <w:rPr>
          <w:b/>
        </w:rPr>
        <w:t xml:space="preserve">Pub date: </w:t>
      </w:r>
      <w:r>
        <w:t>2026-06-16 10:24:26+00:00</w:t>
      </w:r>
      <w:r>
        <w:t xml:space="preserve">    </w:t>
      </w:r>
      <w:r>
        <w:rPr>
          <w:b/>
        </w:rPr>
        <w:t xml:space="preserve">DOI: </w:t>
      </w:r>
      <w:hyperlink r:id="rId712">
        <w:r>
          <w:rPr>
            <w:color w:val="1155CC"/>
            <w:u w:val="single"/>
          </w:rPr>
          <w:t>10.1002/adma.73523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强而重复的 Pd-S 相互作用稳定平面 PdS</w:t>
      </w:r>
      <w:r>
        <w:rPr>
          <w:vertAlign w:val="subscript"/>
        </w:rPr>
        <w:t>4</w:t>
      </w:r>
      <w:r>
        <w:t>图案，限制原子生长并抑制三维（3D）Pd 框架的形成。在这里，我们发现锑（Sb）（磷的 p 区同系物）的反电并入选择性地扰乱平面 Pd─S 配位，同时保留 Pd─Pd 连接性。 Sb 充当尺寸调节剂，能够形成具有原子精度的稳定的 3D Pd─Sb 纳米团簇，例如 [Pd</w:t>
      </w:r>
      <w:r>
        <w:rPr>
          <w:vertAlign w:val="subscript"/>
        </w:rPr>
        <w:t>13</w:t>
      </w:r>
      <w:r>
        <w:t>锑</w:t>
      </w:r>
      <w:r>
        <w:rPr>
          <w:vertAlign w:val="subscript"/>
        </w:rPr>
        <w:t>2</w:t>
      </w:r>
      <w:r>
        <w:t>(PPh</w:t>
      </w:r>
      <w:r>
        <w:rPr>
          <w:vertAlign w:val="subscript"/>
        </w:rPr>
        <w:t>3</w:t>
      </w:r>
      <w:r>
        <w:t>）</w:t>
      </w:r>
      <w:r>
        <w:rPr>
          <w:vertAlign w:val="subscript"/>
        </w:rPr>
        <w:t>2</w:t>
      </w:r>
      <w:r>
        <w:t>(S-Adm)</w:t>
      </w:r>
      <w:r>
        <w:rPr>
          <w:vertAlign w:val="subscript"/>
        </w:rPr>
        <w:t>10</w:t>
      </w:r>
      <w:r>
        <w:t>]（表示为 Pd</w:t>
      </w:r>
      <w:r>
        <w:rPr>
          <w:vertAlign w:val="subscript"/>
        </w:rPr>
        <w:t>13</w:t>
      </w:r>
      <w:r>
        <w:t>锑</w:t>
      </w:r>
      <w:r>
        <w:rPr>
          <w:vertAlign w:val="subscript"/>
        </w:rPr>
        <w:t>2</w:t>
      </w:r>
      <w:r>
        <w:t>）纳米团簇。单晶 X 射线衍射 (SCXRD) 分析揭示了独特的 3D 金属内核，这是硫醇化 Pd 纳米团簇中以前未报道过的结构特征。当应用于苯乙炔半加氢时，Pd</w:t>
      </w:r>
      <w:r>
        <w:rPr>
          <w:vertAlign w:val="subscript"/>
        </w:rPr>
        <w:t>13</w:t>
      </w:r>
      <w:r>
        <w:t>锑</w:t>
      </w:r>
      <w:r>
        <w:rPr>
          <w:vertAlign w:val="subscript"/>
        </w:rPr>
        <w:t>2</w:t>
      </w:r>
      <w:r>
        <w:t>催化剂表现出优异的催化性能。密度泛函理论计算表明，协同的Pd─Sb双位点结构不仅有利于H</w:t>
      </w:r>
      <w:r>
        <w:rPr>
          <w:vertAlign w:val="subscript"/>
        </w:rPr>
        <w:t>2</w:t>
      </w:r>
      <w:r>
        <w:t>活化的同时还优化了中间体的结合能，确保优先苯乙烯解吸和</w:t>
      </w:r>
    </w:p>
    <w:p>
      <w:pPr>
        <w:spacing w:before="0" w:after="200" w:lineRule="auto" w:line="276"/>
      </w:pPr>
      <w:r>
        <w:rPr>
          <w:b/>
        </w:rPr>
        <w:t xml:space="preserve">Abstract (EN): </w:t>
      </w:r>
      <w:r>
        <w:t>Strong and repetitive Pd–S interactions stabilize planar PdS</w:t>
      </w:r>
      <w:r>
        <w:rPr>
          <w:vertAlign w:val="subscript"/>
        </w:rPr>
        <w:t>4</w:t>
      </w:r>
      <w:r>
        <w:t>motifs, confining atomic growth and suppressing the formation of three‐dimensional (3D) Pd frameworks. Here, we show that anti‐galvanic incorporation of antimony (Sb), a p‐block congener of phosphorus, selectively perturbs planar Pd─S coordination while preserving Pd─Pd connectivity. Sb acts as a dimensional regulator that enables the formation of stable, 3D Pd─Sb nanoclusters with atomic precision, as exemplified by the successful synthesis of the [Pd</w:t>
      </w:r>
      <w:r>
        <w:rPr>
          <w:vertAlign w:val="subscript"/>
        </w:rPr>
        <w:t>13</w:t>
      </w:r>
      <w:r>
        <w:t>Sb</w:t>
      </w:r>
      <w:r>
        <w:rPr>
          <w:vertAlign w:val="subscript"/>
        </w:rPr>
        <w:t>2</w:t>
      </w:r>
      <w:r>
        <w:t>(PPh</w:t>
      </w:r>
      <w:r>
        <w:rPr>
          <w:vertAlign w:val="subscript"/>
        </w:rPr>
        <w:t>3</w:t>
      </w:r>
      <w:r>
        <w:t>)</w:t>
      </w:r>
      <w:r>
        <w:rPr>
          <w:vertAlign w:val="subscript"/>
        </w:rPr>
        <w:t>2</w:t>
      </w:r>
      <w:r>
        <w:t>(S‐Adm)</w:t>
      </w:r>
      <w:r>
        <w:rPr>
          <w:vertAlign w:val="subscript"/>
        </w:rPr>
        <w:t>10</w:t>
      </w:r>
      <w:r>
        <w:t>] (denoted as Pd</w:t>
      </w:r>
      <w:r>
        <w:rPr>
          <w:vertAlign w:val="subscript"/>
        </w:rPr>
        <w:t>13</w:t>
      </w:r>
      <w:r>
        <w:t>Sb</w:t>
      </w:r>
      <w:r>
        <w:rPr>
          <w:vertAlign w:val="subscript"/>
        </w:rPr>
        <w:t>2</w:t>
      </w:r>
      <w:r>
        <w:t>) nanocluster. Single‐crystal X‐ray diffraction (SCXRD) analysis unveiled a unique 3D metal kernel, a structural feature not previously reported in thiolated Pd nanoclusters. When applied to the semihydrogenation of phenylacetylene, the Pd</w:t>
      </w:r>
      <w:r>
        <w:rPr>
          <w:vertAlign w:val="subscript"/>
        </w:rPr>
        <w:t>13</w:t>
      </w:r>
      <w:r>
        <w:t>Sb</w:t>
      </w:r>
      <w:r>
        <w:rPr>
          <w:vertAlign w:val="subscript"/>
        </w:rPr>
        <w:t>2</w:t>
      </w:r>
      <w:r>
        <w:t>catalyst exhibited excellent catalytic performance. Density functional theory calculations indicate that the synergistic Pd─Sb dual‐site architecture not only facilitates H</w:t>
      </w:r>
      <w:r>
        <w:rPr>
          <w:vertAlign w:val="subscript"/>
        </w:rPr>
        <w:t>2</w:t>
      </w:r>
      <w:r>
        <w:t>activation but also optimizes the binding energy of intermediates, ensuring preferential styrene desorption and thus suppressing over‐hydrogenation. These results establish Sb‐enabled dimensional control to overcome intrinsic structural limitations in palladium nanoclusters and to unlock their catalytic potentials.</w:t>
      </w:r>
    </w:p>
    <w:p>
      <w:pPr>
        <w:spacing w:before="120" w:after="120"/>
      </w:pPr>
      <w:r>
        <w:rPr>
          <w:sz w:val="18"/>
        </w:rPr>
        <w:t>——————————————————————————————————————————————————————————————————————</w:t>
      </w:r>
    </w:p>
    <w:p>
      <w:pPr>
        <w:spacing w:before="160" w:after="40" w:line="240" w:lineRule="auto"/>
      </w:pPr>
      <w:r>
        <w:rPr>
          <w:b/>
        </w:rPr>
        <w:t xml:space="preserve">[243] </w:t>
      </w:r>
      <w:hyperlink r:id="rId713">
        <w:r>
          <w:rPr>
            <w:color w:val="1155CC"/>
            <w:u w:val="single"/>
          </w:rPr>
          <w:t>用于刚性和耐用柔性材料的动态有机-无机互穿纳米网络</w:t>
        </w:r>
      </w:hyperlink>
    </w:p>
    <w:p>
      <w:pPr>
        <w:spacing w:before="0" w:after="80"/>
      </w:pPr>
      <w:r>
        <w:rPr>
          <w:i/>
          <w:sz w:val="20"/>
        </w:rPr>
        <w:t>EN: Dynamic Organic–Inorganic Interpenetrating Nanonetwork for Stiff and Durable Flexible Material</w:t>
      </w:r>
    </w:p>
    <w:p>
      <w:pPr>
        <w:spacing w:before="0" w:after="120"/>
      </w:pPr>
      <w:r>
        <w:rPr>
          <w:b/>
        </w:rPr>
        <w:t xml:space="preserve">Source: </w:t>
      </w:r>
      <w:r>
        <w:t>Wiley: Advanced Materials: Table of Contents</w:t>
      </w:r>
      <w:r>
        <w:t xml:space="preserve">    </w:t>
      </w:r>
      <w:r>
        <w:rPr>
          <w:b/>
        </w:rPr>
        <w:t xml:space="preserve">Pub date: </w:t>
      </w:r>
      <w:r>
        <w:t>2026-06-16 10:30:11+00:00</w:t>
      </w:r>
      <w:r>
        <w:t xml:space="preserve">    </w:t>
      </w:r>
      <w:r>
        <w:rPr>
          <w:b/>
        </w:rPr>
        <w:t xml:space="preserve">DOI: </w:t>
      </w:r>
      <w:hyperlink r:id="rId714">
        <w:r>
          <w:rPr>
            <w:color w:val="1155CC"/>
            <w:u w:val="single"/>
          </w:rPr>
          <w:t>10.1002/adma.73753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刚性和持久柔韧性之间长期存在的权衡限制了结构材料的性能范围，限制了它们在要求苛刻的工程领域的应用。在这里，我们揭示了一种替代的有机-无机混合结构来整合这些矛盾的特性。受互穿聚合物网络的启发，我们通过无机离子低聚物的聚合将无机纳米网络互穿到有机网络中。通过这种方式，构建了有机-无机（细菌纤维素-磷酸钙）互穿纳米网络，值得注意的是，在外力作用下发现了动态可逆的网络间键合。这种动态的有机-无机互穿纳米网络 (DIN) 使复合材料在变形过程中具有高刚度和高能量耗散能力，表现出类金属的弯曲刚度，同时能承受 20,000 次弯曲循环而不发生疲劳断裂。这证明了结构材料中刚度和持久灵活性集成的解决方案。此外，DIN 结构能够耐受恶劣环境，包括极端温度（−196°C 至 200°C）和高湿度（90% RH）。结合其轻质、电磁透明性和天然衍生成分，基于 DIN 的复合材料是下一代刚性且耐用的柔性防护结构材料的有希望的候选者。这项工作扩展了聚合物启发的方法来合成非经典无机结构，同时拓宽了研究领域</w:t>
      </w:r>
    </w:p>
    <w:p>
      <w:pPr>
        <w:spacing w:before="0" w:after="200" w:lineRule="auto" w:line="276"/>
      </w:pPr>
      <w:r>
        <w:rPr>
          <w:b/>
        </w:rPr>
        <w:t xml:space="preserve">Abstract (EN): </w:t>
      </w:r>
      <w:r>
        <w:t>The longstanding trade‐off between stiffness and durable flexibility has limited the performance envelope of structural materials, constraining their application in demanding engineering fields. Here, we reveal an alternative organic–inorganic hybrid architecture to integrate these contradictory properties. Inspired by interpenetrating polymer networks, we interpenetrate an inorganic nanonetwork into the organic network via polymerization of inorganic ionic oligomers. In this way, an organic–inorganic (bacterial cellulose‐calcium phosphate) interpenetrating nanonetwork was constructed, and notably, a dynamically reversible inter‐network bonding was discovered under external force. This dynamic organic–inorganic interpenetrating nanonetwork (DIN) leads to a composite material with both high stiffness and high energy dissipation ability during deformation, exhibiting metal‐like bending rigidity while sustaining 20 000 bending cycles without fatigue fracture. This demonstrates a resolution to stiffness and durable flexibility integration in structural materials. Moreover, the DIN structure exhibits resistance to harsh environments, including extreme temperatures (−196°C to 200°C) and high humidity (90% RH). Combined with its lightweight, electromagnetic transparency, and naturally derived components, DIN‐based composites represent promising candidates for next‐generation stiff yet durable flexible protective structural materials. This work extends the polymer‐inspired approach to synthesize non‐classical inorganic structures, while broadening the understanding of organic–inorganic composite architectures in integrating distinct material properties.</w:t>
      </w:r>
    </w:p>
    <w:p>
      <w:pPr>
        <w:spacing w:before="120" w:after="120"/>
      </w:pPr>
      <w:r>
        <w:rPr>
          <w:sz w:val="18"/>
        </w:rPr>
        <w:t>——————————————————————————————————————————————————————————————————————</w:t>
      </w:r>
    </w:p>
    <w:p>
      <w:pPr>
        <w:spacing w:before="160" w:after="40" w:line="240" w:lineRule="auto"/>
      </w:pPr>
      <w:r>
        <w:rPr>
          <w:b/>
        </w:rPr>
        <w:t xml:space="preserve">[244] </w:t>
      </w:r>
      <w:hyperlink r:id="rId715">
        <w:r>
          <w:rPr>
            <w:color w:val="1155CC"/>
            <w:u w:val="single"/>
          </w:rPr>
          <w:t>通过催化呋喃转化为吡咯构建交联网络</w:t>
        </w:r>
      </w:hyperlink>
    </w:p>
    <w:p>
      <w:pPr>
        <w:spacing w:before="0" w:after="80"/>
      </w:pPr>
      <w:r>
        <w:rPr>
          <w:i/>
          <w:sz w:val="20"/>
        </w:rPr>
        <w:t>EN: Building Crosslinking Network via Catalytic Furan‐to‐Pyrrole Conversion</w:t>
      </w:r>
    </w:p>
    <w:p>
      <w:pPr>
        <w:spacing w:before="0" w:after="120"/>
      </w:pPr>
      <w:r>
        <w:rPr>
          <w:b/>
        </w:rPr>
        <w:t xml:space="preserve">Source: </w:t>
      </w:r>
      <w:r>
        <w:t>Wiley: Angewandte Chemie International Edition: Table of Contents</w:t>
      </w:r>
      <w:r>
        <w:t xml:space="preserve">    </w:t>
      </w:r>
      <w:r>
        <w:rPr>
          <w:b/>
        </w:rPr>
        <w:t xml:space="preserve">Pub date: </w:t>
      </w:r>
      <w:r>
        <w:t>2026-06-16 17:58:31+00:00</w:t>
      </w:r>
      <w:r>
        <w:t xml:space="preserve">    </w:t>
      </w:r>
      <w:r>
        <w:rPr>
          <w:b/>
        </w:rPr>
        <w:t xml:space="preserve">DOI: </w:t>
      </w:r>
      <w:hyperlink r:id="rId716">
        <w:r>
          <w:rPr>
            <w:color w:val="1155CC"/>
            <w:u w:val="single"/>
          </w:rPr>
          <w:t>10.1002/anie.1252628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为了解决传统呋喃树脂依赖糠醛衍生物合成且性能受限的局限性，本工作提出了一种催化缩聚策略，直接从糠醛和胺合成高性能树脂。由NH催化</w:t>
      </w:r>
      <w:r>
        <w:rPr>
          <w:vertAlign w:val="subscript"/>
        </w:rPr>
        <w:t>4</w:t>
      </w:r>
      <w:r>
        <w:t>Cl，该过程通过席夫碱中间体将呋喃环转化为吡咯环，经历芳香性破坏、氮原子掺入和芳香性重建。这种未报道的机制构建了多取代吡咯交联网络，具有出色的热稳定性（450°C 分解）、阻燃性（极限氧指数为 31.7%）、卓越的机械强度（拉伸强度为 70 MPa、弯曲强度为 131 MPa）、优异的抗疲劳性（树脂弹簧在 95% 应变下可承受 10 000 次压缩循环），以及对各种基材（尤其是不锈钢）的强大粘附力跨越极宽的温度范围（−196°C–200°C）。这种无溶剂、原子经济的方法，加上可进行再处理的动态共价键，为基于生物质的糠醛利用提供了一条可持续的途径，并建立了在工程塑料、结构粘合剂和涂料领域具有潜力的呋喃转化为吡咯的总体策略。</w:t>
      </w:r>
    </w:p>
    <w:p>
      <w:pPr>
        <w:spacing w:before="0" w:after="200" w:lineRule="auto" w:line="276"/>
      </w:pPr>
      <w:r>
        <w:rPr>
          <w:b/>
        </w:rPr>
        <w:t xml:space="preserve">Abstract (EN): </w:t>
      </w:r>
      <w:r>
        <w:t>To address the limitations of conventional furan resins, which rely on furfural derivatives for synthesis and exhibit constrained performance, this work presents a catalytic polycondensation strategy that synthesizes high‐performance resins directly from furfural and amines. Catalyzed by NH</w:t>
      </w:r>
      <w:r>
        <w:rPr>
          <w:vertAlign w:val="subscript"/>
        </w:rPr>
        <w:t>4</w:t>
      </w:r>
      <w:r>
        <w:t>Cl, the process transforms furan rings into pyrrole rings via a Schiff base intermediate, proceeding through aromaticity disruption, nitrogen‐atom incorporation, and aromaticity reconstruction. This unreported mechanism constructs a multi‐substituted pyrrole cross‐linked network, which demonstrates exceptional thermal stability (450°C decomposition), flame retardancy (limiting oxygen index of 31.7%), superior mechanical strength (tensile strength of 70 MPa, flexural strength of 131 MPa), excellent fatigue resistance (a resin spring surviving 10 000 compression cycles at 95% strain), and robust adhesion to diverse substrates, particularly on stainless steel across an extremely broad temperature range (−196°C–200°C). The solvent‐free, atom‐economical method, coupled with dynamic covalent bonds enabling reprocessing, offers a sustainable pathway for biomass‐based furfural utilization and establishes a general strategy for furan‐to‐pyrrole conversion with potential in engineering plastics, structural adhesives, and coatings.</w:t>
      </w:r>
    </w:p>
    <w:p>
      <w:pPr>
        <w:spacing w:before="120" w:after="120"/>
      </w:pPr>
      <w:r>
        <w:rPr>
          <w:sz w:val="18"/>
        </w:rPr>
        <w:t>——————————————————————————————————————————————————————————————————————</w:t>
      </w:r>
    </w:p>
    <w:p>
      <w:pPr>
        <w:spacing w:before="160" w:after="40" w:line="240" w:lineRule="auto"/>
      </w:pPr>
      <w:r>
        <w:rPr>
          <w:b/>
        </w:rPr>
        <w:t xml:space="preserve">[245] </w:t>
      </w:r>
      <w:hyperlink r:id="rId717">
        <w:r>
          <w:rPr>
            <w:color w:val="1155CC"/>
            <w:u w:val="single"/>
          </w:rPr>
          <w:t>分子轨道和界面水对酞菁镍的双重调控用于高选择性 H2O2 合成</w:t>
        </w:r>
      </w:hyperlink>
    </w:p>
    <w:p>
      <w:pPr>
        <w:spacing w:before="0" w:after="80"/>
      </w:pPr>
      <w:r>
        <w:rPr>
          <w:i/>
          <w:sz w:val="20"/>
        </w:rPr>
        <w:t>EN: Dual Regulation of Molecular Orbital and Interfacial Water on Nickel Phthalocyanine for Highly Selective H2O2 Synthesis</w:t>
      </w:r>
    </w:p>
    <w:p>
      <w:pPr>
        <w:spacing w:before="0" w:after="120"/>
      </w:pPr>
      <w:r>
        <w:rPr>
          <w:b/>
        </w:rPr>
        <w:t xml:space="preserve">Source: </w:t>
      </w:r>
      <w:r>
        <w:t>Wiley: Angewandte Chemie International Edition: Table of Contents</w:t>
      </w:r>
      <w:r>
        <w:t xml:space="preserve">    </w:t>
      </w:r>
      <w:r>
        <w:rPr>
          <w:b/>
        </w:rPr>
        <w:t xml:space="preserve">Pub date: </w:t>
      </w:r>
      <w:r>
        <w:t>2026-06-16 17:59:42+00:00</w:t>
      </w:r>
      <w:r>
        <w:t xml:space="preserve">    </w:t>
      </w:r>
      <w:r>
        <w:rPr>
          <w:b/>
        </w:rPr>
        <w:t xml:space="preserve">DOI: </w:t>
      </w:r>
      <w:hyperlink r:id="rId718">
        <w:r>
          <w:rPr>
            <w:color w:val="1155CC"/>
            <w:u w:val="single"/>
          </w:rPr>
          <w:t>10.1002/anie.1594313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过氧化氢（H</w:t>
      </w:r>
      <w:r>
        <w:rPr>
          <w:vertAlign w:val="subscript"/>
        </w:rPr>
        <w:t>2</w:t>
      </w:r>
      <w:r>
        <w:t>氧</w:t>
      </w:r>
      <w:r>
        <w:rPr>
          <w:vertAlign w:val="subscript"/>
        </w:rPr>
        <w:t>2</w:t>
      </w:r>
      <w:r>
        <w:t>）通过双电子氧还原反应进行电合成（2e</w:t>
      </w:r>
      <w:r>
        <w:t xml:space="preserve"> </w:t>
      </w:r>
      <w:r>
        <w:t>-</w:t>
      </w:r>
      <w:r>
        <w:t>ORR）从根本上受到自旋禁阻 O 的挑战</w:t>
      </w:r>
      <w:r>
        <w:rPr>
          <w:vertAlign w:val="subscript"/>
        </w:rPr>
        <w:t>2</w:t>
      </w:r>
      <w:r>
        <w:t>激活和缓慢的质子耦合电子转移。在此，我们超越了传统的金属中心设计，提出了一种将分子轨道工程与界面水网络控制相结合的双调控策略。以镍酞菁为平台，延伸</w:t>
      </w:r>
      <w:r>
        <w:t xml:space="preserve"> </w:t>
      </w:r>
      <w:r>
        <w:t>π</w:t>
      </w:r>
      <w:r>
        <w:t xml:space="preserve"> </w:t>
      </w:r>
      <w:r>
        <w:t>‐与极性甲氧基（‐OCH</w:t>
      </w:r>
      <w:r>
        <w:rPr>
          <w:vertAlign w:val="subscript"/>
        </w:rPr>
        <w:t>3</w:t>
      </w:r>
      <w:r>
        <w:t>）组被引入。它缩小了 HOMO-LUMO 间隙，促进顺磁性超氧化物中间体的电势驱动形成，而甲氧基进一步重组具有适度氢键强度的界面水层，从而为后续氢化步骤提供有效的质子传递。这导致了高H</w:t>
      </w:r>
      <w:r>
        <w:rPr>
          <w:vertAlign w:val="subscript"/>
        </w:rPr>
        <w:t>2</w:t>
      </w:r>
      <w:r>
        <w:t>氧</w:t>
      </w:r>
      <w:r>
        <w:rPr>
          <w:vertAlign w:val="subscript"/>
        </w:rPr>
        <w:t>2</w:t>
      </w:r>
      <w:r>
        <w:t>在很宽的电位范围内选择性（高达 96.49%），在流通池和多孔态电解质反应器中性能稳定超过 50 小时。原位光谱和模拟揭示了分子轨道调节如何促进催化过程，以及界面水层如何促进氢化。我们的工作提供了分子轨道pe</w:t>
      </w:r>
    </w:p>
    <w:p>
      <w:pPr>
        <w:spacing w:before="0" w:after="200" w:lineRule="auto" w:line="276"/>
      </w:pPr>
      <w:r>
        <w:rPr>
          <w:b/>
        </w:rPr>
        <w:t xml:space="preserve">Abstract (EN): </w:t>
      </w:r>
      <w:r>
        <w:t>Hydrogen peroxide (H</w:t>
      </w:r>
      <w:r>
        <w:rPr>
          <w:vertAlign w:val="subscript"/>
        </w:rPr>
        <w:t>2</w:t>
      </w:r>
      <w:r>
        <w:t>O</w:t>
      </w:r>
      <w:r>
        <w:rPr>
          <w:vertAlign w:val="subscript"/>
        </w:rPr>
        <w:t>2</w:t>
      </w:r>
      <w:r>
        <w:t>) electrosynthesis via the two‐electron oxygen reduction reaction (2e</w:t>
      </w:r>
      <w:r>
        <w:t xml:space="preserve"> </w:t>
      </w:r>
      <w:r>
        <w:t>−</w:t>
      </w:r>
      <w:r>
        <w:t>ORR) is fundamentally challenged by both spin‐forbidden O</w:t>
      </w:r>
      <w:r>
        <w:rPr>
          <w:vertAlign w:val="subscript"/>
        </w:rPr>
        <w:t>2</w:t>
      </w:r>
      <w:r>
        <w:t>activation and sluggish proton‐coupled electron transfer. Herein, we move beyond conventional metal‐centered design and propose a dual‐regulation strategy that integrates molecular orbital engineering with control of the interfacial water network. Using nickel phthalocyanines as a platform, extended</w:t>
      </w:r>
      <w:r>
        <w:t xml:space="preserve"> </w:t>
      </w:r>
      <w:r>
        <w:t>π</w:t>
      </w:r>
      <w:r>
        <w:t xml:space="preserve"> </w:t>
      </w:r>
      <w:r>
        <w:t>‐conjugation combined with polar methoxy (‐OCH</w:t>
      </w:r>
      <w:r>
        <w:rPr>
          <w:vertAlign w:val="subscript"/>
        </w:rPr>
        <w:t>3</w:t>
      </w:r>
      <w:r>
        <w:t>) groups was introduced. It narrows the HOMO–LUMO gap and facilitates potential‐driven formation of a paramagnetic superoxide intermediate, while the methoxy groups further reorganize the interfacial water layer with moderate hydrogen‐bonding strength that enables efficient proton delivery for subsequent hydrogenation steps. This led to high H</w:t>
      </w:r>
      <w:r>
        <w:rPr>
          <w:vertAlign w:val="subscript"/>
        </w:rPr>
        <w:t>2</w:t>
      </w:r>
      <w:r>
        <w:t>O</w:t>
      </w:r>
      <w:r>
        <w:rPr>
          <w:vertAlign w:val="subscript"/>
        </w:rPr>
        <w:t>2</w:t>
      </w:r>
      <w:r>
        <w:t>selectivity (up to 96.49%) over a wide potential range, with stable performance in both flow cell and porous state electrolyte reactors for over 50 h. In situ spectroscopy and simulations reveal how molecular orbital regulation contributes to the catalytic process, and how the interfacial water layer facilitates hydrogenation. Our work provides a molecular orbital perspective on the cooperative roles of metal and ligand, establishing a design strategy that co‐regulates electronic and interfacial determinants for selective multi‐electron electrocatalysis.</w:t>
      </w:r>
    </w:p>
    <w:p>
      <w:pPr>
        <w:spacing w:before="120" w:after="120"/>
      </w:pPr>
      <w:r>
        <w:rPr>
          <w:sz w:val="18"/>
        </w:rPr>
        <w:t>——————————————————————————————————————————————————————————————————————</w:t>
      </w:r>
    </w:p>
    <w:p>
      <w:pPr>
        <w:spacing w:before="160" w:after="40" w:line="240" w:lineRule="auto"/>
      </w:pPr>
      <w:r>
        <w:rPr>
          <w:b/>
        </w:rPr>
        <w:t xml:space="preserve">[246] </w:t>
      </w:r>
      <w:hyperlink r:id="rId719">
        <w:r>
          <w:rPr>
            <w:color w:val="1155CC"/>
            <w:u w:val="single"/>
          </w:rPr>
          <w:t>乙烯：具有三重基态的稳定多环芳烃</w:t>
        </w:r>
      </w:hyperlink>
    </w:p>
    <w:p>
      <w:pPr>
        <w:spacing w:before="0" w:after="80"/>
      </w:pPr>
      <w:r>
        <w:rPr>
          <w:i/>
          <w:sz w:val="20"/>
        </w:rPr>
        <w:t>EN: Aethrene: A Stable Polycyclic Aromatic Hydrocarbon With a Triplet Ground State</w:t>
      </w:r>
    </w:p>
    <w:p>
      <w:pPr>
        <w:spacing w:before="0" w:after="120"/>
      </w:pPr>
      <w:r>
        <w:rPr>
          <w:b/>
        </w:rPr>
        <w:t xml:space="preserve">Source: </w:t>
      </w:r>
      <w:r>
        <w:t>Wiley: Angewandte Chemie International Edition: Table of Contents</w:t>
      </w:r>
      <w:r>
        <w:t xml:space="preserve">    </w:t>
      </w:r>
      <w:r>
        <w:rPr>
          <w:b/>
        </w:rPr>
        <w:t xml:space="preserve">Pub date: </w:t>
      </w:r>
      <w:r>
        <w:t>2026-06-16 18:01:09+00:00</w:t>
      </w:r>
      <w:r>
        <w:t xml:space="preserve">    </w:t>
      </w:r>
      <w:r>
        <w:rPr>
          <w:b/>
        </w:rPr>
        <w:t xml:space="preserve">DOI: </w:t>
      </w:r>
      <w:hyperlink r:id="rId720">
        <w:r>
          <w:rPr>
            <w:color w:val="1155CC"/>
            <w:u w:val="single"/>
          </w:rPr>
          <w:t>10.1002/anie.6666833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由于其独特的电子结构和磁性，高自旋自由基在有机电子学和自旋电子学领域引起了极大的兴趣。然而，高自旋自由基的高反应性使得该物质的有效合成和选择性分离成为一项艰巨的挑战。乙烯衍生物</w:t>
      </w:r>
      <w:r>
        <w:rPr>
          <w:vertAlign w:val="subscript"/>
        </w:rPr>
        <w:t>2</w:t>
      </w:r>
      <w:r>
        <w:t>设计了具有A形几何骨架的烯丙基基团嵌入芳香苯环的Clar结构，并在锯齿形边缘引入了两个大的空间取代基，赋予该化合物优异的稳定性。</w:t>
      </w:r>
      <w:r>
        <w:rPr>
          <w:vertAlign w:val="subscript"/>
        </w:rPr>
        <w:t>2</w:t>
      </w:r>
      <w:r>
        <w:t>在环境和光照条件下表现出 15.5 天的半衰期。的结构</w:t>
      </w:r>
      <w:r>
        <w:rPr>
          <w:vertAlign w:val="subscript"/>
        </w:rPr>
        <w:t>2</w:t>
      </w:r>
      <w:r>
        <w:t>通过X射线晶体学分析明确证实了这一点。乙烯</w:t>
      </w:r>
      <w:r>
        <w:rPr>
          <w:vertAlign w:val="subscript"/>
        </w:rPr>
        <w:t>2</w:t>
      </w:r>
      <w:r>
        <w:t>通过DFT计算和实验方法，包括连续波和脉冲电子顺磁共振以及超导量子干涉装置测量，证明其具有三重态基态。值得注意的是，它的双阳离子通过NO·SbF原位氧化成功获得</w:t>
      </w:r>
      <w:r>
        <w:rPr>
          <w:vertAlign w:val="subscript"/>
        </w:rPr>
        <w:t>6</w:t>
      </w:r>
      <w:r>
        <w:t>并表现出闭壳基态。这项工作为具有高自旋多重性的新型稳定多环芳烃的设计和合成提供了新的思路。</w:t>
      </w:r>
    </w:p>
    <w:p>
      <w:pPr>
        <w:spacing w:before="0" w:after="200" w:lineRule="auto" w:line="276"/>
      </w:pPr>
      <w:r>
        <w:rPr>
          <w:b/>
        </w:rPr>
        <w:t xml:space="preserve">Abstract (EN): </w:t>
      </w:r>
      <w:r>
        <w:t>Owing to their unique electronic structures and magnetic properties, high‐spin radicals have garnered significant interest in the fields of organic electronics and spintronics. Nevertheless, the high reactivity of high‐spin radicals renders efficient synthesis and selective isolation of the species a formidable challenge. An aethrene derivative</w:t>
      </w:r>
      <w:r>
        <w:rPr>
          <w:vertAlign w:val="subscript"/>
        </w:rPr>
        <w:t>2</w:t>
      </w:r>
      <w:r>
        <w:t>with an A‐shaped geometric skeleton was designed with a Clar structure of allylic radicals embedded with aromatic benzenoid rings, and two bulky steric substituents were introduced at the zigzag edges to endow the compound with excellent stability.</w:t>
      </w:r>
      <w:r>
        <w:rPr>
          <w:vertAlign w:val="subscript"/>
        </w:rPr>
        <w:t>2</w:t>
      </w:r>
      <w:r>
        <w:t>exhibits a 15.5‐day half‐life under ambient and light conditions. The structure of</w:t>
      </w:r>
      <w:r>
        <w:rPr>
          <w:vertAlign w:val="subscript"/>
        </w:rPr>
        <w:t>2</w:t>
      </w:r>
      <w:r>
        <w:t>was unequivocally confirmed through x‐ray crystallographic analysis. Aethrene</w:t>
      </w:r>
      <w:r>
        <w:rPr>
          <w:vertAlign w:val="subscript"/>
        </w:rPr>
        <w:t>2</w:t>
      </w:r>
      <w:r>
        <w:t>was demonstrated to possess a triplet ground state through DFT calculations and experimental methods, including continuous wave and pulsed electron paramagnetic resonance and superconducting quantum interference device measurements. Notably, its dication was successfully obtained by in‐situ oxidation with NO·SbF</w:t>
      </w:r>
      <w:r>
        <w:rPr>
          <w:vertAlign w:val="subscript"/>
        </w:rPr>
        <w:t>6</w:t>
      </w:r>
      <w:r>
        <w:t>and exhibited a closed‐shell ground state. This work shed new light on the design and synthesis of novel stable PAHs with high‐spin multiplicity.</w:t>
      </w:r>
    </w:p>
    <w:p>
      <w:pPr>
        <w:spacing w:before="120" w:after="120"/>
      </w:pPr>
      <w:r>
        <w:rPr>
          <w:sz w:val="18"/>
        </w:rPr>
        <w:t>——————————————————————————————————————————————————————————————————————</w:t>
      </w:r>
    </w:p>
    <w:p>
      <w:pPr>
        <w:spacing w:before="160" w:after="40" w:line="240" w:lineRule="auto"/>
      </w:pPr>
      <w:r>
        <w:rPr>
          <w:b/>
        </w:rPr>
        <w:t xml:space="preserve">[247] </w:t>
      </w:r>
      <w:hyperlink r:id="rId721">
        <w:r>
          <w:rPr>
            <w:color w:val="1155CC"/>
            <w:u w:val="single"/>
          </w:rPr>
          <w:t>均匀六臂椅石墨烯纳米带及其同位素和氮掺杂衍生物的合成</w:t>
        </w:r>
      </w:hyperlink>
    </w:p>
    <w:p>
      <w:pPr>
        <w:spacing w:before="0" w:after="80"/>
      </w:pPr>
      <w:r>
        <w:rPr>
          <w:i/>
          <w:sz w:val="20"/>
        </w:rPr>
        <w:t>EN: Synthesis of Uniform 6‐Armchair Graphene Nanoribbons and Their Isotope and Nitrogen‐Doped Derivatives</w:t>
      </w:r>
    </w:p>
    <w:p>
      <w:pPr>
        <w:spacing w:before="0" w:after="120"/>
      </w:pPr>
      <w:r>
        <w:rPr>
          <w:b/>
        </w:rPr>
        <w:t xml:space="preserve">Source: </w:t>
      </w:r>
      <w:r>
        <w:t>Wiley: Angewandte Chemie International Edition: Table of Contents</w:t>
      </w:r>
      <w:r>
        <w:t xml:space="preserve">    </w:t>
      </w:r>
      <w:r>
        <w:rPr>
          <w:b/>
        </w:rPr>
        <w:t xml:space="preserve">Pub date: </w:t>
      </w:r>
      <w:r>
        <w:t>2026-06-16 18:01:46+00:00</w:t>
      </w:r>
      <w:r>
        <w:t xml:space="preserve">    </w:t>
      </w:r>
      <w:r>
        <w:rPr>
          <w:b/>
        </w:rPr>
        <w:t xml:space="preserve">DOI: </w:t>
      </w:r>
      <w:hyperlink r:id="rId722">
        <w:r>
          <w:rPr>
            <w:color w:val="1155CC"/>
            <w:u w:val="single"/>
          </w:rPr>
          <w:t>10.1002/anie.2889387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表面合成能够精确合成石墨烯纳米带（GNR），通过设计的前体分子的工程聚合和脱氢环化来实现定制的边缘结构和宽度。在这里，我们报告了各种前体分子成功转化为封装在碳纳米管或氮化硼纳米管内的均匀 0.6 nm 宽扶手椅 GNR，从而促进了大规模生产。值得注意的是，我们的结果表明，不仅具有六边形结构的芳香烃分子，而且那些含有五边形、七边形或八边形基序的芳香烃分子也能产生仅由六边形组成的均匀 GNR。这种对不同封装分子和主体材料的令人印象深刻的耐受性强调了我们方法的普遍性。此外，我们成功合成了 0.6 nm 宽的氘代，</w:t>
      </w:r>
      <w:r>
        <w:rPr>
          <w:vertAlign w:val="subscript"/>
        </w:rPr>
        <w:t>13</w:t>
      </w:r>
      <w:r>
        <w:t>C同位素，以及来自各自同位素或含氮前体分子的氮掺杂GNR。我们的方法不仅为均匀 GNR 的通用合成铺平了道路，而且还有望创建具有源自其母体二维材料的定制特性的多功能纳米带。</w:t>
      </w:r>
    </w:p>
    <w:p>
      <w:pPr>
        <w:spacing w:before="0" w:after="200" w:lineRule="auto" w:line="276"/>
      </w:pPr>
      <w:r>
        <w:rPr>
          <w:b/>
        </w:rPr>
        <w:t xml:space="preserve">Abstract (EN): </w:t>
      </w:r>
      <w:r>
        <w:t>On‐surface synthesis enables precision synthesis of graphene nanoribbons (GNRs), allowing for tailored edge structures and widths through engineered polymerization and dehydrocyclization of designed precursor molecules. Here, we report the successful transformation of various precursor molecules into uniform 0.6 nm‐wide armchair GNRs encapsulated within carbon nanotubes or boron nitride nanotubes, facilitating large‐scale production. Remarkably, our results show that not only aromatic hydrocarbon molecules with hexagonal structures, but also those containing pentagonal, heptagonal, or octagonal motifs yield uniform GNRs composed exclusively of hexagons. This impressive tolerance for diverse encapsulated molecules and host materials underscores the universality of our method. Additionally, we successfully synthesized 0.6 nm‐wide deuterated,</w:t>
      </w:r>
      <w:r>
        <w:rPr>
          <w:vertAlign w:val="subscript"/>
        </w:rPr>
        <w:t>13</w:t>
      </w:r>
      <w:r>
        <w:t>C isotopic, and nitrogen‐doped GNRs from their respective isotopic or nitrogen‐containing precursor molecules. Our approach not only paves the way for universal synthesis of uniform GNRs but also holds promise for creating versatile nanoribbons with tailored properties derived from their parent two‐dimensional materials.</w:t>
      </w:r>
    </w:p>
    <w:p>
      <w:pPr>
        <w:spacing w:before="120" w:after="120"/>
      </w:pPr>
      <w:r>
        <w:rPr>
          <w:sz w:val="18"/>
        </w:rPr>
        <w:t>——————————————————————————————————————————————————————————————————————</w:t>
      </w:r>
    </w:p>
    <w:p>
      <w:pPr>
        <w:spacing w:before="160" w:after="40" w:line="240" w:lineRule="auto"/>
      </w:pPr>
      <w:r>
        <w:rPr>
          <w:b/>
        </w:rPr>
        <w:t xml:space="preserve">[248] </w:t>
      </w:r>
      <w:hyperlink r:id="rId723">
        <w:r>
          <w:rPr>
            <w:color w:val="1155CC"/>
            <w:u w:val="single"/>
          </w:rPr>
          <w:t>高负载电催化电极的合理设计：从静态多尺度集成到动态智能系统</w:t>
        </w:r>
      </w:hyperlink>
    </w:p>
    <w:p>
      <w:pPr>
        <w:spacing w:before="0" w:after="80"/>
      </w:pPr>
      <w:r>
        <w:rPr>
          <w:i/>
          <w:sz w:val="20"/>
        </w:rPr>
        <w:t>EN: Rational design of high-loading electrocatalytic electrodes: from static multiscale integration to dynamic intelligent systems</w:t>
      </w:r>
    </w:p>
    <w:p>
      <w:pPr>
        <w:spacing w:before="0" w:after="120"/>
      </w:pPr>
      <w:r>
        <w:rPr>
          <w:b/>
        </w:rPr>
        <w:t xml:space="preserve">Source: </w:t>
      </w:r>
      <w:r>
        <w:t>RSC - Chem. Soc. Rev. latest articles</w:t>
      </w:r>
      <w:r>
        <w:t xml:space="preserve">    </w:t>
      </w:r>
      <w:r>
        <w:rPr>
          <w:b/>
        </w:rPr>
        <w:t xml:space="preserve">Pub date: </w:t>
      </w:r>
      <w:r>
        <w:t>2026-06-16 23:00:00+00:00</w:t>
      </w:r>
    </w:p>
    <w:p>
      <w:pPr>
        <w:spacing w:before="0" w:after="120"/>
      </w:pPr>
      <w:r>
        <w:rPr>
          <w:b/>
        </w:rPr>
        <w:t xml:space="preserve">Notes: </w:t>
      </w:r>
      <w:r>
        <w:t>abstract_source=rsc_html</w:t>
      </w:r>
    </w:p>
    <w:p>
      <w:pPr>
        <w:spacing w:before="0" w:after="80" w:lineRule="auto" w:line="276"/>
      </w:pPr>
      <w:r>
        <w:rPr>
          <w:b/>
        </w:rPr>
        <w:t xml:space="preserve">摘要（ZH）: </w:t>
      </w:r>
      <w:r>
        <w:t>在电催化领域，高负载电极的工业应用面临着一个根本矛盾：基于静态结构的传统设计难以匹配实际操作条件下动态变化的反应微环境和不断演变的电极界面，导致高电流密度下性能严重下降。为了解决这个问题，本综述提出了从“静态多尺度设计”到“动态智能系统集成”的范式转变。这种新范式集成了动态可重构材料、仿生自适应架构和智能接口，构建能够感知、适应和自我优化的智能电极系统，从而协同增强高负载条件下的催化活性、稳定性和传质。该综述首先分析了多尺度高负载电极的动态失效机制，然后沿着“动态和智能调节”的思路总结了原子尺度（自修复和动态重建）、结构尺度（仿生和数字孪生网络）、界面尺度（电解质和智能接口）和制造尺度（干法处理和机器学习闭环）的关键进展。在整个框架中，数字孪生和机器学习作为桥梁整个链条的使能平台，实现从设计、诊断到优化的闭环。最后，动态评估系统、自适应电极系统、绿色智能机器人等未来发展方向</w:t>
      </w:r>
    </w:p>
    <w:p>
      <w:pPr>
        <w:spacing w:before="0" w:after="200" w:lineRule="auto" w:line="276"/>
      </w:pPr>
      <w:r>
        <w:rPr>
          <w:b/>
        </w:rPr>
        <w:t xml:space="preserve">Abstract (EN): </w:t>
      </w:r>
      <w:r>
        <w:t>In the field of electrocatalysis, the industrial application of high-loading electrodes faces a fundamental contradiction: traditional designs based on static structures struggle to match the dynamically changing reactive microenvironment and continuously evolving electrode interfaces under real operating conditions, leading to severe performance degradation at high current densities. To address this, this review proposes a paradigm shift from “static multiscale design” to “dynamic intelligent system integration”. This new paradigm integrates dynamically reconstructable materials, bioinspired adaptive architectures, and smart interfaces to construct intelligent electrode systems capable of sensing, adapting, and self-optimizing, thereby synergistically enhancing catalytic activity, stability, and mass transfer under high-loading conditions. The review first analyzes the dynamic failure mechanisms of high-loading electrodes across multiple scales, then follows the thread of “dynamic and intelligent regulation” to summarize key advances at the atomic scale (self-healing and dynamic reconstruction), structural scale (bioinspired and digital twin networks), interface scale (electrolyte and smart interfaces), and manufacturing scale (dry processing and machine learning closed-loop). Throughout this framework, digital twin and machine learning serve as enabling platforms that bridge the entire chain, achieving a closed loop from design and diagnosis to optimization. Finally, future directions such as dynamic evaluation systems, adaptive electrode systems, and green intelligent manufacturing are outlined. This review aims to move beyond traditional static design frameworks and provide systematic design principles and theoretical foundations for developing next-generation electrochemical energy devices with self-sensing, self-optimizing, and long-lasting capabilities.</w:t>
      </w:r>
    </w:p>
    <w:p>
      <w:pPr>
        <w:spacing w:before="120" w:after="120"/>
      </w:pPr>
      <w:r>
        <w:rPr>
          <w:sz w:val="18"/>
        </w:rPr>
        <w:t>——————————————————————————————————————————————————————————————————————</w:t>
      </w:r>
    </w:p>
    <w:p>
      <w:pPr>
        <w:spacing w:before="160" w:after="40" w:line="240" w:lineRule="auto"/>
      </w:pPr>
      <w:r>
        <w:rPr>
          <w:b/>
        </w:rPr>
        <w:t xml:space="preserve">[249] </w:t>
      </w:r>
      <w:hyperlink r:id="rId724">
        <w:r>
          <w:rPr>
            <w:color w:val="1155CC"/>
            <w:u w:val="single"/>
          </w:rPr>
          <w:t>2025年化学会评论优秀审稿人</w:t>
        </w:r>
      </w:hyperlink>
    </w:p>
    <w:p>
      <w:pPr>
        <w:spacing w:before="0" w:after="80"/>
      </w:pPr>
      <w:r>
        <w:rPr>
          <w:i/>
          <w:sz w:val="20"/>
        </w:rPr>
        <w:t>EN: Outstanding Reviewers for Chemical Society Reviews in 2025</w:t>
      </w:r>
    </w:p>
    <w:p>
      <w:pPr>
        <w:spacing w:before="0" w:after="120"/>
      </w:pPr>
      <w:r>
        <w:rPr>
          <w:b/>
        </w:rPr>
        <w:t xml:space="preserve">Source: </w:t>
      </w:r>
      <w:r>
        <w:t>RSC - Chem. Soc. Rev. latest articles</w:t>
      </w:r>
      <w:r>
        <w:t xml:space="preserve">    </w:t>
      </w:r>
      <w:r>
        <w:rPr>
          <w:b/>
        </w:rPr>
        <w:t xml:space="preserve">Pub date: </w:t>
      </w:r>
      <w:r>
        <w:t>2026-06-16 23:00:00+00:00</w:t>
      </w:r>
    </w:p>
    <w:p>
      <w:pPr>
        <w:spacing w:before="0" w:after="120"/>
      </w:pPr>
      <w:r>
        <w:rPr>
          <w:b/>
        </w:rPr>
        <w:t xml:space="preserve">Notes: </w:t>
      </w:r>
      <w:r>
        <w:t>abstract_source=rsc_html</w:t>
      </w:r>
    </w:p>
    <w:p>
      <w:pPr>
        <w:spacing w:before="0" w:after="80" w:lineRule="auto" w:line="276"/>
      </w:pPr>
      <w:r>
        <w:rPr>
          <w:b/>
        </w:rPr>
        <w:t xml:space="preserve">摘要（ZH）: </w:t>
      </w:r>
      <w:r>
        <w:t>我们想借此机会感谢《化学学会评论》的所有审稿人帮助保持化学科学文献的质量和完整性。我们还想重点介绍 2025 年化学会评论的杰出审稿人。</w:t>
      </w:r>
    </w:p>
    <w:p>
      <w:pPr>
        <w:spacing w:before="0" w:after="200" w:lineRule="auto" w:line="276"/>
      </w:pPr>
      <w:r>
        <w:rPr>
          <w:b/>
        </w:rPr>
        <w:t xml:space="preserve">Abstract (EN): </w:t>
      </w:r>
      <w:r>
        <w:t>We would like to take this opportunity to thank all of Chemical Society Reviews’ reviewers for helping to preserve quality and integrity in chemical science literature. We would also like to highlight the Outstanding Reviewers for Chemical Society Reviews in 2025.</w:t>
      </w:r>
    </w:p>
    <w:p>
      <w:pPr>
        <w:spacing w:before="120" w:after="120"/>
      </w:pPr>
      <w:r>
        <w:rPr>
          <w:sz w:val="18"/>
        </w:rPr>
        <w:t>——————————————————————————————————————————————————————————————————————</w:t>
      </w:r>
    </w:p>
    <w:p>
      <w:pPr>
        <w:spacing w:before="160" w:after="40" w:line="240" w:lineRule="auto"/>
      </w:pPr>
      <w:r>
        <w:rPr>
          <w:b/>
        </w:rPr>
        <w:t xml:space="preserve">[250] </w:t>
      </w:r>
      <w:hyperlink r:id="rId725">
        <w:r>
          <w:rPr>
            <w:color w:val="1155CC"/>
            <w:u w:val="single"/>
          </w:rPr>
          <w:t>Tremelimumab 联合或不联合 durvalumab 联合紫杉醇治疗转移性尿路上皮癌：I/II 期 ICRA 试验</w:t>
        </w:r>
      </w:hyperlink>
    </w:p>
    <w:p>
      <w:pPr>
        <w:spacing w:before="0" w:after="80"/>
      </w:pPr>
      <w:r>
        <w:rPr>
          <w:i/>
          <w:sz w:val="20"/>
        </w:rPr>
        <w:t>EN: Tremelimumab with or without durvalumab in combination with paclitaxel in metastatic urothelial cancer: phase I/II ICRA trial</w:t>
      </w:r>
    </w:p>
    <w:p>
      <w:pPr>
        <w:spacing w:before="0" w:after="120"/>
      </w:pPr>
      <w:r>
        <w:rPr>
          <w:b/>
        </w:rPr>
        <w:t xml:space="preserve">Source: </w:t>
      </w:r>
      <w:r>
        <w:t>Biological sciences : Nature Communications subject feeds</w:t>
      </w:r>
      <w:r>
        <w:t xml:space="preserve">    </w:t>
      </w:r>
      <w:r>
        <w:rPr>
          <w:b/>
        </w:rPr>
        <w:t xml:space="preserve">Pub date: </w:t>
      </w:r>
      <w:r>
        <w:t>2026-06-17 00:00:00+00:00</w:t>
      </w:r>
    </w:p>
    <w:p>
      <w:pPr>
        <w:spacing w:before="0" w:after="120"/>
      </w:pPr>
      <w:r>
        <w:rPr>
          <w:b/>
        </w:rPr>
        <w:t xml:space="preserve">Notes: </w:t>
      </w:r>
      <w:r>
        <w:t>abstract_source=nature_html</w:t>
      </w:r>
    </w:p>
    <w:p>
      <w:pPr>
        <w:spacing w:before="0" w:after="80" w:lineRule="auto" w:line="276"/>
      </w:pPr>
      <w:r>
        <w:rPr>
          <w:b/>
        </w:rPr>
        <w:t xml:space="preserve">摘要（ZH）: </w:t>
      </w:r>
      <w:r>
        <w:t>对于难治性转移性尿路上皮癌（mUC）患者，仍然需要新的治疗策略。在 I-II 期 ICRA 试验中，这是一项多中心、开放标签、Ib-II 期临床试验 (NCT03871036)，我们评估了紫杉醇加 tremelimumab（联合或不联合 durvalumab）是否可以在铂类化疗和免疫检查点抑制 (ICI) 后诱导 mUC 肿瘤反应。患者被随机分为三组：A (n = 20) 紫杉醇加 T750mg； B (n = 12) 紫杉醇加T300mg 加D1500mg； C (n = 12) T750mg。主要结局，即客观缓解率，A 组达到 26%（88% CI = [14,36%]），B 组为 17%（88% CI = [3,42%]），C 组为 8%（88% CI = [0.3,33%]）。次要结局包括安全性、缓解持续时间和生存率。 (A) 45%、(B) 75% 和 (C) 25% 的患者发生 3-4 级治疗相关不良事件。小鼠实验表明，与任一药物的单一疗法相比，紫杉醇加抗 CTLA-4 药物的肿瘤生长减弱。转录组分析显示治疗中的肿瘤组织活检中炎症特征上调。这项研究表明，用紫杉醇联合高剂量抗 CTLA-4 治疗的难治性 mUC 具有令人鼓舞的抗肿瘤活性，并表明在抗 PD-(L)1 治疗失败后仍然可能进行免疫诱导。</w:t>
      </w:r>
    </w:p>
    <w:p>
      <w:pPr>
        <w:spacing w:before="0" w:after="200" w:lineRule="auto" w:line="276"/>
      </w:pPr>
      <w:r>
        <w:rPr>
          <w:b/>
        </w:rPr>
        <w:t xml:space="preserve">Abstract (EN): </w:t>
      </w:r>
      <w:r>
        <w:t>New therapeutic strategies for patients with therapy-refractory metastatic urothelial carcinoma (mUC) are still needed. In the phase I-II ICRA trial, a multicenter, open-label, phase Ib-II clinical trial (NCT03871036), we evaluated whether paclitaxel plus tremelimumab, with or without durvalumab, could induce a tumor response in mUC following platinum chemotherapy and immune checkpoint inhibition (ICI). Patients were randomized between three arms: A (n = 20) paclitaxel plus T750mg; B (n = 12) paclitaxel plus T300mg plus D1500mg; C (n = 12) T750mg. The primary outcome, objective response rate, was met with 26% in arm A (88% CI = [14,36%]) versus 17% (88% CI = [3,42%]) in arm B and 8% (88% CI = [0.3,33%]) in arm C. Secondary outcomes included safety, duration of response and survival. Grade 3-4 treatment-related adverse events occurred in (A) 45%, (B) 75%, and (C) 25% of patients. Murine experiments showed attenuated tumor outgrowth for paclitaxel plus anti-CTLA-4 compared to monotherapy with either agent. Transcriptomic analyses showed upregulation of inflammation signatures in on-treatment tumor tissue biopsies. This study demonstrated encouraging antitumor activity in therapy-refractory mUC treated with paclitaxel plus high-dose anti-CTLA-4 and suggests immune induction may still be possible after failure to anti-PD-(L)1 therapy.</w:t>
      </w:r>
    </w:p>
    <w:p>
      <w:pPr>
        <w:spacing w:before="120" w:after="120"/>
      </w:pPr>
      <w:r>
        <w:rPr>
          <w:sz w:val="18"/>
        </w:rPr>
        <w:t>——————————————————————————————————————————————————————————————————————</w:t>
      </w:r>
    </w:p>
    <w:p>
      <w:pPr>
        <w:spacing w:before="160" w:after="40" w:line="240" w:lineRule="auto"/>
      </w:pPr>
      <w:r>
        <w:rPr>
          <w:b/>
        </w:rPr>
        <w:t xml:space="preserve">[251] </w:t>
      </w:r>
      <w:hyperlink r:id="rId726">
        <w:r>
          <w:rPr>
            <w:color w:val="1155CC"/>
            <w:u w:val="single"/>
          </w:rPr>
          <w:t>通过双曲极化激元探测皮米尺度的层间变形</w:t>
        </w:r>
      </w:hyperlink>
    </w:p>
    <w:p>
      <w:pPr>
        <w:spacing w:before="0" w:after="80"/>
      </w:pPr>
      <w:r>
        <w:rPr>
          <w:i/>
          <w:sz w:val="20"/>
        </w:rPr>
        <w:t>EN: Probing picometre-scale interlayer deformations via hyperbolic polaritons</w:t>
      </w:r>
    </w:p>
    <w:p>
      <w:pPr>
        <w:spacing w:before="0" w:after="120"/>
      </w:pPr>
      <w:r>
        <w:rPr>
          <w:b/>
        </w:rPr>
        <w:t xml:space="preserve">Source: </w:t>
      </w:r>
      <w:r>
        <w:t>Nature</w:t>
      </w:r>
      <w:r>
        <w:t xml:space="preserve">    </w:t>
      </w:r>
      <w:r>
        <w:rPr>
          <w:b/>
        </w:rPr>
        <w:t xml:space="preserve">Pub date: </w:t>
      </w:r>
      <w:r>
        <w:t>2026-06-17 00:00:00+00:00</w:t>
      </w:r>
      <w:r>
        <w:t xml:space="preserve">    </w:t>
      </w:r>
      <w:r>
        <w:rPr>
          <w:b/>
        </w:rPr>
        <w:t xml:space="preserve">DOI: </w:t>
      </w:r>
      <w:hyperlink r:id="rId727">
        <w:r>
          <w:rPr>
            <w:color w:val="1155CC"/>
            <w:u w:val="single"/>
          </w:rPr>
          <w:t>10.1038/s41586-026-10638-w</w:t>
        </w:r>
      </w:hyperlink>
    </w:p>
    <w:p>
      <w:pPr>
        <w:spacing w:before="0" w:after="120"/>
      </w:pPr>
      <w:r>
        <w:rPr>
          <w:b/>
        </w:rPr>
        <w:t xml:space="preserve">Notes: </w:t>
      </w:r>
      <w:r>
        <w:t>abstract_source=nature_html</w:t>
      </w:r>
    </w:p>
    <w:p>
      <w:pPr>
        <w:spacing w:before="0" w:after="80" w:lineRule="auto" w:line="276"/>
      </w:pPr>
      <w:r>
        <w:rPr>
          <w:b/>
        </w:rPr>
        <w:t xml:space="preserve">摘要（ZH）: </w:t>
      </w:r>
      <w:r>
        <w:t>范德华 (vdW) 材料对大应变场的弹性使其成为调节电子、光学和磁性能的理想平台1,2,3,4。尽管面内应变很容易绘制，但面外应变的非侵入性和定量表征仍然是一个艰巨的挑战，特别是对于埋藏在界面处的皮米级变形。在这里，我们演示了一种偏振光学方法，该方法使用中红外面外双曲偏振子 (oHPs) 模式来检测原型 vdW 极性绝缘体 - 六方氮化硼 (hBN) 中的层间变形。该方法利用层间应变引起的面外横向光学（oTO）声子的软化机制，能够对皮米级变形进行高灵敏度检测。尽管这些 oTO 声子模式通常在光谱上是“暗”的，但它们的应变响应是通过 oHP 激活的，实现了约 10 pm 的原子位移灵敏度（约探测波长的 8 × 10−7 倍），从而实现了超深亚波长机械层间变形检测。这在平面六方氮化硼和量子点-六方氮化硼纳米管异质结构的埋入界面上都得到了实验验证。这种基于极化子的皮计量学将纳米力学和光子学联系起来，提供了一种无损透镜，可以以原子精度可视化隐藏的应力景观。</w:t>
      </w:r>
    </w:p>
    <w:p>
      <w:pPr>
        <w:spacing w:before="0" w:after="200" w:lineRule="auto" w:line="276"/>
      </w:pPr>
      <w:r>
        <w:rPr>
          <w:b/>
        </w:rPr>
        <w:t xml:space="preserve">Abstract (EN): </w:t>
      </w:r>
      <w:r>
        <w:t>The resilience of van der Waals (vdW) materials to large strain fields makes them an ideal platform for tuning electronic, optical and magnetic properties1,2,3,4. Although in-plane strain is readily mapped, non-invasive and quantitative characterization of out-of-plane strain remains a formidable challenge, particularly for picometre-scale deformations buried at interfaces. Here we demonstrate a polaritonic optical method that uses the mid-infrared out-of-plane hyperbolic polaritons (oHPs) mode to detect interlayer deformations in prototypical vdW polar insulator–hexagonal boron nitride (hBN). This method uses the softening mechanism of out-of-plane transverse optical (oTO) phonons induced by interlayer strain, enabling highly sensitive detection of picometre-scale deformations. Although these oTO phonon modes are typically spectroscopically ‘dark’, their strain response is activated through the oHPs, achieving an atomic displacement sensitivity of about 10 pm (about 8 × 10−7 times the probing wavelength), enabling ultradeep-subwavelength mechanical interlayer deformation detection. This is experimentally validated in both planar hBN and at the buried interface of quantum dot–hBN nanotube heterostructures. This polariton-based picometrology bridges nanomechanics and photonics, providing a non-destructive lens to visualize hidden stress landscapes with atomic precision.</w:t>
      </w:r>
    </w:p>
    <w:p>
      <w:pPr>
        <w:spacing w:before="120" w:after="120"/>
      </w:pPr>
      <w:r>
        <w:rPr>
          <w:sz w:val="18"/>
        </w:rPr>
        <w:t>——————————————————————————————————————————————————————————————————————</w:t>
      </w:r>
    </w:p>
    <w:p>
      <w:pPr>
        <w:spacing w:before="160" w:after="40" w:line="240" w:lineRule="auto"/>
      </w:pPr>
      <w:r>
        <w:rPr>
          <w:b/>
        </w:rPr>
        <w:t xml:space="preserve">[252] </w:t>
      </w:r>
      <w:hyperlink r:id="rId728">
        <w:r>
          <w:rPr>
            <w:color w:val="1155CC"/>
            <w:u w:val="single"/>
          </w:rPr>
          <w:t>自闭症谱系障碍小鼠模型的皮质发育动态</w:t>
        </w:r>
      </w:hyperlink>
    </w:p>
    <w:p>
      <w:pPr>
        <w:spacing w:before="0" w:after="80"/>
      </w:pPr>
      <w:r>
        <w:rPr>
          <w:i/>
          <w:sz w:val="20"/>
        </w:rPr>
        <w:t>EN: Cortical development dynamics across autism spectrum disorder mouse models</w:t>
      </w:r>
    </w:p>
    <w:p>
      <w:pPr>
        <w:spacing w:before="0" w:after="120"/>
      </w:pPr>
      <w:r>
        <w:rPr>
          <w:b/>
        </w:rPr>
        <w:t xml:space="preserve">Source: </w:t>
      </w:r>
      <w:r>
        <w:t>Nature</w:t>
      </w:r>
      <w:r>
        <w:t xml:space="preserve">    </w:t>
      </w:r>
      <w:r>
        <w:rPr>
          <w:b/>
        </w:rPr>
        <w:t xml:space="preserve">Pub date: </w:t>
      </w:r>
      <w:r>
        <w:t>2026-06-17 00:00:00+00:00</w:t>
      </w:r>
      <w:r>
        <w:t xml:space="preserve">    </w:t>
      </w:r>
      <w:r>
        <w:rPr>
          <w:b/>
        </w:rPr>
        <w:t xml:space="preserve">DOI: </w:t>
      </w:r>
      <w:hyperlink r:id="rId729">
        <w:r>
          <w:rPr>
            <w:color w:val="1155CC"/>
            <w:u w:val="single"/>
          </w:rPr>
          <w:t>10.1038/s41586-026-10679-1</w:t>
        </w:r>
      </w:hyperlink>
    </w:p>
    <w:p>
      <w:pPr>
        <w:spacing w:before="0" w:after="120"/>
      </w:pPr>
      <w:r>
        <w:rPr>
          <w:b/>
        </w:rPr>
        <w:t xml:space="preserve">Notes: </w:t>
      </w:r>
      <w:r>
        <w:t>abstract_source=nature_html</w:t>
      </w:r>
    </w:p>
    <w:p>
      <w:pPr>
        <w:spacing w:before="0" w:after="80" w:lineRule="auto" w:line="276"/>
      </w:pPr>
      <w:r>
        <w:rPr>
          <w:b/>
        </w:rPr>
        <w:t xml:space="preserve">摘要（ZH）: </w:t>
      </w:r>
      <w:r>
        <w:t>尽管 100 多个因果基因具有功能多样性1,2,3，但不同模型的表型趋同可能揭示自闭症谱系障碍 (ASD) 中常见的神经生物学过程。在这里，我们使用单核多组学测序对来自 11 个 ASD 单基因小鼠模型的 251 个样本进行了分析，涵盖三个发育阶段（包括性别和两个大脑区域）。尽管存在遗传异质性，但 ASD 相关突变集中于放射状胶质细胞谱系的扰动。这些改变反映了短暂的发育迟缓，而不是持久的谱系错误指定并在出生后阶段解决。从分子角度来看，最大的转录差异出现在出生后早期的神经元中。这些变化包括突触和离子通道相关基因的下调，与稳态适应或延迟成熟一致。网络分析显示每个发育阶段内模型之间的分子趋同，这表明与自闭症谱系障碍相关的多种突变会影响共同的、特定阶段的过程。到出生后第 14 天，收敛变得不那么明显，凸显了 ASD 相关变化的动态性质。跨基因型异质性叠加在阶段特异性效应上。电生理学证实了这种模式：突变体通常表现出神经元兴奋性和突触特性的改变，并具有模型特异性的细微差别。我们的研究还强调了性别特异性基因表达的改变，雌性小鼠通常比雄性小鼠表现出更大的效应量。总之，我们的研究结果提供了发育细胞和运动的全面视图。</w:t>
      </w:r>
    </w:p>
    <w:p>
      <w:pPr>
        <w:spacing w:before="0" w:after="200" w:lineRule="auto" w:line="276"/>
      </w:pPr>
      <w:r>
        <w:rPr>
          <w:b/>
        </w:rPr>
        <w:t xml:space="preserve">Abstract (EN): </w:t>
      </w:r>
      <w:r>
        <w:t>Despite the functional diversity of over 100 causal genes1,2,3, phenotypic convergence across models may reveal common neurobiological processes in autism spectrum disorder (ASD). Here we profiled 251 samples from 11 monogenic mouse models of ASD using single-nucleus multi-omic sequencing across three developmental stages, both sexes and two brain regions. Despite genetic heterogeneity, ASD-linked mutations converged on perturbations of the radial glial cell lineage. These alterations reflect a transient developmental delay rather than lasting lineage misspecification and resolve by postnatal stages. Molecularly, the largest transcriptional differences emerged in neurons at early postnatal stages. These changes included downregulation of synaptic and ion channel-related genes, consistent with homeostatic adaptation or delayed maturation. Network analysis showed molecular convergence across models within each developmental stage, suggesting that diverse mutations linked to ASD impinge on common, stage-specific processes. Convergence becomes less pronounced by postnatal day 14, highlighting the dynamic nature of ASD-associated changes. Cross-genotype heterogeneity is superimposed on stage-specific effects. Electrophysiology corroborated this pattern: mutants generally showed altered neuronal excitability and synaptic properties with model-specific nuances. Our study also highlighted sex-specific gene expression alterations, with female mice often displaying larger effect sizes than male mice. Together, our findings provide a comprehensive view of developmental cellular and molecular dynamics across models of ASD.</w:t>
      </w:r>
    </w:p>
    <w:p>
      <w:pPr>
        <w:spacing w:before="120" w:after="120"/>
      </w:pPr>
      <w:r>
        <w:rPr>
          <w:sz w:val="18"/>
        </w:rPr>
        <w:t>——————————————————————————————————————————————————————————————————————</w:t>
      </w:r>
    </w:p>
    <w:p>
      <w:pPr>
        <w:spacing w:before="160" w:after="40" w:line="240" w:lineRule="auto"/>
      </w:pPr>
      <w:r>
        <w:rPr>
          <w:b/>
        </w:rPr>
        <w:t xml:space="preserve">[253] </w:t>
      </w:r>
      <w:hyperlink r:id="rId730">
        <w:r>
          <w:rPr>
            <w:color w:val="1155CC"/>
            <w:u w:val="single"/>
          </w:rPr>
          <w:t>细胞核中聚腺苷酸化RNA命运决定的分子基础</w:t>
        </w:r>
      </w:hyperlink>
    </w:p>
    <w:p>
      <w:pPr>
        <w:spacing w:before="0" w:after="80"/>
      </w:pPr>
      <w:r>
        <w:rPr>
          <w:i/>
          <w:sz w:val="20"/>
        </w:rPr>
        <w:t>EN: Molecular basis of polyadenylated RNA fate determination in the nucleus</w:t>
      </w:r>
    </w:p>
    <w:p>
      <w:pPr>
        <w:spacing w:before="0" w:after="120"/>
      </w:pPr>
      <w:r>
        <w:rPr>
          <w:b/>
        </w:rPr>
        <w:t xml:space="preserve">Source: </w:t>
      </w:r>
      <w:r>
        <w:t>Nature</w:t>
      </w:r>
      <w:r>
        <w:t xml:space="preserve">    </w:t>
      </w:r>
      <w:r>
        <w:rPr>
          <w:b/>
        </w:rPr>
        <w:t xml:space="preserve">Pub date: </w:t>
      </w:r>
      <w:r>
        <w:t>2026-06-17 00:00:00+00:00</w:t>
      </w:r>
      <w:r>
        <w:t xml:space="preserve">    </w:t>
      </w:r>
      <w:r>
        <w:rPr>
          <w:b/>
        </w:rPr>
        <w:t xml:space="preserve">DOI: </w:t>
      </w:r>
      <w:hyperlink r:id="rId731">
        <w:r>
          <w:rPr>
            <w:color w:val="1155CC"/>
            <w:u w:val="single"/>
          </w:rPr>
          <w:t>10.1038/s41586-026-10650-0</w:t>
        </w:r>
      </w:hyperlink>
    </w:p>
    <w:p>
      <w:pPr>
        <w:spacing w:before="0" w:after="120"/>
      </w:pPr>
      <w:r>
        <w:rPr>
          <w:b/>
        </w:rPr>
        <w:t xml:space="preserve">Notes: </w:t>
      </w:r>
      <w:r>
        <w:t>abstract_source=nature_html</w:t>
      </w:r>
    </w:p>
    <w:p>
      <w:pPr>
        <w:spacing w:before="0" w:after="80" w:lineRule="auto" w:line="276"/>
      </w:pPr>
      <w:r>
        <w:rPr>
          <w:b/>
        </w:rPr>
        <w:t xml:space="preserve">摘要（ZH）: </w:t>
      </w:r>
      <w:r>
        <w:t>真核基因组产生大量多聚腺苷酸 (pA+) RNAs1,2，它们被包装成核糖核蛋白颗粒 (RNP)。为了确保忠实的基因表达，功能性 pA+ RNP（包括蛋白质编码 RNP）被输出到细胞质，而非功能性 pA+ RNP 内的转录物在细胞核中被降解1,2,3,4。细胞如何区分这些相反的命运仍然未知。 DExD-box ATPase UAP56（也称为 DDX39B）是功能性 pA+ RNP 的核心组件，促进它们与核孔复合物锚定的 TREX-25,6 对接，从而触发 UAP56 释放转录本以促进输出7。在这里，我们揭示了多聚（A）尾部外泌体靶向（PAXT）连接8结合了一个类似TREX-2的模块，该模块从UAP56中释放pA+ RNA，以便被核外泌体降解。该模块的核心由 LENG8-PCID2-SEM1 三聚体组成，我们证明它在结构和生化上与 TREX-2 的中心 GANP-PCID2-SEM1 三聚体等效。诱变和转录组数据表明，pA+ RNP 的核命运受核质 PAXT 和核孔复合物相关 TREX-2 的竞争作用控制，它们分别将 RNA 结合的 UAP56 解释为 RNA 衰变或输出的信号。由于 PAXT 的 RNA 靶标通常较短且内含子较少，因此我们提出了 pA+ RNP 命运决定的总体模型，其中 PAXT 和 TREX-2 的不同亚核定位控制短非功能性 pA+ RNA 的降解，同时允许输出较长的功能性对应物。</w:t>
      </w:r>
    </w:p>
    <w:p>
      <w:pPr>
        <w:spacing w:before="0" w:after="200" w:lineRule="auto" w:line="276"/>
      </w:pPr>
      <w:r>
        <w:rPr>
          <w:b/>
        </w:rPr>
        <w:t xml:space="preserve">Abstract (EN): </w:t>
      </w:r>
      <w:r>
        <w:t>Eukaryotic genomes generate a plethora of polyadenylated (pA+) RNAs1,2, which are packaged into ribonucleoprotein particles (RNPs). To ensure faithful gene expression, functional pA+ RNPs, including protein-coding RNPs, are exported to the cytoplasm, whereas transcripts within non-functional pA+ RNPs are degraded in the nucleus1,2,3,4. How cells distinguish these opposing fates remains unknown. The DExD-box ATPase UAP56 (also known as DDX39B) is a central component of functional pA+ RNPs, and promotes their docking to the nuclear pore complex-anchored TREX-25,6, which triggers transcript release from UAP56 to facilitate export7. Here we reveal that the poly(A) tail exosome targeting (PAXT) connection8 binds a TREX-2-like module, which releases pA+ RNAs from UAP56 for decay by the nuclear exosome. The core of this module consists of a LENG8–PCID2–SEM1 trimer, which we show is structurally and biochemically equivalent to the central GANP–PCID2–SEM1 trimer of TREX-2. Mutagenesis and transcriptomic data demonstrate that the nuclear fate of pA+ RNPs is governed by the contending actions of nucleoplasmic PAXT and nuclear pore complex-associated TREX-2, which interpret RNA-bound UAP56 as a signal for RNA decay or export, respectively. As RNA targets of PAXT are generally short and intron-poor, we propose an overall model for pA+ RNP fate determination whereby the distinct sub-nuclear localizations of PAXT and TREX-2 govern the degradation of short non-functional pA+ RNAs while allowing export of their longer and functional counterparts.</w:t>
      </w:r>
    </w:p>
    <w:p>
      <w:pPr>
        <w:spacing w:before="120" w:after="120"/>
      </w:pPr>
      <w:r>
        <w:rPr>
          <w:sz w:val="18"/>
        </w:rPr>
        <w:t>——————————————————————————————————————————————————————————————————————</w:t>
      </w:r>
    </w:p>
    <w:p>
      <w:pPr>
        <w:spacing w:before="160" w:after="40" w:line="240" w:lineRule="auto"/>
      </w:pPr>
      <w:r>
        <w:rPr>
          <w:b/>
        </w:rPr>
        <w:t xml:space="preserve">[254] </w:t>
      </w:r>
      <w:hyperlink r:id="rId732">
        <w:r>
          <w:rPr>
            <w:color w:val="1155CC"/>
            <w:u w:val="single"/>
          </w:rPr>
          <w:t>具有全方位连接的 98 量子位俘获离子量子计算机</w:t>
        </w:r>
      </w:hyperlink>
    </w:p>
    <w:p>
      <w:pPr>
        <w:spacing w:before="0" w:after="80"/>
      </w:pPr>
      <w:r>
        <w:rPr>
          <w:i/>
          <w:sz w:val="20"/>
        </w:rPr>
        <w:t>EN: A 98-qubit trapped-ion quantum computer with all-to-all connectivity</w:t>
      </w:r>
    </w:p>
    <w:p>
      <w:pPr>
        <w:spacing w:before="0" w:after="120"/>
      </w:pPr>
      <w:r>
        <w:rPr>
          <w:b/>
        </w:rPr>
        <w:t xml:space="preserve">Source: </w:t>
      </w:r>
      <w:r>
        <w:t>Nature</w:t>
      </w:r>
      <w:r>
        <w:t xml:space="preserve">    </w:t>
      </w:r>
      <w:r>
        <w:rPr>
          <w:b/>
        </w:rPr>
        <w:t xml:space="preserve">Pub date: </w:t>
      </w:r>
      <w:r>
        <w:t>2026-06-17 00:00:00+00:00</w:t>
      </w:r>
      <w:r>
        <w:t xml:space="preserve">    </w:t>
      </w:r>
      <w:r>
        <w:rPr>
          <w:b/>
        </w:rPr>
        <w:t xml:space="preserve">DOI: </w:t>
      </w:r>
      <w:hyperlink r:id="rId733">
        <w:r>
          <w:rPr>
            <w:color w:val="1155CC"/>
            <w:u w:val="single"/>
          </w:rPr>
          <w:t>10.1038/s41586-026-10676-4</w:t>
        </w:r>
      </w:hyperlink>
    </w:p>
    <w:p>
      <w:pPr>
        <w:spacing w:before="0" w:after="120"/>
      </w:pPr>
      <w:r>
        <w:rPr>
          <w:b/>
        </w:rPr>
        <w:t xml:space="preserve">Notes: </w:t>
      </w:r>
      <w:r>
        <w:t>abstract_source=nature_html</w:t>
      </w:r>
    </w:p>
    <w:p>
      <w:pPr>
        <w:spacing w:before="0" w:after="80" w:lineRule="auto" w:line="276"/>
      </w:pPr>
      <w:r>
        <w:rPr>
          <w:b/>
        </w:rPr>
        <w:t xml:space="preserve">摘要（ZH）: </w:t>
      </w:r>
      <w:r>
        <w:t>量子计算机需要高保真度运算和大量子比特数才能超越经典能力1。俘获离子平台已经证明了任何模式中最高的栅极保真度2、3、4、99.99% 的保真度，无需基态冷却。预印本位于 https://arxiv.org/abs/2510.17286 (2025)。" href="#ref-CR5" id="ref-link-section-d3380737e2448_3"&gt;5,6 但在保持性能的同时扩展到更大的量子位数量仍然是一个核心挑战。我们报告了 Quantinuum Helios，这是一种基于量子电荷耦合的 98 量子位俘获离子量子处理器Helios 具有 137Ba+ 超精细量子位8，\frac{1}{2}$$ I &gt; 1 2 Phys. Rev. Lett。 href="/articles/s41586-026-10676-4#ref-CR9" id="ref-link-section-d3380737e2467"&gt;9、通过结点连接两个量子操作区域的可旋转离子存储环实现全对全连接10,11、并行操作12的速度改进以及具有动态程序实时编译的新软件堆栈13。对系统中所有操作区域进行平均，我们实现单量子位 (1Q) 门的平均不忠实度为 2.5(1) × 10−5，双量子位 (2Q) 门的平均不忠实度为 7.9(2) × 10−4，状态准备和测量 (SPAM) 的平均不忠实度为 3.3(5) × 10−4，这些都没有从根本上受到限制，并且可能能够改进。这些组件的不忠实性可以预测随机 Clifford 电路和随机电路采样 (RCS) 中的系统级性能，后者证明 Helios 的运行远远超出了经典模拟的范围，并建立了一个新的模拟模型。</w:t>
      </w:r>
    </w:p>
    <w:p>
      <w:pPr>
        <w:spacing w:before="0" w:after="200" w:lineRule="auto" w:line="276"/>
      </w:pPr>
      <w:r>
        <w:rPr>
          <w:b/>
        </w:rPr>
        <w:t xml:space="preserve">Abstract (EN): </w:t>
      </w:r>
      <w:r>
        <w:t>Quantum computers require both high-fidelity operations and large qubit numbers to surpass classical capabilities1. Trapped-ion platforms have demonstrated the highest gate fidelities of any modality2,3,4,99.99% fidelity without ground-state cooling. Preprint at https://arxiv.org/abs/2510.17286 (2025)." href="#ref-CR5" id="ref-link-section-d3380737e2448_3"&gt;5,6 but scaling to larger qubit numbers while preserving performance has remained a central challenge. We report on Quantinuum Helios, a 98-qubit trapped-ion quantum processor based on the quantum charge-coupled device (QCCD) architecture7. Helios features 137Ba+ hyperfine qubits8, \frac{1}{2}$$ I &gt; 1 2 . Phys. Rev. Lett. 129, 130501 (2022)." href="/articles/s41586-026-10676-4#ref-CR9" id="ref-link-section-d3380737e2467"&gt;9, all-to-all connectivity enabled by a rotatable ion storage ring connecting two quantum operation regions by a junction10,11, speed improvements from parallelized operations12 and a new software stack with real-time compilation of dynamic programs13. Averaged over all operational zones in the system, we achieve average infidelities of 2.5(1) × 10−5 for single-qubit (1Q) gates, 7.9(2) × 10−4 for two-qubit (2Q) gates and 3.3(5) × 10−4 for state preparation and measurement (SPAM), none of which are fundamentally limited and probably able to be improved. These component infidelities are predictive of system-level performance in both random Clifford circuits and random circuit sampling (RCS), the latter demonstrating that Helios operates well beyond the reach of classical simulation and establishes a new frontier of fidelity and complexity for quantum computers14.</w:t>
      </w:r>
    </w:p>
    <w:p>
      <w:pPr>
        <w:spacing w:before="120" w:after="120"/>
      </w:pPr>
      <w:r>
        <w:rPr>
          <w:sz w:val="18"/>
        </w:rPr>
        <w:t>——————————————————————————————————————————————————————————————————————</w:t>
      </w:r>
    </w:p>
    <w:p>
      <w:pPr>
        <w:spacing w:before="160" w:after="40" w:line="240" w:lineRule="auto"/>
      </w:pPr>
      <w:r>
        <w:rPr>
          <w:b/>
        </w:rPr>
        <w:t xml:space="preserve">[255] </w:t>
      </w:r>
      <w:hyperlink r:id="rId734">
        <w:r>
          <w:rPr>
            <w:color w:val="1155CC"/>
            <w:u w:val="single"/>
          </w:rPr>
          <w:t>预起始复合物的结构解释了 CMGE 的生物发生</w:t>
        </w:r>
      </w:hyperlink>
    </w:p>
    <w:p>
      <w:pPr>
        <w:spacing w:before="0" w:after="80"/>
      </w:pPr>
      <w:r>
        <w:rPr>
          <w:i/>
          <w:sz w:val="20"/>
        </w:rPr>
        <w:t>EN: Structure of the pre-initiation complex explains CMGE biogenesis</w:t>
      </w:r>
    </w:p>
    <w:p>
      <w:pPr>
        <w:spacing w:before="0" w:after="120"/>
      </w:pPr>
      <w:r>
        <w:rPr>
          <w:b/>
        </w:rPr>
        <w:t xml:space="preserve">Source: </w:t>
      </w:r>
      <w:r>
        <w:t>Nature</w:t>
      </w:r>
      <w:r>
        <w:t xml:space="preserve">    </w:t>
      </w:r>
      <w:r>
        <w:rPr>
          <w:b/>
        </w:rPr>
        <w:t xml:space="preserve">Pub date: </w:t>
      </w:r>
      <w:r>
        <w:t>2026-06-17 00:00:00+00:00</w:t>
      </w:r>
      <w:r>
        <w:t xml:space="preserve">    </w:t>
      </w:r>
      <w:r>
        <w:rPr>
          <w:b/>
        </w:rPr>
        <w:t xml:space="preserve">DOI: </w:t>
      </w:r>
      <w:hyperlink r:id="rId735">
        <w:r>
          <w:rPr>
            <w:color w:val="1155CC"/>
            <w:u w:val="single"/>
          </w:rPr>
          <w:t>10.1038/s41586-026-10657-7</w:t>
        </w:r>
      </w:hyperlink>
    </w:p>
    <w:p>
      <w:pPr>
        <w:spacing w:before="0" w:after="120"/>
      </w:pPr>
      <w:r>
        <w:rPr>
          <w:b/>
        </w:rPr>
        <w:t xml:space="preserve">Notes: </w:t>
      </w:r>
      <w:r>
        <w:t>abstract_source=nature_html</w:t>
      </w:r>
    </w:p>
    <w:p>
      <w:pPr>
        <w:spacing w:before="0" w:after="80" w:lineRule="auto" w:line="276"/>
      </w:pPr>
      <w:r>
        <w:rPr>
          <w:b/>
        </w:rPr>
        <w:t xml:space="preserve">摘要（ZH）: </w:t>
      </w:r>
      <w:r>
        <w:t>当细胞进入 S 期时，通过激酶调节将三种激活剂（Cdc45、GINS 和 Pol ε）募集至微型染色体维持 (MCM) ATP 酶的双链 DNA 负载双六聚体，从而启动双向 DNA 复制。这些蛋白质一起形成两个 CMGE 解旋酶，当它们分离时，它们会建立不同的复制叉1。在这里，为了了解 CMGE 生物发生，我们用纯化的酵母蛋白重建了预起始复合物。冷冻电子显微镜结构显示了在组装两个对称 CMGE 时捕获的一组激发因素。我们展示了逐步复合物的形成如何重塑 MCM 为 DNA 打开做准备，并且我们解释了 ATP 如何促进激发因子喷射和 CMGE 成熟。我们发现，尽管 Sld2 正如预期的那样促进了 GINS 向 MCM 的招募，但它也有助于 CMGE 二聚体的有效分离，并且对于从 MCM 中弹出滞后链至关重要。这些发现对我们理解后生动物 Sld2 直系同源物 RECQL4 有直接影响，并指出了在真核生物中保守的复制叉建立机制。</w:t>
      </w:r>
    </w:p>
    <w:p>
      <w:pPr>
        <w:spacing w:before="0" w:after="200" w:lineRule="auto" w:line="276"/>
      </w:pPr>
      <w:r>
        <w:rPr>
          <w:b/>
        </w:rPr>
        <w:t xml:space="preserve">Abstract (EN): </w:t>
      </w:r>
      <w:r>
        <w:t>When cells enter S phase, bidirectional DNA replication is initiated through the kinase-regulated recruitment of three activators (Cdc45, GINS and Pol ε) to a duplex-DNA-loaded double hexamer of minichromosome maintenance (MCM) ATPases. Together, these proteins form two CMGE helicases that establish divergent replication forks as they become separated1. Here, to gain an understanding of CMGE biogenesis, we reconstituted the pre-initiation complex with purified yeast proteins. The cryo-electron-microscopy structure shows a set of firing factors caught in the act of assembling two symmetrical CMGEs. We show how stepwise complex formation reshapes MCM in preparation for DNA opening, and we explain how ATP promotes firing-factor ejection and CMGE maturation. We find that although Sld2 facilitates the recruitment of GINS to MCM, as expected, it also aids the efficient separation of the CMGE dimer, and is essential for the ejection of the lagging strand from MCM. These findings have direct implications for our understanding of the metazoan Sld2 orthologue, RECQL4, and point to a replication-fork establishment mechanism that is conserved across eukaryotes.</w:t>
      </w:r>
    </w:p>
    <w:p>
      <w:pPr>
        <w:spacing w:before="120" w:after="120"/>
      </w:pPr>
      <w:r>
        <w:rPr>
          <w:sz w:val="18"/>
        </w:rPr>
        <w:t>——————————————————————————————————————————————————————————————————————</w:t>
      </w:r>
    </w:p>
    <w:p>
      <w:pPr>
        <w:spacing w:before="160" w:after="40" w:line="240" w:lineRule="auto"/>
      </w:pPr>
      <w:r>
        <w:rPr>
          <w:b/>
        </w:rPr>
        <w:t xml:space="preserve">[256] </w:t>
      </w:r>
      <w:hyperlink r:id="rId736">
        <w:r>
          <w:rPr>
            <w:color w:val="1155CC"/>
            <w:u w:val="single"/>
          </w:rPr>
          <w:t>一颗遥远的棕矮星与温暖的木星和炽热的超级地球共面</w:t>
        </w:r>
      </w:hyperlink>
    </w:p>
    <w:p>
      <w:pPr>
        <w:spacing w:before="0" w:after="80"/>
      </w:pPr>
      <w:r>
        <w:rPr>
          <w:i/>
          <w:sz w:val="20"/>
        </w:rPr>
        <w:t>EN: A distant brown dwarf coplanar to a warm Jupiter and a hot super-Earth</w:t>
      </w:r>
    </w:p>
    <w:p>
      <w:pPr>
        <w:spacing w:before="0" w:after="120"/>
      </w:pPr>
      <w:r>
        <w:rPr>
          <w:b/>
        </w:rPr>
        <w:t xml:space="preserve">Source: </w:t>
      </w:r>
      <w:r>
        <w:t>Nature</w:t>
      </w:r>
      <w:r>
        <w:t xml:space="preserve">    </w:t>
      </w:r>
      <w:r>
        <w:rPr>
          <w:b/>
        </w:rPr>
        <w:t xml:space="preserve">Pub date: </w:t>
      </w:r>
      <w:r>
        <w:t>2026-06-17 00:00:00+00:00</w:t>
      </w:r>
      <w:r>
        <w:t xml:space="preserve">    </w:t>
      </w:r>
      <w:r>
        <w:rPr>
          <w:b/>
        </w:rPr>
        <w:t xml:space="preserve">DOI: </w:t>
      </w:r>
      <w:hyperlink r:id="rId737">
        <w:r>
          <w:rPr>
            <w:color w:val="1155CC"/>
            <w:u w:val="single"/>
          </w:rPr>
          <w:t>10.1038/s41586-026-10586-5</w:t>
        </w:r>
      </w:hyperlink>
    </w:p>
    <w:p>
      <w:pPr>
        <w:spacing w:before="0" w:after="120"/>
      </w:pPr>
      <w:r>
        <w:rPr>
          <w:b/>
        </w:rPr>
        <w:t xml:space="preserve">Notes: </w:t>
      </w:r>
      <w:r>
        <w:t>abstract_source=nature_html</w:t>
      </w:r>
    </w:p>
    <w:p>
      <w:pPr>
        <w:spacing w:before="0" w:after="80" w:lineRule="auto" w:line="276"/>
      </w:pPr>
      <w:r>
        <w:rPr>
          <w:b/>
        </w:rPr>
        <w:t xml:space="preserve">摘要（ZH）: </w:t>
      </w:r>
      <w:r>
        <w:t>在凌日行星系统中，行星大小是通过凌日观测准确确定的，凌日时间变化（TTV）的存在，特别是与径向速度（RV）数据结合时，为质量和轨道偏心率提供了强大的约束。这些测量结果共同为系统架构、形成机制和动态演化提供了重要的见解。我们对相对年轻的恒星（年龄约为 1 Gyr）TOI-201 进行了长期的 RV 和凌日/TTV 监测，揭示了一个特殊的多行星系统，由一颗每 5.8 天凌日一次的热超级地球（SE）大小的行星、一颗在 53 天轨道上运行的温暖木星（WJ）和一颗在大约 8 年轨道上运行的偏心（e = 0.62）低质量褐矮星（BD）组成，估计质量 MBD 约为 16 木星质量。 BD 是迄今为止通过 RV 表征的周期最长的凌日亚恒星天体，也是唯一已知与内行星共面的天体。该系统的结构表明，SE 是孤立形成的，位于气态盘的最内部区域。另一方面，外部伴星的轨道结构表明这两个天体几乎就地形成，WJ 形成在致密的内部盘中。或者，BD 可能形成得更远并向内迁移，同时由于与盘的相互作用而增加了其偏心率。</w:t>
      </w:r>
    </w:p>
    <w:p>
      <w:pPr>
        <w:spacing w:before="0" w:after="200" w:lineRule="auto" w:line="276"/>
      </w:pPr>
      <w:r>
        <w:rPr>
          <w:b/>
        </w:rPr>
        <w:t xml:space="preserve">Abstract (EN): </w:t>
      </w:r>
      <w:r>
        <w:t>In transiting planetary systems, in which planetary sizes are accurately determined from transit observations, the presence of transit-timing variations1 (TTVs), especially when combined with radial velocity (RV) data, provides powerful constraints on masses and orbital eccentricities. Together, these measurements offer crucial insights into system architecture, formation mechanisms and dynamical evolution. We present long-term RV and transit/TTV monitoring of the relatively young star (age approximately 1 Gyr) TOI-201, revealing an exceptional multi-planet system composed of a hot super-Earth (SE) size planet transiting every 5.8 days, a warm Jupiter (WJ) on a 53-day orbit and an eccentric (e = 0.62) low-mass brown dwarf (BD) on an approximately 8-year orbit, with an estimated mass MBD of about 16 Jupiter masses. The BD is the longest-period transiting substellar object ever characterized by means of RVs and the only one known to be coplanar with inner planets. The architecture of this system suggests that the SE was formed isolated and in the innermost region of the gaseous disk. On the other hand, the orbital configuration of the outer companions suggests a nearly in situ formation of both objects, with the WJ forming in a dense inner disk. Alternatively, the BD might have formed farther out and migrated inward, while increasing its eccentricity owing to interactions with the disk.</w:t>
      </w:r>
    </w:p>
    <w:p>
      <w:pPr>
        <w:spacing w:before="120" w:after="120"/>
      </w:pPr>
      <w:r>
        <w:rPr>
          <w:sz w:val="18"/>
        </w:rPr>
        <w:t>——————————————————————————————————————————————————————————————————————</w:t>
      </w:r>
    </w:p>
    <w:p>
      <w:pPr>
        <w:spacing w:before="160" w:after="40" w:line="240" w:lineRule="auto"/>
      </w:pPr>
      <w:r>
        <w:rPr>
          <w:b/>
        </w:rPr>
        <w:t xml:space="preserve">[257] </w:t>
      </w:r>
      <w:hyperlink r:id="rId738">
        <w:r>
          <w:rPr>
            <w:color w:val="1155CC"/>
            <w:u w:val="single"/>
          </w:rPr>
          <w:t>用于高性能 3D 微操作的光纤夹具</w:t>
        </w:r>
      </w:hyperlink>
    </w:p>
    <w:p>
      <w:pPr>
        <w:spacing w:before="0" w:after="80"/>
      </w:pPr>
      <w:r>
        <w:rPr>
          <w:i/>
          <w:sz w:val="20"/>
        </w:rPr>
        <w:t>EN: Optical fibre gripper for high-performance 3D micromanipulation</w:t>
      </w:r>
    </w:p>
    <w:p>
      <w:pPr>
        <w:spacing w:before="0" w:after="120"/>
      </w:pPr>
      <w:r>
        <w:rPr>
          <w:b/>
        </w:rPr>
        <w:t xml:space="preserve">Source: </w:t>
      </w:r>
      <w:r>
        <w:t>Nature</w:t>
      </w:r>
      <w:r>
        <w:t xml:space="preserve">    </w:t>
      </w:r>
      <w:r>
        <w:rPr>
          <w:b/>
        </w:rPr>
        <w:t xml:space="preserve">Pub date: </w:t>
      </w:r>
      <w:r>
        <w:t>2026-06-17 00:00:00+00:00</w:t>
      </w:r>
      <w:r>
        <w:t xml:space="preserve">    </w:t>
      </w:r>
      <w:r>
        <w:rPr>
          <w:b/>
        </w:rPr>
        <w:t xml:space="preserve">DOI: </w:t>
      </w:r>
      <w:hyperlink r:id="rId739">
        <w:r>
          <w:rPr>
            <w:color w:val="1155CC"/>
            <w:u w:val="single"/>
          </w:rPr>
          <w:t>10.1038/s41586-026-10673-7</w:t>
        </w:r>
      </w:hyperlink>
    </w:p>
    <w:p>
      <w:pPr>
        <w:spacing w:before="0" w:after="120"/>
      </w:pPr>
      <w:r>
        <w:rPr>
          <w:b/>
        </w:rPr>
        <w:t xml:space="preserve">Notes: </w:t>
      </w:r>
      <w:r>
        <w:t>abstract_source=nature_html</w:t>
      </w:r>
    </w:p>
    <w:p>
      <w:pPr>
        <w:spacing w:before="0" w:after="80" w:lineRule="auto" w:line="276"/>
      </w:pPr>
      <w:r>
        <w:rPr>
          <w:b/>
        </w:rPr>
        <w:t xml:space="preserve">摘要（ZH）: </w:t>
      </w:r>
      <w:r>
        <w:t>光镊提供精确的非接触式控制，但在有限的力范围内操作，并对目标的特性以及环境条件提出严格的要求1,2,3,4。毫米级机械镊子可以提供更高的夹持力，但不适合精确操作5,6,7,8,9,10,11。将微夹具直接集成在光纤上为精确显微操作提供了一种新方法。然而，现有的光纤集成镊子在实现狭窄空间内的微观物体（例如单细胞）的高性能操纵方面仍然面临挑战，这主要是由于简化的架构、受限的设计和毫米级的占地面积12,13,14。在这里，我们报告了一种三维（3D）光纤夹具（OFG），它是通过两步、双光子聚合制造的。 OFG由刚性光刻胶微爪和掺杂银纳米粒子的柔软热响应水凝胶肌肉组成，其尺寸仅为38×38×61μm3。 OFG 的力质量比约为 340 μN mg−1，比之前报道的纤维集成镊子高出一到两个数量级。 OFG 可以操纵不透明颗粒、不规则微机械部件和多种单细胞类型。我们进一步展示了其在复杂微器件（轴承、轴和齿轮箱）的 3D 微装配以及狭窄环境中仿生采样方面的潜力（</w:t>
      </w:r>
    </w:p>
    <w:p>
      <w:pPr>
        <w:spacing w:before="0" w:after="200" w:lineRule="auto" w:line="276"/>
      </w:pPr>
      <w:r>
        <w:rPr>
          <w:b/>
        </w:rPr>
        <w:t xml:space="preserve">Abstract (EN): </w:t>
      </w:r>
      <w:r>
        <w:t>Optical tweezers offer precise, non-contact control, but operate in a limited force regime and impose strict requirements on the characteristics of the targets as well as the environmental conditions1,2,3,4. Millimetre-scale mechanical tweezers can offer higher gripping force but are not suitable for precise manipulations5,6,7,8,9,10,11. Integrating microgrippers directly at the optical fibres provides a new approach for precise micromanipulation. However, existing fibre-integrated tweezers still face challenges in achieving high-performance manipulation of micro-objects (for example, single cells) within narrow spaces, mainly due to simplified architectures, constrained designs and millimetre-scale footprints12,13,14. Here we report a three-dimensional (3D) optical fibre gripper (OFG), which is fabricated by two-step, two-photon polymerization. The OFG consists of rigid photoresist microclaws and soft thermoresponsive hydrogel muscle doped with silver nanoparticles, and its size is only 38 × 38 × 61 μm3. The OFG exhibits a force-to-mass ratio of about 340 μN mg−1, outperforming previously reported fibre-integrated tweezers by one to two orders of magnitude. The OFG can manipulate opaque particles, irregular micromechanical components and diverse single-cell types. We further demonstrated its potential in 3D microassembly of complex microdevices (bearings, shafts and gearboxes) and biomimetic sampling in the narrow environment (</w:t>
      </w:r>
    </w:p>
    <w:p>
      <w:pPr>
        <w:spacing w:before="120" w:after="120"/>
      </w:pPr>
      <w:r>
        <w:rPr>
          <w:sz w:val="18"/>
        </w:rPr>
        <w:t>——————————————————————————————————————————————————————————————————————</w:t>
      </w:r>
    </w:p>
    <w:p>
      <w:pPr>
        <w:spacing w:before="160" w:after="40" w:line="240" w:lineRule="auto"/>
      </w:pPr>
      <w:r>
        <w:rPr>
          <w:b/>
        </w:rPr>
        <w:t xml:space="preserve">[258] </w:t>
      </w:r>
      <w:hyperlink r:id="rId740">
        <w:r>
          <w:rPr>
            <w:color w:val="1155CC"/>
            <w:u w:val="single"/>
          </w:rPr>
          <w:t>受限迁移在发育中的神经元中诱导非致命性 DNA 损伤</w:t>
        </w:r>
      </w:hyperlink>
    </w:p>
    <w:p>
      <w:pPr>
        <w:spacing w:before="0" w:after="80"/>
      </w:pPr>
      <w:r>
        <w:rPr>
          <w:i/>
          <w:sz w:val="20"/>
        </w:rPr>
        <w:t>EN: Confined migration induces non-lethal DNA damage in developing neurons</w:t>
      </w:r>
    </w:p>
    <w:p>
      <w:pPr>
        <w:spacing w:before="0" w:after="120"/>
      </w:pPr>
      <w:r>
        <w:rPr>
          <w:b/>
        </w:rPr>
        <w:t xml:space="preserve">Source: </w:t>
      </w:r>
      <w:r>
        <w:t>Nature</w:t>
      </w:r>
      <w:r>
        <w:t xml:space="preserve">    </w:t>
      </w:r>
      <w:r>
        <w:rPr>
          <w:b/>
        </w:rPr>
        <w:t xml:space="preserve">Pub date: </w:t>
      </w:r>
      <w:r>
        <w:t>2026-06-17 00:00:00+00:00</w:t>
      </w:r>
      <w:r>
        <w:t xml:space="preserve">    </w:t>
      </w:r>
      <w:r>
        <w:rPr>
          <w:b/>
        </w:rPr>
        <w:t xml:space="preserve">DOI: </w:t>
      </w:r>
      <w:hyperlink r:id="rId741">
        <w:r>
          <w:rPr>
            <w:color w:val="1155CC"/>
            <w:u w:val="single"/>
          </w:rPr>
          <w:t>10.1038/s41586-026-10648-8</w:t>
        </w:r>
      </w:hyperlink>
    </w:p>
    <w:p>
      <w:pPr>
        <w:spacing w:before="0" w:after="120"/>
      </w:pPr>
      <w:r>
        <w:rPr>
          <w:b/>
        </w:rPr>
        <w:t xml:space="preserve">Notes: </w:t>
      </w:r>
      <w:r>
        <w:t>abstract_source=nature_html</w:t>
      </w:r>
    </w:p>
    <w:p>
      <w:pPr>
        <w:spacing w:before="0" w:after="80" w:lineRule="auto" w:line="276"/>
      </w:pPr>
      <w:r>
        <w:rPr>
          <w:b/>
        </w:rPr>
        <w:t xml:space="preserve">摘要（ZH）: </w:t>
      </w:r>
      <w:r>
        <w:t>迁移细胞往往具有软核，可以变形并穿透狭窄的空间1,2。迁移过程中广泛的核变形可导致癌细胞核膜破裂和 DNA 损伤，这可能导致肿瘤进展过程中的恶性转化3,4,5,6。然而，DNA 损伤在生理迁移中的重要性尚不清楚。在这里，我们证明，发育中的大脑和小脑皮质中的神经元的迁移伴随着由于在穿过狭窄的间隙空间期间的机械应力而导致的大量 DNA 双链断裂 (DSB)。与许多其他迁移细胞相比，这些 DSB 发生时没有可检测到的核膜破裂。受限迁移增加了拓扑异构酶-IIβ共价结合的 DSB，并且这些损伤在大脑发育过程中通过非同源末端连接得到修复，而不会导致细胞死亡。基因组测序表明 DSB 往往发生在转录不活跃的区域。在神经元迁移开始时连接酶 IV 的缺失会导致小脑神经元中 DSB 持续积累，并导致与突触功能、神经元发育以及应激和免疫反应相关的基因发生适度的转录变化。突变小鼠在以后的生活中会出现轻微的运动缺陷，这表明正常大脑发育过程中产生的DNA损伤如果不加以修复，会带来潜在的疾病风险。</w:t>
      </w:r>
    </w:p>
    <w:p>
      <w:pPr>
        <w:spacing w:before="0" w:after="200" w:lineRule="auto" w:line="276"/>
      </w:pPr>
      <w:r>
        <w:rPr>
          <w:b/>
        </w:rPr>
        <w:t xml:space="preserve">Abstract (EN): </w:t>
      </w:r>
      <w:r>
        <w:t>Migratory cells tend to have soft nuclei that deform and penetrate narrow spaces1,2. Extensive nuclear deformation during migration can cause nuclear-envelope rupture and DNA damage in cancer cells, which may contribute to malignant transformation during tumour progression3,4,5,6. However, the importance of DNA damage in physiological migration is less well understood. Here we demonstrate that the migration of neurons in developing cerebral and cerebellar cortices is accompanied by massive DNA double-stranded breaks (DSBs) due to mechanostress during passage through narrow interstitial spaces. In contrast to many other migratory cells, these DSBs occur without detectable nuclear envelope rupture. Confined migration increases topoisomerase-IIβ covalently bound DSBs, and these lesions are repaired through non-homologous end-joining during brain development without causing cell death. Genome sequencing revealed that DSBs tend to occur at transcriptionally inactive regions. The deletion of ligase IV at the onset of neuronal migration leads to persistent DSB accumulation in cerebellar neurons with moderate transcriptional changes in genes related to synaptic function, neuronal development and stress and immune responses. The mutant mouse develops mild motor deficits in later life, suggesting that the DNA damage generated during normal brain development poses a potential disease risk if left unrepaired.</w:t>
      </w:r>
    </w:p>
    <w:p>
      <w:pPr>
        <w:spacing w:before="120" w:after="120"/>
      </w:pPr>
      <w:r>
        <w:rPr>
          <w:sz w:val="18"/>
        </w:rPr>
        <w:t>——————————————————————————————————————————————————————————————————————</w:t>
      </w:r>
    </w:p>
    <w:p>
      <w:pPr>
        <w:spacing w:before="160" w:after="40" w:line="240" w:lineRule="auto"/>
      </w:pPr>
      <w:r>
        <w:rPr>
          <w:b/>
        </w:rPr>
        <w:t xml:space="preserve">[259] </w:t>
      </w:r>
      <w:hyperlink r:id="rId742">
        <w:r>
          <w:rPr>
            <w:color w:val="1155CC"/>
            <w:u w:val="single"/>
          </w:rPr>
          <w:t>南极洲对海平面上升的贡献的新兴十年可预测性</w:t>
        </w:r>
      </w:hyperlink>
    </w:p>
    <w:p>
      <w:pPr>
        <w:spacing w:before="0" w:after="80"/>
      </w:pPr>
      <w:r>
        <w:rPr>
          <w:i/>
          <w:sz w:val="20"/>
        </w:rPr>
        <w:t>EN: Emergent decadal predictability in Antarctic contribution to sea-level rise</w:t>
      </w:r>
    </w:p>
    <w:p>
      <w:pPr>
        <w:spacing w:before="0" w:after="120"/>
      </w:pPr>
      <w:r>
        <w:rPr>
          <w:b/>
        </w:rPr>
        <w:t xml:space="preserve">Source: </w:t>
      </w:r>
      <w:r>
        <w:t>Nature</w:t>
      </w:r>
      <w:r>
        <w:t xml:space="preserve">    </w:t>
      </w:r>
      <w:r>
        <w:rPr>
          <w:b/>
        </w:rPr>
        <w:t xml:space="preserve">Pub date: </w:t>
      </w:r>
      <w:r>
        <w:t>2026-06-17 00:00:00+00:00</w:t>
      </w:r>
      <w:r>
        <w:t xml:space="preserve">    </w:t>
      </w:r>
      <w:r>
        <w:rPr>
          <w:b/>
        </w:rPr>
        <w:t xml:space="preserve">DOI: </w:t>
      </w:r>
      <w:hyperlink r:id="rId743">
        <w:r>
          <w:rPr>
            <w:color w:val="1155CC"/>
            <w:u w:val="single"/>
          </w:rPr>
          <w:t>10.1038/s41586-026-10614-4</w:t>
        </w:r>
      </w:hyperlink>
    </w:p>
    <w:p>
      <w:pPr>
        <w:spacing w:before="0" w:after="120"/>
      </w:pPr>
      <w:r>
        <w:rPr>
          <w:b/>
        </w:rPr>
        <w:t xml:space="preserve">Notes: </w:t>
      </w:r>
      <w:r>
        <w:t>abstract_source=nature_html</w:t>
      </w:r>
    </w:p>
    <w:p>
      <w:pPr>
        <w:spacing w:before="0" w:after="80" w:lineRule="auto" w:line="276"/>
      </w:pPr>
      <w:r>
        <w:rPr>
          <w:b/>
        </w:rPr>
        <w:t xml:space="preserve">摘要（ZH）: </w:t>
      </w:r>
      <w:r>
        <w:t>尽管南极冰盖未来质量损失存在很大的不确定性，但冰盖模型表明，无论排放途径或模型复杂程度如何，2025 年南极冰盖损失造成的海平面上升速率都可以强烈预测未来几十年的上升速率。这一发现在政府间气候变化专门委员会第六次评估报告全球平均海平面预测中考虑的所有模型中都是稳健的，包括海平面上升的低可能性、高影响情景。鉴于这种强大的近期十年可预测性，能够准确再现当前冰块损失的冰盖模型为到本世纪中叶的近期海平面规划和适应提供了可靠的基础。到二十一世纪末，随着诸如与海洋冰盖退缩相关的反馈开始出现，导致冰损失加速，这种可预测性被打破。根据这些结果，我们确定了可以解释近期十年可预测性和长期反馈驱动演化之间转变的关键反馈机制，并建议旨在解决长期海平面上升不确定性的冰盖模型开发的优先事项。</w:t>
      </w:r>
    </w:p>
    <w:p>
      <w:pPr>
        <w:spacing w:before="0" w:after="200" w:lineRule="auto" w:line="276"/>
      </w:pPr>
      <w:r>
        <w:rPr>
          <w:b/>
        </w:rPr>
        <w:t xml:space="preserve">Abstract (EN): </w:t>
      </w:r>
      <w:r>
        <w:t>Despite large uncertainties associated with future mass loss from the Antarctic Ice Sheet, ice-sheet models show that the rate of sea-level rise from Antarctic ice loss in 2025 is strongly predictive of the rate for the next several decades, regardless of emission pathway or model complexity. This finding is robust across all models that were considered in the Intergovernmental Panel on Climate Change Sixth Assessment Report global mean sea-level projections, including the low-likelihood, high-impact scenarios of sea-level rise. Given this strong near-term decadal predictability, ice-sheet models that can accurately reproduce present-day ice-mass loss provide a reliable basis for near-term sea-level planning and adaptation through to mid-century. The predictability breaks down by the end of the twenty-first century as feedbacks, such as those related to marine ice-sheet retreat, begin to emerge, leading to accelerating ice loss. Drawing on these results, we identify key feedback mechanisms that can account for the transition between near-term decadal predictability and the longer-term, feedback-driven evolution, and suggest priorities for ice-sheet model development aimed at resolving long-term sea-level rise uncertainty.</w:t>
      </w:r>
    </w:p>
    <w:p>
      <w:pPr>
        <w:spacing w:before="120" w:after="120"/>
      </w:pPr>
      <w:r>
        <w:rPr>
          <w:sz w:val="18"/>
        </w:rPr>
        <w:t>——————————————————————————————————————————————————————————————————————</w:t>
      </w:r>
    </w:p>
    <w:p>
      <w:pPr>
        <w:spacing w:before="160" w:after="40" w:line="240" w:lineRule="auto"/>
      </w:pPr>
      <w:r>
        <w:rPr>
          <w:b/>
        </w:rPr>
        <w:t xml:space="preserve">[260] </w:t>
      </w:r>
      <w:hyperlink r:id="rId744">
        <w:r>
          <w:rPr>
            <w:color w:val="1155CC"/>
            <w:u w:val="single"/>
          </w:rPr>
          <w:t>狩猎采集者牙齿的 DNA 揭示了古代瘟疫的秘密</w:t>
        </w:r>
      </w:hyperlink>
    </w:p>
    <w:p>
      <w:pPr>
        <w:spacing w:before="0" w:after="80"/>
      </w:pPr>
      <w:r>
        <w:rPr>
          <w:i/>
          <w:sz w:val="20"/>
        </w:rPr>
        <w:t>EN: DNA from hunter-gatherer teeth reveals secrets of ancient plague</w:t>
      </w:r>
    </w:p>
    <w:p>
      <w:pPr>
        <w:spacing w:before="0" w:after="120"/>
      </w:pPr>
      <w:r>
        <w:rPr>
          <w:b/>
        </w:rPr>
        <w:t xml:space="preserve">Source: </w:t>
      </w:r>
      <w:r>
        <w:t>Nature</w:t>
      </w:r>
      <w:r>
        <w:t xml:space="preserve">    </w:t>
      </w:r>
      <w:r>
        <w:rPr>
          <w:b/>
        </w:rPr>
        <w:t xml:space="preserve">Pub date: </w:t>
      </w:r>
      <w:r>
        <w:t>2026-06-17 00:00:00+00:00</w:t>
      </w:r>
      <w:r>
        <w:t xml:space="preserve">    </w:t>
      </w:r>
      <w:r>
        <w:rPr>
          <w:b/>
        </w:rPr>
        <w:t xml:space="preserve">DOI: </w:t>
      </w:r>
      <w:hyperlink r:id="rId745">
        <w:r>
          <w:rPr>
            <w:color w:val="1155CC"/>
            <w:u w:val="single"/>
          </w:rPr>
          <w:t>10.1038/d41586-026-01941-7</w:t>
        </w:r>
      </w:hyperlink>
    </w:p>
    <w:p>
      <w:pPr>
        <w:spacing w:before="0" w:after="120"/>
      </w:pPr>
      <w:r>
        <w:rPr>
          <w:b/>
        </w:rPr>
        <w:t xml:space="preserve">Notes: </w:t>
      </w:r>
      <w:r>
        <w:t>abstract_source=nature_html</w:t>
      </w:r>
    </w:p>
    <w:p>
      <w:pPr>
        <w:spacing w:before="0" w:after="80" w:lineRule="auto" w:line="276"/>
      </w:pPr>
      <w:r>
        <w:rPr>
          <w:b/>
        </w:rPr>
        <w:t xml:space="preserve">摘要（ZH）: </w:t>
      </w:r>
      <w:r>
        <w:t>分析显示了 5500 年前致命爆发的证据，此外还有暗物质探测器原型。聆听科学界最伟大的故事 | 2026 年 6 月 17 日</w:t>
      </w:r>
    </w:p>
    <w:p>
      <w:pPr>
        <w:spacing w:before="0" w:after="200" w:lineRule="auto" w:line="276"/>
      </w:pPr>
      <w:r>
        <w:rPr>
          <w:b/>
        </w:rPr>
        <w:t xml:space="preserve">Abstract (EN): </w:t>
      </w:r>
      <w:r>
        <w:t>Analysis shows evidence of deadly outbreaks 5,500 years ago — plus, a prototype dark-matter detector. Hear the biggest stories from the world of science | 17 June 2026</w:t>
      </w:r>
    </w:p>
    <w:p>
      <w:pPr>
        <w:spacing w:before="120" w:after="120"/>
      </w:pPr>
      <w:r>
        <w:rPr>
          <w:sz w:val="18"/>
        </w:rPr>
        <w:t>——————————————————————————————————————————————————————————————————————</w:t>
      </w:r>
    </w:p>
    <w:p>
      <w:pPr>
        <w:spacing w:before="160" w:after="40" w:line="240" w:lineRule="auto"/>
      </w:pPr>
      <w:r>
        <w:rPr>
          <w:b/>
        </w:rPr>
        <w:t xml:space="preserve">[261] </w:t>
      </w:r>
      <w:hyperlink r:id="rId746">
        <w:r>
          <w:rPr>
            <w:color w:val="1155CC"/>
            <w:u w:val="single"/>
          </w:rPr>
          <w:t>可以在老年时提供认知“水库”的大脑区域</w:t>
        </w:r>
      </w:hyperlink>
    </w:p>
    <w:p>
      <w:pPr>
        <w:spacing w:before="0" w:after="80"/>
      </w:pPr>
      <w:r>
        <w:rPr>
          <w:i/>
          <w:sz w:val="20"/>
        </w:rPr>
        <w:t>EN: The brain region that could provide a cognitive ‘reservoir’ in old age</w:t>
      </w:r>
    </w:p>
    <w:p>
      <w:pPr>
        <w:spacing w:before="0" w:after="120"/>
      </w:pPr>
      <w:r>
        <w:rPr>
          <w:b/>
        </w:rPr>
        <w:t xml:space="preserve">Source: </w:t>
      </w:r>
      <w:r>
        <w:t>Nature</w:t>
      </w:r>
      <w:r>
        <w:t xml:space="preserve">    </w:t>
      </w:r>
      <w:r>
        <w:rPr>
          <w:b/>
        </w:rPr>
        <w:t xml:space="preserve">Pub date: </w:t>
      </w:r>
      <w:r>
        <w:t>2026-06-17 00:00:00+00:00</w:t>
      </w:r>
      <w:r>
        <w:t xml:space="preserve">    </w:t>
      </w:r>
      <w:r>
        <w:rPr>
          <w:b/>
        </w:rPr>
        <w:t xml:space="preserve">DOI: </w:t>
      </w:r>
      <w:hyperlink r:id="rId747">
        <w:r>
          <w:rPr>
            <w:color w:val="1155CC"/>
            <w:u w:val="single"/>
          </w:rPr>
          <w:t>10.1038/d41586-026-01870-5</w:t>
        </w:r>
      </w:hyperlink>
    </w:p>
    <w:p>
      <w:pPr>
        <w:spacing w:before="0" w:after="120"/>
      </w:pPr>
      <w:r>
        <w:rPr>
          <w:b/>
        </w:rPr>
        <w:t xml:space="preserve">Notes: </w:t>
      </w:r>
      <w:r>
        <w:t>abstract_source=nature_html</w:t>
      </w:r>
    </w:p>
    <w:p>
      <w:pPr>
        <w:spacing w:before="0" w:after="80" w:lineRule="auto" w:line="276"/>
      </w:pPr>
      <w:r>
        <w:rPr>
          <w:b/>
        </w:rPr>
        <w:t xml:space="preserve">摘要（ZH）: </w:t>
      </w:r>
      <w:r>
        <w:t>小脑某些部位的组织体积越大，认知测试得分越高。小脑某些部位的组织体积越大，认知测试得分越高。</w:t>
      </w:r>
    </w:p>
    <w:p>
      <w:pPr>
        <w:spacing w:before="0" w:after="200" w:lineRule="auto" w:line="276"/>
      </w:pPr>
      <w:r>
        <w:rPr>
          <w:b/>
        </w:rPr>
        <w:t xml:space="preserve">Abstract (EN): </w:t>
      </w:r>
      <w:r>
        <w:t>Having a greater tissue volume in some parts of the cerebellum is linked to higher scores on cognitive tests. Having a greater tissue volume in some parts of the cerebellum is linked to higher scores on cognitive tests.</w:t>
      </w:r>
    </w:p>
    <w:p>
      <w:pPr>
        <w:spacing w:before="120" w:after="120"/>
      </w:pPr>
      <w:r>
        <w:rPr>
          <w:sz w:val="18"/>
        </w:rPr>
        <w:t>——————————————————————————————————————————————————————————————————————</w:t>
      </w:r>
    </w:p>
    <w:p>
      <w:pPr>
        <w:spacing w:before="160" w:after="40" w:line="240" w:lineRule="auto"/>
      </w:pPr>
      <w:r>
        <w:rPr>
          <w:b/>
        </w:rPr>
        <w:t xml:space="preserve">[262] </w:t>
      </w:r>
      <w:hyperlink r:id="rId748">
        <w:r>
          <w:rPr>
            <w:color w:val="1155CC"/>
            <w:u w:val="single"/>
          </w:rPr>
          <w:t>火爆数据表明，控制森林火灾有益于人类健康</w:t>
        </w:r>
      </w:hyperlink>
    </w:p>
    <w:p>
      <w:pPr>
        <w:spacing w:before="0" w:after="80"/>
      </w:pPr>
      <w:r>
        <w:rPr>
          <w:i/>
          <w:sz w:val="20"/>
        </w:rPr>
        <w:t>EN: Fiery data hint that controlled forest fires benefit human health</w:t>
      </w:r>
    </w:p>
    <w:p>
      <w:pPr>
        <w:spacing w:before="0" w:after="120"/>
      </w:pPr>
      <w:r>
        <w:rPr>
          <w:b/>
        </w:rPr>
        <w:t xml:space="preserve">Source: </w:t>
      </w:r>
      <w:r>
        <w:t>Nature</w:t>
      </w:r>
      <w:r>
        <w:t xml:space="preserve">    </w:t>
      </w:r>
      <w:r>
        <w:rPr>
          <w:b/>
        </w:rPr>
        <w:t xml:space="preserve">Pub date: </w:t>
      </w:r>
      <w:r>
        <w:t>2026-06-17 00:00:00+00:00</w:t>
      </w:r>
      <w:r>
        <w:t xml:space="preserve">    </w:t>
      </w:r>
      <w:r>
        <w:rPr>
          <w:b/>
        </w:rPr>
        <w:t xml:space="preserve">DOI: </w:t>
      </w:r>
      <w:hyperlink r:id="rId749">
        <w:r>
          <w:rPr>
            <w:color w:val="1155CC"/>
            <w:u w:val="single"/>
          </w:rPr>
          <w:t>10.1038/d41586-026-01868-z</w:t>
        </w:r>
      </w:hyperlink>
    </w:p>
    <w:p>
      <w:pPr>
        <w:spacing w:before="0" w:after="120"/>
      </w:pPr>
      <w:r>
        <w:rPr>
          <w:b/>
        </w:rPr>
        <w:t xml:space="preserve">Notes: </w:t>
      </w:r>
      <w:r>
        <w:t>abstract_source=nature_html</w:t>
      </w:r>
    </w:p>
    <w:p>
      <w:pPr>
        <w:spacing w:before="0" w:after="80" w:lineRule="auto" w:line="276"/>
      </w:pPr>
      <w:r>
        <w:rPr>
          <w:b/>
        </w:rPr>
        <w:t xml:space="preserve">摘要（ZH）: </w:t>
      </w:r>
      <w:r>
        <w:t>对加利福尼亚州野火的分析表明，与火灾相关的空气污染暴露量净减少。对加利福尼亚州野火的分析表明，与火灾相关的空气污染暴露量净减少。</w:t>
      </w:r>
    </w:p>
    <w:p>
      <w:pPr>
        <w:spacing w:before="0" w:after="200" w:lineRule="auto" w:line="276"/>
      </w:pPr>
      <w:r>
        <w:rPr>
          <w:b/>
        </w:rPr>
        <w:t xml:space="preserve">Abstract (EN): </w:t>
      </w:r>
      <w:r>
        <w:t>Analysis of wildfire in California suggests a net reduction in exposure to blaze-related air pollution. Analysis of wildfire in California suggests a net reduction in exposure to blaze-related air pollution.</w:t>
      </w:r>
    </w:p>
    <w:p>
      <w:pPr>
        <w:spacing w:before="120" w:after="120"/>
      </w:pPr>
      <w:r>
        <w:rPr>
          <w:sz w:val="18"/>
        </w:rPr>
        <w:t>——————————————————————————————————————————————————————————————————————</w:t>
      </w:r>
    </w:p>
    <w:p>
      <w:pPr>
        <w:spacing w:before="160" w:after="40" w:line="240" w:lineRule="auto"/>
      </w:pPr>
      <w:r>
        <w:rPr>
          <w:b/>
        </w:rPr>
        <w:t xml:space="preserve">[263] </w:t>
      </w:r>
      <w:hyperlink r:id="rId750">
        <w:r>
          <w:rPr>
            <w:color w:val="1155CC"/>
            <w:u w:val="single"/>
          </w:rPr>
          <w:t>迈向疾病管理的对话式人工智能</w:t>
        </w:r>
      </w:hyperlink>
    </w:p>
    <w:p>
      <w:pPr>
        <w:spacing w:before="0" w:after="80"/>
      </w:pPr>
      <w:r>
        <w:rPr>
          <w:i/>
          <w:sz w:val="20"/>
        </w:rPr>
        <w:t>EN: Towards Conversational AI for Disease Management</w:t>
      </w:r>
    </w:p>
    <w:p>
      <w:pPr>
        <w:spacing w:before="0" w:after="120"/>
      </w:pPr>
      <w:r>
        <w:rPr>
          <w:b/>
        </w:rPr>
        <w:t xml:space="preserve">Source: </w:t>
      </w:r>
      <w:r>
        <w:t>Nature</w:t>
      </w:r>
      <w:r>
        <w:t xml:space="preserve">    </w:t>
      </w:r>
      <w:r>
        <w:rPr>
          <w:b/>
        </w:rPr>
        <w:t xml:space="preserve">Pub date: </w:t>
      </w:r>
      <w:r>
        <w:t>2026-06-17 00:00:00+00:00</w:t>
      </w:r>
      <w:r>
        <w:t xml:space="preserve">    </w:t>
      </w:r>
      <w:r>
        <w:rPr>
          <w:b/>
        </w:rPr>
        <w:t xml:space="preserve">DOI: </w:t>
      </w:r>
      <w:hyperlink r:id="rId751">
        <w:r>
          <w:rPr>
            <w:color w:val="1155CC"/>
            <w:u w:val="single"/>
          </w:rPr>
          <w:t>10.1038/s41586-026-10764-5</w:t>
        </w:r>
      </w:hyperlink>
    </w:p>
    <w:p>
      <w:pPr>
        <w:spacing w:before="0" w:after="120"/>
      </w:pPr>
      <w:r>
        <w:rPr>
          <w:b/>
        </w:rPr>
        <w:t xml:space="preserve">Notes: </w:t>
      </w:r>
      <w:r>
        <w:t>abstract_source=nature_html</w:t>
      </w:r>
    </w:p>
    <w:p>
      <w:pPr>
        <w:spacing w:before="0" w:after="80" w:lineRule="auto" w:line="276"/>
      </w:pPr>
      <w:r>
        <w:rPr>
          <w:b/>
        </w:rPr>
        <w:t xml:space="preserve">摘要（ZH）: </w:t>
      </w:r>
      <w:r>
        <w:t>虽然大语言模型 (LLM) 在诊断对话中显示出前景，但其有效管理推理的能力（包括疾病进展、治疗反应和安全药物处方）仍未得到充分探索。我们通过针对多次就诊临床管理和对话进行优化的新的基于法学硕士的代理系统，推进了 Articulate Medical Intelligence Explorer (AMIE)1−3 先前展示的诊断功能。为了将推理建立在权威的临床知识基础上，AMIE 利用 Gemini 的长上下文功能4，将上下文检索与结构化推理相结合，使其输出与最新的临床实践指南和药物处方集保持一致。在一项随机、盲法虚拟客观结构化临床检查 (OSCE) 研究中，AMIE 与 21 名初级保健医生 (PCP) 在 100 个多次就诊病例场景中进行了比较，旨在反映英国 NICE 指南和 BMJ 最佳实践指南。根据专家的评估，AMIE 在管理推理方面并不逊色于 PCP，并且在治疗和调查的精确性以及与临床指南的一致性和基础性方面得分更高。为了对药物推理进行基准测试，我们开发了 RxQA，这是一个多项选择问题基准，源自两个国家药物处方集（美国、英国），并由委员会认证的药剂师进行验证。尽管 AMIE 和 PCP 都受益于获取外部药物信息的能力，但 AMIE 在难度较高的问题上表现优于 PCP。虽然在实际翻译之前还需要进一步研究，但 AMIE 的</w:t>
      </w:r>
    </w:p>
    <w:p>
      <w:pPr>
        <w:spacing w:before="0" w:after="200" w:lineRule="auto" w:line="276"/>
      </w:pPr>
      <w:r>
        <w:rPr>
          <w:b/>
        </w:rPr>
        <w:t xml:space="preserve">Abstract (EN): </w:t>
      </w:r>
      <w:r>
        <w:t>While large language models (LLMs) have shown promise in diagnostic dialogue1, their capabilities for effective management reasoning—including disease progression, therapeutic response, and safe medication prescription—remain under-explored. We advance the previously demonstrated diagnostic capabilities of the Articulate Medical Intelligence Explorer (AMIE)1−3 through a new LLM-based agentic system optimized for multi-visit clinical management and dialogue. To ground its reasoning in authoritative clinical knowledge, AMIE leverages Gemini’s long-context capabilities4, combining in-context retrieval with structured reasoning to align its output with up-to-date clinical practice guidelines and drug formularies. In a randomized, blinded virtual Objective Structured Clinical Examination (OSCE) study, AMIE was compared to 21 primary care physicians (PCPs) across 100 multi-visit case scenarios designed to reflect UK NICE Guidance and BMJ Best Practice guidelines. AMIE was non-inferior to PCPs in management reasoning as assessed by specialists and scored better in both preciseness of treatments and investigations, and in its alignment with and grounding in clinical guidelines. To benchmark medication reasoning, we developed RxQA, a multiple-choice question benchmark derived from two national drug formularies (US, UK) and validated by board-certified pharmacists. Though AMIE and PCPs both benefited from the ability to access external drug information, AMIE outperformed PCPs on higher difficulty questions. While further research would be needed before real-world translation, AMIE’s strong performance across evaluations marks a significant step towards conversational AI as a tool in disease management.</w:t>
      </w:r>
    </w:p>
    <w:p>
      <w:pPr>
        <w:spacing w:before="120" w:after="120"/>
      </w:pPr>
      <w:r>
        <w:rPr>
          <w:sz w:val="18"/>
        </w:rPr>
        <w:t>——————————————————————————————————————————————————————————————————————</w:t>
      </w:r>
    </w:p>
    <w:p>
      <w:pPr>
        <w:spacing w:before="160" w:after="40" w:line="240" w:lineRule="auto"/>
      </w:pPr>
      <w:r>
        <w:rPr>
          <w:b/>
        </w:rPr>
        <w:t xml:space="preserve">[264] </w:t>
      </w:r>
      <w:hyperlink r:id="rId752">
        <w:r>
          <w:rPr>
            <w:color w:val="1155CC"/>
            <w:u w:val="single"/>
          </w:rPr>
          <w:t>iSCORE-PD：用于研究帕金森病的同基因干细胞集合</w:t>
        </w:r>
      </w:hyperlink>
    </w:p>
    <w:p>
      <w:pPr>
        <w:spacing w:before="0" w:after="80"/>
      </w:pPr>
      <w:r>
        <w:rPr>
          <w:i/>
          <w:sz w:val="20"/>
        </w:rPr>
        <w:t>EN: iSCORE-PD: an isogenic stem cell collection to research Parkinson’s disease</w:t>
      </w:r>
    </w:p>
    <w:p>
      <w:pPr>
        <w:spacing w:before="0" w:after="120"/>
      </w:pPr>
      <w:r>
        <w:rPr>
          <w:b/>
        </w:rPr>
        <w:t xml:space="preserve">Source: </w:t>
      </w:r>
      <w:r>
        <w:t>Biological sciences : Nature Communications subject feeds</w:t>
      </w:r>
      <w:r>
        <w:t xml:space="preserve">    </w:t>
      </w:r>
      <w:r>
        <w:rPr>
          <w:b/>
        </w:rPr>
        <w:t xml:space="preserve">Pub date: </w:t>
      </w:r>
      <w:r>
        <w:t>2026-06-17 00:00:00+00:00</w:t>
      </w:r>
    </w:p>
    <w:p>
      <w:pPr>
        <w:spacing w:before="0" w:after="120"/>
      </w:pPr>
      <w:r>
        <w:rPr>
          <w:b/>
        </w:rPr>
        <w:t xml:space="preserve">Notes: </w:t>
      </w:r>
      <w:r>
        <w:t>abstract_source=nature_html</w:t>
      </w:r>
    </w:p>
    <w:p>
      <w:pPr>
        <w:spacing w:before="0" w:after="80" w:lineRule="auto" w:line="276"/>
      </w:pPr>
      <w:r>
        <w:rPr>
          <w:b/>
        </w:rPr>
        <w:t xml:space="preserve">摘要（ZH）: </w:t>
      </w:r>
      <w:r>
        <w:t>基因组编辑的人类多能干细胞 (hPSC) 为研究帕金森病 (PD) 等复杂疾病提供了强大的平台。在这里，我们描述了 iSCORE-PD，这是 65 个基因组编辑的 hPSC 系的同基因集合，在 11 个 PD 相关基因（SNCA、PRKN、PINK1、DJ1/PARK7、LRRK2、ATP13A2、FBXO7、DNAJC6、SYNJ1、VPS13C 和 GBA1）中携带致病或高风险变异。所有细胞系均源自特征明确的雌性 hESC 细胞系，并经过广泛的质量控制。全基因组测序表明，与患者来源的 hiPSC 的个体间差异相比，品系之间的遗传变异（主要局限于非编码区）很小，其中大多数变异源自细胞培养过程中获得的随机突变，而不是基因组编辑引起的脱靶效应。每个突变包含多个独立衍生的克隆可以控制这种随机遗传漂移。我们的系统方法确保了这一公开可用的 iSCORE-PD 资源的高质量，突出了 Prime 编辑相对于传统 CRISPR/Cas9 方法的优势，并建立了生成疾病建模 hPSC 集合的最佳实践。</w:t>
      </w:r>
    </w:p>
    <w:p>
      <w:pPr>
        <w:spacing w:before="0" w:after="200" w:lineRule="auto" w:line="276"/>
      </w:pPr>
      <w:r>
        <w:rPr>
          <w:b/>
        </w:rPr>
        <w:t xml:space="preserve">Abstract (EN): </w:t>
      </w:r>
      <w:r>
        <w:t>Genome-edited human pluripotent stem cells (hPSCs) provide a powerful platform to study complex diseases such as Parkinson’s disease (PD). Here, we describe iSCORE-PD, an isogenic collection of 65 genome-edited hPSC lines carrying disease-causing or high-risk variants in 11 PD-linked genes (SNCA, PRKN, PINK1, DJ1/PARK7, LRRK2, ATP13A2, FBXO7, DNAJC6, SYNJ1, VPS13C, and GBA1). All lines are derived from a well-characterized female hESC line and subjected to extensive quality control. Whole-genome sequencing reveals that genetic variation between lines, largely confined to non-coding regions, is minimal relative to inter-individual differences in patient-derived hiPSCs, with most variation arising from random mutations acquired during cell culture rather than genome-editing-induced off-target effects. Including multiple independently derived clones per mutation can control for this random genetic drift. Our systematic approach ensures high quality of this publicly available iSCORE-PD resource, highlights the advantages of prime editing over conventional CRISPR/Cas9 methods, and establishes best practices for generating disease-modeling hPSC collections.</w:t>
      </w:r>
    </w:p>
    <w:p>
      <w:pPr>
        <w:spacing w:before="120" w:after="120"/>
      </w:pPr>
      <w:r>
        <w:rPr>
          <w:sz w:val="18"/>
        </w:rPr>
        <w:t>——————————————————————————————————————————————————————————————————————</w:t>
      </w:r>
    </w:p>
    <w:p>
      <w:pPr>
        <w:spacing w:before="160" w:after="40" w:line="240" w:lineRule="auto"/>
      </w:pPr>
      <w:r>
        <w:rPr>
          <w:b/>
        </w:rPr>
        <w:t xml:space="preserve">[265] </w:t>
      </w:r>
      <w:hyperlink r:id="rId753">
        <w:r>
          <w:rPr>
            <w:color w:val="1155CC"/>
            <w:u w:val="single"/>
          </w:rPr>
          <w:t>用于基础物理的原型微分原子干涉仪</w:t>
        </w:r>
      </w:hyperlink>
    </w:p>
    <w:p>
      <w:pPr>
        <w:spacing w:before="0" w:after="80"/>
      </w:pPr>
      <w:r>
        <w:rPr>
          <w:i/>
          <w:sz w:val="20"/>
        </w:rPr>
        <w:t>EN: A prototype differential atom interferometer for fundamental physics</w:t>
      </w:r>
    </w:p>
    <w:p>
      <w:pPr>
        <w:spacing w:before="0" w:after="120"/>
      </w:pPr>
      <w:r>
        <w:rPr>
          <w:b/>
        </w:rPr>
        <w:t xml:space="preserve">Source: </w:t>
      </w:r>
      <w:r>
        <w:t>Nature</w:t>
      </w:r>
      <w:r>
        <w:t xml:space="preserve">    </w:t>
      </w:r>
      <w:r>
        <w:rPr>
          <w:b/>
        </w:rPr>
        <w:t xml:space="preserve">Pub date: </w:t>
      </w:r>
      <w:r>
        <w:t>2026-06-17 00:00:00+00:00</w:t>
      </w:r>
      <w:r>
        <w:t xml:space="preserve">    </w:t>
      </w:r>
      <w:r>
        <w:rPr>
          <w:b/>
        </w:rPr>
        <w:t xml:space="preserve">DOI: </w:t>
      </w:r>
      <w:hyperlink r:id="rId754">
        <w:r>
          <w:rPr>
            <w:color w:val="1155CC"/>
            <w:u w:val="single"/>
          </w:rPr>
          <w:t>10.1038/s41586-026-10617-1</w:t>
        </w:r>
      </w:hyperlink>
    </w:p>
    <w:p>
      <w:pPr>
        <w:spacing w:before="0" w:after="120"/>
      </w:pPr>
      <w:r>
        <w:rPr>
          <w:b/>
        </w:rPr>
        <w:t xml:space="preserve">Notes: </w:t>
      </w:r>
      <w:r>
        <w:t>abstract_source=nature_html</w:t>
      </w:r>
    </w:p>
    <w:p>
      <w:pPr>
        <w:spacing w:before="0" w:after="80" w:lineRule="auto" w:line="276"/>
      </w:pPr>
      <w:r>
        <w:rPr>
          <w:b/>
        </w:rPr>
        <w:t xml:space="preserve">摘要（ZH）: </w:t>
      </w:r>
      <w:r>
        <w:t>引力波和超轻暗物质是基础物理学中最引人注目的前沿领域之一，激发了人们对超长基线原子干涉仪（例如 AION1、MAGIS2、AICE3 和 AEDGE4）的提议，这些干涉仪旨在探测地基 5 和星载 6 激光干涉仪失去灵敏度的频率。超长基线原子干涉仪通过比较普通激光询问的广泛分离的原子系综的量子相演化来寻找信号。然而，它们的性能关键取决于抑制噪声源，特别是激光相位噪声。这种噪声抑制的实验验证仍然是一个重要的挑战。在这里，我们展示了基于费米子 87Sr 单光子时钟跃迁的原型差分原子干涉仪。因此，我们获得了一种梯度计配置，其物种本质上适合公里级和空间基线操作。该仪器在标准量子极限7下运行，没有超出原子散粒噪声的多余噪声。差分配置在每次发射人工注入激光相位噪声的几个弧度的情况下保持量子限制灵敏度，这模拟了超长基线原子干涉仪中预期的条件。我们还展示了在完全相位随机条件下在宽频率范围内恢复相干振荡信号的能力，这是在相同状态下运行的单个干涉仪无法达到的能力。这些结果为抗噪声测量原理提供了实验验证。</w:t>
      </w:r>
    </w:p>
    <w:p>
      <w:pPr>
        <w:spacing w:before="0" w:after="200" w:lineRule="auto" w:line="276"/>
      </w:pPr>
      <w:r>
        <w:rPr>
          <w:b/>
        </w:rPr>
        <w:t xml:space="preserve">Abstract (EN): </w:t>
      </w:r>
      <w:r>
        <w:t>Gravitational waves and ultralight dark matter are among the most compelling frontiers in fundamental physics, motivating proposals for very-long-baseline atom interferometerssuch as AION1, MAGIS2, AICE3 and AEDGE4 that aim to detect at frequencies at which ground-based5 and space-borne6 laser interferometers lose sensitivity. Very-long-baseline atom interferometers look for signals by comparing the quantum phase evolution of widely separated atomic ensembles interrogated by a common laser. However, their performance depends critically on suppressing noise sources, particularly laser phase noise. The experimental validation of such noise rejection remains an important challenge. Here we demonstrate a prototype differential atom interferometer based on the single-photon clock transition of fermionic 87Sr. Thus, we obtain a gradiometer configuration with a species intrinsically suited to kilometre-scale and space-baseline operation. The instrument operates at the standard quantum limit7 with no excess noise beyond atom shot noise. The differential configuration maintains quantum-limited sensitivity in the presence of several radians of artificially injected laser phase noise per shot, which emulates the conditions expected in a very-long-baseline atom interferometer. We also demonstrate the recovery of coherent oscillatory signals across a broad frequency range under fully phase-randomized conditions, a capability that is inaccessible to a single interferometer operating in the same regime. These results provide an experimental validation of the noise-immune measurement principle underlying very-long-baseline atom interferometers and mark an important step towards next-generation quantum sensors for gravitational-wave detection and searches for ultralight dark matter8,9.</w:t>
      </w:r>
    </w:p>
    <w:p>
      <w:pPr>
        <w:spacing w:before="120" w:after="120"/>
      </w:pPr>
      <w:r>
        <w:rPr>
          <w:sz w:val="18"/>
        </w:rPr>
        <w:t>——————————————————————————————————————————————————————————————————————</w:t>
      </w:r>
    </w:p>
    <w:p>
      <w:pPr>
        <w:spacing w:before="160" w:after="40" w:line="240" w:lineRule="auto"/>
      </w:pPr>
      <w:r>
        <w:rPr>
          <w:b/>
        </w:rPr>
        <w:t xml:space="preserve">[266] </w:t>
      </w:r>
      <w:hyperlink r:id="rId755">
        <w:r>
          <w:rPr>
            <w:color w:val="1155CC"/>
            <w:u w:val="single"/>
          </w:rPr>
          <w:t>每日简报：保护我们免受致命突变的蛋白质</w:t>
        </w:r>
      </w:hyperlink>
    </w:p>
    <w:p>
      <w:pPr>
        <w:spacing w:before="0" w:after="80"/>
      </w:pPr>
      <w:r>
        <w:rPr>
          <w:i/>
          <w:sz w:val="20"/>
        </w:rPr>
        <w:t>EN: Daily briefing: The proteins that protect us from deadly mutations</w:t>
      </w:r>
    </w:p>
    <w:p>
      <w:pPr>
        <w:spacing w:before="0" w:after="120"/>
      </w:pPr>
      <w:r>
        <w:rPr>
          <w:b/>
        </w:rPr>
        <w:t xml:space="preserve">Source: </w:t>
      </w:r>
      <w:r>
        <w:t>Nature</w:t>
      </w:r>
      <w:r>
        <w:t xml:space="preserve">    </w:t>
      </w:r>
      <w:r>
        <w:rPr>
          <w:b/>
        </w:rPr>
        <w:t xml:space="preserve">Pub date: </w:t>
      </w:r>
      <w:r>
        <w:t>2026-06-17 00:00:00+00:00</w:t>
      </w:r>
      <w:r>
        <w:t xml:space="preserve">    </w:t>
      </w:r>
      <w:r>
        <w:rPr>
          <w:b/>
        </w:rPr>
        <w:t xml:space="preserve">DOI: </w:t>
      </w:r>
      <w:hyperlink r:id="rId756">
        <w:r>
          <w:rPr>
            <w:color w:val="1155CC"/>
            <w:u w:val="single"/>
          </w:rPr>
          <w:t>10.1038/d41586-026-01960-4</w:t>
        </w:r>
      </w:hyperlink>
    </w:p>
    <w:p>
      <w:pPr>
        <w:spacing w:before="0" w:after="120"/>
      </w:pPr>
      <w:r>
        <w:rPr>
          <w:b/>
        </w:rPr>
        <w:t xml:space="preserve">Notes: </w:t>
      </w:r>
      <w:r>
        <w:t>abstract_source=nature_html</w:t>
      </w:r>
    </w:p>
    <w:p>
      <w:pPr>
        <w:spacing w:before="0" w:after="80" w:lineRule="auto" w:line="276"/>
      </w:pPr>
      <w:r>
        <w:rPr>
          <w:b/>
        </w:rPr>
        <w:t xml:space="preserve">摘要（ZH）: </w:t>
      </w:r>
      <w:r>
        <w:t>“缓冲”突变影响的蛋白质可能有助于治疗癌症等疾病。此外，山羊还可以追踪人类的声音以及美国一个重要海洋观测站项目的战斗。 “缓冲”突变影响的蛋白质可能有助于治疗癌症等疾病。此外，山羊还可以追踪人类的声音以及美国一个重要海洋观测站项目的战斗。</w:t>
      </w:r>
    </w:p>
    <w:p>
      <w:pPr>
        <w:spacing w:before="0" w:after="200" w:lineRule="auto" w:line="276"/>
      </w:pPr>
      <w:r>
        <w:rPr>
          <w:b/>
        </w:rPr>
        <w:t xml:space="preserve">Abstract (EN): </w:t>
      </w:r>
      <w:r>
        <w:t>Proteins that ‘buffer’ the effects of mutations could help to treat diseases such as cancers. Plus, goats can follow human voices and the battle over a key ocean observatory project in the United States. Proteins that ‘buffer’ the effects of mutations could help to treat diseases such as cancers. Plus, goats can follow human voices and the battle over a key ocean observatory project in the United States.</w:t>
      </w:r>
    </w:p>
    <w:p>
      <w:pPr>
        <w:spacing w:before="120" w:after="120"/>
      </w:pPr>
      <w:r>
        <w:rPr>
          <w:sz w:val="18"/>
        </w:rPr>
        <w:t>——————————————————————————————————————————————————————————————————————</w:t>
      </w:r>
    </w:p>
    <w:p>
      <w:pPr>
        <w:spacing w:before="160" w:after="40" w:line="240" w:lineRule="auto"/>
      </w:pPr>
      <w:r>
        <w:rPr>
          <w:b/>
        </w:rPr>
        <w:t xml:space="preserve">[267] </w:t>
      </w:r>
      <w:hyperlink r:id="rId757">
        <w:r>
          <w:rPr>
            <w:color w:val="1155CC"/>
            <w:u w:val="single"/>
          </w:rPr>
          <w:t>神经形态硬件的操作显微镜</w:t>
        </w:r>
      </w:hyperlink>
    </w:p>
    <w:p>
      <w:pPr>
        <w:spacing w:before="0" w:after="80"/>
      </w:pPr>
      <w:r>
        <w:rPr>
          <w:i/>
          <w:sz w:val="20"/>
        </w:rPr>
        <w:t>EN: Operando microscopy for neuromorphic hardware</w:t>
      </w:r>
    </w:p>
    <w:p>
      <w:pPr>
        <w:spacing w:before="0" w:after="120"/>
      </w:pPr>
      <w:r>
        <w:rPr>
          <w:b/>
        </w:rPr>
        <w:t xml:space="preserve">Source: </w:t>
      </w:r>
      <w:r>
        <w:t>Nature Materials</w:t>
      </w:r>
      <w:r>
        <w:t xml:space="preserve">    </w:t>
      </w:r>
      <w:r>
        <w:rPr>
          <w:b/>
        </w:rPr>
        <w:t xml:space="preserve">Pub date: </w:t>
      </w:r>
      <w:r>
        <w:t>2026-06-17 00:00:00+00:00</w:t>
      </w:r>
      <w:r>
        <w:t xml:space="preserve">    </w:t>
      </w:r>
      <w:r>
        <w:rPr>
          <w:b/>
        </w:rPr>
        <w:t xml:space="preserve">DOI: </w:t>
      </w:r>
      <w:hyperlink r:id="rId758">
        <w:r>
          <w:rPr>
            <w:color w:val="1155CC"/>
            <w:u w:val="single"/>
          </w:rPr>
          <w:t>10.1038/s41563-026-02629-z</w:t>
        </w:r>
      </w:hyperlink>
    </w:p>
    <w:p>
      <w:pPr>
        <w:spacing w:before="0" w:after="120"/>
      </w:pPr>
      <w:r>
        <w:rPr>
          <w:b/>
        </w:rPr>
        <w:t xml:space="preserve">Notes: </w:t>
      </w:r>
      <w:r>
        <w:t>abstract_source=nature_html</w:t>
      </w:r>
    </w:p>
    <w:p>
      <w:pPr>
        <w:spacing w:before="0" w:after="80" w:lineRule="auto" w:line="276"/>
      </w:pPr>
      <w:r>
        <w:rPr>
          <w:b/>
        </w:rPr>
        <w:t xml:space="preserve">摘要（ZH）: </w:t>
      </w:r>
      <w:r>
        <w:t>显微镜技术可以揭示材料的物理特性和动态行为，推动新兴现象的发现并指导下一代计算硬件的设计。随着人工智能的普及，对支持可持续信息技术的高性能材料的需求不断增长。本综述重点介绍了从电子、X 射线到光学技术的最先进成像技术，以探测神经形态材料的动力学，包括设备的操作表征。我们研究神经形态材料的设计原则，以及阻碍其发展的障碍。重点放在空间和时间解析方法上，这些方法捕获状态变化，包括相变、铁电切换和自旋波传播，模拟神经元、突触及其连接等生物成分。我们讨论了操作表征方面的挑战以及反馈引导材料发现的人工智能驱动分析的集成。最后，我们概述了神经形态系统实时成像的机会，为自适应、受大脑启发的硬件铺平了道路。</w:t>
      </w:r>
    </w:p>
    <w:p>
      <w:pPr>
        <w:spacing w:before="0" w:after="200" w:lineRule="auto" w:line="276"/>
      </w:pPr>
      <w:r>
        <w:rPr>
          <w:b/>
        </w:rPr>
        <w:t xml:space="preserve">Abstract (EN): </w:t>
      </w:r>
      <w:r>
        <w:t>Microscopy techniques can uncover the physical properties and dynamic behaviours of materials, driving the discovery of emergent phenomena and guiding the design of next-generation computing hardware. As artificial intelligence becomes pervasive, the demand for high-performance materials to support sustainable information technologies is growing. This Review highlights state-of-the-art imaging from electron and X-ray to optical techniques to probe the dynamics of neuromorphic materials, including operando characterization of devices. We examine design principles for neuromorphic materials, along with obstacles that hinder their development. Emphasis is placed on spatially and temporally resolved approaches that capture state changes including phase transitions, ferroic switching and spin-wave propagation that emulate biological components such as neurons, synapses and their connectivity. We discuss challenges in operando characterization and the integration of artificial intelligence-driven analysis for feedback-guided material discovery. Finally, we outline opportunities for real-time imaging of neuromorphic systems, paving the way towards adaptive, brain-inspired hardware.</w:t>
      </w:r>
    </w:p>
    <w:p>
      <w:pPr>
        <w:spacing w:before="120" w:after="120"/>
      </w:pPr>
      <w:r>
        <w:rPr>
          <w:sz w:val="18"/>
        </w:rPr>
        <w:t>——————————————————————————————————————————————————————————————————————</w:t>
      </w:r>
    </w:p>
    <w:p>
      <w:pPr>
        <w:spacing w:before="160" w:after="40" w:line="240" w:lineRule="auto"/>
      </w:pPr>
      <w:r>
        <w:rPr>
          <w:b/>
        </w:rPr>
        <w:t xml:space="preserve">[268] </w:t>
      </w:r>
      <w:hyperlink r:id="rId759">
        <w:r>
          <w:rPr>
            <w:color w:val="1155CC"/>
            <w:u w:val="single"/>
          </w:rPr>
          <w:t>通过直接测量振动转子中的相干散射来探测非遍历性和对称性</w:t>
        </w:r>
      </w:hyperlink>
    </w:p>
    <w:p>
      <w:pPr>
        <w:spacing w:before="0" w:after="80"/>
      </w:pPr>
      <w:r>
        <w:rPr>
          <w:i/>
          <w:sz w:val="20"/>
        </w:rPr>
        <w:t>EN: Probing non-ergodicity and symmetry via direct measurement of coherent scattering in a shaken rotor</w:t>
      </w:r>
    </w:p>
    <w:p>
      <w:pPr>
        <w:spacing w:before="0" w:after="120"/>
      </w:pPr>
      <w:r>
        <w:rPr>
          <w:b/>
        </w:rPr>
        <w:t xml:space="preserve">Source: </w:t>
      </w:r>
      <w:r>
        <w:t>Physical sciences : Nature Communications subject feeds</w:t>
      </w:r>
      <w:r>
        <w:t xml:space="preserve">    </w:t>
      </w:r>
      <w:r>
        <w:rPr>
          <w:b/>
        </w:rPr>
        <w:t xml:space="preserve">Pub date: </w:t>
      </w:r>
      <w:r>
        <w:t>2026-06-17 00:00:00+00:00</w:t>
      </w:r>
    </w:p>
    <w:p>
      <w:pPr>
        <w:spacing w:before="0" w:after="120"/>
      </w:pPr>
      <w:r>
        <w:rPr>
          <w:b/>
        </w:rPr>
        <w:t xml:space="preserve">Notes: </w:t>
      </w:r>
      <w:r>
        <w:t>abstract_source=nature_html</w:t>
      </w:r>
    </w:p>
    <w:p>
      <w:pPr>
        <w:spacing w:before="0" w:after="80" w:lineRule="auto" w:line="276"/>
      </w:pPr>
      <w:r>
        <w:rPr>
          <w:b/>
        </w:rPr>
        <w:t xml:space="preserve">摘要（ZH）: </w:t>
      </w:r>
      <w:r>
        <w:t>相干反向散射 (CBS) 峰是无序或混沌系统中弱定位的众所周知的干扰特征。最近，第二个干扰特征——相干前向散射（CFS）峰值——预计会出现在强局域化区域。然而，它从未被直接观察到。在这里，我们报告了对 CFS 峰值的直接观察，并证明了它作为非遍历性特征和量子混沌系统对称性探针的双重作用。使用调制光学晶格中超冷原子的玻色-爱因斯坦凝聚体 (BEC) 实现的振动转子模型，我们研究了动量空间中的动态局域化。 CFS 峰作为非遍历动力学的结果出现在位置分布中，而其增长时间尺度和宽度揭示了潜在的局部化长度。通过微调调制，我们控制时间反转和奇偶对称性，并测量它们对位置空间中 CBS 和 CFS 峰值的独特影响。我们的结果强调了相干散射峰的时间增长和对比度与对称性和局域化之间的紧密联系。这项工作为研究多体环境中的相干散射特征开辟了多种视角。</w:t>
      </w:r>
    </w:p>
    <w:p>
      <w:pPr>
        <w:spacing w:before="0" w:after="200" w:lineRule="auto" w:line="276"/>
      </w:pPr>
      <w:r>
        <w:rPr>
          <w:b/>
        </w:rPr>
        <w:t xml:space="preserve">Abstract (EN): </w:t>
      </w:r>
      <w:r>
        <w:t>The Coherent Backscattering (CBS) peak is a well-known interferential signature of weak localization in disordered or chaotic systems. More recently, a second interference feature—the Coherent Forward Scattering (CFS) peak—was predicted to emerge in the regime of strong localization. However, it has never been directly observed. Here we report the direct observation of the CFS peak and demonstrate its dual role as a signature of non-ergodicity and as a probe of symmetries in quantum chaotic systems. Using a shaken rotor model realized with a Bose-Einstein condensate (BEC) of ultracold atoms in a modulated optical lattice, we investigate dynamical localization in momentum space. The CFS peak emerges in the position distribution as a consequence of non-ergodic dynamics, while its growth timescale and width reveal the underlying localization length. By finely tuning the modulation, we control time-reversal and parity symmetries and measure their distinct effects on both CBS and CFS peaks in position space. Our results highlight the strong link of both temporal growth and contrast of the coherent scattering peaks with symmetry and localization. This work opens several perspectives for investigating coherent scattering signatures in a many-body context.</w:t>
      </w:r>
    </w:p>
    <w:p>
      <w:pPr>
        <w:spacing w:before="120" w:after="120"/>
      </w:pPr>
      <w:r>
        <w:rPr>
          <w:sz w:val="18"/>
        </w:rPr>
        <w:t>——————————————————————————————————————————————————————————————————————</w:t>
      </w:r>
    </w:p>
    <w:p>
      <w:pPr>
        <w:spacing w:before="160" w:after="40" w:line="240" w:lineRule="auto"/>
      </w:pPr>
      <w:r>
        <w:rPr>
          <w:b/>
        </w:rPr>
        <w:t xml:space="preserve">[269] </w:t>
      </w:r>
      <w:hyperlink r:id="rId760">
        <w:r>
          <w:rPr>
            <w:color w:val="1155CC"/>
            <w:u w:val="single"/>
          </w:rPr>
          <w:t>线粒体蛋白 OPA3 通过调节雄性小鼠的钙处理维持心脏功能</w:t>
        </w:r>
      </w:hyperlink>
    </w:p>
    <w:p>
      <w:pPr>
        <w:spacing w:before="0" w:after="80"/>
      </w:pPr>
      <w:r>
        <w:rPr>
          <w:i/>
          <w:sz w:val="20"/>
        </w:rPr>
        <w:t>EN: Mitochondrial protein OPA3 sustains cardiac function by regulating calcium handling in male mice</w:t>
      </w:r>
    </w:p>
    <w:p>
      <w:pPr>
        <w:spacing w:before="0" w:after="120"/>
      </w:pPr>
      <w:r>
        <w:rPr>
          <w:b/>
        </w:rPr>
        <w:t xml:space="preserve">Source: </w:t>
      </w:r>
      <w:r>
        <w:t>Biological sciences : Nature Communications subject feeds</w:t>
      </w:r>
      <w:r>
        <w:t xml:space="preserve">    </w:t>
      </w:r>
      <w:r>
        <w:rPr>
          <w:b/>
        </w:rPr>
        <w:t xml:space="preserve">Pub date: </w:t>
      </w:r>
      <w:r>
        <w:t>2026-06-17 00:00:00+00:00</w:t>
      </w:r>
    </w:p>
    <w:p>
      <w:pPr>
        <w:spacing w:before="0" w:after="120"/>
      </w:pPr>
      <w:r>
        <w:rPr>
          <w:b/>
        </w:rPr>
        <w:t xml:space="preserve">Notes: </w:t>
      </w:r>
      <w:r>
        <w:t>abstract_source=nature_html</w:t>
      </w:r>
    </w:p>
    <w:p>
      <w:pPr>
        <w:spacing w:before="0" w:after="80" w:lineRule="auto" w:line="276"/>
      </w:pPr>
      <w:r>
        <w:rPr>
          <w:b/>
        </w:rPr>
        <w:t xml:space="preserve">摘要（ZH）: </w:t>
      </w:r>
      <w:r>
        <w:t>心力衰竭 (HF) 是一种日益严重的全球健康负担，其特征是心肌收缩力受损和进行性重构，部分原因是 Ca2+ 处理中断和线粒体功能障碍。然而，协调这些过程的分子机制仍不完全清楚。在这里，我们发现 OPA3 在人类和小鼠 HF 中均减少。雄性小鼠心肌细胞特异性缺失 Opa3 会导致进行性扩张型心肌病 (DCM)，并伴有心肌功能、钙循环和线粒体功能受损。从机制上讲，OPA3 形成与受磷蛋白 (PLN) 相互作用所需的多聚体，从而维持肌浆网 (SR) Ca2+-ATP 酶 (SERCA2a) 活性和 Ca2+ 处理。 OPA3 位于线粒体外膜，它的缺失会损害线粒体功能。心肌细胞特异性 Opa3 过度表达可改善压力超负荷和阿霉素诱导的心力衰竭模型中的心功能障碍。我们的数据定义了 OPA3-PLN-SERCA2a 轴调节线粒体和 SR 功能的关键作用，代表了 HF 的潜在治疗靶点。</w:t>
      </w:r>
    </w:p>
    <w:p>
      <w:pPr>
        <w:spacing w:before="0" w:after="200" w:lineRule="auto" w:line="276"/>
      </w:pPr>
      <w:r>
        <w:rPr>
          <w:b/>
        </w:rPr>
        <w:t xml:space="preserve">Abstract (EN): </w:t>
      </w:r>
      <w:r>
        <w:t>Heart failure (HF) is a growing global health burden characterized by impaired cardiac contractility and progressive remodeling, driven in part by disrupted Ca2+ handling and mitochondrial dysfunction. However, the molecular mechanisms coordinating these processes remain incompletely understood. Here we showed that OPA3 was decreased in both human and murine HF. Cardiomyocyte-specific deletion of Opa3 in male mice led to the progressive dilated cardiomyopathy (DCM), accompanied by impaired myocardial function, calcium cycling and mitochondria function. Mechanistically, OPA3 forms multimers that are required for its interaction with phospholamban (PLN), thereby maintaining sarcoplasmic reticulum (SR) Ca2+-ATPase (SERCA2a) activity and Ca2+ handling. OPA3 is localized to the mitochondrial outer membrane, and its absence impaired mitochondrial function. Cardiomyocyte-specific overexpression of Opa3 improved cardiac dysfunction in both pressure overload- and doxorubicin-induced HF models. Our data define a critical role of OPA3-PLN-SERCA2a axis that regulates both mitochondria and SR function, representing a potential therapeutic target for HF.</w:t>
      </w:r>
    </w:p>
    <w:p>
      <w:pPr>
        <w:spacing w:before="120" w:after="120"/>
      </w:pPr>
      <w:r>
        <w:rPr>
          <w:sz w:val="18"/>
        </w:rPr>
        <w:t>——————————————————————————————————————————————————————————————————————</w:t>
      </w:r>
    </w:p>
    <w:p>
      <w:pPr>
        <w:spacing w:before="160" w:after="40" w:line="240" w:lineRule="auto"/>
      </w:pPr>
      <w:r>
        <w:rPr>
          <w:b/>
        </w:rPr>
        <w:t xml:space="preserve">[270] </w:t>
      </w:r>
      <w:hyperlink r:id="rId761">
        <w:r>
          <w:rPr>
            <w:color w:val="1155CC"/>
            <w:u w:val="single"/>
          </w:rPr>
          <w:t>IDH1-R132H 通过促进神经胶质瘤中的病毒进入和免疫激活来增强溶瘤 HSV-1 治疗</w:t>
        </w:r>
      </w:hyperlink>
    </w:p>
    <w:p>
      <w:pPr>
        <w:spacing w:before="0" w:after="80"/>
      </w:pPr>
      <w:r>
        <w:rPr>
          <w:i/>
          <w:sz w:val="20"/>
        </w:rPr>
        <w:t>EN: IDH1-R132H enhances oncolytic HSV-1 therapy by facilitating viral entry and immune activation in glioma</w:t>
      </w:r>
    </w:p>
    <w:p>
      <w:pPr>
        <w:spacing w:before="0" w:after="120"/>
      </w:pPr>
      <w:r>
        <w:rPr>
          <w:b/>
        </w:rPr>
        <w:t xml:space="preserve">Source: </w:t>
      </w:r>
      <w:r>
        <w:t>Biological sciences : Nature Communications subject feeds</w:t>
      </w:r>
      <w:r>
        <w:t xml:space="preserve">    </w:t>
      </w:r>
      <w:r>
        <w:rPr>
          <w:b/>
        </w:rPr>
        <w:t xml:space="preserve">Pub date: </w:t>
      </w:r>
      <w:r>
        <w:t>2026-06-17 00:00:00+00:00</w:t>
      </w:r>
    </w:p>
    <w:p>
      <w:pPr>
        <w:spacing w:before="0" w:after="120"/>
      </w:pPr>
      <w:r>
        <w:rPr>
          <w:b/>
        </w:rPr>
        <w:t xml:space="preserve">Notes: </w:t>
      </w:r>
      <w:r>
        <w:t>abstract_source=nature_html</w:t>
      </w:r>
    </w:p>
    <w:p>
      <w:pPr>
        <w:spacing w:before="0" w:after="80" w:lineRule="auto" w:line="276"/>
      </w:pPr>
      <w:r>
        <w:rPr>
          <w:b/>
        </w:rPr>
        <w:t xml:space="preserve">摘要（ZH）: </w:t>
      </w:r>
      <w:r>
        <w:t>溶瘤病毒疗法代表了一种有前景但尚未充分探索的精准癌症治疗方法，特别是针对肿瘤特异性分子谱进行定制时。患有高级别异柠檬酸脱氢酶（IDH）突变型星形细胞瘤的患者治疗选择有限且预后较差。在这里，我们研究了 rQNestin34.5 v.2 (CAN-3110)（一种工程化溶瘤单纯疱疹病毒 1 (oHSV-1)）对 IDH1-R132H 突变的弥漫性神经胶质瘤的治疗效果。我们证明 IDH1-R132H 突变通过上调主要 HSV-1 进入受体 Nectin-1 增强神经胶质瘤对病毒感染的易感性。同时，IDH1-R132H 驱动的 DNA 高甲基化抑制干扰素 (IFN) 信号传导，创造一个有利于病毒复制和肿瘤细胞凋亡的宽松微环境。在免疫功能正常的小鼠神经胶质瘤模型中，rQNestin34.5 v.2 的瘤内给药可诱导强大的抗肿瘤免疫激活，包括增加免疫浸润和全身 IFN-γ 释放。然而，肿瘤浸润白细胞上脊髓灰质炎病毒受体（PVR）和具有免疫球蛋白和ITIM结构域的免疫检查点T细胞免疫受体（TIGIT）的表达升高表明对病毒疗法存在潜在的耐药机制。与单一疗法相比，rQNestin34.5 v.2 与 TIGIT 阻断相结合可增强治疗效果，将 IDH1-R132H 确定为溶瘤病毒疗法反应的潜在预测生物标志物。</w:t>
      </w:r>
    </w:p>
    <w:p>
      <w:pPr>
        <w:spacing w:before="0" w:after="200" w:lineRule="auto" w:line="276"/>
      </w:pPr>
      <w:r>
        <w:rPr>
          <w:b/>
        </w:rPr>
        <w:t xml:space="preserve">Abstract (EN): </w:t>
      </w:r>
      <w:r>
        <w:t>Oncolytic virotherapy represents a promising yet under-explored approach for precision cancer treatment, particularly when tailored to tumor-specific molecular profiles. Patients with high-grade isocitrate dehydrogenase (IDH) mutant astrocytomas have limited treatment options and poor prognoses. Here, we investigate the therapeutic efficacy of rQNestin34.5 v.2 (CAN-3110), an engineered oncolytic herpes simplex virus 1 (oHSV-1), in IDH1-R132H-mutant diffuse gliomas. We demonstrate that the IDH1-R132H mutation enhances glioma susceptibility to viral infection through upregulation of Nectin-1, the main HSV-1 entry receptor. Concurrently, IDH1-R132H-driven DNA hypermethylation suppresses interferon (IFN) signaling, creating a permissive microenvironment that facilitates viral replication and tumor cell apoptosis. In immunocompetent murine glioma models, intratumoral administration of rQNestin34.5 v.2 induces robust antitumor immune activation, including increased immune infiltration and systemic IFN-γ release. However, elevated expression of poliovirus receptor (PVR) and the immune checkpoint T-cell immunoreceptor with immunoglobulin and ITIM domain (TIGIT) on tumor-infiltrating leukocytes suggests a potential resistance mechanism to virotherapy. Combining rQNestin34.5 v.2 with TIGIT blockade enhances therapeutic efficacy compared to monotherapy, identifying IDH1-R132H as a potential predictive biomarker for oncolytic virotherapy response.</w:t>
      </w:r>
    </w:p>
    <w:p>
      <w:pPr>
        <w:spacing w:before="120" w:after="120"/>
      </w:pPr>
      <w:r>
        <w:rPr>
          <w:sz w:val="18"/>
        </w:rPr>
        <w:t>——————————————————————————————————————————————————————————————————————</w:t>
      </w:r>
    </w:p>
    <w:p>
      <w:pPr>
        <w:spacing w:before="160" w:after="40" w:line="240" w:lineRule="auto"/>
      </w:pPr>
      <w:r>
        <w:rPr>
          <w:b/>
        </w:rPr>
        <w:t xml:space="preserve">[271] </w:t>
      </w:r>
      <w:hyperlink r:id="rId762">
        <w:r>
          <w:rPr>
            <w:color w:val="1155CC"/>
            <w:u w:val="single"/>
          </w:rPr>
          <w:t>引导 RNA 重编程有助于最大限度地减少 tracrRNA 依赖性脱靶和多功能 CRISPR/Cas9 工程</w:t>
        </w:r>
      </w:hyperlink>
    </w:p>
    <w:p>
      <w:pPr>
        <w:spacing w:before="0" w:after="80"/>
      </w:pPr>
      <w:r>
        <w:rPr>
          <w:i/>
          <w:sz w:val="20"/>
        </w:rPr>
        <w:t>EN: Guide RNA reprogramming facilitates minimized tracrRNA-dependent off-target and versatile CRISPR/Cas9 engineering</w:t>
      </w:r>
    </w:p>
    <w:p>
      <w:pPr>
        <w:spacing w:before="0" w:after="120"/>
      </w:pPr>
      <w:r>
        <w:rPr>
          <w:b/>
        </w:rPr>
        <w:t xml:space="preserve">Source: </w:t>
      </w:r>
      <w:r>
        <w:t>Biological sciences : Nature Communications subject feeds</w:t>
      </w:r>
      <w:r>
        <w:t xml:space="preserve">    </w:t>
      </w:r>
      <w:r>
        <w:rPr>
          <w:b/>
        </w:rPr>
        <w:t xml:space="preserve">Pub date: </w:t>
      </w:r>
      <w:r>
        <w:t>2026-06-17 00:00:00+00:00</w:t>
      </w:r>
    </w:p>
    <w:p>
      <w:pPr>
        <w:spacing w:before="0" w:after="120"/>
      </w:pPr>
      <w:r>
        <w:rPr>
          <w:b/>
        </w:rPr>
        <w:t xml:space="preserve">Notes: </w:t>
      </w:r>
      <w:r>
        <w:t>abstract_source=nature_html</w:t>
      </w:r>
    </w:p>
    <w:p>
      <w:pPr>
        <w:spacing w:before="0" w:after="80" w:lineRule="auto" w:line="276"/>
      </w:pPr>
      <w:r>
        <w:rPr>
          <w:b/>
        </w:rPr>
        <w:t xml:space="preserve">摘要（ZH）: </w:t>
      </w:r>
      <w:r>
        <w:t>虽然具有创新性，但当前的 CRISPR-Cas9 系统面临安全问题和实际障碍，特别是序列无关、非规范脱靶。我们证明引导 RNA (gRNA) 中的 crRNA:tracrRNA 双链体既可分裂又可重新编程。然而，这一特性使得具有 crRNA 样序列的内源性 RNA 能够劫持任何 gRNA，从而导致低频但普遍的 tracrRNA 依赖性脱靶 (TDO) 效应。使用在高通量 gRNA 变体筛选上训练的机器学习，我们得出最佳的 gRNA 设计规则并设计与人类/小鼠转录组不匹配的 crRNA 变体，从而最大限度地减少 TDO。通过利用可分割性和可重编程性，我们开发了用于基于 CRISPRa 的 mRNA 检测的可重编程 tracrRNA，并重新设计了支架以抑制无 PAM Cas9 介导的“自我编辑”。我们进一步创建了一个单独表达的 gRNA (segRNA) 平台，该平台具有分裂的 tracrRNA 和非重复串联 crRNA，从而能够在干细胞中对多达 6 个基因进行多重编辑和功能增强子注释。我们的研究结果揭示了以前被忽视的脱靶机制，并提供了增强 CRISPR 系统安全性和实用性的多种策略。</w:t>
      </w:r>
    </w:p>
    <w:p>
      <w:pPr>
        <w:spacing w:before="0" w:after="200" w:lineRule="auto" w:line="276"/>
      </w:pPr>
      <w:r>
        <w:rPr>
          <w:b/>
        </w:rPr>
        <w:t xml:space="preserve">Abstract (EN): </w:t>
      </w:r>
      <w:r>
        <w:t>While innovative, current CRISPR-Cas9 systems face safety concerns and practical hurdles, notably sequence-independent, noncanonical off-targeting. We demonstrate that the crRNA:tracrRNA duplex in guide RNAs (gRNA) is both splittable and reprogrammable. This property, however, enables endogenous RNAs with crRNA-like sequences to hijack any gRNAs, causing low-frequency yet pervasive tracrRNA-dependent off-target (TDO) effects. Using machine learning trained on high-throughput gRNA variant screens, we derive optimal gRNA-designing rules and engineer crRNA variants mismatched to the human/mouse transcriptomes, thereby minimizing TDO. By leveraging splittability and reprogrammability, we develop reprogrammable tracrRNAs for CRISPRa-based mRNA detection and redesign scaffolds to curb PAM-less Cas9-mediated “self-editing”. We further create a separately expressed gRNA (segRNA) platform featuring split tracrRNAs and non-repetitive tandem crRNAs, enabling multiplexed editing of up to six genes and functional enhancer annotation in stem cells. Our findings uncover a previously overlooked off-target mechanism and offer versatile strategies to enhance the safety and utility of CRISPR systems.</w:t>
      </w:r>
    </w:p>
    <w:p>
      <w:pPr>
        <w:spacing w:before="120" w:after="120"/>
      </w:pPr>
      <w:r>
        <w:rPr>
          <w:sz w:val="18"/>
        </w:rPr>
        <w:t>——————————————————————————————————————————————————————————————————————</w:t>
      </w:r>
    </w:p>
    <w:p>
      <w:pPr>
        <w:spacing w:before="160" w:after="40" w:line="240" w:lineRule="auto"/>
      </w:pPr>
      <w:r>
        <w:rPr>
          <w:b/>
        </w:rPr>
        <w:t xml:space="preserve">[272] </w:t>
      </w:r>
      <w:hyperlink r:id="rId763">
        <w:r>
          <w:rPr>
            <w:color w:val="1155CC"/>
            <w:u w:val="single"/>
          </w:rPr>
          <w:t>脂肪酸氧化通量中断后中间体的积累促进肿瘤铁死亡并改善免疫治疗</w:t>
        </w:r>
      </w:hyperlink>
    </w:p>
    <w:p>
      <w:pPr>
        <w:spacing w:before="0" w:after="80"/>
      </w:pPr>
      <w:r>
        <w:rPr>
          <w:i/>
          <w:sz w:val="20"/>
        </w:rPr>
        <w:t>EN: Intermediate accumulated upon interruption of fatty acid oxidation flux promotes tumoral ferroptosis and improves immunotherapy</w:t>
      </w:r>
    </w:p>
    <w:p>
      <w:pPr>
        <w:spacing w:before="0" w:after="120"/>
      </w:pPr>
      <w:r>
        <w:rPr>
          <w:b/>
        </w:rPr>
        <w:t xml:space="preserve">Source: </w:t>
      </w:r>
      <w:r>
        <w:t>Biological sciences : Nature Communications subject feeds</w:t>
      </w:r>
      <w:r>
        <w:t xml:space="preserve">    </w:t>
      </w:r>
      <w:r>
        <w:rPr>
          <w:b/>
        </w:rPr>
        <w:t xml:space="preserve">Pub date: </w:t>
      </w:r>
      <w:r>
        <w:t>2026-06-17 00:00:00+00:00</w:t>
      </w:r>
    </w:p>
    <w:p>
      <w:pPr>
        <w:spacing w:before="0" w:after="120"/>
      </w:pPr>
      <w:r>
        <w:rPr>
          <w:b/>
        </w:rPr>
        <w:t xml:space="preserve">Notes: </w:t>
      </w:r>
      <w:r>
        <w:t>abstract_source=nature_html</w:t>
      </w:r>
    </w:p>
    <w:p>
      <w:pPr>
        <w:spacing w:before="0" w:after="80" w:lineRule="auto" w:line="276"/>
      </w:pPr>
      <w:r>
        <w:rPr>
          <w:b/>
        </w:rPr>
        <w:t xml:space="preserve">摘要（ZH）: </w:t>
      </w:r>
      <w:r>
        <w:t>针对癌症代谢的治疗策略正在迅速进展。然而，扰乱同一代谢途径中的不同节点通常会产生不同的结果。铁死亡是一种由脂质过氧化驱动的代谢性细胞死亡，因其增强抗肿瘤免疫力而引起了人们的关注。在这里，我们证明中断羟酰辅酶A脱氢酶（HADHA）节点的脂肪酸氧化（FAO）会促进肿瘤铁死亡，而靶向上游酶则不会。 HADHA 抑制会导致羟基化 C18 (C18-OH) 酰基肉碱积累，从而加剧线粒体脂质过氧化。在体内，HADHA 消融或酰基肉碱 C18-OH 补充可抑制肿瘤生长，增强抗肿瘤 T 细胞免疫力，并增强 PD-1 阻断疗法。临床上，血浆酰基肉碱 C18-OH 升高与肺癌患者预后和免疫治疗反应的改善相关。曲美他嗪是一种已批准的抗缺血药物和 HADHA 抑制剂，同样可以延迟肿瘤进展并增强免疫治疗。总之，我们的研究结果将 HADHA 确定为铁死亡调节剂，并提供了一种临床可行的策略，通过代谢干预来增强铁死亡和免疫治疗。</w:t>
      </w:r>
    </w:p>
    <w:p>
      <w:pPr>
        <w:spacing w:before="0" w:after="200" w:lineRule="auto" w:line="276"/>
      </w:pPr>
      <w:r>
        <w:rPr>
          <w:b/>
        </w:rPr>
        <w:t xml:space="preserve">Abstract (EN): </w:t>
      </w:r>
      <w:r>
        <w:t>Therapeutic strategies targeting cancer metabolism are advancing rapidly. However, perturbing distinct nodes within the same metabolic pathway often yields divergent outcomes. Ferroptosis, a metabolic cell death driven by lipid peroxidation, has garnered attention for potentiating antitumor immunity. Here, we demonstrate that interruption of fatty acid oxidation (FAO) at hydroxyacyl-CoA dehydrogenase (HADHA) node promotes tumoral ferroptosis, whereas targeting upstream enzymes does not. HADHA inhibition causes accumulation of hydroxylated C18 (C18-OH) acylcarnitine to exacerbate mitochondrial lipid peroxidation. In vivo, HADHA ablation or acylcarnitine C18-OH supplementation suppresses tumor growth, enhances antitumor T-cell immunity, and potentiates PD-1 blockade therapy. Clinically, elevated plasma acylcarnitine C18-OH correlates with improved prognosis and immunotherapy response in lung cancer patients. Trimetazidine, an approved anti-ischemic drug and HADHA inhibitor, similarly delays tumor progression and augments immunotherapy. Together, our findings identify HADHA as a ferroptosis regulator and offer a clinically actionable strategy to enhance ferroptosis and immunotherapy through metabolic intervention.</w:t>
      </w:r>
    </w:p>
    <w:p>
      <w:pPr>
        <w:spacing w:before="120" w:after="120"/>
      </w:pPr>
      <w:r>
        <w:rPr>
          <w:sz w:val="18"/>
        </w:rPr>
        <w:t>——————————————————————————————————————————————————————————————————————</w:t>
      </w:r>
    </w:p>
    <w:p>
      <w:pPr>
        <w:spacing w:before="160" w:after="40" w:line="240" w:lineRule="auto"/>
      </w:pPr>
      <w:r>
        <w:rPr>
          <w:b/>
        </w:rPr>
        <w:t xml:space="preserve">[273] </w:t>
      </w:r>
      <w:hyperlink r:id="rId764">
        <w:r>
          <w:rPr>
            <w:color w:val="1155CC"/>
            <w:u w:val="single"/>
          </w:rPr>
          <w:t>RP4结合菌毛的不依赖于磷脂的生物发生和功能</w:t>
        </w:r>
      </w:hyperlink>
    </w:p>
    <w:p>
      <w:pPr>
        <w:spacing w:before="0" w:after="80"/>
      </w:pPr>
      <w:r>
        <w:rPr>
          <w:i/>
          <w:sz w:val="20"/>
        </w:rPr>
        <w:t>EN: Phospholipid-independent biogenesis and function of the RP4 conjugation pilus</w:t>
      </w:r>
    </w:p>
    <w:p>
      <w:pPr>
        <w:spacing w:before="0" w:after="120"/>
      </w:pPr>
      <w:r>
        <w:rPr>
          <w:b/>
        </w:rPr>
        <w:t xml:space="preserve">Source: </w:t>
      </w:r>
      <w:r>
        <w:t>Biological sciences : Nature Communications subject feeds</w:t>
      </w:r>
      <w:r>
        <w:t xml:space="preserve">    </w:t>
      </w:r>
      <w:r>
        <w:rPr>
          <w:b/>
        </w:rPr>
        <w:t xml:space="preserve">Pub date: </w:t>
      </w:r>
      <w:r>
        <w:t>2026-06-17 00:00:00+00:00</w:t>
      </w:r>
    </w:p>
    <w:p>
      <w:pPr>
        <w:spacing w:before="0" w:after="120"/>
      </w:pPr>
      <w:r>
        <w:rPr>
          <w:b/>
        </w:rPr>
        <w:t xml:space="preserve">Notes: </w:t>
      </w:r>
      <w:r>
        <w:t>abstract_source=nature_html</w:t>
      </w:r>
    </w:p>
    <w:p>
      <w:pPr>
        <w:spacing w:before="0" w:after="80" w:lineRule="auto" w:line="276"/>
      </w:pPr>
      <w:r>
        <w:rPr>
          <w:b/>
        </w:rPr>
        <w:t xml:space="preserve">摘要（ZH）: </w:t>
      </w:r>
      <w:r>
        <w:t>细菌接合是细菌之间水平基因转移的过程，是通过接合菌毛形成交配对（MPF）来启动的。 IncP RP4 质粒的接合是由短交配菌毛介导的。在这里，我们报告了 RP4 菌毛的冷冻电镜结构，分辨率为 2.74 Å。独特的是，结构和定量质谱分析均表明环状 TrbC 菌毛蛋白亚基未脂化。一致地，缺乏磷脂酰甘油 (PG) 的大肠杆菌 pgsA 突变体可以作为 RP4 的供体，但不能作为 F- (pKpQIL)、H- (R27) 或 W- (R388) 菌毛的供体，其生物发生和 DNA 转移是 PG 依赖性的。 RP4 是第一个不依赖于脂质的功能性交配菌毛的例子。这一发现表明，两亲性脂质部分对于接合菌毛和 MPF 的生物发生并不普遍必需，为它们的组装和功能提供了另一种模型。这些数据扩展了我们对用于转移遗传物质的多种细菌机制的理解。</w:t>
      </w:r>
    </w:p>
    <w:p>
      <w:pPr>
        <w:spacing w:before="0" w:after="200" w:lineRule="auto" w:line="276"/>
      </w:pPr>
      <w:r>
        <w:rPr>
          <w:b/>
        </w:rPr>
        <w:t xml:space="preserve">Abstract (EN): </w:t>
      </w:r>
      <w:r>
        <w:t>Bacterial conjugation, the process of horizontal gene transfer between bacteria, is initiated by mating pair formation (MPF) via a conjugative pilus. Conjugation of the IncP RP4 plasmid is mediated by short mating pili. Here, we report the cryo-EM structure of the RP4 pilus at 2.74 Å resolution. Uniquely, both the structural and quantitative mass spectral analyses revealed that the cyclic TrbC pilin subunit is not lipidated. Consistently, an E. coli pgsA mutant lacking phosphatidylglycerol (PG) can serve as a donor of RP4 but not of F- (pKpQIL), H- (R27) or W- (R388) pili, whose biogenesis and DNA transfer is PG-dependent. RP4 is the first example of a lipid-independent functional mating pilus. This discovery suggests that an amphipathic lipid moiety is not universally essential for the biogenesis of conjugative pili and MPF, providing an alternative model for their assembly and function. These data expand our understanding of the diverse bacterial mechanisms employ to transfer genetic material.</w:t>
      </w:r>
    </w:p>
    <w:p>
      <w:pPr>
        <w:spacing w:before="120" w:after="120"/>
      </w:pPr>
      <w:r>
        <w:rPr>
          <w:sz w:val="18"/>
        </w:rPr>
        <w:t>——————————————————————————————————————————————————————————————————————</w:t>
      </w:r>
    </w:p>
    <w:p>
      <w:pPr>
        <w:spacing w:before="160" w:after="40" w:line="240" w:lineRule="auto"/>
      </w:pPr>
      <w:r>
        <w:rPr>
          <w:b/>
        </w:rPr>
        <w:t xml:space="preserve">[274] </w:t>
      </w:r>
      <w:hyperlink r:id="rId765">
        <w:r>
          <w:rPr>
            <w:color w:val="1155CC"/>
            <w:u w:val="single"/>
          </w:rPr>
          <w:t>上皮细胞挤压是海葵饥饿引起的细胞损失的基础</w:t>
        </w:r>
      </w:hyperlink>
    </w:p>
    <w:p>
      <w:pPr>
        <w:spacing w:before="0" w:after="80"/>
      </w:pPr>
      <w:r>
        <w:rPr>
          <w:i/>
          <w:sz w:val="20"/>
        </w:rPr>
        <w:t>EN: Epithelial cell extrusion underlies starvation-induced cell loss in a sea anemone</w:t>
      </w:r>
    </w:p>
    <w:p>
      <w:pPr>
        <w:spacing w:before="0" w:after="120"/>
      </w:pPr>
      <w:r>
        <w:rPr>
          <w:b/>
        </w:rPr>
        <w:t xml:space="preserve">Source: </w:t>
      </w:r>
      <w:r>
        <w:t>Biological sciences : Nature Communications subject feeds</w:t>
      </w:r>
      <w:r>
        <w:t xml:space="preserve">    </w:t>
      </w:r>
      <w:r>
        <w:rPr>
          <w:b/>
        </w:rPr>
        <w:t xml:space="preserve">Pub date: </w:t>
      </w:r>
      <w:r>
        <w:t>2026-06-17 00:00:00+00:00</w:t>
      </w:r>
    </w:p>
    <w:p>
      <w:pPr>
        <w:spacing w:before="0" w:after="120"/>
      </w:pPr>
      <w:r>
        <w:rPr>
          <w:b/>
        </w:rPr>
        <w:t xml:space="preserve">Notes: </w:t>
      </w:r>
      <w:r>
        <w:t>abstract_source=nature_html</w:t>
      </w:r>
    </w:p>
    <w:p>
      <w:pPr>
        <w:spacing w:before="0" w:after="80" w:lineRule="auto" w:line="276"/>
      </w:pPr>
      <w:r>
        <w:rPr>
          <w:b/>
        </w:rPr>
        <w:t xml:space="preserve">摘要（ZH）: </w:t>
      </w:r>
      <w:r>
        <w:t>上皮细胞可能早于最后一个共同的动物祖先，但上皮重塑的进化起源和营养调节仍然知之甚少。在这里，我们发现海葵 Nematostella vectensis 中广泛的、饥饿引起的细胞损失与表皮细胞挤出有关。该过程涉及形成玫瑰花状排列，其中凋亡的挤出细胞被磷酸化 ERK1/2 阳性细胞环包围，并伴有粘附连接成分的基底易位。将化学扰动与挤压和细胞密度的计算量化相结合，我们发现细胞凋亡对于玫瑰花结的形成是必要的但还不够，并且 ERK1/2 信号传导限制了表皮挤压密度。此外，我们发现饥饿期间的挤压活性增加，并且通过吞噬挤压细胞进行潜在的营养物回收。总之，我们的研究结果表明，上皮细胞挤出在海葵中具有生理作用，并且其关键标志可能在进化上很古老，早于最后一个共同的刺胞动物-两侧对称动物祖先。</w:t>
      </w:r>
    </w:p>
    <w:p>
      <w:pPr>
        <w:spacing w:before="0" w:after="200" w:lineRule="auto" w:line="276"/>
      </w:pPr>
      <w:r>
        <w:rPr>
          <w:b/>
        </w:rPr>
        <w:t xml:space="preserve">Abstract (EN): </w:t>
      </w:r>
      <w:r>
        <w:t>Epithelia likely predate the last common animal ancestor, yet the evolutionary origin and nutritional regulation of epithelial remodelling remain poorly understood. Here, we show that extensive, starvation-induced cell loss in the sea anemone Nematostella vectensis is associated with epidermal cell extrusion. This process involves formation of a rosette-like arrangement in which an apoptotic, extruding cell is surrounded by a phospho-ERK1/2-positive ring of cells, accompanied by basal translocation of adherens junction components. Combining chemical perturbations with computational quantification of extrusion and cell density, we show that apoptosis is necessary but not sufficient for rosette formation, and that ERK1/2 signalling limits epidermal extrusion density. Furthermore, we find increased extrusion activity during starvation, and potential nutrient recycling via phagocytosis of extruded cells. Together, our findings indicate that epithelial cell extrusion has physiological roles in sea anemones and that its key hallmarks are likely evolutionarily ancient, predating the last common cnidarian-bilaterian ancestor.</w:t>
      </w:r>
    </w:p>
    <w:p>
      <w:pPr>
        <w:spacing w:before="120" w:after="120"/>
      </w:pPr>
      <w:r>
        <w:rPr>
          <w:sz w:val="18"/>
        </w:rPr>
        <w:t>——————————————————————————————————————————————————————————————————————</w:t>
      </w:r>
    </w:p>
    <w:p>
      <w:pPr>
        <w:spacing w:before="160" w:after="40" w:line="240" w:lineRule="auto"/>
      </w:pPr>
      <w:r>
        <w:rPr>
          <w:b/>
        </w:rPr>
        <w:t xml:space="preserve">[275] </w:t>
      </w:r>
      <w:hyperlink r:id="rId766">
        <w:r>
          <w:rPr>
            <w:color w:val="1155CC"/>
            <w:u w:val="single"/>
          </w:rPr>
          <w:t>艰难梭菌生殖体核心组件的结构</w:t>
        </w:r>
      </w:hyperlink>
    </w:p>
    <w:p>
      <w:pPr>
        <w:spacing w:before="0" w:after="80"/>
      </w:pPr>
      <w:r>
        <w:rPr>
          <w:i/>
          <w:sz w:val="20"/>
        </w:rPr>
        <w:t>EN: Structure of core assembly of the Clostridioides difficile germinosome</w:t>
      </w:r>
    </w:p>
    <w:p>
      <w:pPr>
        <w:spacing w:before="0" w:after="120"/>
      </w:pPr>
      <w:r>
        <w:rPr>
          <w:b/>
        </w:rPr>
        <w:t xml:space="preserve">Source: </w:t>
      </w:r>
      <w:r>
        <w:t>Biological sciences : Nature Communications subject feeds</w:t>
      </w:r>
      <w:r>
        <w:t xml:space="preserve">    </w:t>
      </w:r>
      <w:r>
        <w:rPr>
          <w:b/>
        </w:rPr>
        <w:t xml:space="preserve">Pub date: </w:t>
      </w:r>
      <w:r>
        <w:t>2026-06-17 00:00:00+00:00</w:t>
      </w:r>
    </w:p>
    <w:p>
      <w:pPr>
        <w:spacing w:before="0" w:after="120"/>
      </w:pPr>
      <w:r>
        <w:rPr>
          <w:b/>
        </w:rPr>
        <w:t xml:space="preserve">Notes: </w:t>
      </w:r>
      <w:r>
        <w:t>abstract_source=nature_html</w:t>
      </w:r>
    </w:p>
    <w:p>
      <w:pPr>
        <w:spacing w:before="0" w:after="80" w:lineRule="auto" w:line="276"/>
      </w:pPr>
      <w:r>
        <w:rPr>
          <w:b/>
        </w:rPr>
        <w:t xml:space="preserve">摘要（ZH）: </w:t>
      </w:r>
      <w:r>
        <w:t>生发体是艰难梭菌的机制，启动孢子萌发为营养细菌的过程。三种高度调控的蛋白质——CspA、CspB 和 CspC——是发芽的关键促进剂。我们报道 CspA 和 CspB 在溶液中作为同二聚体独立存在。在 CspC 存在的情况下，形成 CspA:CspC 的皮摩尔复合物。此外，我们记录了 CspA 与萌发物牛磺胆酸盐结合，并且复合物 CspA:CspC:牛磺胆酸盐充当甘氨酸（共萌发物）的受体。我们报告了三种蛋白质以及 CspA:CspC:牛磺胆酸盐复合物的高分辨率 X 射线和冷冻电镜结构。这些结构显示了 CspA:CspC 异二聚体如何识别牛磺胆酸盐，并揭示了三种 Csp 蛋白的特定结构特征避免了同二聚体对萌芽体的识别。值得注意的是，CspB 的同型二聚体将自身组织成由三链右手超螺旋组成的超分子原纤维组件。这些蛋白质是干扰艰难梭菌从孢子向营养形式转变的目标。</w:t>
      </w:r>
    </w:p>
    <w:p>
      <w:pPr>
        <w:spacing w:before="0" w:after="200" w:lineRule="auto" w:line="276"/>
      </w:pPr>
      <w:r>
        <w:rPr>
          <w:b/>
        </w:rPr>
        <w:t xml:space="preserve">Abstract (EN): </w:t>
      </w:r>
      <w:r>
        <w:t>The germinosome is the machinery of Clostridioides difficile that sets in motion the process of spore germination to vegetative bacteria. Three highly-regulated proteins—CspA, CspB and CspC—serve as key instigators of germination. We report that CspA and CspB exist independently as homodimers in solution. In the presence of CspC, a picomolar complex of CspA:CspC forms. Furthermore, we document that CspA binds to the germinant, taurocholate, and that the complex CspA:CspC:taurocholate serves as the receptor for glycine, the co-germinant. We report high-resolution X-ray and cryo-EM structures for the three proteins, and for the CspA:CspC:taurocholate complex. These structures show how the CspA:CspC heterodimer recognizes taurocholate and reveal that specific structural features in the three Csp proteins avoid the recognition of the germinant by homodimers. Remarkably, the homodimer of CspB organizes itself in a supramolecular fibril assembly comprised of a three-stranded right-handed superhelix. These proteins are targets for interference with the transition from spore to the vegetative form of C. difficile.</w:t>
      </w:r>
    </w:p>
    <w:p>
      <w:pPr>
        <w:spacing w:before="120" w:after="120"/>
      </w:pPr>
      <w:r>
        <w:rPr>
          <w:sz w:val="18"/>
        </w:rPr>
        <w:t>——————————————————————————————————————————————————————————————————————</w:t>
      </w:r>
    </w:p>
    <w:p>
      <w:pPr>
        <w:spacing w:before="160" w:after="40" w:line="240" w:lineRule="auto"/>
      </w:pPr>
      <w:r>
        <w:rPr>
          <w:b/>
        </w:rPr>
        <w:t xml:space="preserve">[276] </w:t>
      </w:r>
      <w:hyperlink r:id="rId767">
        <w:r>
          <w:rPr>
            <w:color w:val="1155CC"/>
            <w:u w:val="single"/>
          </w:rPr>
          <w:t>糖基转移酶的序列重新设计以增强大肠杆菌中的异源表达和糖基化效率</w:t>
        </w:r>
      </w:hyperlink>
    </w:p>
    <w:p>
      <w:pPr>
        <w:spacing w:before="0" w:after="80"/>
      </w:pPr>
      <w:r>
        <w:rPr>
          <w:i/>
          <w:sz w:val="20"/>
        </w:rPr>
        <w:t>EN: Sequence redesign of glycosyltransferases for enhanced heterologous expression and glycosylation efficiency in Escherichia coli</w:t>
      </w:r>
    </w:p>
    <w:p>
      <w:pPr>
        <w:spacing w:before="0" w:after="120"/>
      </w:pPr>
      <w:r>
        <w:rPr>
          <w:b/>
        </w:rPr>
        <w:t xml:space="preserve">Source: </w:t>
      </w:r>
      <w:r>
        <w:t>Biological sciences : Nature Communications subject feeds</w:t>
      </w:r>
      <w:r>
        <w:t xml:space="preserve">    </w:t>
      </w:r>
      <w:r>
        <w:rPr>
          <w:b/>
        </w:rPr>
        <w:t xml:space="preserve">Pub date: </w:t>
      </w:r>
      <w:r>
        <w:t>2026-06-17 00:00:00+00:00</w:t>
      </w:r>
    </w:p>
    <w:p>
      <w:pPr>
        <w:spacing w:before="0" w:after="120"/>
      </w:pPr>
      <w:r>
        <w:rPr>
          <w:b/>
        </w:rPr>
        <w:t xml:space="preserve">Notes: </w:t>
      </w:r>
      <w:r>
        <w:t>abstract_source=nature_html</w:t>
      </w:r>
    </w:p>
    <w:p>
      <w:pPr>
        <w:spacing w:before="0" w:after="80" w:lineRule="auto" w:line="276"/>
      </w:pPr>
      <w:r>
        <w:rPr>
          <w:b/>
        </w:rPr>
        <w:t xml:space="preserve">摘要（ZH）: </w:t>
      </w:r>
      <w:r>
        <w:t>来自高等生物的酶的异源表达限制了用于天然产物生物合成的微生物细胞工厂的构建。在这里，我们开发了一种基于 ProteinMPNN 的序列重新设计策略，以基本结构特征和进化保守为指导，以改善异源酶的细菌表达。该策略应用于两种植物糖基转移酶 TOGT 和 UGT84A56 进行七叶亭糖基化，产生广泛重新设计的变体，在大肠杆菌中显着增强可溶性表达和催化活性。体外酶测定和体内全细胞转化显示出一致的改进，优于传统的溶解度增强策略。分子模拟表明，性能的提高源于疏水性和亲水性残基暴露的全局优化，同时保留了有效的底物结合相互作用。补料分批发酵获得的滴度为 2.11 g/L 菊苣苷和 4.05 g/L 七叶苷。这项工作建立了一条通用途径，将难以表达的真核酶转化为可有效表达的功能变体，从而扩展了微生物细胞工厂构建的酶工具箱。</w:t>
      </w:r>
    </w:p>
    <w:p>
      <w:pPr>
        <w:spacing w:before="0" w:after="200" w:lineRule="auto" w:line="276"/>
      </w:pPr>
      <w:r>
        <w:rPr>
          <w:b/>
        </w:rPr>
        <w:t xml:space="preserve">Abstract (EN): </w:t>
      </w:r>
      <w:r>
        <w:t>Heterologous expression of enzymes from higher organisms limits the construction of microbial cell factories for natural product biosynthesis. Here we develop a ProteinMPNN-based sequence redesign strategy, guided by essential structural features and evolutionary conservation, to improve the bacterial expression of heterologous enzymes. Applied to two plant glycosyltransferases, TOGT and UGT84A56, for esculetin glycosylation, this strategy generates extensively redesigned variants with markedly enhanced soluble expression and catalytic activity in Escherichia coli. In vitro enzyme assays and in vivo whole-cell conversions show consistent improvements, outperforming conventional solubility-enhancing strategies. Molecular simulations suggest that the improved performance arises from global optimization of hydrophobic and hydrophilic residue exposure while preserving productive substrate-binding interactions. Fed-batch fermentation achieved titers of 2.11 g/L cichoriin and 4.05 g/L aesculin. This work establishes a generalizable route for converting difficult-to-express eukaryotic enzymes into efficiently expressible and functional variants, thereby expanding the enzymatic toolbox for microbial cell factory construction.</w:t>
      </w:r>
    </w:p>
    <w:p>
      <w:pPr>
        <w:spacing w:before="120" w:after="120"/>
      </w:pPr>
      <w:r>
        <w:rPr>
          <w:sz w:val="18"/>
        </w:rPr>
        <w:t>——————————————————————————————————————————————————————————————————————</w:t>
      </w:r>
    </w:p>
    <w:p>
      <w:pPr>
        <w:spacing w:before="160" w:after="40" w:line="240" w:lineRule="auto"/>
      </w:pPr>
      <w:r>
        <w:rPr>
          <w:b/>
        </w:rPr>
        <w:t xml:space="preserve">[277] </w:t>
      </w:r>
      <w:hyperlink r:id="rId768">
        <w:r>
          <w:rPr>
            <w:color w:val="1155CC"/>
            <w:u w:val="single"/>
          </w:rPr>
          <w:t>深海表层沉积物中古老甲烷衍生有机碳的有效保存</w:t>
        </w:r>
      </w:hyperlink>
    </w:p>
    <w:p>
      <w:pPr>
        <w:spacing w:before="0" w:after="80"/>
      </w:pPr>
      <w:r>
        <w:rPr>
          <w:i/>
          <w:sz w:val="20"/>
        </w:rPr>
        <w:t>EN: Efficient preservation of old methane-derived organic carbon in deep-sea surface sediments</w:t>
      </w:r>
    </w:p>
    <w:p>
      <w:pPr>
        <w:spacing w:before="0" w:after="120"/>
      </w:pPr>
      <w:r>
        <w:rPr>
          <w:b/>
        </w:rPr>
        <w:t xml:space="preserve">Source: </w:t>
      </w:r>
      <w:r>
        <w:t>Earth and environmental sciences : Nature Communications subject feeds</w:t>
      </w:r>
      <w:r>
        <w:t xml:space="preserve">    </w:t>
      </w:r>
      <w:r>
        <w:rPr>
          <w:b/>
        </w:rPr>
        <w:t xml:space="preserve">Pub date: </w:t>
      </w:r>
      <w:r>
        <w:t>2026-06-17 00:00:00+00:00</w:t>
      </w:r>
    </w:p>
    <w:p>
      <w:pPr>
        <w:spacing w:before="0" w:after="120"/>
      </w:pPr>
      <w:r>
        <w:rPr>
          <w:b/>
        </w:rPr>
        <w:t xml:space="preserve">Notes: </w:t>
      </w:r>
      <w:r>
        <w:t>abstract_source=nature_html</w:t>
      </w:r>
    </w:p>
    <w:p>
      <w:pPr>
        <w:spacing w:before="0" w:after="80" w:lineRule="auto" w:line="276"/>
      </w:pPr>
      <w:r>
        <w:rPr>
          <w:b/>
        </w:rPr>
        <w:t xml:space="preserve">摘要（ZH）: </w:t>
      </w:r>
      <w:r>
        <w:t>从海底释放的甲烷在向上迁移过程中显着减弱，但全球深海沉积物中甲烷衍生的有机碳（OC）的保存仍然知之甚少。在这里，我们测量了碳同位素，并对各种甲烷渗漏沉积物进行了温度梯度分析。我们的结果揭示了深海表面沉积物中的放射性碳（14C）含量与硫酸盐-甲烷转变深度之间的相关性。值得注意的是，我们的研究结果表明，大量 14C 贫化 OC 可能源自深层甲烷，并有效保存在表面渗流沉积物中。我们认为，有效的有机碳保存与海水-沉积物界面处微生物介导的聚集体形成有关，其中粗粒基质内的物理遮挡减少了氧气的可用性并增强了有机碳的稳定性。我们估计，全球大陆坡的表层沉积物中每年至少保存有 6 Tg C 的甲烷衍生有机碳。这一过程可能对沉积物中有机碳的保存、减少甲烷排放到大气中发挥不可忽视的作用。</w:t>
      </w:r>
    </w:p>
    <w:p>
      <w:pPr>
        <w:spacing w:before="0" w:after="200" w:lineRule="auto" w:line="276"/>
      </w:pPr>
      <w:r>
        <w:rPr>
          <w:b/>
        </w:rPr>
        <w:t xml:space="preserve">Abstract (EN): </w:t>
      </w:r>
      <w:r>
        <w:t>Methane released from the subseafloor is significantly attenuated during upward migration, yet the preservation of methane-derived organic carbon (OC) in global deep-sea sediments remains poorly understood. Here, we measured carbon isotopes coupled with temperature-ramped analyses on various methane seepage sediments. Our results reveal a correlation between the radiocarbon (14C) content in deep-sea surface sediments and sulfate-methane transition depth. Notably, our findings suggest that a substantial amount of 14C-depleted OC may originate from deep-seated methane and is efficiently preserved in surface seepage sediments. We propose that the efficient OC preservation is related to microbial-mediated aggregate formation at the seawater-sediment interface, where physical occlusion within coarse-grained matrices reduces oxygen availability and enhances OC stability. We estimate that at least 6 Tg C of methane-derived OC are preserved annually in surface sediments of the global continental slopes. This process may play a non-negligible role in OC preservation in sediments, reducing methane emission into the atmosphere.</w:t>
      </w:r>
    </w:p>
    <w:p>
      <w:pPr>
        <w:spacing w:before="120" w:after="120"/>
      </w:pPr>
      <w:r>
        <w:rPr>
          <w:sz w:val="18"/>
        </w:rPr>
        <w:t>——————————————————————————————————————————————————————————————————————</w:t>
      </w:r>
    </w:p>
    <w:p>
      <w:pPr>
        <w:spacing w:before="160" w:after="40" w:line="240" w:lineRule="auto"/>
      </w:pPr>
      <w:r>
        <w:rPr>
          <w:b/>
        </w:rPr>
        <w:t xml:space="preserve">[278] </w:t>
      </w:r>
      <w:hyperlink r:id="rId769">
        <w:r>
          <w:rPr>
            <w:color w:val="1155CC"/>
            <w:u w:val="single"/>
          </w:rPr>
          <w:t>脉冲电子照明不会减少生物大分子成像的光束损伤</w:t>
        </w:r>
      </w:hyperlink>
    </w:p>
    <w:p>
      <w:pPr>
        <w:spacing w:before="0" w:after="80"/>
      </w:pPr>
      <w:r>
        <w:rPr>
          <w:i/>
          <w:sz w:val="20"/>
        </w:rPr>
        <w:t>EN: Pulsed-electron illumination does not reduce beam damage for imaging biological macromolecules</w:t>
      </w:r>
    </w:p>
    <w:p>
      <w:pPr>
        <w:spacing w:before="0" w:after="120"/>
      </w:pPr>
      <w:r>
        <w:rPr>
          <w:b/>
        </w:rPr>
        <w:t xml:space="preserve">Source: </w:t>
      </w:r>
      <w:r>
        <w:t>Physical sciences : Nature Communications subject feeds</w:t>
      </w:r>
      <w:r>
        <w:t xml:space="preserve">    </w:t>
      </w:r>
      <w:r>
        <w:rPr>
          <w:b/>
        </w:rPr>
        <w:t xml:space="preserve">Pub date: </w:t>
      </w:r>
      <w:r>
        <w:t>2026-06-17 00:00:00+00:00</w:t>
      </w:r>
    </w:p>
    <w:p>
      <w:pPr>
        <w:spacing w:before="0" w:after="120"/>
      </w:pPr>
      <w:r>
        <w:rPr>
          <w:b/>
        </w:rPr>
        <w:t xml:space="preserve">Notes: </w:t>
      </w:r>
      <w:r>
        <w:t>abstract_source=nature_html</w:t>
      </w:r>
    </w:p>
    <w:p>
      <w:pPr>
        <w:spacing w:before="0" w:after="80" w:lineRule="auto" w:line="276"/>
      </w:pPr>
      <w:r>
        <w:rPr>
          <w:b/>
        </w:rPr>
        <w:t xml:space="preserve">摘要（ZH）: </w:t>
      </w:r>
      <w:r>
        <w:t>辐射损伤仍然是冷冻电子显微镜 (cryo-EM) 的一个基本限制，限制了可使用的总电子剂量，从而限制了生物样本的高分辨率成像。最近的研究提出，时间结构或脉冲电子束可以通过允许各个电子相互作用之间的能量耗散时间来减少辐射损伤。为了评估这一假设，我们使用配备冷场发射枪 (c-FEG) 的射频 (RF) 驱动 300 kV Titan Krios 显微镜进行系统研究，以在低温条件下为样本产生脉冲电子束。我们比较了三个代表性样品的辐射损伤：石蜡 2D 晶体、细菌视紫红质（紫膜）2D 晶体和玻璃冰中的速冻烟草花叶病毒 (TMV)，在脉冲和常规（=随机）照明下，同时保持所有其他成像条件恒定。通过跟踪计算的衍射强度的衰减来量化辐射损伤以确定临界剂量 (Ne)。我们观察到所有 3 个样本的脉冲照明和随机照明之间的临界剂量没有统计学上的显着差异。我们的研究结果为冷冻电镜仪器中时间调制电子源的未来开发和评估提供了关键参考点。</w:t>
      </w:r>
    </w:p>
    <w:p>
      <w:pPr>
        <w:spacing w:before="0" w:after="200" w:lineRule="auto" w:line="276"/>
      </w:pPr>
      <w:r>
        <w:rPr>
          <w:b/>
        </w:rPr>
        <w:t xml:space="preserve">Abstract (EN): </w:t>
      </w:r>
      <w:r>
        <w:t>Radiation damage remains a fundamental limitation in cryo-electron microscopy (cryo-EM), constraining the total electron dose that can be used and thus limiting high-resolution imaging of biological specimens. Recent studies have proposed that temporally structured or pulsed electron beams could reduce radiation damage by allowing time for energy dissipation between individual electron interactions. To evaluate this hypothesis, we present a systematic investigation using a radiofrequency (RF) driven 300 kV Titan Krios microscope equipped with a cold field emission gun (c-FEG) to generate pulsed electron beams for specimens under cryogenic conditions. We compare radiation damage in three representative samples: paraffin 2D crystals, bacteriorhodopsin (purple membrane) 2D crystals, and plunge-frozen tobacco mosaic virus (TMV) in vitreous ice, under both pulsed and conventional ( = random) illumination, while keeping all other imaging conditions constant. Radiation damage is quantified by tracking the decay of computed diffraction intensities to determine the critical dose (Ne). We observe no statistically significant difference in critical dose between pulsed and random illumination across all 3 samples. Our findings provide a critical reference point for future development and evaluation of temporally modulated electron sources in cryo-EM instrumentation.</w:t>
      </w:r>
    </w:p>
    <w:p>
      <w:pPr>
        <w:spacing w:before="120" w:after="120"/>
      </w:pPr>
      <w:r>
        <w:rPr>
          <w:sz w:val="18"/>
        </w:rPr>
        <w:t>——————————————————————————————————————————————————————————————————————</w:t>
      </w:r>
    </w:p>
    <w:p>
      <w:pPr>
        <w:spacing w:before="160" w:after="40" w:line="240" w:lineRule="auto"/>
      </w:pPr>
      <w:r>
        <w:rPr>
          <w:b/>
        </w:rPr>
        <w:t xml:space="preserve">[279] </w:t>
      </w:r>
      <w:hyperlink r:id="rId770">
        <w:r>
          <w:rPr>
            <w:color w:val="1155CC"/>
            <w:u w:val="single"/>
          </w:rPr>
          <w:t>使用原子分辨率的脉冲电子束解析钙钛矿晶体中的固有位错结构</w:t>
        </w:r>
      </w:hyperlink>
    </w:p>
    <w:p>
      <w:pPr>
        <w:spacing w:before="0" w:after="80"/>
      </w:pPr>
      <w:r>
        <w:rPr>
          <w:i/>
          <w:sz w:val="20"/>
        </w:rPr>
        <w:t>EN: Resolving intrinsic dislocation structure in perovskite crystals using pulsed electron beam with atomic resolution</w:t>
      </w:r>
    </w:p>
    <w:p>
      <w:pPr>
        <w:spacing w:before="0" w:after="120"/>
      </w:pPr>
      <w:r>
        <w:rPr>
          <w:b/>
        </w:rPr>
        <w:t xml:space="preserve">Source: </w:t>
      </w:r>
      <w:r>
        <w:t>Physical sciences : Nature Communications subject feeds</w:t>
      </w:r>
      <w:r>
        <w:t xml:space="preserve">    </w:t>
      </w:r>
      <w:r>
        <w:rPr>
          <w:b/>
        </w:rPr>
        <w:t xml:space="preserve">Pub date: </w:t>
      </w:r>
      <w:r>
        <w:t>2026-06-17 00:00:00+00:00</w:t>
      </w:r>
    </w:p>
    <w:p>
      <w:pPr>
        <w:spacing w:before="0" w:after="120"/>
      </w:pPr>
      <w:r>
        <w:rPr>
          <w:b/>
        </w:rPr>
        <w:t xml:space="preserve">Notes: </w:t>
      </w:r>
      <w:r>
        <w:t>abstract_source=nature_html</w:t>
      </w:r>
    </w:p>
    <w:p>
      <w:pPr>
        <w:spacing w:before="0" w:after="80" w:lineRule="auto" w:line="276"/>
      </w:pPr>
      <w:r>
        <w:rPr>
          <w:b/>
        </w:rPr>
        <w:t xml:space="preserve">摘要（ZH）: </w:t>
      </w:r>
      <w:r>
        <w:t>可塑性对于加工半导体和陶瓷以及推进柔性、可变形电子产品至关重要。像 CsPbX3 (X = Cl, Br, I) 和 SrTiO3 这样的钙钛矿通过 {110} 1´" role="presentation"&gt;1´\bar{{{\boldsymbol{1}}}}0&gt; 位错表现出显着的室温可塑性，但它们的原子结构仍未解决。虽然理论模型预测了移动、滑移解离位错，但扫描透射电子显微镜 (STEM) 观察经常揭示固着、在此，我们采用基于静电剂量调制器（EDM）的脉冲电子束来保持原始的亚埃分辨率，成功地在原子水平上解决了钙钛矿中固有的滑移离解位错，束关闭间隔允许束诱导的点缺陷重新组合，从而缩短了峰值缺陷浓度的持续周期，从而切换到连续束。滑移到攀爬转变，其中攀爬结构取决于核心化学：阴离子终止位错形成致密结构，而阳离子终止位错则延伸。这些发现阐明了钙钛矿中的固有位错结构和变形机制，为其他半导体/陶瓷（如 Al2O3）提供了见解。基于 EDM 的脉冲束技术能够对光束敏感材料进行无损、原子级观察，还为该技术建立了一个多功能平台。活性纳米结构调制，</w:t>
      </w:r>
    </w:p>
    <w:p>
      <w:pPr>
        <w:spacing w:before="0" w:after="200" w:lineRule="auto" w:line="276"/>
      </w:pPr>
      <w:r>
        <w:rPr>
          <w:b/>
        </w:rPr>
        <w:t xml:space="preserve">Abstract (EN): </w:t>
      </w:r>
      <w:r>
        <w:t>Plasticity is critical for processing semiconductors and ceramics and advancing flexible, deformable electronics. Perovskites like CsPbX3 (X = Cl, Br, I) and SrTiO3 exhibit remarkable room-temperature plasticity through {110} 1&amp;#x00AF;" role="presentation"&gt;1¯\bar{{{\boldsymbol{1}}}}0&gt; dislocations, yet their atomic structures remain unresolved. While theoretical models predict mobile, glide-dissociated dislocations, scanning transmission electron microscopy (STEM) observations often reveal sessile, climb-dissociated structures, inconsistent with their plasticity and high-temperature climb requirements. Here, employing electrostatic dose modulator (EDM)-based pulsed electron beams that maintain the original sub-angstrom resolution, we successfully resolved intrinsic, glide-dissociated dislocations in perovskites at atomic level. The beam-off intervals allow beam-induced point defects to recombine, thereby truncating the sustained period of peak defect concentrations. Switching to continuous beams instead triggers glide-to-climb transitions, where the climbed structures depend on core chemistry: anion-terminated dislocations form compact structures, while cation-terminated ones are extended. These findings elucidate the intrinsic dislocation structures and deformation mechanisms in perovskites, offering insights to other semiconductors/ceramics show similar climb-dissociation, like Al2O3. The EDM-based pulsed beam technique enables non-destructive, atomic-scale observation of beam-sensitive materials, also establishes a versatile platform for active nanostructure modulation, holding great potential for semiconductor defect engineering.</w:t>
      </w:r>
    </w:p>
    <w:p>
      <w:pPr>
        <w:spacing w:before="120" w:after="120"/>
      </w:pPr>
      <w:r>
        <w:rPr>
          <w:sz w:val="18"/>
        </w:rPr>
        <w:t>——————————————————————————————————————————————————————————————————————</w:t>
      </w:r>
    </w:p>
    <w:p>
      <w:pPr>
        <w:spacing w:before="160" w:after="40" w:line="240" w:lineRule="auto"/>
      </w:pPr>
      <w:r>
        <w:rPr>
          <w:b/>
        </w:rPr>
        <w:t xml:space="preserve">[280] </w:t>
      </w:r>
      <w:hyperlink r:id="rId771">
        <w:r>
          <w:rPr>
            <w:color w:val="1155CC"/>
            <w:u w:val="single"/>
          </w:rPr>
          <w:t>光声成像中肤色的混杂效应</w:t>
        </w:r>
      </w:hyperlink>
    </w:p>
    <w:p>
      <w:pPr>
        <w:spacing w:before="0" w:after="80"/>
      </w:pPr>
      <w:r>
        <w:rPr>
          <w:i/>
          <w:sz w:val="20"/>
        </w:rPr>
        <w:t>EN: The confounding effects of skin colour in photoacoustic imaging</w:t>
      </w:r>
    </w:p>
    <w:p>
      <w:pPr>
        <w:spacing w:before="0" w:after="120"/>
      </w:pPr>
      <w:r>
        <w:rPr>
          <w:b/>
        </w:rPr>
        <w:t xml:space="preserve">Source: </w:t>
      </w:r>
      <w:r>
        <w:t>Physical sciences : Nature Communications subject feeds</w:t>
      </w:r>
      <w:r>
        <w:t xml:space="preserve">    </w:t>
      </w:r>
      <w:r>
        <w:rPr>
          <w:b/>
        </w:rPr>
        <w:t xml:space="preserve">Pub date: </w:t>
      </w:r>
      <w:r>
        <w:t>2026-06-17 00:00:00+00:00</w:t>
      </w:r>
    </w:p>
    <w:p>
      <w:pPr>
        <w:spacing w:before="0" w:after="120"/>
      </w:pPr>
      <w:r>
        <w:rPr>
          <w:b/>
        </w:rPr>
        <w:t xml:space="preserve">Notes: </w:t>
      </w:r>
      <w:r>
        <w:t>abstract_source=nature_html</w:t>
      </w:r>
    </w:p>
    <w:p>
      <w:pPr>
        <w:spacing w:before="0" w:after="80" w:lineRule="auto" w:line="276"/>
      </w:pPr>
      <w:r>
        <w:rPr>
          <w:b/>
        </w:rPr>
        <w:t xml:space="preserve">摘要（ZH）: </w:t>
      </w:r>
      <w:r>
        <w:t>众所周知，肤色会混淆光学设备，从而对深色皮肤患者的护理产生不利影响。光声成像 (PAI) 结合了光学和超声波进行深层组织成像，在 PAI 衍生的生物标志物和皮肤黑色素浓度之间建立了复杂的关系，但尚未证明可推广的偏差校正。利用由 42 名健康志愿者组成的队列，涵盖 Fitzpatrick I-VI 型和白癜风（PAI 中有史以来最多样化的），我们描述了导致图像质量和生物标志物量化中肤色依赖性退化的光学和声学机制。波长依赖性黑色素吸收会导致光谱着色，在黑色素水平较低时占主导地位，而表皮超声反向散射在黑色素水平较高时占主导地位，从而在未混合的 sO2 和肤色之间产生非线性关系。利用这种理解，我们提出了一种实用的光谱着色校正，并采用平面波重建算法来解决反向散射超声伪影。我们的研究结果强调需要先进的重建方法来实现公平的临床 PAI。</w:t>
      </w:r>
    </w:p>
    <w:p>
      <w:pPr>
        <w:spacing w:before="0" w:after="200" w:lineRule="auto" w:line="276"/>
      </w:pPr>
      <w:r>
        <w:rPr>
          <w:b/>
        </w:rPr>
        <w:t xml:space="preserve">Abstract (EN): </w:t>
      </w:r>
      <w:r>
        <w:t>Skin colour is known to confound optical devices, adversely impacting care for patients with darker skin. Photoacoustic imaging (PAI) combines optics and ultrasound for deep tissue imaging, creating a complex relationship between PAI-derived biomarkers and skin melanin concentration, yet no generalisable bias correction has been demonstrated. Drawing on a healthy volunteer cohort of 42 participants spanning Fitzpatrick types I–VI and vitiligo – the most diverse ever assembled in PAI – we characterise optical and acoustic mechanisms driving skin colour-dependent degradation in image quality and biomarker quantification. Wavelength-dependent melanin absorption causes spectral colouring, dominating at low melanin levels, while epidermal ultrasound backscattering dominates at high melanin levels, producing a non-linear relationship between unmixed sO₂ and skin tone. Leveraging this understanding, we propose a practical spectral colouring correction and adapt a plane-wave reconstruction algorithm to resolve backscattered ultrasound artefacts. Our findings underscore the need for advanced reconstruction methods to enable equitable clinical PAI.</w:t>
      </w:r>
    </w:p>
    <w:p>
      <w:pPr>
        <w:spacing w:before="120" w:after="120"/>
      </w:pPr>
      <w:r>
        <w:rPr>
          <w:sz w:val="18"/>
        </w:rPr>
        <w:t>——————————————————————————————————————————————————————————————————————</w:t>
      </w:r>
    </w:p>
    <w:p>
      <w:pPr>
        <w:spacing w:before="160" w:after="40" w:line="240" w:lineRule="auto"/>
      </w:pPr>
      <w:r>
        <w:rPr>
          <w:b/>
        </w:rPr>
        <w:t xml:space="preserve">[281] </w:t>
      </w:r>
      <w:hyperlink r:id="rId772">
        <w:r>
          <w:rPr>
            <w:color w:val="1155CC"/>
            <w:u w:val="single"/>
          </w:rPr>
          <w:t>在金刚石上转移印刷黄色和红色 InGaN micro-LED，用于超低功耗高速光学互连</w:t>
        </w:r>
      </w:hyperlink>
    </w:p>
    <w:p>
      <w:pPr>
        <w:spacing w:before="0" w:after="80"/>
      </w:pPr>
      <w:r>
        <w:rPr>
          <w:i/>
          <w:sz w:val="20"/>
        </w:rPr>
        <w:t>EN: Transfer-printed yellow and red InGaN micro-LEDs on diamond for ultra-low-power high-speed optical interconnects</w:t>
      </w:r>
    </w:p>
    <w:p>
      <w:pPr>
        <w:spacing w:before="0" w:after="120"/>
      </w:pPr>
      <w:r>
        <w:rPr>
          <w:b/>
        </w:rPr>
        <w:t xml:space="preserve">Source: </w:t>
      </w:r>
      <w:r>
        <w:t>Physical sciences : Nature Communications subject feeds</w:t>
      </w:r>
      <w:r>
        <w:t xml:space="preserve">    </w:t>
      </w:r>
      <w:r>
        <w:rPr>
          <w:b/>
        </w:rPr>
        <w:t xml:space="preserve">Pub date: </w:t>
      </w:r>
      <w:r>
        <w:t>2026-06-17 00:00:00+00:00</w:t>
      </w:r>
    </w:p>
    <w:p>
      <w:pPr>
        <w:spacing w:before="0" w:after="120"/>
      </w:pPr>
      <w:r>
        <w:rPr>
          <w:b/>
        </w:rPr>
        <w:t xml:space="preserve">Notes: </w:t>
      </w:r>
      <w:r>
        <w:t>abstract_source=nature_html</w:t>
      </w:r>
    </w:p>
    <w:p>
      <w:pPr>
        <w:spacing w:before="0" w:after="80" w:lineRule="auto" w:line="276"/>
      </w:pPr>
      <w:r>
        <w:rPr>
          <w:b/>
        </w:rPr>
        <w:t xml:space="preserve">摘要（ZH）: </w:t>
      </w:r>
      <w:r>
        <w:t>计算需求的快速增长需要低功耗的高速传输。微型发光二极管 (micro-LED) 提供高调制带宽、低功耗运行和阵列集成，是下一代互连的有前途的发射器。在这里，我们展示了通过超晶格应变工程和三周期量子阱设计优化的黄色和红色 InGaN 微型 LED，它们被转印到金刚石上，并通过双光子光刻制造微透镜以进行耦合优化。 20 µm 黄色 micro-LED 在 6.25 A/cm² 下实现了 2850.4 MHz 的电光带宽，而 20 µm 红色器件在 50 A/cm² 下达到了 2593.4 MHz。通过 1 m 光纤链路进行开关键控 (OOK) 调制，20 µm 和 40 µm 黄色器件在 25 µA (6.25 A/cm²) 和 50 µA (3.125 A/cm²) 下实现了 1.5 Gbps，能效分别为 0.056 pJ/bit 和 0.110 pJ/bit。这项研究展示了 InGaN 黄色和红色 micro-LED 在节能高速光学互连方面的潜力。</w:t>
      </w:r>
    </w:p>
    <w:p>
      <w:pPr>
        <w:spacing w:before="0" w:after="200" w:lineRule="auto" w:line="276"/>
      </w:pPr>
      <w:r>
        <w:rPr>
          <w:b/>
        </w:rPr>
        <w:t xml:space="preserve">Abstract (EN): </w:t>
      </w:r>
      <w:r>
        <w:t>The rapid growth of computing demand requires high-speed transmission with low power consumption. Micro-light-emitting diodes (micro-LEDs), offering high modulation bandwidth, low-power operation, and array integration, are promising transmitters for next-generation interconnects. Here, we show yellow and red InGaN micro-LEDs, optimized through superlattice strain engineering and a three-period quantum well design, which were transfer-printed onto diamond, with microlenses fabricated by two-photon lithography for coupling optimization. The 20 µm yellow micro-LED achieved an electrical-to-optical bandwidth of 2850.4 MHz at 6.25 A/cm², while the 20 µm red device reached 2593.4 MHz at 50 A/cm². With on–off keying (OOK) modulation through a 1 m fiber link, 20 µm and 40 µm yellow devices achieved 1.5 Gbps at 25 µA (6.25 A/cm²) and 50 µA (3.125 A/cm²), with energy efficiencies of 0.056 pJ/bit and 0.110 pJ/bit, respectively. This study demonstrates the potential of InGaN yellow and red micro-LEDs for energy-efficient high-speed optical interconnects.</w:t>
      </w:r>
    </w:p>
    <w:p>
      <w:pPr>
        <w:spacing w:before="120" w:after="120"/>
      </w:pPr>
      <w:r>
        <w:rPr>
          <w:sz w:val="18"/>
        </w:rPr>
        <w:t>——————————————————————————————————————————————————————————————————————</w:t>
      </w:r>
    </w:p>
    <w:p>
      <w:pPr>
        <w:spacing w:before="160" w:after="40" w:line="240" w:lineRule="auto"/>
      </w:pPr>
      <w:r>
        <w:rPr>
          <w:b/>
        </w:rPr>
        <w:t xml:space="preserve">[282] </w:t>
      </w:r>
      <w:hyperlink r:id="rId773">
        <w:r>
          <w:rPr>
            <w:color w:val="1155CC"/>
            <w:u w:val="single"/>
          </w:rPr>
          <w:t>人类发展的不平等加剧了与气候相关的灾害风险</w:t>
        </w:r>
      </w:hyperlink>
    </w:p>
    <w:p>
      <w:pPr>
        <w:spacing w:before="0" w:after="80"/>
      </w:pPr>
      <w:r>
        <w:rPr>
          <w:i/>
          <w:sz w:val="20"/>
        </w:rPr>
        <w:t>EN: Inequality in human development amplifies climate-related disaster risk</w:t>
      </w:r>
    </w:p>
    <w:p>
      <w:pPr>
        <w:spacing w:before="0" w:after="120"/>
      </w:pPr>
      <w:r>
        <w:rPr>
          <w:b/>
        </w:rPr>
        <w:t xml:space="preserve">Source: </w:t>
      </w:r>
      <w:r>
        <w:t>Scientific community and society : Nature Communications subject feeds</w:t>
      </w:r>
      <w:r>
        <w:t xml:space="preserve">    </w:t>
      </w:r>
      <w:r>
        <w:rPr>
          <w:b/>
        </w:rPr>
        <w:t xml:space="preserve">Pub date: </w:t>
      </w:r>
      <w:r>
        <w:t>2026-06-17 00:00:00+00:00</w:t>
      </w:r>
    </w:p>
    <w:p>
      <w:pPr>
        <w:spacing w:before="0" w:after="120"/>
      </w:pPr>
      <w:r>
        <w:rPr>
          <w:b/>
        </w:rPr>
        <w:t xml:space="preserve">Notes: </w:t>
      </w:r>
      <w:r>
        <w:t>abstract_source=nature_html</w:t>
      </w:r>
    </w:p>
    <w:p>
      <w:pPr>
        <w:spacing w:before="0" w:after="80" w:lineRule="auto" w:line="276"/>
      </w:pPr>
      <w:r>
        <w:rPr>
          <w:b/>
        </w:rPr>
        <w:t xml:space="preserve">摘要（ZH）: </w:t>
      </w:r>
      <w:r>
        <w:t>气候相关灾害的影响是由灾害强度、暴露程度和脆弱性之间的相互作用决定的。然而，灾害强度和国内不平等对影响程度的影响仍然难以量化。在这里，我们对紧急事件数据库报告的 1990 年至 2020 年间 7000 多起与气候相关的灾害进行了全球多灾种研究。利用地方指标，我们表明人类发展推动了全球风险和影响模式的重大转变，在影响方面，社会脆弱性超过了灾害强度。尽管过去三十年全球受灾比例有所下降，但地方人类发展指数得分较低的地区在大多数灾害类型中遭受的人员损失不成比例地较高。例如，与人类发展水平极高的地区相比，这些地区的个人面临的与风暴相关的死亡风险高出 8.2 倍（95% 置信区间：2.16-23.06）。我们的研究结果还表明，国家内部人类发展的不平等加剧了中低人类发展水平地区的灾害风险。这些结果强调了人类发展在管理灾害风险方面的关键作用，并强调了社会经济条件与气候相关灾害脆弱性之间的联系。</w:t>
      </w:r>
    </w:p>
    <w:p>
      <w:pPr>
        <w:spacing w:before="0" w:after="200" w:lineRule="auto" w:line="276"/>
      </w:pPr>
      <w:r>
        <w:rPr>
          <w:b/>
        </w:rPr>
        <w:t xml:space="preserve">Abstract (EN): </w:t>
      </w:r>
      <w:r>
        <w:t>The impacts of climate-related disasters are shaped by the interaction between hazard intensity, exposure, and vulnerability. However, the influence of hazard intensity and within-country inequality on impact magnitudes remains poorly quantified. Here, we present a global multi-hazard study of over 7000 climate-related disasters reported by the Emergency Events Database from 1990 to 2020. Using subnational indicators, we show that human development drives major shifts in global exposure and impact patterns, with societal vulnerability outweighing hazard intensity in shaping impacts. Despite a declining share of global exposure over the past three decades, regions with low subnational Human Development Index scores experience disproportionately higher human losses across most disaster types. For instance, individuals in these regions face an 8.2-fold higher risk of fatality associated with storms (95% confidence interval: 2.16-23.06) compared to those in very high human development regions. Our findings also indicate that within-country inequality in human development exacerbates disaster risk in regions with low and medium levels of human development. These results underscore the critical role of human development in managing disaster risks and highlight the link between socioeconomic conditions and vulnerability to climate-related hazards.</w:t>
      </w:r>
    </w:p>
    <w:p>
      <w:pPr>
        <w:spacing w:before="120" w:after="120"/>
      </w:pPr>
      <w:r>
        <w:rPr>
          <w:sz w:val="18"/>
        </w:rPr>
        <w:t>——————————————————————————————————————————————————————————————————————</w:t>
      </w:r>
    </w:p>
    <w:p>
      <w:pPr>
        <w:spacing w:before="160" w:after="40" w:line="240" w:lineRule="auto"/>
      </w:pPr>
      <w:r>
        <w:rPr>
          <w:b/>
        </w:rPr>
        <w:t xml:space="preserve">[283] </w:t>
      </w:r>
      <w:hyperlink r:id="rId774">
        <w:r>
          <w:rPr>
            <w:color w:val="1155CC"/>
            <w:u w:val="single"/>
          </w:rPr>
          <w:t>用于内存和计算的忆阻设备</w:t>
        </w:r>
      </w:hyperlink>
    </w:p>
    <w:p>
      <w:pPr>
        <w:spacing w:before="0" w:after="80"/>
      </w:pPr>
      <w:r>
        <w:rPr>
          <w:i/>
          <w:sz w:val="20"/>
        </w:rPr>
        <w:t>EN: Memristive devices for memory and computing</w:t>
      </w:r>
    </w:p>
    <w:p>
      <w:pPr>
        <w:spacing w:before="0" w:after="120"/>
      </w:pPr>
      <w:r>
        <w:rPr>
          <w:b/>
        </w:rPr>
        <w:t xml:space="preserve">Source: </w:t>
      </w:r>
      <w:r>
        <w:t>Nature Materials</w:t>
      </w:r>
      <w:r>
        <w:t xml:space="preserve">    </w:t>
      </w:r>
      <w:r>
        <w:rPr>
          <w:b/>
        </w:rPr>
        <w:t xml:space="preserve">Pub date: </w:t>
      </w:r>
      <w:r>
        <w:t>2026-06-17 00:00:00+00:00</w:t>
      </w:r>
      <w:r>
        <w:t xml:space="preserve">    </w:t>
      </w:r>
      <w:r>
        <w:rPr>
          <w:b/>
        </w:rPr>
        <w:t xml:space="preserve">DOI: </w:t>
      </w:r>
      <w:hyperlink r:id="rId775">
        <w:r>
          <w:rPr>
            <w:color w:val="1155CC"/>
            <w:u w:val="single"/>
          </w:rPr>
          <w:t>10.1038/s41563-026-02635-1</w:t>
        </w:r>
      </w:hyperlink>
    </w:p>
    <w:p>
      <w:pPr>
        <w:spacing w:before="0" w:after="120"/>
      </w:pPr>
      <w:r>
        <w:rPr>
          <w:b/>
        </w:rPr>
        <w:t xml:space="preserve">Notes: </w:t>
      </w:r>
      <w:r>
        <w:t>abstract_source=nature_html</w:t>
      </w:r>
    </w:p>
    <w:p>
      <w:pPr>
        <w:spacing w:before="0" w:after="80" w:lineRule="auto" w:line="276"/>
      </w:pPr>
      <w:r>
        <w:rPr>
          <w:b/>
        </w:rPr>
        <w:t xml:space="preserve">摘要（ZH）: </w:t>
      </w:r>
      <w:r>
        <w:t>苏黎世 IBM 研究院的杰出研究科学家 Abu Sebastian 与 Nature Materials 讨论了忆阻设备在内存计算中的机遇和挑战及其商业化潜力。</w:t>
      </w:r>
    </w:p>
    <w:p>
      <w:pPr>
        <w:spacing w:before="0" w:after="200" w:lineRule="auto" w:line="276"/>
      </w:pPr>
      <w:r>
        <w:rPr>
          <w:b/>
        </w:rPr>
        <w:t xml:space="preserve">Abstract (EN): </w:t>
      </w:r>
      <w:r>
        <w:t>Abu Sebastian, a distinguished research scientist at IBM Research in Zurich, talks to Nature Materials about the opportunities and challenges of memristive devices for in-memory computing and their potential to commercialization.</w:t>
      </w:r>
    </w:p>
    <w:p>
      <w:pPr>
        <w:spacing w:before="120" w:after="120"/>
      </w:pPr>
      <w:r>
        <w:rPr>
          <w:sz w:val="18"/>
        </w:rPr>
        <w:t>——————————————————————————————————————————————————————————————————————</w:t>
      </w:r>
    </w:p>
    <w:p>
      <w:pPr>
        <w:spacing w:before="160" w:after="40" w:line="240" w:lineRule="auto"/>
      </w:pPr>
      <w:r>
        <w:rPr>
          <w:b/>
        </w:rPr>
        <w:t xml:space="preserve">[284] </w:t>
      </w:r>
      <w:hyperlink r:id="rId776">
        <w:r>
          <w:rPr>
            <w:color w:val="1155CC"/>
            <w:u w:val="single"/>
          </w:rPr>
          <w:t>对印度尼西亚油棕小农户的零毁林承诺影响有限</w:t>
        </w:r>
      </w:hyperlink>
    </w:p>
    <w:p>
      <w:pPr>
        <w:spacing w:before="0" w:after="80"/>
      </w:pPr>
      <w:r>
        <w:rPr>
          <w:i/>
          <w:sz w:val="20"/>
        </w:rPr>
        <w:t>EN: Limited reach of zero-deforestation commitments to Indonesian oil palm smallholders</w:t>
      </w:r>
    </w:p>
    <w:p>
      <w:pPr>
        <w:spacing w:before="0" w:after="120"/>
      </w:pPr>
      <w:r>
        <w:rPr>
          <w:b/>
        </w:rPr>
        <w:t xml:space="preserve">Source: </w:t>
      </w:r>
      <w:r>
        <w:t>Nature Sustainability</w:t>
      </w:r>
      <w:r>
        <w:t xml:space="preserve">    </w:t>
      </w:r>
      <w:r>
        <w:rPr>
          <w:b/>
        </w:rPr>
        <w:t xml:space="preserve">Pub date: </w:t>
      </w:r>
      <w:r>
        <w:t>2026-06-17 00:00:00+00:00</w:t>
      </w:r>
      <w:r>
        <w:t xml:space="preserve">    </w:t>
      </w:r>
      <w:r>
        <w:rPr>
          <w:b/>
        </w:rPr>
        <w:t xml:space="preserve">DOI: </w:t>
      </w:r>
      <w:hyperlink r:id="rId777">
        <w:r>
          <w:rPr>
            <w:color w:val="1155CC"/>
            <w:u w:val="single"/>
          </w:rPr>
          <w:t>10.1038/s41893-026-01861-4</w:t>
        </w:r>
      </w:hyperlink>
    </w:p>
    <w:p>
      <w:pPr>
        <w:spacing w:before="0" w:after="120"/>
      </w:pPr>
      <w:r>
        <w:rPr>
          <w:b/>
        </w:rPr>
        <w:t xml:space="preserve">Notes: </w:t>
      </w:r>
      <w:r>
        <w:t>abstract_source=nature_html</w:t>
      </w:r>
    </w:p>
    <w:p>
      <w:pPr>
        <w:spacing w:before="0" w:after="80" w:lineRule="auto" w:line="276"/>
      </w:pPr>
      <w:r>
        <w:rPr>
          <w:b/>
        </w:rPr>
        <w:t xml:space="preserve">摘要（ZH）: </w:t>
      </w:r>
      <w:r>
        <w:t>许多公司已采取零毁林承诺（ZDC），将与森林损失相关的产品从其供应链中剔除。一个普遍的担忧是，此类政策可能会导致供应链将小农排除在外。在这项针对印度尼西亚棕榈油行业的研究中，我们对 1,541 个农户进行了调查，并对供应链参与者进行了 53 次访谈，以评估 ZDC 是否以及如何影响非工业生产者，包括对市场准入、价格、培训和村庄一级森林砍伐的影响。我们发现，ZDC 市场的准入很大程度上取决于公司采购区域内的位置，而主动排除似乎有限。基于认证的参与覆盖了一些相关小农户，但 ZDC 意识仍然较低，政策传播薄弱，自下而上的可追溯性有限，而且几乎没有针对生产者（尤其是独立小农户）的以 ZDC 为重点的能力建设或价格差异化。 ZDC 公司采购区域内村庄的森林砍伐程度较低，但与其他地方的情况相似。这些发现凸显了当前 ZDC 方法的有效性和公平性差距。</w:t>
      </w:r>
    </w:p>
    <w:p>
      <w:pPr>
        <w:spacing w:before="0" w:after="200" w:lineRule="auto" w:line="276"/>
      </w:pPr>
      <w:r>
        <w:rPr>
          <w:b/>
        </w:rPr>
        <w:t xml:space="preserve">Abstract (EN): </w:t>
      </w:r>
      <w:r>
        <w:t>Many companies have adopted zero-deforestation commitments (ZDCs) to remove products linked to forest loss from their supply chains. A common concern is that such policies may lead to the supply chain exclusion of smallholder farmers. Here, in this study of the Indonesian palm oil sector, we draw on surveys with 1,541 farm households and 53 interviews with supply chain actors to assess whether and how ZDCs reach non-industrial producers, including effects on market access, prices, training and village-level deforestation. We find that access to ZDC markets depends largely on location within company sourcing areas, while active exclusion appears to be limited. Certification-based engagement reaches some tied smallholders, but ZDC awareness remains low, with weak policy dissemination, limited bottom-up traceability and almost no ZDC-focused capacity building or price differentiation for producers, especially independent smallholders. Deforestation levels in villages within the sourcing areas of ZDC firms are low but similar to patterns elsewhere. These findings highlight effectiveness and equity gaps in current ZDC approaches.</w:t>
      </w:r>
    </w:p>
    <w:p>
      <w:pPr>
        <w:spacing w:before="120" w:after="120"/>
      </w:pPr>
      <w:r>
        <w:rPr>
          <w:sz w:val="18"/>
        </w:rPr>
        <w:t>——————————————————————————————————————————————————————————————————————</w:t>
      </w:r>
    </w:p>
    <w:p>
      <w:pPr>
        <w:spacing w:before="160" w:after="40" w:line="240" w:lineRule="auto"/>
      </w:pPr>
      <w:r>
        <w:rPr>
          <w:b/>
        </w:rPr>
        <w:t xml:space="preserve">[285] </w:t>
      </w:r>
      <w:hyperlink r:id="rId778">
        <w:r>
          <w:rPr>
            <w:color w:val="1155CC"/>
            <w:u w:val="single"/>
          </w:rPr>
          <w:t>通过织构压电陶瓷中的场对准氧空位锚定解锁巨大的电弯曲变形</w:t>
        </w:r>
      </w:hyperlink>
    </w:p>
    <w:p>
      <w:pPr>
        <w:spacing w:before="0" w:after="80"/>
      </w:pPr>
      <w:r>
        <w:rPr>
          <w:i/>
          <w:sz w:val="20"/>
        </w:rPr>
        <w:t>EN: Unlocking giant electrobending deformation via field-aligned oxygen vacancy anchoring in textured piezoceramics</w:t>
      </w:r>
    </w:p>
    <w:p>
      <w:pPr>
        <w:spacing w:before="0" w:after="120"/>
      </w:pPr>
      <w:r>
        <w:rPr>
          <w:b/>
        </w:rPr>
        <w:t xml:space="preserve">Source: </w:t>
      </w:r>
      <w:r>
        <w:t>Matter</w:t>
      </w:r>
      <w:r>
        <w:t xml:space="preserve">    </w:t>
      </w:r>
      <w:r>
        <w:rPr>
          <w:b/>
        </w:rPr>
        <w:t xml:space="preserve">Pub date: </w:t>
      </w:r>
      <w:r>
        <w:t>2026-06-17 00:00:00+00:00</w:t>
      </w:r>
      <w:r>
        <w:t xml:space="preserve">    </w:t>
      </w:r>
      <w:r>
        <w:rPr>
          <w:b/>
        </w:rPr>
        <w:t xml:space="preserve">DOI: </w:t>
      </w:r>
      <w:hyperlink r:id="rId779">
        <w:r>
          <w:rPr>
            <w:color w:val="1155CC"/>
            <w:u w:val="single"/>
          </w:rPr>
          <w:t>10.1016/j.matt.2026.102875</w:t>
        </w:r>
      </w:hyperlink>
    </w:p>
    <w:p>
      <w:pPr>
        <w:spacing w:before="0" w:after="120"/>
      </w:pPr>
      <w:r>
        <w:rPr>
          <w:b/>
        </w:rPr>
        <w:t xml:space="preserve">Notes: </w:t>
      </w:r>
      <w:r>
        <w:t>abstract_source=rss_cell</w:t>
      </w:r>
    </w:p>
    <w:p>
      <w:pPr>
        <w:spacing w:before="0" w:after="80" w:lineRule="auto" w:line="276"/>
      </w:pPr>
      <w:r>
        <w:rPr>
          <w:b/>
        </w:rPr>
        <w:t xml:space="preserve">摘要（ZH）: </w:t>
      </w:r>
      <w:r>
        <w:t>无序的缺陷分布严重限制了压电陶瓷的性能和可靠性。在这里，通过构建纹理通道和应变失配，提出了一种场对准的氧空位锚定策略，共同调节局部响应和表面应力以实现巨型电弯曲。</w:t>
      </w:r>
    </w:p>
    <w:p>
      <w:pPr>
        <w:spacing w:before="0" w:after="200" w:lineRule="auto" w:line="276"/>
      </w:pPr>
      <w:r>
        <w:rPr>
          <w:b/>
        </w:rPr>
        <w:t xml:space="preserve">Abstract (EN): </w:t>
      </w:r>
      <w:r>
        <w:t>The disordered defect distribution significantly limits the performance and reliability of piezoceramics. Here, a field-aligned oxygen vacancy anchoring strategy is proposed by constructing texture channels and strain mismatch, which jointly regulate the local responses and surface stress to achieve giant electrobending.</w:t>
      </w:r>
    </w:p>
    <w:p>
      <w:pPr>
        <w:spacing w:before="120" w:after="120"/>
      </w:pPr>
      <w:r>
        <w:rPr>
          <w:sz w:val="18"/>
        </w:rPr>
        <w:t>——————————————————————————————————————————————————————————————————————</w:t>
      </w:r>
    </w:p>
    <w:p>
      <w:pPr>
        <w:spacing w:before="160" w:after="40" w:line="240" w:lineRule="auto"/>
      </w:pPr>
      <w:r>
        <w:rPr>
          <w:b/>
        </w:rPr>
        <w:t xml:space="preserve">[286] </w:t>
      </w:r>
      <w:hyperlink r:id="rId780">
        <w:r>
          <w:rPr>
            <w:color w:val="1155CC"/>
            <w:u w:val="single"/>
          </w:rPr>
          <w:t>自旋量子位晶胞的单次原位读出</w:t>
        </w:r>
      </w:hyperlink>
    </w:p>
    <w:p>
      <w:pPr>
        <w:spacing w:before="0" w:after="80"/>
      </w:pPr>
      <w:r>
        <w:rPr>
          <w:i/>
          <w:sz w:val="20"/>
        </w:rPr>
        <w:t>EN: Single-shot in situ readout of a spin qubit unit cell</w:t>
      </w:r>
    </w:p>
    <w:p>
      <w:pPr>
        <w:spacing w:before="0" w:after="120"/>
      </w:pPr>
      <w:r>
        <w:rPr>
          <w:b/>
        </w:rPr>
        <w:t xml:space="preserve">Source: </w:t>
      </w:r>
      <w:r>
        <w:t>Nature Electronics</w:t>
      </w:r>
      <w:r>
        <w:t xml:space="preserve">    </w:t>
      </w:r>
      <w:r>
        <w:rPr>
          <w:b/>
        </w:rPr>
        <w:t xml:space="preserve">Pub date: </w:t>
      </w:r>
      <w:r>
        <w:t>2026-06-17 00:00:00+00:00</w:t>
      </w:r>
      <w:r>
        <w:t xml:space="preserve">    </w:t>
      </w:r>
      <w:r>
        <w:rPr>
          <w:b/>
        </w:rPr>
        <w:t xml:space="preserve">DOI: </w:t>
      </w:r>
      <w:hyperlink r:id="rId781">
        <w:r>
          <w:rPr>
            <w:color w:val="1155CC"/>
            <w:u w:val="single"/>
          </w:rPr>
          <w:t>10.1038/s41928-026-01654-9</w:t>
        </w:r>
      </w:hyperlink>
    </w:p>
    <w:p>
      <w:pPr>
        <w:spacing w:before="0" w:after="120"/>
      </w:pPr>
      <w:r>
        <w:rPr>
          <w:b/>
        </w:rPr>
        <w:t xml:space="preserve">Notes: </w:t>
      </w:r>
      <w:r>
        <w:t>abstract_source=nature_html</w:t>
      </w:r>
    </w:p>
    <w:p>
      <w:pPr>
        <w:spacing w:before="0" w:after="80" w:lineRule="auto" w:line="276"/>
      </w:pPr>
      <w:r>
        <w:rPr>
          <w:b/>
        </w:rPr>
        <w:t xml:space="preserve">摘要（ZH）: </w:t>
      </w:r>
      <w:r>
        <w:t>基于半导体量子点的自旋量子位可以提供高相干时间和门保真度，是量子计算的潜在平台。然而，将量子位数量扩展到容错量子计算所需的水平具有挑战性，并且需要单次、低占用空间的量子位读出。在这里，我们报告了使用原位色散读出的自旋量子位晶胞的单次读出。我们的紧凑型铸造厂制造的晶胞由具有可控交换相互作用的两个电子自旋组成，我们用它演示了初始化、单次读出和双电子纠缠门。从交换振荡中，我们在量子位的相干控制中提取了 80.7(8)% 的自旋可见性，尽管谐振器门的杠杆臂相对较小（小于 0.15(5) eV V−1）。我们证明，单位电池可以在高达 1 K 的温度下运行，并且使用自由感应衰减提取的电荷噪声水平较低。</w:t>
      </w:r>
    </w:p>
    <w:p>
      <w:pPr>
        <w:spacing w:before="0" w:after="200" w:lineRule="auto" w:line="276"/>
      </w:pPr>
      <w:r>
        <w:rPr>
          <w:b/>
        </w:rPr>
        <w:t xml:space="preserve">Abstract (EN): </w:t>
      </w:r>
      <w:r>
        <w:t>Spin qubits based on semiconductor quantum dots can offer high coherence times and gate fidelities, and are a potential platform for quantum computation. However, scaling up the number of qubits to the level required for fault-tolerant quantum computing is challenging and will require single-shot, low-footprint qubit readout. Here we report single-shot readout of a spin qubit unit cell using in situ dispersive readout. Our compact, foundry-fabricated unit cell is composed of two electron spins with a controllable exchange interaction, and with it we demonstrate initialization, single-shot readout and a two-electron entangling gate. From exchange oscillations, we extract a spin visibility of 80.7(8)% in the coherent control of a qubit, despite a relatively small lever arm to the resonator gate (less than 0.15(5) eV V−1). We show that the unit cell can be operated at up to 1 K with low charge noise levels, extracted using free induction decay.</w:t>
      </w:r>
    </w:p>
    <w:p>
      <w:pPr>
        <w:spacing w:before="120" w:after="120"/>
      </w:pPr>
      <w:r>
        <w:rPr>
          <w:sz w:val="18"/>
        </w:rPr>
        <w:t>——————————————————————————————————————————————————————————————————————</w:t>
      </w:r>
    </w:p>
    <w:p>
      <w:pPr>
        <w:spacing w:before="160" w:after="40" w:line="240" w:lineRule="auto"/>
      </w:pPr>
      <w:r>
        <w:rPr>
          <w:b/>
        </w:rPr>
        <w:t xml:space="preserve">[287] </w:t>
      </w:r>
      <w:hyperlink r:id="rId782">
        <w:r>
          <w:rPr>
            <w:color w:val="1155CC"/>
            <w:u w:val="single"/>
          </w:rPr>
          <w:t>使用半导体芯片并行酶促 DNA 合成</w:t>
        </w:r>
      </w:hyperlink>
    </w:p>
    <w:p>
      <w:pPr>
        <w:spacing w:before="0" w:after="80"/>
      </w:pPr>
      <w:r>
        <w:rPr>
          <w:i/>
          <w:sz w:val="20"/>
        </w:rPr>
        <w:t>EN: Parallel enzymatic DNA synthesis using a semiconductor chip</w:t>
      </w:r>
    </w:p>
    <w:p>
      <w:pPr>
        <w:spacing w:before="0" w:after="120"/>
      </w:pPr>
      <w:r>
        <w:rPr>
          <w:b/>
        </w:rPr>
        <w:t xml:space="preserve">Source: </w:t>
      </w:r>
      <w:r>
        <w:t>Nature Electronics</w:t>
      </w:r>
      <w:r>
        <w:t xml:space="preserve">    </w:t>
      </w:r>
      <w:r>
        <w:rPr>
          <w:b/>
        </w:rPr>
        <w:t xml:space="preserve">Pub date: </w:t>
      </w:r>
      <w:r>
        <w:t>2026-06-17 00:00:00+00:00</w:t>
      </w:r>
      <w:r>
        <w:t xml:space="preserve">    </w:t>
      </w:r>
      <w:r>
        <w:rPr>
          <w:b/>
        </w:rPr>
        <w:t xml:space="preserve">DOI: </w:t>
      </w:r>
      <w:hyperlink r:id="rId783">
        <w:r>
          <w:rPr>
            <w:color w:val="1155CC"/>
            <w:u w:val="single"/>
          </w:rPr>
          <w:t>10.1038/s41928-026-01662-9</w:t>
        </w:r>
      </w:hyperlink>
    </w:p>
    <w:p>
      <w:pPr>
        <w:spacing w:before="0" w:after="120"/>
      </w:pPr>
      <w:r>
        <w:rPr>
          <w:b/>
        </w:rPr>
        <w:t xml:space="preserve">Notes: </w:t>
      </w:r>
      <w:r>
        <w:t>abstract_source=nature_html</w:t>
      </w:r>
    </w:p>
    <w:p>
      <w:pPr>
        <w:spacing w:before="0" w:after="80" w:lineRule="auto" w:line="276"/>
      </w:pPr>
      <w:r>
        <w:rPr>
          <w:b/>
        </w:rPr>
        <w:t xml:space="preserve">摘要（ZH）: </w:t>
      </w:r>
      <w:r>
        <w:t>跨密集位点阵列的并行 DNA 合成对于高通量合成生物学和诊断至关重要，并且有可能用于基于 DNA 的数据存储。亚磷酰胺合成可以实现实质上的并行性，但依赖于有害溶剂和集中设施。在温和的水溶液中酶促 DNA 合成更安全，也更容易实现，但平行演示在早期阶段仍然有限。在这里，我们展示了互补金属氧化物半导体芯片可用于对多达 64 个不同的 38-39 核苷酸序列（10-11 核苷酸特征序列）进行并行酶促 DNA 合成。该芯片控制 256 个环形电极对的阵列（每个环形电极对都是一个可编程合成位点），可以创建任意的局部酸度模式，从而实现 DNA 脱保护和随后的酶促核苷酸掺入。我们还通过编码 169 字节文本来说明这种并行综合在数据存储方面的潜力。我们的机理分析表明，从间接到直接的局部酸化学路线的转变可能会导致更高通量的酶合成，并且可以与互补的金属氧化物半导体芯片一起扩展。</w:t>
      </w:r>
    </w:p>
    <w:p>
      <w:pPr>
        <w:spacing w:before="0" w:after="200" w:lineRule="auto" w:line="276"/>
      </w:pPr>
      <w:r>
        <w:rPr>
          <w:b/>
        </w:rPr>
        <w:t xml:space="preserve">Abstract (EN): </w:t>
      </w:r>
      <w:r>
        <w:t>Parallelized DNA synthesis across a dense array of sites is crucial to high-throughput synthetic biology and diagnostics and could potentially be used for DNA-based data storage. Phosphoramidite synthesis can achieve substantial parallelism but relies on harmful solvents and centralized facilities. Enzymatic DNA synthesis in mild aqueous solution is safer and could be more accessible, but parallel demonstrations remain modest at an early stage. Here we show that a complementary metal–oxide–semiconductor chip can be used to perform parallel enzymatic DNA synthesis of up to 64 distinct 38–39-nucleotide sequences (10–11-nucleotide feature sequences). The chip controls an array of 256 ring-electrode pairs (each one a programmable synthesis site) that can create an arbitrary pattern of localized acidity to enable DNA deprotection and subsequent enzymatic nucleotide incorporation. We also illustrate the potential of this parallel synthesis for data storage by encoding a 169-byte text. Our mechanistic analysis shows that shifting from an indirect to a direct local-acid chemistry route could lead to higher-throughput enzymatic synthesis that can scale with the complementary metal–oxide–semiconductor chip.</w:t>
      </w:r>
    </w:p>
    <w:p>
      <w:pPr>
        <w:spacing w:before="120" w:after="120"/>
      </w:pPr>
      <w:r>
        <w:rPr>
          <w:sz w:val="18"/>
        </w:rPr>
        <w:t>——————————————————————————————————————————————————————————————————————</w:t>
      </w:r>
    </w:p>
    <w:p>
      <w:pPr>
        <w:spacing w:before="160" w:after="40" w:line="240" w:lineRule="auto"/>
      </w:pPr>
      <w:r>
        <w:rPr>
          <w:b/>
        </w:rPr>
        <w:t xml:space="preserve">[288] </w:t>
      </w:r>
      <w:hyperlink r:id="rId784">
        <w:r>
          <w:rPr>
            <w:color w:val="1155CC"/>
            <w:u w:val="single"/>
          </w:rPr>
          <w:t>精密设计的 STING 激动剂纳米颗粒可协调粘膜系统免疫，实现持久的泛 β 冠状病毒保护</w:t>
        </w:r>
      </w:hyperlink>
    </w:p>
    <w:p>
      <w:pPr>
        <w:spacing w:before="0" w:after="80"/>
      </w:pPr>
      <w:r>
        <w:rPr>
          <w:i/>
          <w:sz w:val="20"/>
        </w:rPr>
        <w:t>EN: Precision-engineered STING agonist nanoparticles enable coordinated mucosal-systemic immunity for durable pan-β-coronavirus protection</w:t>
      </w:r>
    </w:p>
    <w:p>
      <w:pPr>
        <w:spacing w:before="0" w:after="120"/>
      </w:pPr>
      <w:r>
        <w:rPr>
          <w:b/>
        </w:rPr>
        <w:t xml:space="preserve">Source: </w:t>
      </w:r>
      <w:r>
        <w:t>Nature Nanotechnology</w:t>
      </w:r>
      <w:r>
        <w:t xml:space="preserve">    </w:t>
      </w:r>
      <w:r>
        <w:rPr>
          <w:b/>
        </w:rPr>
        <w:t xml:space="preserve">Pub date: </w:t>
      </w:r>
      <w:r>
        <w:t>2026-06-17 00:00:00+00:00</w:t>
      </w:r>
      <w:r>
        <w:t xml:space="preserve">    </w:t>
      </w:r>
      <w:r>
        <w:rPr>
          <w:b/>
        </w:rPr>
        <w:t xml:space="preserve">DOI: </w:t>
      </w:r>
      <w:hyperlink r:id="rId785">
        <w:r>
          <w:rPr>
            <w:color w:val="1155CC"/>
            <w:u w:val="single"/>
          </w:rPr>
          <w:t>10.1038/s41565-026-02188-z</w:t>
        </w:r>
      </w:hyperlink>
    </w:p>
    <w:p>
      <w:pPr>
        <w:spacing w:before="0" w:after="120"/>
      </w:pPr>
      <w:r>
        <w:rPr>
          <w:b/>
        </w:rPr>
        <w:t xml:space="preserve">Notes: </w:t>
      </w:r>
      <w:r>
        <w:t>abstract_source=nature_html</w:t>
      </w:r>
    </w:p>
    <w:p>
      <w:pPr>
        <w:spacing w:before="0" w:after="80" w:lineRule="auto" w:line="276"/>
      </w:pPr>
      <w:r>
        <w:rPr>
          <w:b/>
        </w:rPr>
        <w:t xml:space="preserve">摘要（ZH）: </w:t>
      </w:r>
      <w:r>
        <w:t>粘膜疫苗开发的一个主要障碍是实现局部免疫而不产生全身毒性。在这里，我们设计了 NanoCF501，这是一种由 2-乙基-2-恶唑啉聚合物配制而成的纳米颗粒 STING 激动剂。作为一种佐剂，NanoCF501 促进有效的粘液渗透和局部呼吸潴留，最大限度地减少全身暴露，经大鼠药代动力学证实。在小鼠中，鼻内共同施用 NanoCF501（全身剂量的 1/20）与包含源自不同冠状病毒的多价片段的抗原可诱导强大的粘膜和全身免疫，从而提供针对同源/异源泛β冠状病毒的保护。单细胞转录组学揭示了肺抗原呈递细胞的 STING 依赖性重编程，从而增强了适应性反应。我们的结果在非人类灵长类动物中得到了进一步验证，并扩展到许可的流感疫苗，表明 NanoCF501 可用于重新调整肌内抗原用于粘膜递送的用途。通过将纳米级合理设计与先天靶向相结合，NanoCF501 为下一代疫苗建立了一种通用佐剂，推动了纳米医学的流行病防范。</w:t>
      </w:r>
    </w:p>
    <w:p>
      <w:pPr>
        <w:spacing w:before="0" w:after="200" w:lineRule="auto" w:line="276"/>
      </w:pPr>
      <w:r>
        <w:rPr>
          <w:b/>
        </w:rPr>
        <w:t xml:space="preserve">Abstract (EN): </w:t>
      </w:r>
      <w:r>
        <w:t>A major barrier in mucosal vaccine development is achieving localized immunity without systemic toxicity. Here we engineered NanoCF501, a nanoparticulate STING agonist formulated with a 2-ethyl-2-oxazoline polymer. As an adjuvant, NanoCF501 facilitates efficient mucus penetration and localized respiratory retention, minimizing systemic exposure as confirmed by pharmacokinetics in rats. In mice, intranasal co-administration of NanoCF501 (1/20th the systemic dose) with an antigen comprising multivalent fragments derived from different coronaviruses induced robust mucosal and systemic immunity, conferring protection against homologous/heterologous pan-β-coronaviruses. Single-cell transcriptomics reveals STING-dependent reprogramming of lung antigen-presenting cells, enhancing adaptive responses. Our results were further validated in non-human primates and were extended to licensed influenza vaccines, showing that NanoCF501 can be used to repurpose intramuscular antigens for mucosal delivery. By integrating nanoscale rational design with innate targeting, NanoCF501 establishes a universal adjuvant for next-generation vaccines, advancing nanomedicine for pandemic preparedness.</w:t>
      </w:r>
    </w:p>
    <w:p>
      <w:pPr>
        <w:spacing w:before="120" w:after="120"/>
      </w:pPr>
      <w:r>
        <w:rPr>
          <w:sz w:val="18"/>
        </w:rPr>
        <w:t>——————————————————————————————————————————————————————————————————————</w:t>
      </w:r>
    </w:p>
    <w:p>
      <w:pPr>
        <w:spacing w:before="160" w:after="40" w:line="240" w:lineRule="auto"/>
      </w:pPr>
      <w:r>
        <w:rPr>
          <w:b/>
        </w:rPr>
        <w:t xml:space="preserve">[289] </w:t>
      </w:r>
      <w:hyperlink r:id="rId786">
        <w:r>
          <w:rPr>
            <w:color w:val="1155CC"/>
            <w:u w:val="single"/>
          </w:rPr>
          <w:t>用语言模型映射人类语言的神经元构建块</w:t>
        </w:r>
      </w:hyperlink>
    </w:p>
    <w:p>
      <w:pPr>
        <w:spacing w:before="0" w:after="80"/>
      </w:pPr>
      <w:r>
        <w:rPr>
          <w:i/>
          <w:sz w:val="20"/>
        </w:rPr>
        <w:t>EN: Mapping the neuronal building blocks of human language with language models</w:t>
      </w:r>
    </w:p>
    <w:p>
      <w:pPr>
        <w:spacing w:before="0" w:after="120"/>
      </w:pPr>
      <w:r>
        <w:rPr>
          <w:b/>
        </w:rPr>
        <w:t xml:space="preserve">Source: </w:t>
      </w:r>
      <w:r>
        <w:t>Nature</w:t>
      </w:r>
      <w:r>
        <w:t xml:space="preserve">    </w:t>
      </w:r>
      <w:r>
        <w:rPr>
          <w:b/>
        </w:rPr>
        <w:t xml:space="preserve">Pub date: </w:t>
      </w:r>
      <w:r>
        <w:t>2026-06-17 00:00:00+00:00</w:t>
      </w:r>
      <w:r>
        <w:t xml:space="preserve">    </w:t>
      </w:r>
      <w:r>
        <w:rPr>
          <w:b/>
        </w:rPr>
        <w:t xml:space="preserve">DOI: </w:t>
      </w:r>
      <w:hyperlink r:id="rId787">
        <w:r>
          <w:rPr>
            <w:color w:val="1155CC"/>
            <w:u w:val="single"/>
          </w:rPr>
          <w:t>10.1038/s41586-026-10691-5</w:t>
        </w:r>
      </w:hyperlink>
    </w:p>
    <w:p>
      <w:pPr>
        <w:spacing w:before="0" w:after="120"/>
      </w:pPr>
      <w:r>
        <w:rPr>
          <w:b/>
        </w:rPr>
        <w:t xml:space="preserve">Notes: </w:t>
      </w:r>
      <w:r>
        <w:t>abstract_source=nature_html</w:t>
      </w:r>
    </w:p>
    <w:p>
      <w:pPr>
        <w:spacing w:before="0" w:after="80" w:lineRule="auto" w:line="276"/>
      </w:pPr>
      <w:r>
        <w:rPr>
          <w:b/>
        </w:rPr>
        <w:t xml:space="preserve">摘要（ZH）: </w:t>
      </w:r>
      <w:r>
        <w:t>人类可以通过语言传达新的且高度多样化的信息。这种将单词组合成复杂短语和句子的能力使我们能够表达无穷无尽的含义，是人类认知的基础1,2,3,4,5。然而，理解人类语言背后的微观细胞构件和皮质景观仍然是一个挑战。在这里，我们使用大规模的单神经元记录与自然语言处理模型相结合，来识别语言产生过程中人类额颞叶皮层的细粒度语言表征。我们发现，虽然某些神经元代表单词或其词性之间的详细语法关系，但其他神经元则跟踪句子的高阶句法结构、短语转换和序列。总的来说，这些神经元可靠地捕获了单词的句法和语义属性，但也动态地合并了它们特定的句子上下文，因此使它们能够以组合方式和高粒度细节级别对信息进行编码。我们展示了这些细胞群是如何局部组织的，以及它们的微观表征与更广泛的场电位模式有何不同。我们还展示了这些神经元如何广泛分布在额颞叶皮层，但它们编码语言信息的能力如何左偏化并在皮层区域之间变化。总之，这些发现确定了人类编码语言信息的一些最基本的细胞构建模块。</w:t>
      </w:r>
    </w:p>
    <w:p>
      <w:pPr>
        <w:spacing w:before="0" w:after="200" w:lineRule="auto" w:line="276"/>
      </w:pPr>
      <w:r>
        <w:rPr>
          <w:b/>
        </w:rPr>
        <w:t xml:space="preserve">Abstract (EN): </w:t>
      </w:r>
      <w:r>
        <w:t>Humans can convey new and highly diverse information through language. This ability to form and combine words into elaborate phrases and sentences enables us to express inexhaustible meanings and is fundamental to human cognition1,2,3,4,5. However, understanding the microscopic cellular building blocks and cortical landscape that precisely underlie human language has remained a challenge. Here we used wide-scale single-neuronal recordings combined with natural language processing models to identify fine-grained linguistic representations across the human frontotemporal cortex during language production. We find that, whereas certain neurons represented the detailed grammatical relationships between words or their parts of speech, others tracked the sentences’ higher-order syntactic structure, their phrase transitions and sequence. Collectively, these neurons reliably captured the words’ syntactic and semantic properties but also dynamically incorporated their specific sentence contexts, therefore enabling them to encode information combinatorially and at highly granular levels of detail. We show how these cell populations were locally organized and how their microscale representations differed from that of their wider field potential patterns. We also show how these neurons were distributed broadly across the frontotemporal cortex, but how their ability to encode linguistic information was left-lateralized and varied between cortical regions. Together, these findings identify some of the most basic cellular building blocks by which linguistic information is encoded in humans and begin to define the cortical landscape of language at a combined micro (cellular), meso (local population) and macro (regional) scale.</w:t>
      </w:r>
    </w:p>
    <w:p>
      <w:pPr>
        <w:spacing w:before="120" w:after="120"/>
      </w:pPr>
      <w:r>
        <w:rPr>
          <w:sz w:val="18"/>
        </w:rPr>
        <w:t>——————————————————————————————————————————————————————————————————————</w:t>
      </w:r>
    </w:p>
    <w:p>
      <w:pPr>
        <w:spacing w:before="160" w:after="40" w:line="240" w:lineRule="auto"/>
      </w:pPr>
      <w:r>
        <w:rPr>
          <w:b/>
        </w:rPr>
        <w:t xml:space="preserve">[290] </w:t>
      </w:r>
      <w:hyperlink r:id="rId788">
        <w:r>
          <w:rPr>
            <w:color w:val="1155CC"/>
            <w:u w:val="single"/>
          </w:rPr>
          <w:t>5500 年前贝加尔湖狩猎采集者爆发致命鼠疫</w:t>
        </w:r>
      </w:hyperlink>
    </w:p>
    <w:p>
      <w:pPr>
        <w:spacing w:before="0" w:after="80"/>
      </w:pPr>
      <w:r>
        <w:rPr>
          <w:i/>
          <w:sz w:val="20"/>
        </w:rPr>
        <w:t>EN: Lethal plague outbreaks in Lake Baikal hunter-gatherers 5,500 years ago</w:t>
      </w:r>
    </w:p>
    <w:p>
      <w:pPr>
        <w:spacing w:before="0" w:after="120"/>
      </w:pPr>
      <w:r>
        <w:rPr>
          <w:b/>
        </w:rPr>
        <w:t xml:space="preserve">Source: </w:t>
      </w:r>
      <w:r>
        <w:t>Nature</w:t>
      </w:r>
      <w:r>
        <w:t xml:space="preserve">    </w:t>
      </w:r>
      <w:r>
        <w:rPr>
          <w:b/>
        </w:rPr>
        <w:t xml:space="preserve">Pub date: </w:t>
      </w:r>
      <w:r>
        <w:t>2026-06-17 00:00:00+00:00</w:t>
      </w:r>
      <w:r>
        <w:t xml:space="preserve">    </w:t>
      </w:r>
      <w:r>
        <w:rPr>
          <w:b/>
        </w:rPr>
        <w:t xml:space="preserve">DOI: </w:t>
      </w:r>
      <w:hyperlink r:id="rId789">
        <w:r>
          <w:rPr>
            <w:color w:val="1155CC"/>
            <w:u w:val="single"/>
          </w:rPr>
          <w:t>10.1038/s41586-026-10540-5</w:t>
        </w:r>
      </w:hyperlink>
    </w:p>
    <w:p>
      <w:pPr>
        <w:spacing w:before="0" w:after="120"/>
      </w:pPr>
      <w:r>
        <w:rPr>
          <w:b/>
        </w:rPr>
        <w:t xml:space="preserve">Notes: </w:t>
      </w:r>
      <w:r>
        <w:t>abstract_source=nature_html</w:t>
      </w:r>
    </w:p>
    <w:p>
      <w:pPr>
        <w:spacing w:before="0" w:after="80" w:lineRule="auto" w:line="276"/>
      </w:pPr>
      <w:r>
        <w:rPr>
          <w:b/>
        </w:rPr>
        <w:t xml:space="preserve">摘要（ZH）: </w:t>
      </w:r>
      <w:r>
        <w:t>鼠疫是人类历史上最具破坏性的疾病之一。然而，直到大约 3,800 年前，引起鼠疫的鼠疫耶尔森氏菌的早期菌株都缺乏腺鼠疫形式所需的毒力因子2,3。因此，早期鼠疫菌株的发病率和死亡率仍不清楚。在这里，我们描述了与西伯利亚东南部贝加尔湖附近全新世中期狩猎采集者爆发的两个阶段有关的早期鼠疫菌株，这些爆发始于大约 5,500 年前。这些疫情发生在四个狩猎采集者墓地，鼠疫感染检出率为 39%。通过重建亲属关系谱系，我们发现小型家族群体受到了影响，这与疾病在人与人之间的传播相一致，并且第一次爆发发生在一代人之内。这些感染似乎导致了急性死亡，尤其是儿童（8 至 11 岁）。我们进一步注意到功能差异，包括 ypm 超抗原位点的差异，该差异也存在于当今的假结核耶尔森氏菌中。这些新菌株与已知的鼠疫耶尔森氏菌在祖先上发生了分歧，并限制了其出现的时间，表明这发生在大约 5,700 年前。这些发现表明，鼠疫爆发的时间比之前认为的要早，而且确实是致命的。我们认为，在新石器时代晚期欧洲范围之外的全新世中期狩猎采集社区中爆发的疫情挑战了新石器时代农业期间更高的人口密度和生活方式变化的观念。</w:t>
      </w:r>
    </w:p>
    <w:p>
      <w:pPr>
        <w:spacing w:before="0" w:after="200" w:lineRule="auto" w:line="276"/>
      </w:pPr>
      <w:r>
        <w:rPr>
          <w:b/>
        </w:rPr>
        <w:t xml:space="preserve">Abstract (EN): </w:t>
      </w:r>
      <w:r>
        <w:t>Plague is among the most devastating diseases in human history1. However, early strains of the plague-causing bacterium Yersinia pestis lacked virulence factors that are required for the bubonic form until around 3,800 years ago2,3. Consequently, the morbidity and mortality of early plague strains remain unclear. Here we describe early plague strains that are associated with two phases of outbreaks among mid-Holocene hunter-gatherers near Lake Baikal in southeast Siberia, beginning from about 5,500 years ago. These outbreaks occur across four hunter-gatherer cemeteries, with a 39% detection rate for plague infection. By reconstructing kinship pedigrees, we show that small familial groups were affected, consistent with human-to-human spread of disease, and that the first outbreak occurred within a single generation. The infections appear to have resulted in acute mortality, especially among children (aged 8 to 11 years). We further note functional differences, including in the ypm superantigen locus, which is also present in present day Yersinia pseudotuberculosis. The new strains diverge ancestrally to known Y. pestis and constrain the timing of its emergence, indicating that this happened before approximately 5,700 years ago. These findings show that plague outbreaks happened earlier than previously thought and were indeed lethal. We contend that the occurrence of outbreaks among mid-Holocene hunter-gatherer communities well outside the sphere of Late Neolithic Europe challenges the notion that higher population densities and lifestyle changes during the Neolithic agricultural transition were prerequisites for plague epidemics.</w:t>
      </w:r>
    </w:p>
    <w:p>
      <w:pPr>
        <w:spacing w:before="120" w:after="120"/>
      </w:pPr>
      <w:r>
        <w:rPr>
          <w:sz w:val="18"/>
        </w:rPr>
        <w:t>——————————————————————————————————————————————————————————————————————</w:t>
      </w:r>
    </w:p>
    <w:p>
      <w:pPr>
        <w:spacing w:before="160" w:after="40" w:line="240" w:lineRule="auto"/>
      </w:pPr>
      <w:r>
        <w:rPr>
          <w:b/>
        </w:rPr>
        <w:t xml:space="preserve">[291] </w:t>
      </w:r>
      <w:hyperlink r:id="rId790">
        <w:r>
          <w:rPr>
            <w:color w:val="1155CC"/>
            <w:u w:val="single"/>
          </w:rPr>
          <w:t>迈向自主医疗人工智能代理</w:t>
        </w:r>
      </w:hyperlink>
    </w:p>
    <w:p>
      <w:pPr>
        <w:spacing w:before="0" w:after="80"/>
      </w:pPr>
      <w:r>
        <w:rPr>
          <w:i/>
          <w:sz w:val="20"/>
        </w:rPr>
        <w:t>EN: Towards autonomous medical artificial intelligence agents</w:t>
      </w:r>
    </w:p>
    <w:p>
      <w:pPr>
        <w:spacing w:before="0" w:after="120"/>
      </w:pPr>
      <w:r>
        <w:rPr>
          <w:b/>
        </w:rPr>
        <w:t xml:space="preserve">Source: </w:t>
      </w:r>
      <w:r>
        <w:t>Nature</w:t>
      </w:r>
      <w:r>
        <w:t xml:space="preserve">    </w:t>
      </w:r>
      <w:r>
        <w:rPr>
          <w:b/>
        </w:rPr>
        <w:t xml:space="preserve">Pub date: </w:t>
      </w:r>
      <w:r>
        <w:t>2026-06-17 00:00:00+00:00</w:t>
      </w:r>
      <w:r>
        <w:t xml:space="preserve">    </w:t>
      </w:r>
      <w:r>
        <w:rPr>
          <w:b/>
        </w:rPr>
        <w:t xml:space="preserve">DOI: </w:t>
      </w:r>
      <w:hyperlink r:id="rId791">
        <w:r>
          <w:rPr>
            <w:color w:val="1155CC"/>
            <w:u w:val="single"/>
          </w:rPr>
          <w:t>10.1038/s41586-026-10675-5</w:t>
        </w:r>
      </w:hyperlink>
    </w:p>
    <w:p>
      <w:pPr>
        <w:spacing w:before="0" w:after="120"/>
      </w:pPr>
      <w:r>
        <w:rPr>
          <w:b/>
        </w:rPr>
        <w:t xml:space="preserve">Notes: </w:t>
      </w:r>
      <w:r>
        <w:t>abstract_source=nature_html</w:t>
      </w:r>
    </w:p>
    <w:p>
      <w:pPr>
        <w:spacing w:before="0" w:after="80" w:lineRule="auto" w:line="276"/>
      </w:pPr>
      <w:r>
        <w:rPr>
          <w:b/>
        </w:rPr>
        <w:t xml:space="preserve">摘要（ZH）: </w:t>
      </w:r>
      <w:r>
        <w:t>大型语言模型 (LLM) 在临床决策方面显示出巨大潜力，但大多数应用仍然是狭隘的、特定于任务的聊天工具，而不是集成到临床工作流程中的系统1,2。然而，构建医生副驾驶将需要在电子健康记录 (EHR) 内运行的模型，对患者数据的访问进行受管控，并能够在定义的安全限制内启动允许的 EHR 操作。然而，这样的系统是否能够以医生级别的性能管理患者病例仍有待证实。在这里，我们展示了 MIRA（推理和行动医学智能），一种在沙盒 EHR 环境中运行的自主人工智能代理，可以在大型临床行动空间中导航以获取患者病史；安排和解释实验室、成像和微生物学测试；产生鉴别诊断；制定治疗计划，例如开药、安排手术程序和计划入院。在对跨越多种诊断的真实患者病例进行模拟时，MIRA 在诊断准确性方面优于医生，并做出了符合指南、药物安全和适当的入院决定。与之前解决孤立子任务或提供自由文本建议的法学硕士申请相比，这些结果表明，集成 EHR 的人工智能代理可以将临床意图转化为结构化、可操作的 EHR 操作，可能使其成为医生更有效的决策支持合作伙伴。需要进一步开展工作，通过繁荣建立普遍性、安全性和治理</w:t>
      </w:r>
    </w:p>
    <w:p>
      <w:pPr>
        <w:spacing w:before="0" w:after="200" w:lineRule="auto" w:line="276"/>
      </w:pPr>
      <w:r>
        <w:rPr>
          <w:b/>
        </w:rPr>
        <w:t xml:space="preserve">Abstract (EN): </w:t>
      </w:r>
      <w:r>
        <w:t>Large language models (LLMs) show great potential for clinical decision-making, yet most applications remain narrow, task-specific chat tools rather than systems integrated into clinical workflows1,2. However, building physician copilots will require models that operate within the electronic health record (EHR), with governed access to patient data and the ability to initiate permitted EHR actions within defined safety constraints. Yet it remains unproven whether such a system can manage patient cases with physician-level performance. Here we show that MIRA (Medical Intelligence for Reasoning and Action), an autonomous artificial intelligence agent operating in a sandboxed EHR environment, can navigate a large clinical action space to obtain patient histories; order and interpret laboratory, imaging and microbiology tests; generate differential diagnoses; and formulate treatment plans such as prescribing medications, scheduling surgical procedures and planning admissions. In simulations on real patient cases spanning multiple diagnoses, MIRA outperformed physicians in diagnostic accuracy and made guideline-concordant, medication-safe and appropriate admission decisions. Compared with previous LLM applications that addressed isolated subtasks or provided free-text advice, these results suggest that an EHR-integrated artificial intelligence agent can turn clinical intent into structured, actionable EHR operations, possibly making it a more effective decision-support partner for physicians. Further work is needed to establish generalization, safety and governance through prospective, real-world studies.</w:t>
      </w:r>
    </w:p>
    <w:p>
      <w:pPr>
        <w:spacing w:before="120" w:after="120"/>
      </w:pPr>
      <w:r>
        <w:rPr>
          <w:sz w:val="18"/>
        </w:rPr>
        <w:t>——————————————————————————————————————————————————————————————————————</w:t>
      </w:r>
    </w:p>
    <w:p>
      <w:pPr>
        <w:spacing w:before="160" w:after="40" w:line="240" w:lineRule="auto"/>
      </w:pPr>
      <w:r>
        <w:rPr>
          <w:b/>
        </w:rPr>
        <w:t xml:space="preserve">[292] </w:t>
      </w:r>
      <w:hyperlink r:id="rId792">
        <w:r>
          <w:rPr>
            <w:color w:val="1155CC"/>
            <w:u w:val="single"/>
          </w:rPr>
          <w:t>用于边缘通用视觉处理的光学超表面</w:t>
        </w:r>
      </w:hyperlink>
    </w:p>
    <w:p>
      <w:pPr>
        <w:spacing w:before="0" w:after="80"/>
      </w:pPr>
      <w:r>
        <w:rPr>
          <w:i/>
          <w:sz w:val="20"/>
        </w:rPr>
        <w:t>EN: Optical metasurfaces for general vision processing on the edge</w:t>
      </w:r>
    </w:p>
    <w:p>
      <w:pPr>
        <w:spacing w:before="0" w:after="120"/>
      </w:pPr>
      <w:r>
        <w:rPr>
          <w:b/>
        </w:rPr>
        <w:t xml:space="preserve">Source: </w:t>
      </w:r>
      <w:r>
        <w:t>Nature</w:t>
      </w:r>
      <w:r>
        <w:t xml:space="preserve">    </w:t>
      </w:r>
      <w:r>
        <w:rPr>
          <w:b/>
        </w:rPr>
        <w:t xml:space="preserve">Pub date: </w:t>
      </w:r>
      <w:r>
        <w:t>2026-06-17 00:00:00+00:00</w:t>
      </w:r>
      <w:r>
        <w:t xml:space="preserve">    </w:t>
      </w:r>
      <w:r>
        <w:rPr>
          <w:b/>
        </w:rPr>
        <w:t xml:space="preserve">DOI: </w:t>
      </w:r>
      <w:hyperlink r:id="rId793">
        <w:r>
          <w:rPr>
            <w:color w:val="1155CC"/>
            <w:u w:val="single"/>
          </w:rPr>
          <w:t>10.1038/s41586-026-10635-z</w:t>
        </w:r>
      </w:hyperlink>
    </w:p>
    <w:p>
      <w:pPr>
        <w:spacing w:before="0" w:after="120"/>
      </w:pPr>
      <w:r>
        <w:rPr>
          <w:b/>
        </w:rPr>
        <w:t xml:space="preserve">Notes: </w:t>
      </w:r>
      <w:r>
        <w:t>abstract_source=nature_html</w:t>
      </w:r>
    </w:p>
    <w:p>
      <w:pPr>
        <w:spacing w:before="0" w:after="80" w:lineRule="auto" w:line="276"/>
      </w:pPr>
      <w:r>
        <w:rPr>
          <w:b/>
        </w:rPr>
        <w:t xml:space="preserve">摘要（ZH）: </w:t>
      </w:r>
      <w:r>
        <w:t>大规模人工智能 (AI) 模型在计算机视觉方面取得了显着的性能，但需要大量的计算资源，限制了它们在边缘设备上的部署1、2。光神经网络 (ONN) 通过利用光固有的并行性，有望减少延迟和能耗3。然而，由于使用物理（模拟）系统复制数字模型的精确代数运算的挑战，目前的 ONN 难以扩展并且仅限于简单的任务。这项工作引入了一种新的范式，将核心计算机视觉原理直接嵌入到大规模光学超表面中，包括基于相似性的识别、注意力引导感知和细节-上下文融合。通过将光学物理与这些计算机视觉基础相结合，我们开发了一种光子电子引擎，克服了可扩展性和通用性障碍，从而在边缘实现高精度、通用计算机视觉。由此产生的系统将 4100 万参数的光学超表面前端与共同设计的超高效 87,000 参数数字后端相结合，在对象检测、分割、3D 重建和视频理解方面优于许多具有数千万参数的数字模型。我们构建了一个可部署的原型，并演示了自然场景中的实时边缘视觉处理。这项工作代表了复杂自然环境中一般视觉任务的实用光学计算的道路，为低能耗、低延迟、实时设备上视觉智能提供了新的范式。</w:t>
      </w:r>
    </w:p>
    <w:p>
      <w:pPr>
        <w:spacing w:before="0" w:after="200" w:lineRule="auto" w:line="276"/>
      </w:pPr>
      <w:r>
        <w:rPr>
          <w:b/>
        </w:rPr>
        <w:t xml:space="preserve">Abstract (EN): </w:t>
      </w:r>
      <w:r>
        <w:t>Large-scale artificial intelligence (AI) models achieve notable performance in computer vision but require substantial computational resources, limiting their deployment on edge devices1,2. Optical neural networks (ONNs) promise reduced latency and energy consumption by making use of the inherent parallelism of light3. However, present ONNs struggle to scale and are confined to simple tasks, owing to the challenges of replicating exact algebraic operations of digital models using physical (analogue) systems. This work introduces a new paradigm that directly embeds core computer vision principles, including similarity-based recognition, attention-guided perception and detail–context fusion, into a large-scale optical metasurface. By unifying optical physics with these computer vision fundamentals, we develop a photonic–electronic engine that overcomes scalability and generality barriers, enabling high-accuracy, general-purpose computer vision at the edge. The resulting system combines a 41-million-parameter optical metasurface front end with a co-designed, ultraefficient 87,000-parameter digital back end, outperforming many digital models with tens of millions of parameters across object detection, segmentation, 3D reconstruction and video understanding. We build a deployable prototype and demonstrate real-time edge visual processing in natural scenes. This work represents a path towards practical optical computing for general vision tasks in complex natural environments, enabling a new paradigm for low-energy, low-latency, real-time on-device vision intelligence.</w:t>
      </w:r>
    </w:p>
    <w:p>
      <w:pPr>
        <w:spacing w:before="120" w:after="120"/>
      </w:pPr>
      <w:r>
        <w:rPr>
          <w:sz w:val="18"/>
        </w:rPr>
        <w:t>——————————————————————————————————————————————————————————————————————</w:t>
      </w:r>
    </w:p>
    <w:p>
      <w:pPr>
        <w:spacing w:before="160" w:after="40" w:line="240" w:lineRule="auto"/>
      </w:pPr>
      <w:r>
        <w:rPr>
          <w:b/>
        </w:rPr>
        <w:t xml:space="preserve">[293] </w:t>
      </w:r>
      <w:hyperlink r:id="rId794">
        <w:r>
          <w:rPr>
            <w:color w:val="1155CC"/>
            <w:u w:val="single"/>
          </w:rPr>
          <w:t>可视化猝灭无序对二维电子维格纳固体的影响</w:t>
        </w:r>
      </w:hyperlink>
    </w:p>
    <w:p>
      <w:pPr>
        <w:spacing w:before="0" w:after="80"/>
      </w:pPr>
      <w:r>
        <w:rPr>
          <w:i/>
          <w:sz w:val="20"/>
        </w:rPr>
        <w:t>EN: Visualizing the impact of quenched disorder on 2D electron Wigner solids</w:t>
      </w:r>
    </w:p>
    <w:p>
      <w:pPr>
        <w:spacing w:before="0" w:after="120"/>
      </w:pPr>
      <w:r>
        <w:rPr>
          <w:b/>
        </w:rPr>
        <w:t xml:space="preserve">Source: </w:t>
      </w:r>
      <w:r>
        <w:t>Nature</w:t>
      </w:r>
      <w:r>
        <w:t xml:space="preserve">    </w:t>
      </w:r>
      <w:r>
        <w:rPr>
          <w:b/>
        </w:rPr>
        <w:t xml:space="preserve">Pub date: </w:t>
      </w:r>
      <w:r>
        <w:t>2026-06-17 00:00:00+00:00</w:t>
      </w:r>
      <w:r>
        <w:t xml:space="preserve">    </w:t>
      </w:r>
      <w:r>
        <w:rPr>
          <w:b/>
        </w:rPr>
        <w:t xml:space="preserve">DOI: </w:t>
      </w:r>
      <w:hyperlink r:id="rId795">
        <w:r>
          <w:rPr>
            <w:color w:val="1155CC"/>
            <w:u w:val="single"/>
          </w:rPr>
          <w:t>10.1038/s41586-026-10654-w</w:t>
        </w:r>
      </w:hyperlink>
    </w:p>
    <w:p>
      <w:pPr>
        <w:spacing w:before="0" w:after="120"/>
      </w:pPr>
      <w:r>
        <w:rPr>
          <w:b/>
        </w:rPr>
        <w:t xml:space="preserve">Notes: </w:t>
      </w:r>
      <w:r>
        <w:t>abstract_source=nature_html</w:t>
      </w:r>
    </w:p>
    <w:p>
      <w:pPr>
        <w:spacing w:before="0" w:after="80" w:lineRule="auto" w:line="276"/>
      </w:pPr>
      <w:r>
        <w:rPr>
          <w:b/>
        </w:rPr>
        <w:t xml:space="preserve">摘要（ZH）: </w:t>
      </w:r>
      <w:r>
        <w:t>电子维格纳固体 (WSs)1,2,3,4,5,6,7,8,9,10,11,12 为理解电子-电子和电子-无序相互作用的竞争效应提供了一个理想的系统，这是凝聚态物理中尚未解决的核心问题。由于缺乏单一缺陷解决的实验测量以及精确的理论工具来实现现实的实验/理论比较，该主题的进展受到限制。在这里，我们通过将原子分辨扫描隧道显微镜（STM）与无序二维电子WS的神经量子态量子蒙特卡罗（NQS-QMC）模拟相结合来克服这些限制，以发现新的无序诱导的相关电子行为的物理机制。 STM 用于对具有不同长程 (nLR) 和短程 (nSR) 无序密度的栅极可调双层 MoSe2 (BL-MoSe2) 器件中电子 WS 的电子密度 (ne) 依赖性演化进行成像。使用从实验中提取的真实无序图将这些图像与 NQS-QMC 模拟进行比较，从而理清不同无序类型的作用。我们确定了依赖于 nSR 的无序电子 WS 的两种不同的物理状态。对于 nSR ≲ ne，WS 行为以长程无序为主，具有广泛的固-液相混合相、新型局部重入熔化/结晶和突出的弗里德尔振荡。相比之下，当 nSR ≫ ne 时，这些特征被抑制，并且出现更坚固的非晶 WS 相，该相持续到更高的 ne，突出了该状态中短程无序的重要性。我们的工作</w:t>
      </w:r>
    </w:p>
    <w:p>
      <w:pPr>
        <w:spacing w:before="0" w:after="200" w:lineRule="auto" w:line="276"/>
      </w:pPr>
      <w:r>
        <w:rPr>
          <w:b/>
        </w:rPr>
        <w:t xml:space="preserve">Abstract (EN): </w:t>
      </w:r>
      <w:r>
        <w:t>Electron Wigner solids (WSs)1,2,3,4,5,6,7,8,9,10,11,12 provide an ideal system for understanding the competing effects of electron–electron and electron–disorder interactions, a central unsolved problem in condensed matter physics. Progress in this topic has been limited by a lack of single-defect-resolved experimental measurements as well as accurate theoretical tools to enable realistic experiment/theory comparison. Here we overcome these limitations by combining atomically resolved scanning tunnelling microscopy (STM) with neural-quantum-state quantum Monte Carlo (NQS-QMC) simulation of disordered 2D electron WSs to discover new disorder-induced physical regimes of correlated electron behaviour. STM was used to image the electron density (ne)-dependent evolution of electron WSs in gate-tunable bilayer MoSe2 (BL-MoSe2) devices with varying long-range (nLR) and short-range (nSR) disorder densities. These images were compared with NQS-QMC simulations using realistic disorder maps extracted from experiment, thus allowing the roles of different disorder types to be disentangled. We identify two distinct physical regimes for disordered electron WSs that depend on nSR. For nSR ≲ ne, the WS behaviour is dominated by long-range disorder and features extensive mixed solid–liquid phases, a new type of local re-entrant melting/crystallization and prominent Friedel oscillations. By contrast, when nSR ≫ ne, these features are suppressed and a more robust amorphous WS phase emerges that persists to higher ne, highlighting the importance of short-range disorder in this regime. Our work establishes a powerful framework for studying disordered quantum solids through a combined experimental–theoretical approach.</w:t>
      </w:r>
    </w:p>
    <w:p>
      <w:pPr>
        <w:spacing w:before="120" w:after="120"/>
      </w:pPr>
      <w:r>
        <w:rPr>
          <w:sz w:val="18"/>
        </w:rPr>
        <w:t>——————————————————————————————————————————————————————————————————————</w:t>
      </w:r>
    </w:p>
    <w:p>
      <w:pPr>
        <w:spacing w:before="160" w:after="40" w:line="240" w:lineRule="auto"/>
      </w:pPr>
      <w:r>
        <w:rPr>
          <w:b/>
        </w:rPr>
        <w:t xml:space="preserve">[294] </w:t>
      </w:r>
      <w:hyperlink r:id="rId796">
        <w:r>
          <w:rPr>
            <w:color w:val="1155CC"/>
            <w:u w:val="single"/>
          </w:rPr>
          <w:t>考虑内生不确定性的网络化微电网最优直接互联扩展规划</w:t>
        </w:r>
      </w:hyperlink>
    </w:p>
    <w:p>
      <w:pPr>
        <w:spacing w:before="0" w:after="80"/>
      </w:pPr>
      <w:r>
        <w:rPr>
          <w:i/>
          <w:sz w:val="20"/>
        </w:rPr>
        <w:t>EN: Optimal direct interconnected expansion planning for networked-microgrids considering endogenous uncertainties</w:t>
      </w:r>
    </w:p>
    <w:p>
      <w:pPr>
        <w:spacing w:before="0" w:after="120"/>
      </w:pPr>
      <w:r>
        <w:rPr>
          <w:b/>
        </w:rPr>
        <w:t xml:space="preserve">Source: </w:t>
      </w:r>
      <w:r>
        <w:t>ScienceDirect Publication: Applied Energy</w:t>
      </w:r>
      <w:r>
        <w:t xml:space="preserve">    </w:t>
      </w:r>
      <w:r>
        <w:rPr>
          <w:b/>
        </w:rPr>
        <w:t xml:space="preserve">Pub date: </w:t>
      </w:r>
      <w:r>
        <w:t>2026-06-17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[295] </w:t>
      </w:r>
      <w:hyperlink r:id="rId797">
        <w:r>
          <w:rPr>
            <w:color w:val="1155CC"/>
            <w:u w:val="single"/>
          </w:rPr>
          <w:t>斑马鱼大脑如何将最近的经历融入未来的决策</w:t>
        </w:r>
      </w:hyperlink>
    </w:p>
    <w:p>
      <w:pPr>
        <w:spacing w:before="0" w:after="80"/>
      </w:pPr>
      <w:r>
        <w:rPr>
          <w:i/>
          <w:sz w:val="20"/>
        </w:rPr>
        <w:t>EN: How the zebrafish brain weaves recent experiences into future decisions</w:t>
      </w:r>
    </w:p>
    <w:p>
      <w:pPr>
        <w:spacing w:before="0" w:after="120"/>
      </w:pPr>
      <w:r>
        <w:rPr>
          <w:b/>
        </w:rPr>
        <w:t xml:space="preserve">Source: </w:t>
      </w:r>
      <w:r>
        <w:t>Nature</w:t>
      </w:r>
      <w:r>
        <w:t xml:space="preserve">    </w:t>
      </w:r>
      <w:r>
        <w:rPr>
          <w:b/>
        </w:rPr>
        <w:t xml:space="preserve">Pub date: </w:t>
      </w:r>
      <w:r>
        <w:t>2026-06-17 00:00:00+00:00</w:t>
      </w:r>
      <w:r>
        <w:t xml:space="preserve">    </w:t>
      </w:r>
      <w:r>
        <w:rPr>
          <w:b/>
        </w:rPr>
        <w:t xml:space="preserve">DOI: </w:t>
      </w:r>
      <w:hyperlink r:id="rId798">
        <w:r>
          <w:rPr>
            <w:color w:val="1155CC"/>
            <w:u w:val="single"/>
          </w:rPr>
          <w:t>10.1038/d41586-026-01756-6</w:t>
        </w:r>
      </w:hyperlink>
    </w:p>
    <w:p>
      <w:pPr>
        <w:spacing w:before="0" w:after="120"/>
      </w:pPr>
      <w:r>
        <w:rPr>
          <w:b/>
        </w:rPr>
        <w:t xml:space="preserve">Notes: </w:t>
      </w:r>
      <w:r>
        <w:t>abstract_source=nature_html</w:t>
      </w:r>
    </w:p>
    <w:p>
      <w:pPr>
        <w:spacing w:before="0" w:after="80" w:lineRule="auto" w:line="276"/>
      </w:pPr>
      <w:r>
        <w:rPr>
          <w:b/>
        </w:rPr>
        <w:t xml:space="preserve">摘要（ZH）: </w:t>
      </w:r>
      <w:r>
        <w:t>动物经常利用最近的经验来指导未来的选择。斑马鱼幼虫（Danio rerio）的全脑成像揭示了控制历史偏差决策的专用神经回路：丘脑将最近的事件维持为稳定的神经元活动模式，而脑干将最近的经历整合成连续的信号，从而影响未来的行动。斑马鱼的全脑钙成像揭示了最近发生的事件的信息如何驱动未来的行为。</w:t>
      </w:r>
    </w:p>
    <w:p>
      <w:pPr>
        <w:spacing w:before="0" w:after="200" w:lineRule="auto" w:line="276"/>
      </w:pPr>
      <w:r>
        <w:rPr>
          <w:b/>
        </w:rPr>
        <w:t xml:space="preserve">Abstract (EN): </w:t>
      </w:r>
      <w:r>
        <w:t>Animals often use recent experience to guide future choices. Whole-brain imaging in larval zebrafish (Danio rerio) reveals a dedicated neural circuit that governs history-biased decisions: the thalamus maintains the most recent event as a stable pattern of neuronal activity, and the brainstem integrates recent experiences into a continuous signal that biases future action. Whole-brain calcium imaging in the zebrafish reveals how information about events in the recent past drives future behaviour.</w:t>
      </w:r>
    </w:p>
    <w:p>
      <w:pPr>
        <w:spacing w:before="120" w:after="120"/>
      </w:pPr>
      <w:r>
        <w:rPr>
          <w:sz w:val="18"/>
        </w:rPr>
        <w:t>——————————————————————————————————————————————————————————————————————</w:t>
      </w:r>
    </w:p>
    <w:p>
      <w:pPr>
        <w:spacing w:before="160" w:after="40" w:line="240" w:lineRule="auto"/>
      </w:pPr>
      <w:r>
        <w:rPr>
          <w:b/>
        </w:rPr>
        <w:t xml:space="preserve">[296] </w:t>
      </w:r>
      <w:hyperlink r:id="rId799">
        <w:r>
          <w:rPr>
            <w:color w:val="1155CC"/>
            <w:u w:val="single"/>
          </w:rPr>
          <w:t>冻结脑损伤：降温药物可限制小鼠中风损伤</w:t>
        </w:r>
      </w:hyperlink>
    </w:p>
    <w:p>
      <w:pPr>
        <w:spacing w:before="0" w:after="80"/>
      </w:pPr>
      <w:r>
        <w:rPr>
          <w:i/>
          <w:sz w:val="20"/>
        </w:rPr>
        <w:t>EN: Freezing brain damage in its tracks: cooling drugs limit stroke injury in mice</w:t>
      </w:r>
    </w:p>
    <w:p>
      <w:pPr>
        <w:spacing w:before="0" w:after="120"/>
      </w:pPr>
      <w:r>
        <w:rPr>
          <w:b/>
        </w:rPr>
        <w:t xml:space="preserve">Source: </w:t>
      </w:r>
      <w:r>
        <w:t>Nature</w:t>
      </w:r>
      <w:r>
        <w:t xml:space="preserve">    </w:t>
      </w:r>
      <w:r>
        <w:rPr>
          <w:b/>
        </w:rPr>
        <w:t xml:space="preserve">Pub date: </w:t>
      </w:r>
      <w:r>
        <w:t>2026-06-17 00:00:00+00:00</w:t>
      </w:r>
      <w:r>
        <w:t xml:space="preserve">    </w:t>
      </w:r>
      <w:r>
        <w:rPr>
          <w:b/>
        </w:rPr>
        <w:t xml:space="preserve">DOI: </w:t>
      </w:r>
      <w:hyperlink r:id="rId800">
        <w:r>
          <w:rPr>
            <w:color w:val="1155CC"/>
            <w:u w:val="single"/>
          </w:rPr>
          <w:t>10.1038/d41586-026-01923-9</w:t>
        </w:r>
      </w:hyperlink>
    </w:p>
    <w:p>
      <w:pPr>
        <w:spacing w:before="0" w:after="120"/>
      </w:pPr>
      <w:r>
        <w:rPr>
          <w:b/>
        </w:rPr>
        <w:t xml:space="preserve">Notes: </w:t>
      </w:r>
      <w:r>
        <w:t>abstract_source=nature_html</w:t>
      </w:r>
    </w:p>
    <w:p>
      <w:pPr>
        <w:spacing w:before="0" w:after="80" w:lineRule="auto" w:line="276"/>
      </w:pPr>
      <w:r>
        <w:rPr>
          <w:b/>
        </w:rPr>
        <w:t xml:space="preserve">摘要（ZH）: </w:t>
      </w:r>
      <w:r>
        <w:t>两种药物的组合通过降低新陈代谢和扩张血管来诱导小鼠体温过低。两种药物的组合通过降低新陈代谢和扩张血管来诱导小鼠体温过低。</w:t>
      </w:r>
    </w:p>
    <w:p>
      <w:pPr>
        <w:spacing w:before="0" w:after="200" w:lineRule="auto" w:line="276"/>
      </w:pPr>
      <w:r>
        <w:rPr>
          <w:b/>
        </w:rPr>
        <w:t xml:space="preserve">Abstract (EN): </w:t>
      </w:r>
      <w:r>
        <w:t>A two-drug combination induces hypothermia in mice by lowering metabolism and dilating blood vessels. A two-drug combination induces hypothermia in mice by lowering metabolism and dilating blood vessels.</w:t>
      </w:r>
    </w:p>
    <w:p>
      <w:pPr>
        <w:spacing w:before="120" w:after="120"/>
      </w:pPr>
      <w:r>
        <w:rPr>
          <w:sz w:val="18"/>
        </w:rPr>
        <w:t>——————————————————————————————————————————————————————————————————————</w:t>
      </w:r>
    </w:p>
    <w:p>
      <w:pPr>
        <w:spacing w:before="160" w:after="40" w:line="240" w:lineRule="auto"/>
      </w:pPr>
      <w:r>
        <w:rPr>
          <w:b/>
        </w:rPr>
        <w:t xml:space="preserve">[297] </w:t>
      </w:r>
      <w:hyperlink r:id="rId801">
        <w:r>
          <w:rPr>
            <w:color w:val="1155CC"/>
            <w:u w:val="single"/>
          </w:rPr>
          <w:t>亚洲海洋打破高温记录——这对极端天气意味着什么</w:t>
        </w:r>
      </w:hyperlink>
    </w:p>
    <w:p>
      <w:pPr>
        <w:spacing w:before="0" w:after="80"/>
      </w:pPr>
      <w:r>
        <w:rPr>
          <w:i/>
          <w:sz w:val="20"/>
        </w:rPr>
        <w:t>EN: Oceans in Asia smash heat records — what it means for extreme weather</w:t>
      </w:r>
    </w:p>
    <w:p>
      <w:pPr>
        <w:spacing w:before="0" w:after="120"/>
      </w:pPr>
      <w:r>
        <w:rPr>
          <w:b/>
        </w:rPr>
        <w:t xml:space="preserve">Source: </w:t>
      </w:r>
      <w:r>
        <w:t>Nature</w:t>
      </w:r>
      <w:r>
        <w:t xml:space="preserve">    </w:t>
      </w:r>
      <w:r>
        <w:rPr>
          <w:b/>
        </w:rPr>
        <w:t xml:space="preserve">Pub date: </w:t>
      </w:r>
      <w:r>
        <w:t>2026-06-17 00:00:00+00:00</w:t>
      </w:r>
      <w:r>
        <w:t xml:space="preserve">    </w:t>
      </w:r>
      <w:r>
        <w:rPr>
          <w:b/>
        </w:rPr>
        <w:t xml:space="preserve">DOI: </w:t>
      </w:r>
      <w:hyperlink r:id="rId802">
        <w:r>
          <w:rPr>
            <w:color w:val="1155CC"/>
            <w:u w:val="single"/>
          </w:rPr>
          <w:t>10.1038/d41586-026-01938-2</w:t>
        </w:r>
      </w:hyperlink>
    </w:p>
    <w:p>
      <w:pPr>
        <w:spacing w:before="0" w:after="120"/>
      </w:pPr>
      <w:r>
        <w:rPr>
          <w:b/>
        </w:rPr>
        <w:t xml:space="preserve">Notes: </w:t>
      </w:r>
      <w:r>
        <w:t>abstract_source=nature_html</w:t>
      </w:r>
    </w:p>
    <w:p>
      <w:pPr>
        <w:spacing w:before="0" w:after="80" w:lineRule="auto" w:line="276"/>
      </w:pPr>
      <w:r>
        <w:rPr>
          <w:b/>
        </w:rPr>
        <w:t xml:space="preserve">摘要（ZH）: </w:t>
      </w:r>
      <w:r>
        <w:t>报告显示，该地区特别容易受到气候变化的影响。报告显示，该地区特别容易受到气候变化的影响。</w:t>
      </w:r>
    </w:p>
    <w:p>
      <w:pPr>
        <w:spacing w:before="0" w:after="200" w:lineRule="auto" w:line="276"/>
      </w:pPr>
      <w:r>
        <w:rPr>
          <w:b/>
        </w:rPr>
        <w:t xml:space="preserve">Abstract (EN): </w:t>
      </w:r>
      <w:r>
        <w:t>Report shows region is particularly vulnerable to the effects of climate change. Report shows region is particularly vulnerable to the effects of climate change.</w:t>
      </w:r>
    </w:p>
    <w:p>
      <w:pPr>
        <w:spacing w:before="120" w:after="120"/>
      </w:pPr>
      <w:r>
        <w:rPr>
          <w:sz w:val="18"/>
        </w:rPr>
        <w:t>——————————————————————————————————————————————————————————————————————</w:t>
      </w:r>
    </w:p>
    <w:p>
      <w:pPr>
        <w:spacing w:before="160" w:after="40" w:line="240" w:lineRule="auto"/>
      </w:pPr>
      <w:r>
        <w:rPr>
          <w:b/>
        </w:rPr>
        <w:t xml:space="preserve">[298] </w:t>
      </w:r>
      <w:hyperlink r:id="rId803">
        <w:r>
          <w:rPr>
            <w:color w:val="1155CC"/>
            <w:u w:val="single"/>
          </w:rPr>
          <w:t>哇，在金库里</w:t>
        </w:r>
      </w:hyperlink>
    </w:p>
    <w:p>
      <w:pPr>
        <w:spacing w:before="0" w:after="80"/>
      </w:pPr>
      <w:r>
        <w:rPr>
          <w:i/>
          <w:sz w:val="20"/>
        </w:rPr>
        <w:t>EN: Wah-ult in the vault</w:t>
      </w:r>
    </w:p>
    <w:p>
      <w:pPr>
        <w:spacing w:before="0" w:after="120"/>
      </w:pPr>
      <w:r>
        <w:rPr>
          <w:b/>
        </w:rPr>
        <w:t xml:space="preserve">Source: </w:t>
      </w:r>
      <w:r>
        <w:t>Nature</w:t>
      </w:r>
      <w:r>
        <w:t xml:space="preserve">    </w:t>
      </w:r>
      <w:r>
        <w:rPr>
          <w:b/>
        </w:rPr>
        <w:t xml:space="preserve">Pub date: </w:t>
      </w:r>
      <w:r>
        <w:t>2026-06-17 00:00:00+00:00</w:t>
      </w:r>
      <w:r>
        <w:t xml:space="preserve">    </w:t>
      </w:r>
      <w:r>
        <w:rPr>
          <w:b/>
        </w:rPr>
        <w:t xml:space="preserve">DOI: </w:t>
      </w:r>
      <w:hyperlink r:id="rId804">
        <w:r>
          <w:rPr>
            <w:color w:val="1155CC"/>
            <w:u w:val="single"/>
          </w:rPr>
          <w:t>10.1038/d41586-026-01719-x</w:t>
        </w:r>
      </w:hyperlink>
    </w:p>
    <w:p>
      <w:pPr>
        <w:spacing w:before="0" w:after="120"/>
      </w:pPr>
      <w:r>
        <w:rPr>
          <w:b/>
        </w:rPr>
        <w:t xml:space="preserve">Notes: </w:t>
      </w:r>
      <w:r>
        <w:t>abstract_source=nature_html</w:t>
      </w:r>
    </w:p>
    <w:p>
      <w:pPr>
        <w:spacing w:before="0" w:after="80" w:lineRule="auto" w:line="276"/>
      </w:pPr>
      <w:r>
        <w:rPr>
          <w:b/>
        </w:rPr>
        <w:t xml:space="preserve">摘要（ZH）: </w:t>
      </w:r>
      <w:r>
        <w:t>奇迹的遗迹。奇迹的遗迹。</w:t>
      </w:r>
    </w:p>
    <w:p>
      <w:pPr>
        <w:spacing w:before="0" w:after="200" w:lineRule="auto" w:line="276"/>
      </w:pPr>
      <w:r>
        <w:rPr>
          <w:b/>
        </w:rPr>
        <w:t xml:space="preserve">Abstract (EN): </w:t>
      </w:r>
      <w:r>
        <w:t>Relics of wonder. Relics of wonder.</w:t>
      </w:r>
    </w:p>
    <w:p>
      <w:pPr>
        <w:spacing w:before="120" w:after="120"/>
      </w:pPr>
      <w:r>
        <w:rPr>
          <w:sz w:val="18"/>
        </w:rPr>
        <w:t>——————————————————————————————————————————————————————————————————————</w:t>
      </w:r>
    </w:p>
    <w:p>
      <w:pPr>
        <w:spacing w:before="160" w:after="40" w:line="240" w:lineRule="auto"/>
      </w:pPr>
      <w:r>
        <w:rPr>
          <w:b/>
        </w:rPr>
        <w:t xml:space="preserve">[299] </w:t>
      </w:r>
      <w:hyperlink r:id="rId805">
        <w:r>
          <w:rPr>
            <w:color w:val="1155CC"/>
            <w:u w:val="single"/>
          </w:rPr>
          <w:t>人体和癌症中蛋白质组的空间分布</w:t>
        </w:r>
      </w:hyperlink>
    </w:p>
    <w:p>
      <w:pPr>
        <w:spacing w:before="0" w:after="80"/>
      </w:pPr>
      <w:r>
        <w:rPr>
          <w:i/>
          <w:sz w:val="20"/>
        </w:rPr>
        <w:t>EN: Spatial distribution of the proteome in the human body and in cancers</w:t>
      </w:r>
    </w:p>
    <w:p>
      <w:pPr>
        <w:spacing w:before="0" w:after="120"/>
      </w:pPr>
      <w:r>
        <w:rPr>
          <w:b/>
        </w:rPr>
        <w:t xml:space="preserve">Source: </w:t>
      </w:r>
      <w:r>
        <w:t>Nature</w:t>
      </w:r>
      <w:r>
        <w:t xml:space="preserve">    </w:t>
      </w:r>
      <w:r>
        <w:rPr>
          <w:b/>
        </w:rPr>
        <w:t xml:space="preserve">Pub date: </w:t>
      </w:r>
      <w:r>
        <w:t>2026-06-17 00:00:00+00:00</w:t>
      </w:r>
      <w:r>
        <w:t xml:space="preserve">    </w:t>
      </w:r>
      <w:r>
        <w:rPr>
          <w:b/>
        </w:rPr>
        <w:t xml:space="preserve">DOI: </w:t>
      </w:r>
      <w:hyperlink r:id="rId806">
        <w:r>
          <w:rPr>
            <w:color w:val="1155CC"/>
            <w:u w:val="single"/>
          </w:rPr>
          <w:t>10.1038/s41586-026-10660-y</w:t>
        </w:r>
      </w:hyperlink>
    </w:p>
    <w:p>
      <w:pPr>
        <w:spacing w:before="0" w:after="120"/>
      </w:pPr>
      <w:r>
        <w:rPr>
          <w:b/>
        </w:rPr>
        <w:t xml:space="preserve">Notes: </w:t>
      </w:r>
      <w:r>
        <w:t>abstract_source=nature_html</w:t>
      </w:r>
    </w:p>
    <w:p>
      <w:pPr>
        <w:spacing w:before="0" w:after="80" w:lineRule="auto" w:line="276"/>
      </w:pPr>
      <w:r>
        <w:rPr>
          <w:b/>
        </w:rPr>
        <w:t xml:space="preserve">摘要（ZH）: </w:t>
      </w:r>
      <w:r>
        <w:t>详细的、空间分辨的人类蛋白质组定量图对于更深入地了解人类生物学和疾病至关重要1,2,3,4。在这里，我们展示了全面的人类蛋白质组学图谱，该图谱是通过使用数据独立的采集质谱分析 2,856 个样本中的 13,000 多种蛋白质而生成的。该数据集涵盖 58 种主要组织类型、251 种特定组织亚型和 25 种不同的癌症。该资源能够描述跨组织类型和生理状态（包括胎儿、肿瘤、邻近非肿瘤和健康成人组织）的空间分辨蛋白质组轨迹，从而提供对发育过程和致癌进展的洞察。此外，不同组织类型和状态之间的定量蛋白质组学比较有助于指示器官特异性毒性、识别可重复利用的候选抗癌药物以及确定癌症治疗靶点的优先顺序。这项研究为人体和常见癌症中的蛋白质组导航建立了定量资源。</w:t>
      </w:r>
    </w:p>
    <w:p>
      <w:pPr>
        <w:spacing w:before="0" w:after="200" w:lineRule="auto" w:line="276"/>
      </w:pPr>
      <w:r>
        <w:rPr>
          <w:b/>
        </w:rPr>
        <w:t xml:space="preserve">Abstract (EN): </w:t>
      </w:r>
      <w:r>
        <w:t>A detailed, spatially resolved quantitative map of the human proteome is essential for a deeper understanding of human biology and disease1,2,3,4. Here we present a comprehensive human proteomic landscape, generated by profiling more than 13,000 proteins across 2,856 samples using data-independent acquisition mass spectrometry. The dataset spans 58 major tissue types, 251 specific tissue subtypes and 25 distinct carcinomas. This resource enables the depiction of spatially resolved proteome trajectories across tissue types and physiological states, including fetal, tumour, adjacent non-tumour and healthy adult tissue, thereby providing insight into both developmental processes and oncogenic progression. Furthermore, quantitative proteomics comparisons across diverse tissue types and states facilitate the indication of organ-specific toxicity, the identification of repurposable anticancer drug candidates and the prioritization of therapeutic targets for cancers. This study establishes a quantitative resource for navigating the proteome in the human body and in common cancers.</w:t>
      </w:r>
    </w:p>
    <w:p>
      <w:pPr>
        <w:spacing w:before="120" w:after="120"/>
      </w:pPr>
      <w:r>
        <w:rPr>
          <w:sz w:val="18"/>
        </w:rPr>
        <w:t>——————————————————————————————————————————————————————————————————————</w:t>
      </w:r>
    </w:p>
    <w:p>
      <w:pPr>
        <w:spacing w:before="160" w:after="40" w:line="240" w:lineRule="auto"/>
      </w:pPr>
      <w:r>
        <w:rPr>
          <w:b/>
        </w:rPr>
        <w:t xml:space="preserve">[300] </w:t>
      </w:r>
      <w:hyperlink r:id="rId807">
        <w:r>
          <w:rPr>
            <w:color w:val="1155CC"/>
            <w:u w:val="single"/>
          </w:rPr>
          <w:t>可重构的量子计算机可处理 98 个量子位</w:t>
        </w:r>
      </w:hyperlink>
    </w:p>
    <w:p>
      <w:pPr>
        <w:spacing w:before="0" w:after="80"/>
      </w:pPr>
      <w:r>
        <w:rPr>
          <w:i/>
          <w:sz w:val="20"/>
        </w:rPr>
        <w:t>EN: Reconfigurable quantum computer juggles 98 qubits</w:t>
      </w:r>
    </w:p>
    <w:p>
      <w:pPr>
        <w:spacing w:before="0" w:after="120"/>
      </w:pPr>
      <w:r>
        <w:rPr>
          <w:b/>
        </w:rPr>
        <w:t xml:space="preserve">Source: </w:t>
      </w:r>
      <w:r>
        <w:t>Nature</w:t>
      </w:r>
      <w:r>
        <w:t xml:space="preserve">    </w:t>
      </w:r>
      <w:r>
        <w:rPr>
          <w:b/>
        </w:rPr>
        <w:t xml:space="preserve">Pub date: </w:t>
      </w:r>
      <w:r>
        <w:t>2026-06-17 00:00:00+00:00</w:t>
      </w:r>
      <w:r>
        <w:t xml:space="preserve">    </w:t>
      </w:r>
      <w:r>
        <w:rPr>
          <w:b/>
        </w:rPr>
        <w:t xml:space="preserve">DOI: </w:t>
      </w:r>
      <w:hyperlink r:id="rId808">
        <w:r>
          <w:rPr>
            <w:color w:val="1155CC"/>
            <w:u w:val="single"/>
          </w:rPr>
          <w:t>10.1038/d41586-026-01702-6</w:t>
        </w:r>
      </w:hyperlink>
    </w:p>
    <w:p>
      <w:pPr>
        <w:spacing w:before="0" w:after="120"/>
      </w:pPr>
      <w:r>
        <w:rPr>
          <w:b/>
        </w:rPr>
        <w:t xml:space="preserve">Notes: </w:t>
      </w:r>
      <w:r>
        <w:t>abstract_source=nature_html</w:t>
      </w:r>
    </w:p>
    <w:p>
      <w:pPr>
        <w:spacing w:before="0" w:after="80" w:lineRule="auto" w:line="276"/>
      </w:pPr>
      <w:r>
        <w:rPr>
          <w:b/>
        </w:rPr>
        <w:t xml:space="preserve">摘要（ZH）: </w:t>
      </w:r>
      <w:r>
        <w:t>基于捕获离子的量子计算机可以连接任意两个量子比特，达到传统计算机无法比拟的性能水平。基于捕获离子的量子计算机可以连接任意两个量子比特，达到传统计算机无法比拟的性能水平。</w:t>
      </w:r>
    </w:p>
    <w:p>
      <w:pPr>
        <w:spacing w:before="0" w:after="200" w:lineRule="auto" w:line="276"/>
      </w:pPr>
      <w:r>
        <w:rPr>
          <w:b/>
        </w:rPr>
        <w:t xml:space="preserve">Abstract (EN): </w:t>
      </w:r>
      <w:r>
        <w:t>A quantum computer based on trapped ions can connect any two quantum bits, reaching performance levels that conventional computers cannot match. A quantum computer based on trapped ions can connect any two quantum bits, reaching performance levels that conventional computers cannot match.</w:t>
      </w:r>
    </w:p>
    <w:p>
      <w:pPr>
        <w:spacing w:before="120" w:after="120"/>
      </w:pPr>
      <w:r>
        <w:rPr>
          <w:sz w:val="18"/>
        </w:rPr>
        <w:t>——————————————————————————————————————————————————————————————————————</w:t>
      </w:r>
    </w:p>
    <w:p>
      <w:pPr>
        <w:spacing w:before="160" w:after="40" w:line="240" w:lineRule="auto"/>
      </w:pPr>
      <w:r>
        <w:rPr>
          <w:b/>
        </w:rPr>
        <w:t xml:space="preserve">[301] </w:t>
      </w:r>
      <w:hyperlink r:id="rId809">
        <w:r>
          <w:rPr>
            <w:color w:val="1155CC"/>
            <w:u w:val="single"/>
          </w:rPr>
          <w:t>在拥挤的发育中大脑中导航会导致神经元DNA断裂</w:t>
        </w:r>
      </w:hyperlink>
    </w:p>
    <w:p>
      <w:pPr>
        <w:spacing w:before="0" w:after="80"/>
      </w:pPr>
      <w:r>
        <w:rPr>
          <w:i/>
          <w:sz w:val="20"/>
        </w:rPr>
        <w:t>EN: Navigating a crowded developing brain leaves neurons with broken DNA</w:t>
      </w:r>
    </w:p>
    <w:p>
      <w:pPr>
        <w:spacing w:before="0" w:after="120"/>
      </w:pPr>
      <w:r>
        <w:rPr>
          <w:b/>
        </w:rPr>
        <w:t xml:space="preserve">Source: </w:t>
      </w:r>
      <w:r>
        <w:t>Nature</w:t>
      </w:r>
      <w:r>
        <w:t xml:space="preserve">    </w:t>
      </w:r>
      <w:r>
        <w:rPr>
          <w:b/>
        </w:rPr>
        <w:t xml:space="preserve">Pub date: </w:t>
      </w:r>
      <w:r>
        <w:t>2026-06-17 00:00:00+00:00</w:t>
      </w:r>
      <w:r>
        <w:t xml:space="preserve">    </w:t>
      </w:r>
      <w:r>
        <w:rPr>
          <w:b/>
        </w:rPr>
        <w:t xml:space="preserve">DOI: </w:t>
      </w:r>
      <w:hyperlink r:id="rId810">
        <w:r>
          <w:rPr>
            <w:color w:val="1155CC"/>
            <w:u w:val="single"/>
          </w:rPr>
          <w:t>10.1038/d41586-026-01705-3</w:t>
        </w:r>
      </w:hyperlink>
    </w:p>
    <w:p>
      <w:pPr>
        <w:spacing w:before="0" w:after="120"/>
      </w:pPr>
      <w:r>
        <w:rPr>
          <w:b/>
        </w:rPr>
        <w:t xml:space="preserve">Notes: </w:t>
      </w:r>
      <w:r>
        <w:t>abstract_source=nature_html</w:t>
      </w:r>
    </w:p>
    <w:p>
      <w:pPr>
        <w:spacing w:before="0" w:after="80" w:lineRule="auto" w:line="276"/>
      </w:pPr>
      <w:r>
        <w:rPr>
          <w:b/>
        </w:rPr>
        <w:t xml:space="preserve">摘要（ZH）: </w:t>
      </w:r>
      <w:r>
        <w:t>当神经元迁移到正在形成的大脑中的最终目的地时，它们的 DNA 就会受到损坏。大脑已经进化出了修复功能，但如果修复失败，可能会产生持久的后果。当神经元迁移到正在形成的大脑中的最终目的地时，它们的 DNA 就会受到损坏。大脑已经进化出了修复功能，但如果修复失败，可能会产生持久的后果。</w:t>
      </w:r>
    </w:p>
    <w:p>
      <w:pPr>
        <w:spacing w:before="0" w:after="200" w:lineRule="auto" w:line="276"/>
      </w:pPr>
      <w:r>
        <w:rPr>
          <w:b/>
        </w:rPr>
        <w:t xml:space="preserve">Abstract (EN): </w:t>
      </w:r>
      <w:r>
        <w:t>As neurons migrate to their final destinations in the forming brain, their DNA gets damaged. The brain has evolved a fix, but there can be lasting consequences if repair fails. As neurons migrate to their final destinations in the forming brain, their DNA gets damaged. The brain has evolved a fix, but there can be lasting consequences if repair fails.</w:t>
      </w:r>
    </w:p>
    <w:p>
      <w:pPr>
        <w:spacing w:before="120" w:after="120"/>
      </w:pPr>
      <w:r>
        <w:rPr>
          <w:sz w:val="18"/>
        </w:rPr>
        <w:t>——————————————————————————————————————————————————————————————————————</w:t>
      </w:r>
    </w:p>
    <w:p>
      <w:pPr>
        <w:spacing w:before="160" w:after="40" w:line="240" w:lineRule="auto"/>
      </w:pPr>
      <w:r>
        <w:rPr>
          <w:b/>
        </w:rPr>
        <w:t xml:space="preserve">[302] </w:t>
      </w:r>
      <w:hyperlink r:id="rId811">
        <w:r>
          <w:rPr>
            <w:color w:val="1155CC"/>
            <w:u w:val="single"/>
          </w:rPr>
          <w:t>欧盟需要用现金支持其结束动物试验的雄心</w:t>
        </w:r>
      </w:hyperlink>
    </w:p>
    <w:p>
      <w:pPr>
        <w:spacing w:before="0" w:after="80"/>
      </w:pPr>
      <w:r>
        <w:rPr>
          <w:i/>
          <w:sz w:val="20"/>
        </w:rPr>
        <w:t>EN: The EU needs to back its ambition to end animal testing with cash</w:t>
      </w:r>
    </w:p>
    <w:p>
      <w:pPr>
        <w:spacing w:before="0" w:after="120"/>
      </w:pPr>
      <w:r>
        <w:rPr>
          <w:b/>
        </w:rPr>
        <w:t xml:space="preserve">Source: </w:t>
      </w:r>
      <w:r>
        <w:t>Nature</w:t>
      </w:r>
      <w:r>
        <w:t xml:space="preserve">    </w:t>
      </w:r>
      <w:r>
        <w:rPr>
          <w:b/>
        </w:rPr>
        <w:t xml:space="preserve">Pub date: </w:t>
      </w:r>
      <w:r>
        <w:t>2026-06-17 00:00:00+00:00</w:t>
      </w:r>
      <w:r>
        <w:t xml:space="preserve">    </w:t>
      </w:r>
      <w:r>
        <w:rPr>
          <w:b/>
        </w:rPr>
        <w:t xml:space="preserve">DOI: </w:t>
      </w:r>
      <w:hyperlink r:id="rId812">
        <w:r>
          <w:rPr>
            <w:color w:val="1155CC"/>
            <w:u w:val="single"/>
          </w:rPr>
          <w:t>10.1038/d41586-026-01882-1</w:t>
        </w:r>
      </w:hyperlink>
    </w:p>
    <w:p>
      <w:pPr>
        <w:spacing w:before="0" w:after="120"/>
      </w:pPr>
      <w:r>
        <w:rPr>
          <w:b/>
        </w:rPr>
        <w:t xml:space="preserve">Notes: </w:t>
      </w:r>
      <w:r>
        <w:t>abstract_source=nature_html</w:t>
      </w:r>
    </w:p>
    <w:p>
      <w:pPr>
        <w:spacing w:before="0" w:after="80" w:lineRule="auto" w:line="276"/>
      </w:pPr>
      <w:r>
        <w:rPr>
          <w:b/>
        </w:rPr>
        <w:t xml:space="preserve">摘要（ZH）: </w:t>
      </w:r>
      <w:r>
        <w:t>欧盟已宣布希望停止使用动物进行化学安全测试。其目标需要一个时间表和认真的资金承诺。欧盟已宣布希望停止使用动物进行化学安全测试。其目标需要一个时间表和认真的资金承诺。</w:t>
      </w:r>
    </w:p>
    <w:p>
      <w:pPr>
        <w:spacing w:before="0" w:after="200" w:lineRule="auto" w:line="276"/>
      </w:pPr>
      <w:r>
        <w:rPr>
          <w:b/>
        </w:rPr>
        <w:t xml:space="preserve">Abstract (EN): </w:t>
      </w:r>
      <w:r>
        <w:t>The European Union has declared that it wants to stop using animals in chemical safety testing. Its goal will need a timeline and a serious funding commitment. The European Union has declared that it wants to stop using animals in chemical safety testing. Its goal will need a timeline and a serious funding commitment.</w:t>
      </w:r>
    </w:p>
    <w:p>
      <w:pPr>
        <w:spacing w:before="120" w:after="120"/>
      </w:pPr>
      <w:r>
        <w:rPr>
          <w:sz w:val="18"/>
        </w:rPr>
        <w:t>——————————————————————————————————————————————————————————————————————</w:t>
      </w:r>
    </w:p>
    <w:p>
      <w:pPr>
        <w:spacing w:before="160" w:after="40" w:line="240" w:lineRule="auto"/>
      </w:pPr>
      <w:r>
        <w:rPr>
          <w:b/>
        </w:rPr>
        <w:t xml:space="preserve">[303] </w:t>
      </w:r>
      <w:hyperlink r:id="rId813">
        <w:r>
          <w:rPr>
            <w:color w:val="1155CC"/>
            <w:u w:val="single"/>
          </w:rPr>
          <w:t>大脑如何逐个神经元构建句子</w:t>
        </w:r>
      </w:hyperlink>
    </w:p>
    <w:p>
      <w:pPr>
        <w:spacing w:before="0" w:after="80"/>
      </w:pPr>
      <w:r>
        <w:rPr>
          <w:i/>
          <w:sz w:val="20"/>
        </w:rPr>
        <w:t>EN: How the brain builds sentences, neuron by neuron</w:t>
      </w:r>
    </w:p>
    <w:p>
      <w:pPr>
        <w:spacing w:before="0" w:after="120"/>
      </w:pPr>
      <w:r>
        <w:rPr>
          <w:b/>
        </w:rPr>
        <w:t xml:space="preserve">Source: </w:t>
      </w:r>
      <w:r>
        <w:t>Nature</w:t>
      </w:r>
      <w:r>
        <w:t xml:space="preserve">    </w:t>
      </w:r>
      <w:r>
        <w:rPr>
          <w:b/>
        </w:rPr>
        <w:t xml:space="preserve">Pub date: </w:t>
      </w:r>
      <w:r>
        <w:t>2026-06-17 00:00:00+00:00</w:t>
      </w:r>
      <w:r>
        <w:t xml:space="preserve">    </w:t>
      </w:r>
      <w:r>
        <w:rPr>
          <w:b/>
        </w:rPr>
        <w:t xml:space="preserve">DOI: </w:t>
      </w:r>
      <w:hyperlink r:id="rId814">
        <w:r>
          <w:rPr>
            <w:color w:val="1155CC"/>
            <w:u w:val="single"/>
          </w:rPr>
          <w:t>10.1038/d41586-026-01922-w</w:t>
        </w:r>
      </w:hyperlink>
    </w:p>
    <w:p>
      <w:pPr>
        <w:spacing w:before="0" w:after="120"/>
      </w:pPr>
      <w:r>
        <w:rPr>
          <w:b/>
        </w:rPr>
        <w:t xml:space="preserve">Notes: </w:t>
      </w:r>
      <w:r>
        <w:t>abstract_source=nature_html</w:t>
      </w:r>
    </w:p>
    <w:p>
      <w:pPr>
        <w:spacing w:before="0" w:after="80" w:lineRule="auto" w:line="276"/>
      </w:pPr>
      <w:r>
        <w:rPr>
          <w:b/>
        </w:rPr>
        <w:t xml:space="preserve">摘要（ZH）: </w:t>
      </w:r>
      <w:r>
        <w:t>神经图谱揭示了产生语音的特殊细胞。神经图谱揭示了产生语音的特殊细胞。</w:t>
      </w:r>
    </w:p>
    <w:p>
      <w:pPr>
        <w:spacing w:before="0" w:after="200" w:lineRule="auto" w:line="276"/>
      </w:pPr>
      <w:r>
        <w:rPr>
          <w:b/>
        </w:rPr>
        <w:t xml:space="preserve">Abstract (EN): </w:t>
      </w:r>
      <w:r>
        <w:t>Neural maps reveal the specialized cells that produce speech. Neural maps reveal the specialized cells that produce speech.</w:t>
      </w:r>
    </w:p>
    <w:p>
      <w:pPr>
        <w:spacing w:before="120" w:after="120"/>
      </w:pPr>
      <w:r>
        <w:rPr>
          <w:sz w:val="18"/>
        </w:rPr>
        <w:t>——————————————————————————————————————————————————————————————————————</w:t>
      </w:r>
    </w:p>
    <w:p>
      <w:pPr>
        <w:spacing w:before="160" w:after="40" w:line="240" w:lineRule="auto"/>
      </w:pPr>
      <w:r>
        <w:rPr>
          <w:b/>
        </w:rPr>
        <w:t xml:space="preserve">[304] </w:t>
      </w:r>
      <w:hyperlink r:id="rId815">
        <w:r>
          <w:rPr>
            <w:color w:val="1155CC"/>
            <w:u w:val="single"/>
          </w:rPr>
          <w:t>光控微夹具的打击能力超过其重量</w:t>
        </w:r>
      </w:hyperlink>
    </w:p>
    <w:p>
      <w:pPr>
        <w:spacing w:before="0" w:after="80"/>
      </w:pPr>
      <w:r>
        <w:rPr>
          <w:i/>
          <w:sz w:val="20"/>
        </w:rPr>
        <w:t>EN: Light-controlled microgripper punches above its weight</w:t>
      </w:r>
    </w:p>
    <w:p>
      <w:pPr>
        <w:spacing w:before="0" w:after="120"/>
      </w:pPr>
      <w:r>
        <w:rPr>
          <w:b/>
        </w:rPr>
        <w:t xml:space="preserve">Source: </w:t>
      </w:r>
      <w:r>
        <w:t>Nature</w:t>
      </w:r>
      <w:r>
        <w:t xml:space="preserve">    </w:t>
      </w:r>
      <w:r>
        <w:rPr>
          <w:b/>
        </w:rPr>
        <w:t xml:space="preserve">Pub date: </w:t>
      </w:r>
      <w:r>
        <w:t>2026-06-17 00:00:00+00:00</w:t>
      </w:r>
      <w:r>
        <w:t xml:space="preserve">    </w:t>
      </w:r>
      <w:r>
        <w:rPr>
          <w:b/>
        </w:rPr>
        <w:t xml:space="preserve">DOI: </w:t>
      </w:r>
      <w:hyperlink r:id="rId816">
        <w:r>
          <w:rPr>
            <w:color w:val="1155CC"/>
            <w:u w:val="single"/>
          </w:rPr>
          <w:t>10.1038/d41586-026-01703-5</w:t>
        </w:r>
      </w:hyperlink>
    </w:p>
    <w:p>
      <w:pPr>
        <w:spacing w:before="0" w:after="120"/>
      </w:pPr>
      <w:r>
        <w:rPr>
          <w:b/>
        </w:rPr>
        <w:t xml:space="preserve">Notes: </w:t>
      </w:r>
      <w:r>
        <w:t>abstract_source=nature_html</w:t>
      </w:r>
    </w:p>
    <w:p>
      <w:pPr>
        <w:spacing w:before="0" w:after="80" w:lineRule="auto" w:line="276"/>
      </w:pPr>
      <w:r>
        <w:rPr>
          <w:b/>
        </w:rPr>
        <w:t xml:space="preserve">摘要（ZH）: </w:t>
      </w:r>
      <w:r>
        <w:t>可以利用光打开和关闭的微型夹具可以适应狭小的空间并执行与临床应用相关的任务。可以利用光打开和关闭的微型夹具可以适应狭小的空间并执行与临床应用相关的任务。</w:t>
      </w:r>
    </w:p>
    <w:p>
      <w:pPr>
        <w:spacing w:before="0" w:after="200" w:lineRule="auto" w:line="276"/>
      </w:pPr>
      <w:r>
        <w:rPr>
          <w:b/>
        </w:rPr>
        <w:t xml:space="preserve">Abstract (EN): </w:t>
      </w:r>
      <w:r>
        <w:t>A microscale gripper that can be opened and closed using light can fit into tight spaces and perform tasks linked to clinical applications. A microscale gripper that can be opened and closed using light can fit into tight spaces and perform tasks linked to clinical applications.</w:t>
      </w:r>
    </w:p>
    <w:p>
      <w:pPr>
        <w:spacing w:before="120" w:after="120"/>
      </w:pPr>
      <w:r>
        <w:rPr>
          <w:sz w:val="18"/>
        </w:rPr>
        <w:t>——————————————————————————————————————————————————————————————————————</w:t>
      </w:r>
    </w:p>
    <w:p>
      <w:pPr>
        <w:spacing w:before="160" w:after="40" w:line="240" w:lineRule="auto"/>
      </w:pPr>
      <w:r>
        <w:rPr>
          <w:b/>
        </w:rPr>
        <w:t xml:space="preserve">[305] </w:t>
      </w:r>
      <w:hyperlink r:id="rId817">
        <w:r>
          <w:rPr>
            <w:color w:val="1155CC"/>
            <w:u w:val="single"/>
          </w:rPr>
          <w:t>真核细胞的祖先包含来自各种微生物的基因的混合物</w:t>
        </w:r>
      </w:hyperlink>
    </w:p>
    <w:p>
      <w:pPr>
        <w:spacing w:before="0" w:after="80"/>
      </w:pPr>
      <w:r>
        <w:rPr>
          <w:i/>
          <w:sz w:val="20"/>
        </w:rPr>
        <w:t>EN: The ancestors of eukaryotic cells contained a mix of genes from various microbes</w:t>
      </w:r>
    </w:p>
    <w:p>
      <w:pPr>
        <w:spacing w:before="0" w:after="120"/>
      </w:pPr>
      <w:r>
        <w:rPr>
          <w:b/>
        </w:rPr>
        <w:t xml:space="preserve">Source: </w:t>
      </w:r>
      <w:r>
        <w:t>Nature</w:t>
      </w:r>
      <w:r>
        <w:t xml:space="preserve">    </w:t>
      </w:r>
      <w:r>
        <w:rPr>
          <w:b/>
        </w:rPr>
        <w:t xml:space="preserve">Pub date: </w:t>
      </w:r>
      <w:r>
        <w:t>2026-06-17 00:00:00+00:00</w:t>
      </w:r>
      <w:r>
        <w:t xml:space="preserve">    </w:t>
      </w:r>
      <w:r>
        <w:rPr>
          <w:b/>
        </w:rPr>
        <w:t xml:space="preserve">DOI: </w:t>
      </w:r>
      <w:hyperlink r:id="rId818">
        <w:r>
          <w:rPr>
            <w:color w:val="1155CC"/>
            <w:u w:val="single"/>
          </w:rPr>
          <w:t>10.1038/d41586-026-01739-7</w:t>
        </w:r>
      </w:hyperlink>
    </w:p>
    <w:p>
      <w:pPr>
        <w:spacing w:before="0" w:after="120"/>
      </w:pPr>
      <w:r>
        <w:rPr>
          <w:b/>
        </w:rPr>
        <w:t xml:space="preserve">Notes: </w:t>
      </w:r>
      <w:r>
        <w:t>abstract_source=nature_html</w:t>
      </w:r>
    </w:p>
    <w:p>
      <w:pPr>
        <w:spacing w:before="0" w:after="80" w:lineRule="auto" w:line="276"/>
      </w:pPr>
      <w:r>
        <w:rPr>
          <w:b/>
        </w:rPr>
        <w:t xml:space="preserve">摘要（ZH）: </w:t>
      </w:r>
      <w:r>
        <w:t>真核细胞祖先基因库的重建揭示了与不同微生物的一系列密切、长期相互作用的痕迹，以及病毒在基因交换中的作用。这些发现挑战了真核细胞是由两种生物体简单合并进化而来的观点。复杂的微生物群落中可能发生了一系列基因转移事件。</w:t>
      </w:r>
    </w:p>
    <w:p>
      <w:pPr>
        <w:spacing w:before="0" w:after="200" w:lineRule="auto" w:line="276"/>
      </w:pPr>
      <w:r>
        <w:rPr>
          <w:b/>
        </w:rPr>
        <w:t xml:space="preserve">Abstract (EN): </w:t>
      </w:r>
      <w:r>
        <w:t>Reconstruction of the ancestral gene repertoire of eukaryotic cells reveals traces of a series of close, long-term interactions with diverse microorganisms, and a role of viruses in gene exchange. The findings challenge the view that eukaryotic cells evolved from a simple merger of just two organisms. A series of gene-transfer events might have taken place in complex microbial communities.</w:t>
      </w:r>
    </w:p>
    <w:p>
      <w:pPr>
        <w:spacing w:before="120" w:after="120"/>
      </w:pPr>
      <w:r>
        <w:rPr>
          <w:sz w:val="18"/>
        </w:rPr>
        <w:t>——————————————————————————————————————————————————————————————————————</w:t>
      </w:r>
    </w:p>
    <w:p>
      <w:pPr>
        <w:spacing w:before="160" w:after="40" w:line="240" w:lineRule="auto"/>
      </w:pPr>
      <w:r>
        <w:rPr>
          <w:b/>
        </w:rPr>
        <w:t xml:space="preserve">[306] </w:t>
      </w:r>
      <w:hyperlink r:id="rId819">
        <w:r>
          <w:rPr>
            <w:color w:val="1155CC"/>
            <w:u w:val="single"/>
          </w:rPr>
          <w:t>尼古丁是否应该像麻醉品一样受到监管？一个太平洋国家证明了这一点</w:t>
        </w:r>
      </w:hyperlink>
    </w:p>
    <w:p>
      <w:pPr>
        <w:spacing w:before="0" w:after="80"/>
      </w:pPr>
      <w:r>
        <w:rPr>
          <w:i/>
          <w:sz w:val="20"/>
        </w:rPr>
        <w:t>EN: Should nicotine be regulated like a narcotic? A Pacific nation makes the case</w:t>
      </w:r>
    </w:p>
    <w:p>
      <w:pPr>
        <w:spacing w:before="0" w:after="120"/>
      </w:pPr>
      <w:r>
        <w:rPr>
          <w:b/>
        </w:rPr>
        <w:t xml:space="preserve">Source: </w:t>
      </w:r>
      <w:r>
        <w:t>Nature</w:t>
      </w:r>
      <w:r>
        <w:t xml:space="preserve">    </w:t>
      </w:r>
      <w:r>
        <w:rPr>
          <w:b/>
        </w:rPr>
        <w:t xml:space="preserve">Pub date: </w:t>
      </w:r>
      <w:r>
        <w:t>2026-06-17 00:00:00+00:00</w:t>
      </w:r>
      <w:r>
        <w:t xml:space="preserve">    </w:t>
      </w:r>
      <w:r>
        <w:rPr>
          <w:b/>
        </w:rPr>
        <w:t xml:space="preserve">DOI: </w:t>
      </w:r>
      <w:hyperlink r:id="rId820">
        <w:r>
          <w:rPr>
            <w:color w:val="1155CC"/>
            <w:u w:val="single"/>
          </w:rPr>
          <w:t>10.1038/d41586-026-01903-z</w:t>
        </w:r>
      </w:hyperlink>
    </w:p>
    <w:p>
      <w:pPr>
        <w:spacing w:before="0" w:after="120"/>
      </w:pPr>
      <w:r>
        <w:rPr>
          <w:b/>
        </w:rPr>
        <w:t xml:space="preserve">Notes: </w:t>
      </w:r>
      <w:r>
        <w:t>abstract_source=nature_html</w:t>
      </w:r>
    </w:p>
    <w:p>
      <w:pPr>
        <w:spacing w:before="0" w:after="80" w:lineRule="auto" w:line="276"/>
      </w:pPr>
      <w:r>
        <w:rPr>
          <w:b/>
        </w:rPr>
        <w:t xml:space="preserve">摘要（ZH）: </w:t>
      </w:r>
      <w:r>
        <w:t>目前全球减少吸烟危害的努力主要针对吸烟，但含有尼古丁的电子烟也有害。目前全球减少吸烟危害的努力主要针对吸烟，但含有尼古丁的电子烟也有害。</w:t>
      </w:r>
    </w:p>
    <w:p>
      <w:pPr>
        <w:spacing w:before="0" w:after="200" w:lineRule="auto" w:line="276"/>
      </w:pPr>
      <w:r>
        <w:rPr>
          <w:b/>
        </w:rPr>
        <w:t xml:space="preserve">Abstract (EN): </w:t>
      </w:r>
      <w:r>
        <w:t>Existing global efforts to reduce harms caused by smoking have targeted tobacco smoking, but vapes containing nicotine are also harmful. Existing global efforts to reduce harms caused by smoking have targeted tobacco smoking, but vapes containing nicotine are also harmful.</w:t>
      </w:r>
    </w:p>
    <w:p>
      <w:pPr>
        <w:spacing w:before="120" w:after="120"/>
      </w:pPr>
      <w:r>
        <w:rPr>
          <w:sz w:val="18"/>
        </w:rPr>
        <w:t>——————————————————————————————————————————————————————————————————————</w:t>
      </w:r>
    </w:p>
    <w:p>
      <w:pPr>
        <w:spacing w:before="160" w:after="40" w:line="240" w:lineRule="auto"/>
      </w:pPr>
      <w:r>
        <w:rPr>
          <w:b/>
        </w:rPr>
        <w:t xml:space="preserve">[307] </w:t>
      </w:r>
      <w:hyperlink r:id="rId821">
        <w:r>
          <w:rPr>
            <w:color w:val="1155CC"/>
            <w:u w:val="single"/>
          </w:rPr>
          <w:t>使用统一的核苷酸-蛋白质语言模型预测病毒的进化和功能景观：LucaVirus</w:t>
        </w:r>
      </w:hyperlink>
    </w:p>
    <w:p>
      <w:pPr>
        <w:spacing w:before="0" w:after="80"/>
      </w:pPr>
      <w:r>
        <w:rPr>
          <w:i/>
          <w:sz w:val="20"/>
        </w:rPr>
        <w:t>EN: Predicting the Evolutionary and Functional Landscapes of Viruses with a Unified Nucleotide-Protein Language Model: LucaVirus</w:t>
      </w:r>
    </w:p>
    <w:p>
      <w:pPr>
        <w:spacing w:before="0" w:after="120"/>
      </w:pPr>
      <w:r>
        <w:rPr>
          <w:b/>
        </w:rPr>
        <w:t xml:space="preserve">Source: </w:t>
      </w:r>
      <w:r>
        <w:t>National Science Review Advance Access</w:t>
      </w:r>
      <w:r>
        <w:t xml:space="preserve">    </w:t>
      </w:r>
      <w:r>
        <w:rPr>
          <w:b/>
        </w:rPr>
        <w:t xml:space="preserve">Pub date: </w:t>
      </w:r>
      <w:r>
        <w:t>2026-06-17 00:00:00+00:00</w:t>
      </w:r>
      <w:r>
        <w:t xml:space="preserve">    </w:t>
      </w:r>
      <w:r>
        <w:rPr>
          <w:b/>
        </w:rPr>
        <w:t xml:space="preserve">DOI: </w:t>
      </w:r>
      <w:hyperlink r:id="rId822">
        <w:r>
          <w:rPr>
            <w:color w:val="1155CC"/>
            <w:u w:val="single"/>
          </w:rPr>
          <w:t>10.1093/nsr/nwag376</w:t>
        </w:r>
      </w:hyperlink>
    </w:p>
    <w:p>
      <w:pPr>
        <w:spacing w:before="0" w:after="120"/>
      </w:pPr>
      <w:r>
        <w:rPr>
          <w:b/>
        </w:rPr>
        <w:t xml:space="preserve">Notes: </w:t>
      </w:r>
      <w:r>
        <w:t>abstract_source=rss_oup</w:t>
      </w:r>
    </w:p>
    <w:p>
      <w:pPr>
        <w:spacing w:before="0" w:after="80" w:lineRule="auto" w:line="276"/>
      </w:pPr>
      <w:r>
        <w:rPr>
          <w:b/>
        </w:rPr>
        <w:t xml:space="preserve">摘要（ZH）: </w:t>
      </w:r>
      <w:r>
        <w:t>预测病毒的进化和功能仍然是生物学的一个核心挑战，与细胞生物相比，其序列差异较大且知识有限，这阻碍了病毒的进化和功能。在这里，我们介绍 LucaVirus，一种病毒的多模态基础模型，经过 254 亿个核苷酸和氨基酸标记的训练，涵盖了绝大多数编目病毒多样性。 LucaVirus 学习具有生物学意义的表示，反映序列、蛋白质/基因同源性和进化分歧之间的关系。利用这些嵌入，我们开发了解决关键病毒学任务的下游模型：识别基因组“暗物质”中隐藏的病毒，注释未表征蛋白质的酶活性，预测病毒进化性，以及识别新出现病毒的候选抗体。 LucaVirus 在三项任务中展示了具有竞争力的性能，并在第四项任务中以三分之一的参数与领先模型相匹配。总之，这些发现证明了统一基础模型在分析病毒序列数据方面的实用性，并将 LucaVirus 建立为人工智能驱动的病毒学的高效多功能平台，涵盖从病毒发现到功能和治疗预测。</w:t>
      </w:r>
    </w:p>
    <w:p>
      <w:pPr>
        <w:spacing w:before="0" w:after="200" w:lineRule="auto" w:line="276"/>
      </w:pPr>
      <w:r>
        <w:rPr>
          <w:b/>
        </w:rPr>
        <w:t xml:space="preserve">Abstract (EN): </w:t>
      </w:r>
      <w:r>
        <w:t>Predicting viral evolution and function remains a central challenge in biology, hindered by high sequence divergence and limited knowledge compared to cellular organisms. Here, we introduce LucaVirus, a multi-modal foundation model for viruses, trained on 25.4 billion nucleotide and amino acid tokens covering a vast majority of catalogued viral diversity. LucaVirus learns biologically meaningful representations that reflect relationships between sequences, protein/gene homology, and evolutionary divergence. Using these embeddings, we developed downstream models that address key virology tasks: identifying hidden viruses in genomic ‘dark matter’, annotating enzymatic activities of uncharacterized proteins, predicting viral evolvability, and identifying antibody candidates for emerging viruses. LucaVirus demonstrates competitive performance in three tasks and matches leading models in the fourth with one-third the parameters. Together, these findings demonstrate the utility of a unified foundation model in analyzing viral sequence data and establish LucaVirus as an efficient and versatile platform for AI-driven virology, from virus discovery to functional and therapeutic predictions.</w:t>
      </w:r>
    </w:p>
    <w:p>
      <w:pPr>
        <w:spacing w:before="120" w:after="120"/>
      </w:pPr>
      <w:r>
        <w:rPr>
          <w:sz w:val="18"/>
        </w:rPr>
        <w:t>——————————————————————————————————————————————————————————————————————</w:t>
      </w:r>
    </w:p>
    <w:p>
      <w:pPr>
        <w:spacing w:before="160" w:after="40" w:line="240" w:lineRule="auto"/>
      </w:pPr>
      <w:r>
        <w:rPr>
          <w:b/>
        </w:rPr>
        <w:t xml:space="preserve">[308] </w:t>
      </w:r>
      <w:hyperlink r:id="rId823">
        <w:r>
          <w:rPr>
            <w:color w:val="1155CC"/>
            <w:u w:val="single"/>
          </w:rPr>
          <w:t>通过光学计算重新构想机器视觉</w:t>
        </w:r>
      </w:hyperlink>
    </w:p>
    <w:p>
      <w:pPr>
        <w:spacing w:before="0" w:after="80"/>
      </w:pPr>
      <w:r>
        <w:rPr>
          <w:i/>
          <w:sz w:val="20"/>
        </w:rPr>
        <w:t>EN: Reimagining machine vision with optical computing</w:t>
      </w:r>
    </w:p>
    <w:p>
      <w:pPr>
        <w:spacing w:before="0" w:after="120"/>
      </w:pPr>
      <w:r>
        <w:rPr>
          <w:b/>
        </w:rPr>
        <w:t xml:space="preserve">Source: </w:t>
      </w:r>
      <w:r>
        <w:t>Nature</w:t>
      </w:r>
      <w:r>
        <w:t xml:space="preserve">    </w:t>
      </w:r>
      <w:r>
        <w:rPr>
          <w:b/>
        </w:rPr>
        <w:t xml:space="preserve">Pub date: </w:t>
      </w:r>
      <w:r>
        <w:t>2026-06-17 00:00:00+00:00</w:t>
      </w:r>
      <w:r>
        <w:t xml:space="preserve">    </w:t>
      </w:r>
      <w:r>
        <w:rPr>
          <w:b/>
        </w:rPr>
        <w:t xml:space="preserve">DOI: </w:t>
      </w:r>
      <w:hyperlink r:id="rId824">
        <w:r>
          <w:rPr>
            <w:color w:val="1155CC"/>
            <w:u w:val="single"/>
          </w:rPr>
          <w:t>10.1038/d41586-026-01891-0</w:t>
        </w:r>
      </w:hyperlink>
    </w:p>
    <w:p>
      <w:pPr>
        <w:spacing w:before="0" w:after="120"/>
      </w:pPr>
      <w:r>
        <w:rPr>
          <w:b/>
        </w:rPr>
        <w:t xml:space="preserve">Notes: </w:t>
      </w:r>
      <w:r>
        <w:t>abstract_source=nature_html</w:t>
      </w:r>
    </w:p>
    <w:p>
      <w:pPr>
        <w:spacing w:before="0" w:after="80" w:lineRule="auto" w:line="276"/>
      </w:pPr>
      <w:r>
        <w:rPr>
          <w:b/>
        </w:rPr>
        <w:t xml:space="preserve">摘要（ZH）: </w:t>
      </w:r>
      <w:r>
        <w:t>通过将核心计算机视觉操作的基本原理嵌入到称为光学超表面的光操纵平面材料中，开发出了用于图像传感设备的通用人工智能视觉系统。原型可以实现跨不同任务的准确、实时感知和处理，这表明这可能是快速、低能耗、设备上视觉智能的解决方案。专门的“超表面”可以预处理图像生成设备上传入的场景信息。</w:t>
      </w:r>
    </w:p>
    <w:p>
      <w:pPr>
        <w:spacing w:before="0" w:after="200" w:lineRule="auto" w:line="276"/>
      </w:pPr>
      <w:r>
        <w:rPr>
          <w:b/>
        </w:rPr>
        <w:t xml:space="preserve">Abstract (EN): </w:t>
      </w:r>
      <w:r>
        <w:t>A general-purpose artificial-intelligence vision system for use in image-sensing devices has been developed by embedding fundamentals of core computer-vision operations into a light-manipulating planar material called an optical metasurface. A prototype enables accurate, real-time perception and processing across diverse tasks, suggesting that this could be a solution for rapid, low-energy, on-device vision intelligence. A specialized ‘metasurface’ can preprocess incoming scene information on image-generating devices.</w:t>
      </w:r>
    </w:p>
    <w:p>
      <w:pPr>
        <w:spacing w:before="120" w:after="120"/>
      </w:pPr>
      <w:r>
        <w:rPr>
          <w:sz w:val="18"/>
        </w:rPr>
        <w:t>——————————————————————————————————————————————————————————————————————</w:t>
      </w:r>
    </w:p>
    <w:p>
      <w:pPr>
        <w:spacing w:before="160" w:after="40" w:line="240" w:lineRule="auto"/>
      </w:pPr>
      <w:r>
        <w:rPr>
          <w:b/>
        </w:rPr>
        <w:t xml:space="preserve">[309] </w:t>
      </w:r>
      <w:hyperlink r:id="rId825">
        <w:r>
          <w:rPr>
            <w:color w:val="1155CC"/>
            <w:u w:val="single"/>
          </w:rPr>
          <w:t>巴基斯坦基因组资源中 173,303 个外显子组和基因组的分析</w:t>
        </w:r>
      </w:hyperlink>
    </w:p>
    <w:p>
      <w:pPr>
        <w:spacing w:before="0" w:after="80"/>
      </w:pPr>
      <w:r>
        <w:rPr>
          <w:i/>
          <w:sz w:val="20"/>
        </w:rPr>
        <w:t>EN: Analysis of 173,303 exomes and genomes in the Pakistan Genome Resource</w:t>
      </w:r>
    </w:p>
    <w:p>
      <w:pPr>
        <w:spacing w:before="0" w:after="120"/>
      </w:pPr>
      <w:r>
        <w:rPr>
          <w:b/>
        </w:rPr>
        <w:t xml:space="preserve">Source: </w:t>
      </w:r>
      <w:r>
        <w:t>Nature</w:t>
      </w:r>
      <w:r>
        <w:t xml:space="preserve">    </w:t>
      </w:r>
      <w:r>
        <w:rPr>
          <w:b/>
        </w:rPr>
        <w:t xml:space="preserve">Pub date: </w:t>
      </w:r>
      <w:r>
        <w:t>2026-06-17 00:00:00+00:00</w:t>
      </w:r>
      <w:r>
        <w:t xml:space="preserve">    </w:t>
      </w:r>
      <w:r>
        <w:rPr>
          <w:b/>
        </w:rPr>
        <w:t xml:space="preserve">DOI: </w:t>
      </w:r>
      <w:hyperlink r:id="rId826">
        <w:r>
          <w:rPr>
            <w:color w:val="1155CC"/>
            <w:u w:val="single"/>
          </w:rPr>
          <w:t>10.1038/s41586-026-10667-5</w:t>
        </w:r>
      </w:hyperlink>
    </w:p>
    <w:p>
      <w:pPr>
        <w:spacing w:before="0" w:after="120"/>
      </w:pPr>
      <w:r>
        <w:rPr>
          <w:b/>
        </w:rPr>
        <w:t xml:space="preserve">Notes: </w:t>
      </w:r>
      <w:r>
        <w:t>abstract_source=nature_html</w:t>
      </w:r>
    </w:p>
    <w:p>
      <w:pPr>
        <w:spacing w:before="0" w:after="80" w:lineRule="auto" w:line="276"/>
      </w:pPr>
      <w:r>
        <w:rPr>
          <w:b/>
        </w:rPr>
        <w:t xml:space="preserve">摘要（ZH）: </w:t>
      </w:r>
      <w:r>
        <w:t>人类基因中自然发生的功能丧失变异使得药物靶标的发现成为可能，因为它们模仿蛋白质的药理学抑制。然而，对这些遗传变异的研究因其稀有性而受到限制。人们认为，对不同人群（尤其是富含家族相关性的人群）进行测序可以促进罕见遗传变异的发现1,2,3。在这里，我们介绍巴基斯坦基因组资源，这是一个具有高度家族相关性的南亚生物库，由 173,303 名参与者组成，他们总共携带 6,476 个基因中自然发生的纯合功能丧失变异。我们描述了该群体的遗传结构、基因和生物标志物之间的关联、功能丧失变异在分子途径中的分布，以及治疗相关基因的基因型回忆研究。巴基斯坦基因组资源扩大了人类遗传变异的目录，为巴基斯坦人口提供了全面的遗传参考资源，并展示了研究不同群体对促进人类健康的价值。</w:t>
      </w:r>
    </w:p>
    <w:p>
      <w:pPr>
        <w:spacing w:before="0" w:after="200" w:lineRule="auto" w:line="276"/>
      </w:pPr>
      <w:r>
        <w:rPr>
          <w:b/>
        </w:rPr>
        <w:t xml:space="preserve">Abstract (EN): </w:t>
      </w:r>
      <w:r>
        <w:t>Naturally occurring loss-of-function variants in human genes enable drug target discovery because they mimic pharmacological inhibition of proteins. However, the study of these genetic variants is constrained by their rarity. Sequencing of diverse populations, particularly those enriched in familial relatedness, has been postulated to promote discovery of rare genetic variants1,2,3. Here we present the Pakistan Genome Resource, a South Asian biobank with high familial relatedness comprising 173,303 participants, who collectively carry naturally occurring homozygous loss-of-function variants in 6,476 genes. We describe the genetic architecture of this population, associations between genes and biomarkers, the distribution of loss-of-function variants across molecular pathways, and recall-by-genotype studies of therapeutically relevant genes. The Pakistan Genome Resource expands the catalogue of human genetic variants, provides a comprehensive genetic reference resource for the Pakistani population, and demonstrates the value of studying diverse cohorts to advance human health.</w:t>
      </w:r>
    </w:p>
    <w:p>
      <w:pPr>
        <w:spacing w:before="120" w:after="120"/>
      </w:pPr>
      <w:r>
        <w:rPr>
          <w:sz w:val="18"/>
        </w:rPr>
        <w:t>——————————————————————————————————————————————————————————————————————</w:t>
      </w:r>
    </w:p>
    <w:p>
      <w:pPr>
        <w:spacing w:before="160" w:after="40" w:line="240" w:lineRule="auto"/>
      </w:pPr>
      <w:r>
        <w:rPr>
          <w:b/>
        </w:rPr>
        <w:t xml:space="preserve">[310] </w:t>
      </w:r>
      <w:hyperlink r:id="rId827">
        <w:r>
          <w:rPr>
            <w:color w:val="1155CC"/>
            <w:u w:val="single"/>
          </w:rPr>
          <w:t>人类中央前回的全身表征马赛克</w:t>
        </w:r>
      </w:hyperlink>
    </w:p>
    <w:p>
      <w:pPr>
        <w:spacing w:before="0" w:after="80"/>
      </w:pPr>
      <w:r>
        <w:rPr>
          <w:i/>
          <w:sz w:val="20"/>
        </w:rPr>
        <w:t>EN: A mosaic of whole-body representations on the human precentral gyrus</w:t>
      </w:r>
    </w:p>
    <w:p>
      <w:pPr>
        <w:spacing w:before="0" w:after="120"/>
      </w:pPr>
      <w:r>
        <w:rPr>
          <w:b/>
        </w:rPr>
        <w:t xml:space="preserve">Source: </w:t>
      </w:r>
      <w:r>
        <w:t>Nature</w:t>
      </w:r>
      <w:r>
        <w:t xml:space="preserve">    </w:t>
      </w:r>
      <w:r>
        <w:rPr>
          <w:b/>
        </w:rPr>
        <w:t xml:space="preserve">Pub date: </w:t>
      </w:r>
      <w:r>
        <w:t>2026-06-17 00:00:00+00:00</w:t>
      </w:r>
      <w:r>
        <w:t xml:space="preserve">    </w:t>
      </w:r>
      <w:r>
        <w:rPr>
          <w:b/>
        </w:rPr>
        <w:t xml:space="preserve">DOI: </w:t>
      </w:r>
      <w:hyperlink r:id="rId828">
        <w:r>
          <w:rPr>
            <w:color w:val="1155CC"/>
            <w:u w:val="single"/>
          </w:rPr>
          <w:t>10.1038/s41586-026-10653-x</w:t>
        </w:r>
      </w:hyperlink>
    </w:p>
    <w:p>
      <w:pPr>
        <w:spacing w:before="0" w:after="120"/>
      </w:pPr>
      <w:r>
        <w:rPr>
          <w:b/>
        </w:rPr>
        <w:t xml:space="preserve">Notes: </w:t>
      </w:r>
      <w:r>
        <w:t>abstract_source=nature_html</w:t>
      </w:r>
    </w:p>
    <w:p>
      <w:pPr>
        <w:spacing w:before="0" w:after="80" w:lineRule="auto" w:line="276"/>
      </w:pPr>
      <w:r>
        <w:rPr>
          <w:b/>
        </w:rPr>
        <w:t xml:space="preserve">摘要（ZH）: </w:t>
      </w:r>
      <w:r>
        <w:t>了解身体在运动皮层中的表现是理解大脑如何控制运动的关键。尽管运动皮层已在动物模型中以精细尺度绘制1,2,3,4,5,6,7,8,9,10，但人类的表征仍然主要限于低分辨率记录11,12,13,14,15,16和刺激技术17,18,19,20。在这里，我们以单神经元分辨率创建了人类运动皮层的综合图，涵盖了 8 名因脊髓损伤、肌萎缩侧索硬化症或脑干中风而瘫痪的个体的 20 个阵列的微电极阵列记录，所有这些人都参加了脑机接口临床试验。这些阵列广泛采样中央前回的冠部（PCG；被认为主要由前运动皮层（布罗德曼区域 6）组成）。我们发现身体部位高度混合，使得整个身体在 PCG 的所有采样位置中都得到体现，尽管身体部位的相对强度与运动侏儒大致一致17,18。我们还发现了两个言语偏好区域，它们之间有一个广泛调整的口面部主导区域。在整个 PCG 中，四个肢体的运动表征是相互关联的，不同肢体的同源运动（例如，脚趾卷曲和手闭合）具有相关的表征。这些数据提供的证据与运动皮层的混合、相互关联和以行为为中心的组织一致3,21。由此产生的图谱还为寻求恢复运动功能的脑机接口提供了重要的目标信息。</w:t>
      </w:r>
    </w:p>
    <w:p>
      <w:pPr>
        <w:spacing w:before="0" w:after="200" w:lineRule="auto" w:line="276"/>
      </w:pPr>
      <w:r>
        <w:rPr>
          <w:b/>
        </w:rPr>
        <w:t xml:space="preserve">Abstract (EN): </w:t>
      </w:r>
      <w:r>
        <w:t>Understanding how the body is represented in the motor cortex is key to understanding how the brain controls movement. Although the motor cortex has been mapped in animal models at a fine scale1,2,3,4,5,6,7,8,9,10, characterization in humans remains primarily limited to low-resolution recording11,12,13,14,15,16 and stimulation techniques17,18,19,20. Here we created a comprehensive map of the human motor cortex at single-neuron resolution, spanning microelectrode array recordings from 20 arrays across 8 individuals with paralysis from spinal cord injury, amyotrophic lateral sclerosis or brainstem stroke, all enrolled in brain–computer interface clinical trials. These arrays broadly sample the crown of the precentral gyrus (PCG; thought to be composed largely of the premotor cortex (Brodmann area 6)). We found that body parts were highly intermixed, such that the entire body was represented in all sampled locations of the PCG, although the relative strength of body parts was roughly consistent with the motor homunculus17,18. We also found two speech-preferential areas with a broadly tuned, orofacial-dominant area in between them. Throughout the PCG, movement representations of the four limbs were interlinked, with homologous movements of different limbs (for example, toe curl and hand close) having correlated representations. These data provide evidence consistent with an intermixed, interrelated and behaviour-centred organization of the motor cortex3,21. The resulting map also provides important targeting information for brain–computer interfaces that seek to restore motor function.</w:t>
      </w:r>
    </w:p>
    <w:p>
      <w:pPr>
        <w:spacing w:before="120" w:after="120"/>
      </w:pPr>
      <w:r>
        <w:rPr>
          <w:sz w:val="18"/>
        </w:rPr>
        <w:t>——————————————————————————————————————————————————————————————————————</w:t>
      </w:r>
    </w:p>
    <w:p>
      <w:pPr>
        <w:spacing w:before="160" w:after="40" w:line="240" w:lineRule="auto"/>
      </w:pPr>
      <w:r>
        <w:rPr>
          <w:b/>
        </w:rPr>
        <w:t xml:space="preserve">[311] </w:t>
      </w:r>
      <w:hyperlink r:id="rId829">
        <w:r>
          <w:rPr>
            <w:color w:val="1155CC"/>
            <w:u w:val="single"/>
          </w:rPr>
          <w:t>栉水母中的胚孔组织者</w:t>
        </w:r>
      </w:hyperlink>
    </w:p>
    <w:p>
      <w:pPr>
        <w:spacing w:before="0" w:after="80"/>
      </w:pPr>
      <w:r>
        <w:rPr>
          <w:i/>
          <w:sz w:val="20"/>
        </w:rPr>
        <w:t>EN: A blastoporal organizer in a ctenophore</w:t>
      </w:r>
    </w:p>
    <w:p>
      <w:pPr>
        <w:spacing w:before="0" w:after="120"/>
      </w:pPr>
      <w:r>
        <w:rPr>
          <w:b/>
        </w:rPr>
        <w:t xml:space="preserve">Source: </w:t>
      </w:r>
      <w:r>
        <w:t>Nature</w:t>
      </w:r>
      <w:r>
        <w:t xml:space="preserve">    </w:t>
      </w:r>
      <w:r>
        <w:rPr>
          <w:b/>
        </w:rPr>
        <w:t xml:space="preserve">Pub date: </w:t>
      </w:r>
      <w:r>
        <w:t>2026-06-17 00:00:00+00:00</w:t>
      </w:r>
      <w:r>
        <w:t xml:space="preserve">    </w:t>
      </w:r>
      <w:r>
        <w:rPr>
          <w:b/>
        </w:rPr>
        <w:t xml:space="preserve">DOI: </w:t>
      </w:r>
      <w:hyperlink r:id="rId830">
        <w:r>
          <w:rPr>
            <w:color w:val="1155CC"/>
            <w:u w:val="single"/>
          </w:rPr>
          <w:t>10.1038/s41586-026-10643-z</w:t>
        </w:r>
      </w:hyperlink>
    </w:p>
    <w:p>
      <w:pPr>
        <w:spacing w:before="0" w:after="120"/>
      </w:pPr>
      <w:r>
        <w:rPr>
          <w:b/>
        </w:rPr>
        <w:t xml:space="preserve">Notes: </w:t>
      </w:r>
      <w:r>
        <w:t>abstract_source=nature_html</w:t>
      </w:r>
    </w:p>
    <w:p>
      <w:pPr>
        <w:spacing w:before="0" w:after="80" w:lineRule="auto" w:line="276"/>
      </w:pPr>
      <w:r>
        <w:rPr>
          <w:b/>
        </w:rPr>
        <w:t xml:space="preserve">摘要（ZH）: </w:t>
      </w:r>
      <w:r>
        <w:t>在 1924 年的一项标志性实验中，希尔德·曼戈尔德 (Hilde Mangold) 和汉斯·斯佩曼 (Hans Spemann) 证实，两栖动物胚胎的背胚孔唇具有组织者的功能，并在移植到宿主胚胎中时诱导出次级身体轴。这一发现表明，特定的胚胎区域可以调节胚胎模式并导致整个身体轴的建立。随后的研究表明，刺胞动物（双边对称动物的姊妹类群）也拥有胚孔胚胎组织者2,3。然而，组织者的进化起源仍不清楚。在这里，我们报道了栉水母 Mnemiopsis leidyi 的胚孔唇，它是所有其他后生动物 4,5 的进化姐妹群的成员，表现出组织者活动。我们发现，来自 M. leidyi 原肠胚的芽生孔唇组织的移植片段诱导了次级咽和口腔的形成。此外，跨系移植实验表明，M. leidyi 的胚孔唇导致刺胞动物 Nematostella vectensis 胚胎中次生体轴的产生。 M. leidyi 的组织者功能需要 β-连环蛋白和 TGFβ 信号传导，而 TGFβ 家族配体可能提供这种诱导能力。这些发现揭示了栉水母、刺胞动物和脊椎动物中胚孔组织者的深层同源性，暗示着胚孔唇的祖先组织者角色。我们认为，组织者的出现是一项重要的创新，促进了从单细胞亲属的时间细胞分化到近亲的空间细胞分化的转变。</w:t>
      </w:r>
    </w:p>
    <w:p>
      <w:pPr>
        <w:spacing w:before="0" w:after="200" w:lineRule="auto" w:line="276"/>
      </w:pPr>
      <w:r>
        <w:rPr>
          <w:b/>
        </w:rPr>
        <w:t xml:space="preserve">Abstract (EN): </w:t>
      </w:r>
      <w:r>
        <w:t>In an iconic experiment in 1924, Hilde Mangold and Hans Spemann established that the dorsal blastopore lip of amphibian embryos functions as an organizer and induces a secondary body axis when transplanted into a host embryo1. This discovery demonstrated that specific embryonic regions can regulate embryonic patterning and lead to the establishment of an entire body axis. Subsequent studies have revealed that cnidarians, the sister group to Bilateria, also possess a blastoporal embryonic organizer2,3. However, the evolutionary origin of the organizer remains unclear. Here we report that the blastopore lip of the ctenophore Mnemiopsis leidyi, a member of the evolutionary sister group to all other metazoans4,5, exhibits organizer activity. We show that transplanted fragments of blastopore lip tissue from M. leidyi gastrula induce secondary pharynx and mouth formation. Moreover, transphyletic transplantation experiments show that the blastopore lip of M. leidyi leads to the generation of a secondary body axis in embryos of the cnidarian Nematostella vectensis. Organizer function in M. leidyi requires both β-catenin and TGFβ signalling, and the TGFβ-family ligands probably provide this inductive capacity. These findings reveal the deep homology of the blastoporal organizer in ctenophores, cnidarians and vertebrates, implying the ancestral organizer role of the blastopore lip. We propose that the emergence of the organizer was an essential innovation that facilitated the change from the temporal cell differentiation of unicellular relatives to the spatial cell differentiation of the first multicellular embryo.</w:t>
      </w:r>
    </w:p>
    <w:p>
      <w:pPr>
        <w:spacing w:before="120" w:after="120"/>
      </w:pPr>
      <w:r>
        <w:rPr>
          <w:sz w:val="18"/>
        </w:rPr>
        <w:t>——————————————————————————————————————————————————————————————————————</w:t>
      </w:r>
    </w:p>
    <w:p>
      <w:pPr>
        <w:spacing w:before="160" w:after="40" w:line="240" w:lineRule="auto"/>
      </w:pPr>
      <w:r>
        <w:rPr>
          <w:b/>
        </w:rPr>
        <w:t xml:space="preserve">[312] </w:t>
      </w:r>
      <w:hyperlink r:id="rId831">
        <w:r>
          <w:rPr>
            <w:color w:val="1155CC"/>
            <w:u w:val="single"/>
          </w:rPr>
          <w:t>作者更正：林业权力下放对尼泊尔农村不平等的影响</w:t>
        </w:r>
      </w:hyperlink>
    </w:p>
    <w:p>
      <w:pPr>
        <w:spacing w:before="0" w:after="80"/>
      </w:pPr>
      <w:r>
        <w:rPr>
          <w:i/>
          <w:sz w:val="20"/>
        </w:rPr>
        <w:t>EN: Author Correction: Effects of forestry decentralization on rural inequality in Nepal</w:t>
      </w:r>
    </w:p>
    <w:p>
      <w:pPr>
        <w:spacing w:before="0" w:after="120"/>
      </w:pPr>
      <w:r>
        <w:rPr>
          <w:b/>
        </w:rPr>
        <w:t xml:space="preserve">Source: </w:t>
      </w:r>
      <w:r>
        <w:t>Nature Sustainability</w:t>
      </w:r>
      <w:r>
        <w:t xml:space="preserve">    </w:t>
      </w:r>
      <w:r>
        <w:rPr>
          <w:b/>
        </w:rPr>
        <w:t xml:space="preserve">Pub date: </w:t>
      </w:r>
      <w:r>
        <w:t>2026-06-17 00:00:00+00:00</w:t>
      </w:r>
      <w:r>
        <w:t xml:space="preserve">    </w:t>
      </w:r>
      <w:r>
        <w:rPr>
          <w:b/>
        </w:rPr>
        <w:t xml:space="preserve">DOI: </w:t>
      </w:r>
      <w:hyperlink r:id="rId832">
        <w:r>
          <w:rPr>
            <w:color w:val="1155CC"/>
            <w:u w:val="single"/>
          </w:rPr>
          <w:t>10.1038/s41893-026-01893-w</w:t>
        </w:r>
      </w:hyperlink>
    </w:p>
    <w:p>
      <w:pPr>
        <w:spacing w:before="0" w:after="120"/>
      </w:pPr>
      <w:r>
        <w:rPr>
          <w:b/>
        </w:rPr>
        <w:t xml:space="preserve">Notes: </w:t>
      </w:r>
      <w:r>
        <w:t>abstract_source=openalex</w:t>
      </w:r>
    </w:p>
    <w:p>
      <w:pPr>
        <w:spacing w:before="0" w:after="80" w:lineRule="auto" w:line="276"/>
      </w:pPr>
      <w:r>
        <w:rPr>
          <w:b/>
        </w:rPr>
        <w:t xml:space="preserve">摘要（ZH）: </w:t>
      </w:r>
      <w:r>
        <w:t>在最初发表的文章版本中，参考文献。 34 不正确，已更改为“Bennett, L.、Tamang, S.、Onta, P. 和 Thapa, M. 不平等公民：尼泊尔的性别、种姓和种族排斥（世界银行，2006 年）”。 31 在最初的文章中。由于此更正，一些参考文献已重新编号。</w:t>
      </w:r>
    </w:p>
    <w:p>
      <w:pPr>
        <w:spacing w:before="0" w:after="200" w:lineRule="auto" w:line="276"/>
      </w:pPr>
      <w:r>
        <w:rPr>
          <w:b/>
        </w:rPr>
        <w:t xml:space="preserve">Abstract (EN): </w:t>
      </w:r>
      <w:r>
        <w:t>In the version of the article initially published, ref. 34 was incorrect, and has been changed to ‘Bennett, L., Tamang, S., Onta, P. &amp; Thapa, M. Unequal Citizens: Gender, Caste and Ethnic Exclusion in Nepal (The World Bank, 2006),’ which was ref. 31 in the initial article. Some references have been renumbered due to this correction.</w:t>
      </w:r>
    </w:p>
    <w:p>
      <w:pPr>
        <w:spacing w:before="120" w:after="120"/>
      </w:pPr>
      <w:r>
        <w:rPr>
          <w:sz w:val="18"/>
        </w:rPr>
        <w:t>——————————————————————————————————————————————————————————————————————</w:t>
      </w:r>
    </w:p>
    <w:p>
      <w:pPr>
        <w:spacing w:before="160" w:after="40" w:line="240" w:lineRule="auto"/>
      </w:pPr>
      <w:r>
        <w:rPr>
          <w:b/>
        </w:rPr>
        <w:t xml:space="preserve">[313] </w:t>
      </w:r>
      <w:hyperlink r:id="rId833">
        <w:r>
          <w:rPr>
            <w:color w:val="1155CC"/>
            <w:u w:val="single"/>
          </w:rPr>
          <w:t>这些“主”蛋白质保护我们免受致命突变的影响，并可能激发新药物的开发</w:t>
        </w:r>
      </w:hyperlink>
    </w:p>
    <w:p>
      <w:pPr>
        <w:spacing w:before="0" w:after="80"/>
      </w:pPr>
      <w:r>
        <w:rPr>
          <w:i/>
          <w:sz w:val="20"/>
        </w:rPr>
        <w:t>EN: These ‘master’ proteins protect us from deadly mutations — and could inspire new drugs</w:t>
      </w:r>
    </w:p>
    <w:p>
      <w:pPr>
        <w:spacing w:before="0" w:after="120"/>
      </w:pPr>
      <w:r>
        <w:rPr>
          <w:b/>
        </w:rPr>
        <w:t xml:space="preserve">Source: </w:t>
      </w:r>
      <w:r>
        <w:t>Nature</w:t>
      </w:r>
      <w:r>
        <w:t xml:space="preserve">    </w:t>
      </w:r>
      <w:r>
        <w:rPr>
          <w:b/>
        </w:rPr>
        <w:t xml:space="preserve">Pub date: </w:t>
      </w:r>
      <w:r>
        <w:t>2026-06-17 00:00:00+00:00</w:t>
      </w:r>
      <w:r>
        <w:t xml:space="preserve">    </w:t>
      </w:r>
      <w:r>
        <w:rPr>
          <w:b/>
        </w:rPr>
        <w:t xml:space="preserve">DOI: </w:t>
      </w:r>
      <w:hyperlink r:id="rId834">
        <w:r>
          <w:rPr>
            <w:color w:val="1155CC"/>
            <w:u w:val="single"/>
          </w:rPr>
          <w:t>10.1038/d41586-026-01883-0</w:t>
        </w:r>
      </w:hyperlink>
    </w:p>
    <w:p>
      <w:pPr>
        <w:spacing w:before="0" w:after="120"/>
      </w:pPr>
      <w:r>
        <w:rPr>
          <w:b/>
        </w:rPr>
        <w:t xml:space="preserve">Notes: </w:t>
      </w:r>
      <w:r>
        <w:t>abstract_source=nature_html</w:t>
      </w:r>
    </w:p>
    <w:p>
      <w:pPr>
        <w:spacing w:before="0" w:after="80" w:lineRule="auto" w:line="276"/>
      </w:pPr>
      <w:r>
        <w:rPr>
          <w:b/>
        </w:rPr>
        <w:t xml:space="preserve">摘要（ZH）: </w:t>
      </w:r>
      <w:r>
        <w:t>生物学有巧妙的方法来掩盖潜在有害基因突变的影响。科学家们正在研究这种“缓冲”的工作原理以及如何利用它。生物学有巧妙的方法来掩盖潜在有害基因突变的影响。科学家们正在研究这种“缓冲”的工作原理以及如何利用它。</w:t>
      </w:r>
    </w:p>
    <w:p>
      <w:pPr>
        <w:spacing w:before="0" w:after="200" w:lineRule="auto" w:line="276"/>
      </w:pPr>
      <w:r>
        <w:rPr>
          <w:b/>
        </w:rPr>
        <w:t xml:space="preserve">Abstract (EN): </w:t>
      </w:r>
      <w:r>
        <w:t>Biology has clever ways to mask the effects of potentially harmful gene mutations. Scientists are investigating how this ‘buffering’ works — and how to exploit it. Biology has clever ways to mask the effects of potentially harmful gene mutations. Scientists are investigating how this ‘buffering’ works — and how to exploit it.</w:t>
      </w:r>
    </w:p>
    <w:p>
      <w:pPr>
        <w:spacing w:before="120" w:after="120"/>
      </w:pPr>
      <w:r>
        <w:rPr>
          <w:sz w:val="18"/>
        </w:rPr>
        <w:t>——————————————————————————————————————————————————————————————————————</w:t>
      </w:r>
    </w:p>
    <w:p>
      <w:pPr>
        <w:spacing w:before="160" w:after="40" w:line="240" w:lineRule="auto"/>
      </w:pPr>
      <w:r>
        <w:rPr>
          <w:b/>
        </w:rPr>
        <w:t xml:space="preserve">[314] </w:t>
      </w:r>
      <w:hyperlink r:id="rId835">
        <w:r>
          <w:rPr>
            <w:color w:val="1155CC"/>
            <w:u w:val="single"/>
          </w:rPr>
          <w:t>具有无限外翻和表面可重构性的双手性柔韧连杆</w:t>
        </w:r>
      </w:hyperlink>
    </w:p>
    <w:p>
      <w:pPr>
        <w:spacing w:before="0" w:after="80"/>
      </w:pPr>
      <w:r>
        <w:rPr>
          <w:i/>
          <w:sz w:val="20"/>
        </w:rPr>
        <w:t>EN: Dual-chirality flexagon linkages with infinite eversion and surface reconfigurability</w:t>
      </w:r>
    </w:p>
    <w:p>
      <w:pPr>
        <w:spacing w:before="0" w:after="120"/>
      </w:pPr>
      <w:r>
        <w:rPr>
          <w:b/>
        </w:rPr>
        <w:t xml:space="preserve">Source: </w:t>
      </w:r>
      <w:r>
        <w:t>Proceedings of the National Academy of Sciences: Keyword search for query</w:t>
      </w:r>
      <w:r>
        <w:t xml:space="preserve">    </w:t>
      </w:r>
      <w:r>
        <w:rPr>
          <w:b/>
        </w:rPr>
        <w:t xml:space="preserve">Pub date: </w:t>
      </w:r>
      <w:r>
        <w:t>2026-06-17 07:00:00+00:00</w:t>
      </w:r>
      <w:r>
        <w:t xml:space="preserve">    </w:t>
      </w:r>
      <w:r>
        <w:rPr>
          <w:b/>
        </w:rPr>
        <w:t xml:space="preserve">DOI: </w:t>
      </w:r>
      <w:hyperlink r:id="rId836">
        <w:r>
          <w:rPr>
            <w:color w:val="1155CC"/>
            <w:u w:val="single"/>
          </w:rPr>
          <w:t>10.1073/pnas.2603729123</w:t>
        </w:r>
      </w:hyperlink>
    </w:p>
    <w:p>
      <w:pPr>
        <w:spacing w:before="0" w:after="120"/>
      </w:pPr>
      <w:r>
        <w:rPr>
          <w:b/>
        </w:rPr>
        <w:t xml:space="preserve">Notes: </w:t>
      </w:r>
      <w:r>
        <w:t>abstract_source=crossref</w:t>
      </w:r>
    </w:p>
    <w:p>
      <w:pPr>
        <w:spacing w:before="0" w:after="80" w:lineRule="auto" w:line="276"/>
      </w:pPr>
      <w:r>
        <w:rPr>
          <w:b/>
        </w:rPr>
        <w:t xml:space="preserve">摘要（ZH）: </w:t>
      </w:r>
      <w:r>
        <w:t>柔性边形是一种经典的剪纸结构，能够通过外翻露出隐藏的面孔，长期以来一直吸引着研究人员。然而，其强大的工程应用潜力受到固有的结构不连续性和不明确的运动机制的限制。在这里，我们引入循环图模型和具有无限外翻的理想化双手性柔边连杆，以解释这种外翻的基本机制。我们证明外翻表现出拓扑周期性和多重对称性，而其运动学对应于由分叉运动引起的全等轴组的循环排列。通过调整拓扑参数，我们构建了 Flexagon 家族的综合图集。为了解决物理实现中的挑战，我们提出了一种连杆可转换策略，该策略消除了机械干扰，并实现了可重构、可部署的网络结构的设计。此外，我们开发了一种可互换的手性柔性边，它在可访问的表面状态中实现了指数扩展，其中每次扩展中添加的增量状态遵循几何级数，</w:t>
      </w:r>
      <w:r>
        <w:t xml:space="preserve"> </w:t>
      </w:r>
      <w:r>
        <w:t>p</w:t>
      </w:r>
      <w:r>
        <w:t xml:space="preserve"> </w:t>
      </w:r>
      <w:r>
        <w:t>（</w:t>
      </w:r>
      <w:r>
        <w:t xml:space="preserve"> </w:t>
      </w:r>
      <w:r>
        <w:t>p</w:t>
      </w:r>
      <w:r>
        <w:t xml:space="preserve"> </w:t>
      </w:r>
      <w:r>
        <w:t>-</w:t>
      </w:r>
      <w:r>
        <w:rPr>
          <w:vertAlign w:val="subscript"/>
        </w:rPr>
        <w:t>1</w:t>
      </w:r>
      <w:r>
        <w:t>）</w:t>
      </w:r>
      <w:r>
        <w:t xml:space="preserve"> </w:t>
      </w:r>
      <w:r>
        <w:t>克</w:t>
      </w:r>
    </w:p>
    <w:p>
      <w:pPr>
        <w:spacing w:before="0" w:after="200" w:lineRule="auto" w:line="276"/>
      </w:pPr>
      <w:r>
        <w:rPr>
          <w:b/>
        </w:rPr>
        <w:t xml:space="preserve">Abstract (EN): </w:t>
      </w:r>
      <w:r>
        <w:t>The flexagon, a classical kirigami structure capable of revealing hidden faces through eversion, has long captivated researchers. However, its potential for robust engineering applications has been limited by inherent structural discontinuities and unclear kinematic mechanisms. Here, we introduce a cyclic graph model and an idealized dual-chirality flexagon linkage with infinite eversion to explain the underlying mechanics of this eversion. We demonstrate that the eversion exhibits topological periodicity and multiple symmetries, while its kinematics correspond to a cyclic permutation of congruent axis sets induced by bifurcated motion. By tuning topological parameters, we construct a comprehensive atlas of the flexagon family. To address challenges in physical implementation, we propose a linkage convertibility strategy that eliminates mechanical interference and enables the design of reconfigurable, deployable networked structures. Furthermore, we develop an interchangeable-chirality flexagon that achieves an exponential expansion in accessible surface states, where the incremental states added in each expansion follow a geometric progression,</w:t>
      </w:r>
      <w:r>
        <w:t xml:space="preserve"> </w:t>
      </w:r>
      <w:r>
        <w:t>p</w:t>
      </w:r>
      <w:r>
        <w:t xml:space="preserve"> </w:t>
      </w:r>
      <w:r>
        <w:t>(</w:t>
      </w:r>
      <w:r>
        <w:t xml:space="preserve"> </w:t>
      </w:r>
      <w:r>
        <w:t>p</w:t>
      </w:r>
      <w:r>
        <w:t xml:space="preserve"> </w:t>
      </w:r>
      <w:r>
        <w:t>−</w:t>
      </w:r>
      <w:r>
        <w:rPr>
          <w:vertAlign w:val="subscript"/>
        </w:rPr>
        <w:t>1</w:t>
      </w:r>
      <w:r>
        <w:t>)</w:t>
      </w:r>
      <w:r>
        <w:t xml:space="preserve"> </w:t>
      </w:r>
      <w:r>
        <w:t>g</w:t>
      </w:r>
      <w:r>
        <w:t xml:space="preserve"> </w:t>
      </w:r>
      <w:r>
        <w:t>(where</w:t>
      </w:r>
      <w:r>
        <w:t xml:space="preserve"> </w:t>
      </w:r>
      <w:r>
        <w:t>p</w:t>
      </w:r>
      <w:r>
        <w:t xml:space="preserve"> </w:t>
      </w:r>
      <w:r>
        <w:t>denotes the eversion period and</w:t>
      </w:r>
      <w:r>
        <w:t xml:space="preserve"> </w:t>
      </w:r>
      <w:r>
        <w:t>g</w:t>
      </w:r>
      <w:r>
        <w:t xml:space="preserve"> </w:t>
      </w:r>
      <w:r>
        <w:t>represents the recursive generation index). This work bridges the gap between abstract topological concepts and physical realizations, offering a pathway to transform classical kirigami into advanced engineering linkages. It also provides foundational insights for related eversion systems, including Möbius strips, kaleidocycles, and other cyclic topological structures.</w:t>
      </w:r>
    </w:p>
    <w:p>
      <w:pPr>
        <w:spacing w:before="120" w:after="120"/>
      </w:pPr>
      <w:r>
        <w:rPr>
          <w:sz w:val="18"/>
        </w:rPr>
        <w:t>——————————————————————————————————————————————————————————————————————</w:t>
      </w:r>
    </w:p>
    <w:p>
      <w:pPr>
        <w:spacing w:before="160" w:after="40" w:line="240" w:lineRule="auto"/>
      </w:pPr>
      <w:r>
        <w:rPr>
          <w:b/>
        </w:rPr>
        <w:t xml:space="preserve">[315] </w:t>
      </w:r>
      <w:hyperlink r:id="rId837">
        <w:r>
          <w:rPr>
            <w:color w:val="1155CC"/>
            <w:u w:val="single"/>
          </w:rPr>
          <w:t>单倍型解析的甲基化揭示自闭症谱系障碍中亲本 DNA 甲基化不平衡</w:t>
        </w:r>
      </w:hyperlink>
    </w:p>
    <w:p>
      <w:pPr>
        <w:spacing w:before="0" w:after="80"/>
      </w:pPr>
      <w:r>
        <w:rPr>
          <w:i/>
          <w:sz w:val="20"/>
        </w:rPr>
        <w:t>EN: Haplotype-resolved methylomes reveal parent-of-origin DNA methylation imbalance in autism spectrum disorder</w:t>
      </w:r>
    </w:p>
    <w:p>
      <w:pPr>
        <w:spacing w:before="0" w:after="120"/>
      </w:pPr>
      <w:r>
        <w:rPr>
          <w:b/>
        </w:rPr>
        <w:t xml:space="preserve">Source: </w:t>
      </w:r>
      <w:r>
        <w:t>AAAS: Science Advances: Table of Contents</w:t>
      </w:r>
      <w:r>
        <w:t xml:space="preserve">    </w:t>
      </w:r>
      <w:r>
        <w:rPr>
          <w:b/>
        </w:rPr>
        <w:t xml:space="preserve">Pub date: </w:t>
      </w:r>
      <w:r>
        <w:t>2026-06-17 07:00:00+00:00</w:t>
      </w:r>
      <w:r>
        <w:t xml:space="preserve">    </w:t>
      </w:r>
      <w:r>
        <w:rPr>
          <w:b/>
        </w:rPr>
        <w:t xml:space="preserve">DOI: </w:t>
      </w:r>
      <w:hyperlink r:id="rId838">
        <w:r>
          <w:rPr>
            <w:color w:val="1155CC"/>
            <w:u w:val="single"/>
          </w:rPr>
          <w:t>10.1126/sciadv.aee4069</w:t>
        </w:r>
      </w:hyperlink>
    </w:p>
    <w:p>
      <w:pPr>
        <w:spacing w:before="0" w:after="120"/>
      </w:pPr>
      <w:r>
        <w:rPr>
          <w:b/>
        </w:rPr>
        <w:t xml:space="preserve">Notes: </w:t>
      </w:r>
      <w:r>
        <w:t>abstract_source=crossref</w:t>
      </w:r>
    </w:p>
    <w:p>
      <w:pPr>
        <w:spacing w:before="0" w:after="80" w:lineRule="auto" w:line="276"/>
      </w:pPr>
      <w:r>
        <w:rPr>
          <w:b/>
        </w:rPr>
        <w:t xml:space="preserve">摘要（ZH）: </w:t>
      </w:r>
      <w:r>
        <w:t>表观遗传失调在自闭症谱系障碍 (ASD) 中发挥着重要作用，但 DNA 甲基化的亲本效应 (POE) 仍不清楚。在这里，我们对 124 个个体（31 个 ASD 四重体）应用 PacBio HiFi 测序和单倍型定相甲基化分析，系统地剖析 POE 依赖性甲基化。对先证者和未患病兄弟姐妹之间的阶段性甲基化组进行比较分析，分别鉴定出 114 个父亲特异性差异甲基化胞嘧啶 (DMC)、106 个母亲特异性差异甲基化胞嘧啶 (DMC)、45 个和 46 个差异甲基化区域 (DMR)、以及 2425 个和 2693 个甲基化异常值 (MO)。这些 POE 甲基化改变在 ASD 相关基因类别中丰富，但在亲本单倍型之间表现出不同的基因组分布和功能途径。此外，全基因组亲本 DMR 分析确定了 443 个等位基因特异性甲基化 (ASM) 区域，从中我们检测到 34 个差异表达 ASM 和 62 个 ASM 异常值，显示 PWS/AS 基因座和 ASD 相关基因的显着富集。总的来说，这项研究提供了 ASD 发病机制中印记区域普遍存在的 POE 依赖性甲基化失衡和异常 ASM 的全面证据，为复杂神经发育障碍的表观遗传机制提供了见解。</w:t>
      </w:r>
    </w:p>
    <w:p>
      <w:pPr>
        <w:spacing w:before="0" w:after="200" w:lineRule="auto" w:line="276"/>
      </w:pPr>
      <w:r>
        <w:rPr>
          <w:b/>
        </w:rPr>
        <w:t xml:space="preserve">Abstract (EN): </w:t>
      </w:r>
      <w:r>
        <w:t>Epigenetic dysregulation plays an essential role in autism spectrum disorder (ASD), but the parent-of-origin effects (POEs) of DNA methylation remain unknown. Here, we applied PacBio HiFi sequencing with haplotype-phased methylation profiling in 124 individuals (31 ASD quartets) to systematically dissect POE-dependent methylation. Comparative analysis of phased methylomes between probands and unaffected siblings identified 114 paternal- and 106 maternal-specific differential methylated cytosines (DMCs), 45 and 46 differential methylated regions (DMRs), and 2425 and 2693 methylation outliers (MOs), respectively. These POE methylation alterations were enriched in ASD-relevant gene categories but exhibited distinct genomic distributions and functional pathways between parental haplotypes. Furthermore, genome-wide parent-of-origin DMR analysis identified 443 allele-specific methylation (ASM) regions, from which we detected 34 differential expression ASMs and 62 ASM outliers, showing pronounced enrichment within PWS/AS locus and ASD-associated genes. Collectively, this study provides a comprehensive evidence of pervasive POE-dependent methylation imbalance and aberrant ASM at imprinting regions underlying ASD pathogenesis, offering insights into epigenetic mechanisms of complex neurodevelopmental disorders.</w:t>
      </w:r>
    </w:p>
    <w:p>
      <w:pPr>
        <w:spacing w:before="120" w:after="120"/>
      </w:pPr>
      <w:r>
        <w:rPr>
          <w:sz w:val="18"/>
        </w:rPr>
        <w:t>——————————————————————————————————————————————————————————————————————</w:t>
      </w:r>
    </w:p>
    <w:p>
      <w:pPr>
        <w:spacing w:before="160" w:after="40" w:line="240" w:lineRule="auto"/>
      </w:pPr>
      <w:r>
        <w:rPr>
          <w:b/>
        </w:rPr>
        <w:t xml:space="preserve">[316] </w:t>
      </w:r>
      <w:hyperlink r:id="rId839">
        <w:r>
          <w:rPr>
            <w:color w:val="1155CC"/>
            <w:u w:val="single"/>
          </w:rPr>
          <w:t>中三叠世生物辐射期间碳和汞循环的~0.5 Myr扰动</w:t>
        </w:r>
      </w:hyperlink>
    </w:p>
    <w:p>
      <w:pPr>
        <w:spacing w:before="0" w:after="80"/>
      </w:pPr>
      <w:r>
        <w:rPr>
          <w:i/>
          <w:sz w:val="20"/>
        </w:rPr>
        <w:t>EN: A ∼0.5 Myr perturbation of carbon and mercury cycles during the Middle Triassic biotic radiation</w:t>
      </w:r>
    </w:p>
    <w:p>
      <w:pPr>
        <w:spacing w:before="0" w:after="120"/>
      </w:pPr>
      <w:r>
        <w:rPr>
          <w:b/>
        </w:rPr>
        <w:t xml:space="preserve">Source: </w:t>
      </w:r>
      <w:r>
        <w:t>AAAS: Science Advances: Table of Contents</w:t>
      </w:r>
      <w:r>
        <w:t xml:space="preserve">    </w:t>
      </w:r>
      <w:r>
        <w:rPr>
          <w:b/>
        </w:rPr>
        <w:t xml:space="preserve">Pub date: </w:t>
      </w:r>
      <w:r>
        <w:t>2026-06-17 07:00:00+00:00</w:t>
      </w:r>
      <w:r>
        <w:t xml:space="preserve">    </w:t>
      </w:r>
      <w:r>
        <w:rPr>
          <w:b/>
        </w:rPr>
        <w:t xml:space="preserve">DOI: </w:t>
      </w:r>
      <w:hyperlink r:id="rId840">
        <w:r>
          <w:rPr>
            <w:color w:val="1155CC"/>
            <w:u w:val="single"/>
          </w:rPr>
          <w:t>10.1126/sciadv.aee2291</w:t>
        </w:r>
      </w:hyperlink>
    </w:p>
    <w:p>
      <w:pPr>
        <w:spacing w:before="0" w:after="120"/>
      </w:pPr>
      <w:r>
        <w:rPr>
          <w:b/>
        </w:rPr>
        <w:t xml:space="preserve">Notes: </w:t>
      </w:r>
      <w:r>
        <w:t>abstract_source=crossref</w:t>
      </w:r>
    </w:p>
    <w:p>
      <w:pPr>
        <w:spacing w:before="0" w:after="80" w:lineRule="auto" w:line="276"/>
      </w:pPr>
      <w:r>
        <w:rPr>
          <w:b/>
        </w:rPr>
        <w:t xml:space="preserve">摘要（ZH）: </w:t>
      </w:r>
      <w:r>
        <w:t>安尼阶阶段（中三叠世）标志着二叠纪-三叠纪大规模灭绝之后生物恢复的关键时期，但其环境驱动因素仍然知之甚少。本研究提供了特提斯海安尼阶（主要是佩尔逊阶）海洋和陆地剖面的碳同位素、汞 (Hg) 浓度和汞同位素数据。我们的结果揭示了与佩尔森负碳同位素偏移（PENCIE）同步的广泛的汞富集事件。汞同位素组成支持起源于增强的区域火山活动，加上同时期的陆地输入。新的高精度锆石 U-Pb 年龄（244.200 ± 0.037 Ma 和 243.451 ± 0.049 Ma）与化学地层学和生物地层学数据相结合，将 PENCIE 的持续时间限制在~0.5 Myr。这一时期与主要的生物多样性相一致，表明恢复是在环境扰动的同时发生的，而不是传统认为的在稳定条件下发生的。这些与火山活动和陆地输入有关的碳和汞循环的全球扰动可能加速了中三叠世生物的恢复。</w:t>
      </w:r>
    </w:p>
    <w:p>
      <w:pPr>
        <w:spacing w:before="0" w:after="200" w:lineRule="auto" w:line="276"/>
      </w:pPr>
      <w:r>
        <w:rPr>
          <w:b/>
        </w:rPr>
        <w:t xml:space="preserve">Abstract (EN): </w:t>
      </w:r>
      <w:r>
        <w:t>The Anisian Stage (Middle Triassic) marks a pivotal interval for biotic recovery following the Permian-Triassic mass extinction, yet its environmental drivers remain poorly understood. This study presents carbon isotopes, mercury (Hg) concentrations, and Hg isotope data from Anisian (mainly Pelsonian substage) marine and terrestrial sections across the Tethys. Our results reveal a widespread Hg enrichment event that is synchronous with the Pelsonian negative carbon isotope excursion (PENCIE). Hg isotopic compositions support an origin from enhanced regional volcanism, coupled with contemporaneous terrestrial input. New high-precision zircon U-Pb ages (244.200 ± 0.037 Ma and 243.451 ± 0.049 Ma), integrated with chemostratigraphic and biostratigraphic data, constrain the duration of the PENCIE to ∼0.5 Myr. This interval coincided with major biodiversification, revealing that recovery occurred alongside environmental perturbations rather than in stable conditions as traditionally thought. These global disturbances in carbon and mercury cycles, linked to volcanism and terrestrial input, likely accelerated Middle Triassic biotic recovery.</w:t>
      </w:r>
    </w:p>
    <w:p>
      <w:pPr>
        <w:spacing w:before="120" w:after="120"/>
      </w:pPr>
      <w:r>
        <w:rPr>
          <w:sz w:val="18"/>
        </w:rPr>
        <w:t>——————————————————————————————————————————————————————————————————————</w:t>
      </w:r>
    </w:p>
    <w:p>
      <w:pPr>
        <w:spacing w:before="160" w:after="40" w:line="240" w:lineRule="auto"/>
      </w:pPr>
      <w:r>
        <w:rPr>
          <w:b/>
        </w:rPr>
        <w:t xml:space="preserve">[317] </w:t>
      </w:r>
      <w:hyperlink r:id="rId841">
        <w:r>
          <w:rPr>
            <w:color w:val="1155CC"/>
            <w:u w:val="single"/>
          </w:rPr>
          <w:t>对稳定溶原性的挑战揭示了噬菌体 Lambda 隐藏的感染动态</w:t>
        </w:r>
      </w:hyperlink>
    </w:p>
    <w:p>
      <w:pPr>
        <w:spacing w:before="0" w:after="80"/>
      </w:pPr>
      <w:r>
        <w:rPr>
          <w:i/>
          <w:sz w:val="20"/>
        </w:rPr>
        <w:t>EN: Defiance of stable lysogeny reveals hidden infection dynamics of phage Lambda</w:t>
      </w:r>
    </w:p>
    <w:p>
      <w:pPr>
        <w:spacing w:before="0" w:after="120"/>
      </w:pPr>
      <w:r>
        <w:rPr>
          <w:b/>
        </w:rPr>
        <w:t xml:space="preserve">Source: </w:t>
      </w:r>
      <w:r>
        <w:t>Proceedings of the National Academy of Sciences: Keyword search for query</w:t>
      </w:r>
      <w:r>
        <w:t xml:space="preserve">    </w:t>
      </w:r>
      <w:r>
        <w:rPr>
          <w:b/>
        </w:rPr>
        <w:t xml:space="preserve">Pub date: </w:t>
      </w:r>
      <w:r>
        <w:t>2026-06-17 07:00:00+00:00</w:t>
      </w:r>
      <w:r>
        <w:t xml:space="preserve">    </w:t>
      </w:r>
      <w:r>
        <w:rPr>
          <w:b/>
        </w:rPr>
        <w:t xml:space="preserve">DOI: </w:t>
      </w:r>
      <w:hyperlink r:id="rId842">
        <w:r>
          <w:rPr>
            <w:color w:val="1155CC"/>
            <w:u w:val="single"/>
          </w:rPr>
          <w:t>10.1073/pnas.2600726123</w:t>
        </w:r>
      </w:hyperlink>
    </w:p>
    <w:p>
      <w:pPr>
        <w:spacing w:before="0" w:after="120"/>
      </w:pPr>
      <w:r>
        <w:rPr>
          <w:b/>
        </w:rPr>
        <w:t xml:space="preserve">Notes: </w:t>
      </w:r>
      <w:r>
        <w:t>abstract_source=crossref</w:t>
      </w:r>
    </w:p>
    <w:p>
      <w:pPr>
        <w:spacing w:before="0" w:after="80" w:lineRule="auto" w:line="276"/>
      </w:pPr>
      <w:r>
        <w:rPr>
          <w:b/>
        </w:rPr>
        <w:t xml:space="preserve">摘要（ZH）: </w:t>
      </w:r>
      <w:r>
        <w:t>稳定的原噬菌体建立被认为是温带噬菌体面对宿主细胞耗竭时的典型反应。然而，仔细研究模型噬菌体 λ 中的这种行为，发现许多 λ 染色体避免在宿主染色体中稳定整合，而是在细胞内呈现非整合的原噬菌体样（或 pλ）状态，持续表达基于 CI 的免疫并变得不对称分离。这就产生了异质的宿主细胞群，它们要么 i) 通过稳定携带整合的 λ 原噬菌体进行免疫，ii) 通过携带 pλ-附加体进行免疫，或 iii) 通过与 pλ 载体分离而无 λ 且短暂免疫。这些免疫细胞的双重感染会耗尽 λ 病毒粒子的数量，并产生更多的 pλ 附加体，从而延长免疫能力并延长无 λ 亚群的扩张。随后 λ 病毒体的减少导致无 λ 病毒体中细胞质遗传的 CI 水平稀释，使它们为 λ 重新裂解消耗做好准备。这些被忽视的 pλ 动力学削弱了原噬菌体建立的重要性，并允许更高效的噬菌体-宿主共存。</w:t>
      </w:r>
    </w:p>
    <w:p>
      <w:pPr>
        <w:spacing w:before="0" w:after="200" w:lineRule="auto" w:line="276"/>
      </w:pPr>
      <w:r>
        <w:rPr>
          <w:b/>
        </w:rPr>
        <w:t xml:space="preserve">Abstract (EN): </w:t>
      </w:r>
      <w:r>
        <w:t>Stable prophage establishment is considered a quintessential response of temperate phages when faced with host cell depletion. Scrutinizing this behavior in model phage λ, however, revealed that many λ-chromosomes avoid stable integration in the host chromosome, and rather assume a nonintegrated prophage-like (or pλ) state inside the cell that keeps expressing CI-based immunity and becomes asymmetrically segregated. This creates a heterogeneous population of host cells that are either i) immune by stably carrying an integrated λ prophage, ii) immune by carrying a pλ-episome, or iii) λ-free and transiently immune by segregating from a pλ-carrier. Superinfection of these immune cells drains the number of λ-virions and creates more pλ-episomes that prolong the immunity and expansion of the λ-free subpopulation. The subsequent decline in λ-virions causes cytoplasmically inherited CI-levels in λ-free siblings to dilute out, poising them for renewed lytic consumption by λ. These overlooked pλ-dynamics attenuate the importance of prophage establishment and permit a more productive phage–host coexistence.</w:t>
      </w:r>
    </w:p>
    <w:p>
      <w:pPr>
        <w:spacing w:before="120" w:after="120"/>
      </w:pPr>
      <w:r>
        <w:rPr>
          <w:sz w:val="18"/>
        </w:rPr>
        <w:t>——————————————————————————————————————————————————————————————————————</w:t>
      </w:r>
    </w:p>
    <w:p>
      <w:pPr>
        <w:spacing w:before="160" w:after="40" w:line="240" w:lineRule="auto"/>
      </w:pPr>
      <w:r>
        <w:rPr>
          <w:b/>
        </w:rPr>
        <w:t xml:space="preserve">[318] </w:t>
      </w:r>
      <w:hyperlink r:id="rId843">
        <w:r>
          <w:rPr>
            <w:color w:val="1155CC"/>
            <w:u w:val="single"/>
          </w:rPr>
          <w:t>实时成像和多模式分析揭示了 Notch 抑制后耳蜗支持细胞亚群的转分化</w:t>
        </w:r>
      </w:hyperlink>
    </w:p>
    <w:p>
      <w:pPr>
        <w:spacing w:before="0" w:after="80"/>
      </w:pPr>
      <w:r>
        <w:rPr>
          <w:i/>
          <w:sz w:val="20"/>
        </w:rPr>
        <w:t>EN: Live imaging and multimodal profiling reveal transdifferentiation of a cochlear supporting cell subpopulation upon Notch inhibition</w:t>
      </w:r>
    </w:p>
    <w:p>
      <w:pPr>
        <w:spacing w:before="0" w:after="120"/>
      </w:pPr>
      <w:r>
        <w:rPr>
          <w:b/>
        </w:rPr>
        <w:t xml:space="preserve">Source: </w:t>
      </w:r>
      <w:r>
        <w:t>AAAS: Science Advances: Table of Contents</w:t>
      </w:r>
      <w:r>
        <w:t xml:space="preserve">    </w:t>
      </w:r>
      <w:r>
        <w:rPr>
          <w:b/>
        </w:rPr>
        <w:t xml:space="preserve">Pub date: </w:t>
      </w:r>
      <w:r>
        <w:t>2026-06-17 07:00:00+00:00</w:t>
      </w:r>
      <w:r>
        <w:t xml:space="preserve">    </w:t>
      </w:r>
      <w:r>
        <w:rPr>
          <w:b/>
        </w:rPr>
        <w:t xml:space="preserve">DOI: </w:t>
      </w:r>
      <w:hyperlink r:id="rId844">
        <w:r>
          <w:rPr>
            <w:color w:val="1155CC"/>
            <w:u w:val="single"/>
          </w:rPr>
          <w:t>10.1126/sciadv.aed3887</w:t>
        </w:r>
      </w:hyperlink>
    </w:p>
    <w:p>
      <w:pPr>
        <w:spacing w:before="0" w:after="120"/>
      </w:pPr>
      <w:r>
        <w:rPr>
          <w:b/>
        </w:rPr>
        <w:t xml:space="preserve">Notes: </w:t>
      </w:r>
      <w:r>
        <w:t>abstract_source=crossref</w:t>
      </w:r>
    </w:p>
    <w:p>
      <w:pPr>
        <w:spacing w:before="0" w:after="80" w:lineRule="auto" w:line="276"/>
      </w:pPr>
      <w:r>
        <w:rPr>
          <w:b/>
        </w:rPr>
        <w:t xml:space="preserve">摘要（ZH）: </w:t>
      </w:r>
      <w:r>
        <w:t>再生使生物体能够修复受损的组织，但这种能力在耳蜗感觉上皮中明显受到限制，而耳蜗感觉上皮对于声音检测至关重要。听力损失的一个主要原因是耳蜗中感觉毛细胞（HC）的不可逆损失。虽然支持细胞 (SC) 具有转分化为 HC 的潜在能力，但这种再生潜力在发育后会迅速丧失。利用耳蜗外植体的实时成像和单细胞多组学，我们发现了新生小鼠耳蜗再生能力有限的细胞和分子异质性。 Notch 抑制广泛沉默了关键的 SC 基因，但只有 Deiters 细胞 (DC) 的一个罕见亚群，称为转分化 DC (tDC)，启动了转分化为 HC 命运。这些细胞经历了协调的转录和增强子重塑，将表观遗传启动与形态可塑性联系起来，而其他 SC 仍然难以控制，尽管 Notch 目标下调。我们的研究提供了早期诱导的 DC 到 HC 状态过渡的分子定义，揭示了 Notch 抑制作为一种选择性触发因素，揭示了罕见的再生能力。</w:t>
      </w:r>
    </w:p>
    <w:p>
      <w:pPr>
        <w:spacing w:before="0" w:after="200" w:lineRule="auto" w:line="276"/>
      </w:pPr>
      <w:r>
        <w:rPr>
          <w:b/>
        </w:rPr>
        <w:t xml:space="preserve">Abstract (EN): </w:t>
      </w:r>
      <w:r>
        <w:t>Regeneration enables organisms to repair damaged tissues, yet this capacity is notably limited in the cochlear sensory epithelium, essential for sound detection. A major cause of hearing loss arises from the irreversible loss of sensory hair cells (HCs) in the cochlea. While supporting cells (SCs) have a latent ability to transdifferentiate into HCs, this regenerative potential is rapidly lost after development. Using live imaging and single-cell multiomics of cochlear explants, we uncovered the cellular and molecular heterogeneity underlying the limited regenerative capacity of the neonatal mouse cochlea. Notch repression broadly silenced key SC genes, yet only a rare subpopulation of Deiters’ cells (DC), termed transdifferentiating DCs (tDCs), initiated the transdifferentiation into HC fate. These cells underwent coordinated transcriptional and enhancer remodeling, linking epigenetic priming with morphological plasticity, while other SCs remained refractory despite robust Notch targets down-regulation. Our study provides a molecular definition of an early induced transitional DC to HC state, revealing Notch inhibition as a selective trigger that unmasks rare regenerative competence.</w:t>
      </w:r>
    </w:p>
    <w:p>
      <w:pPr>
        <w:spacing w:before="120" w:after="120"/>
      </w:pPr>
      <w:r>
        <w:rPr>
          <w:sz w:val="18"/>
        </w:rPr>
        <w:t>——————————————————————————————————————————————————————————————————————</w:t>
      </w:r>
    </w:p>
    <w:p>
      <w:pPr>
        <w:spacing w:before="160" w:after="40" w:line="240" w:lineRule="auto"/>
      </w:pPr>
      <w:r>
        <w:rPr>
          <w:b/>
        </w:rPr>
        <w:t xml:space="preserve">[319] </w:t>
      </w:r>
      <w:hyperlink r:id="rId845">
        <w:r>
          <w:rPr>
            <w:color w:val="1155CC"/>
            <w:u w:val="single"/>
          </w:rPr>
          <w:t>使用循环肿瘤细胞动态监测乳腺癌中针对 TROP2 或 HER2 的抗体药物偶联物</w:t>
        </w:r>
      </w:hyperlink>
    </w:p>
    <w:p>
      <w:pPr>
        <w:spacing w:before="0" w:after="80"/>
      </w:pPr>
      <w:r>
        <w:rPr>
          <w:i/>
          <w:sz w:val="20"/>
        </w:rPr>
        <w:t>EN: Dynamic monitoring of antibody drug conjugates targeting TROP2 or HER2 in breast cancer using circulating tumor cells</w:t>
      </w:r>
    </w:p>
    <w:p>
      <w:pPr>
        <w:spacing w:before="0" w:after="120"/>
      </w:pPr>
      <w:r>
        <w:rPr>
          <w:b/>
        </w:rPr>
        <w:t xml:space="preserve">Source: </w:t>
      </w:r>
      <w:r>
        <w:t>Proceedings of the National Academy of Sciences: Keyword search for query</w:t>
      </w:r>
      <w:r>
        <w:t xml:space="preserve">    </w:t>
      </w:r>
      <w:r>
        <w:rPr>
          <w:b/>
        </w:rPr>
        <w:t xml:space="preserve">Pub date: </w:t>
      </w:r>
      <w:r>
        <w:t>2026-06-17 07:00:00+00:00</w:t>
      </w:r>
      <w:r>
        <w:t xml:space="preserve">    </w:t>
      </w:r>
      <w:r>
        <w:rPr>
          <w:b/>
        </w:rPr>
        <w:t xml:space="preserve">DOI: </w:t>
      </w:r>
      <w:hyperlink r:id="rId846">
        <w:r>
          <w:rPr>
            <w:color w:val="1155CC"/>
            <w:u w:val="single"/>
          </w:rPr>
          <w:t>10.1073/pnas.2601563123</w:t>
        </w:r>
      </w:hyperlink>
    </w:p>
    <w:p>
      <w:pPr>
        <w:spacing w:before="0" w:after="120"/>
      </w:pPr>
      <w:r>
        <w:rPr>
          <w:b/>
        </w:rPr>
        <w:t xml:space="preserve">Notes: </w:t>
      </w:r>
      <w:r>
        <w:t>abstract_source=crossref</w:t>
      </w:r>
    </w:p>
    <w:p>
      <w:pPr>
        <w:spacing w:before="0" w:after="80" w:lineRule="auto" w:line="276"/>
      </w:pPr>
      <w:r>
        <w:rPr>
          <w:b/>
        </w:rPr>
        <w:t xml:space="preserve">摘要（ZH）: </w:t>
      </w:r>
      <w:r>
        <w:t>抗体药物偶联物 (ADC) 以癌细胞表面蛋白为目标，导致药物有效负载的内化和递送，从而提高选择性并最大限度地降低毒性。针对 TROP2 (Sacituzumab govitecan) 或 HER2 (T-DXd) 的 ADC 已证明对转移性乳腺癌有效，但矛盾的是，除了</w:t>
      </w:r>
      <w:r>
        <w:t xml:space="preserve"> </w:t>
      </w:r>
      <w:r>
        <w:t>HER2</w:t>
      </w:r>
      <w:r>
        <w:t xml:space="preserve"> </w:t>
      </w:r>
      <w:r>
        <w:t>-扩增的乳腺癌，肿瘤活检中这些富含乳腺癌的表位的表达水平与临床反应没有很强的相关性。我们对 35 名接受这两种 ADC 治疗的患者组成的前瞻性队列进行了循环肿瘤细胞 (CTC) 的连续定量成像。在单细胞水平上，TROP2 和 HER2 在个体患者体内的表达在 CTC 和配对肿瘤活检中具有高度异质性。在 ADC 治疗前立即测量 CTC 上的这些表位并不能预测临床反应的深度。然而，治疗三周后，CTC 消失或 CTC 数量减少 80% 以上（CTC</w:t>
      </w:r>
      <w:r>
        <w:t xml:space="preserve"> </w:t>
      </w:r>
      <w:r>
        <w:t>低</w:t>
      </w:r>
      <w:r>
        <w:t xml:space="preserve"> </w:t>
      </w:r>
      <w:r>
        <w:t>) 与 CTC 相比，预测持久反应</w:t>
      </w:r>
      <w:r>
        <w:t xml:space="preserve"> </w:t>
      </w:r>
      <w:r>
        <w:t>高</w:t>
      </w:r>
      <w:r>
        <w:t xml:space="preserve"> </w:t>
      </w:r>
      <w:r>
        <w:t>案例（TROP2：HR 5.15，</w:t>
      </w:r>
      <w:r>
        <w:t xml:space="preserve"> </w:t>
      </w:r>
      <w:r>
        <w:t>磷</w:t>
      </w:r>
      <w:r>
        <w:t xml:space="preserve"> </w:t>
      </w:r>
      <w:r>
        <w:t>= 0.012； HER2：HR 6.01，</w:t>
      </w:r>
      <w:r>
        <w:t xml:space="preserve"> </w:t>
      </w:r>
      <w:r>
        <w:t>磷</w:t>
      </w:r>
      <w:r>
        <w:t xml:space="preserve"> </w:t>
      </w:r>
      <w:r>
        <w:t>&lt; 0.001）。在获得临床耐药性时，CTC 上的靶向表位通常不会下调，并且共享相似有效负载的 TROP2 和 HER2 靶向 ADC 之间的切换很少会导致二线反应。因此，虽然 CTC 负担与反应相关</w:t>
      </w:r>
    </w:p>
    <w:p>
      <w:pPr>
        <w:spacing w:before="0" w:after="200" w:lineRule="auto" w:line="276"/>
      </w:pPr>
      <w:r>
        <w:rPr>
          <w:b/>
        </w:rPr>
        <w:t xml:space="preserve">Abstract (EN): </w:t>
      </w:r>
      <w:r>
        <w:t>Antibody–drug conjugates (ADCs) target surface proteins on cancer cells, leading to internalization and delivery of a drug payload, thereby enhancing selectivity and minimizing toxicity. ADCs against TROP2 (Sacituzumab govitecan) or HER2 (T-DXd) have demonstrated efficacy in metastatic breast cancer, yet paradoxically, outside of</w:t>
      </w:r>
      <w:r>
        <w:t xml:space="preserve"> </w:t>
      </w:r>
      <w:r>
        <w:t>HER2</w:t>
      </w:r>
      <w:r>
        <w:t xml:space="preserve"> </w:t>
      </w:r>
      <w:r>
        <w:t>-amplified breast cancers, expression levels of these breast cancer-enriched epitopes in tumor biopsies have not been strongly correlated with clinical response. We undertook serial quantitative imaging of circulating tumor cells (CTCs) in a prospective cohort of 35 patients treated with either of these ADCs. At the single-cell level, expression of TROP2 and HER2 within individual patients is highly heterogeneous in both CTCs and paired tumor biopsies. Measurement of these epitopes on CTCs immediately prior to ADC therapy does not predict depth of clinical response. However, absence of CTCs or &amp;gt;80% reduction in CTC numbers after three weeks of treatment (CTC</w:t>
      </w:r>
      <w:r>
        <w:t xml:space="preserve"> </w:t>
      </w:r>
      <w:r>
        <w:t>Low</w:t>
      </w:r>
      <w:r>
        <w:t xml:space="preserve"> </w:t>
      </w:r>
      <w:r>
        <w:t>) predicts durable response, compared with CTC</w:t>
      </w:r>
      <w:r>
        <w:t xml:space="preserve"> </w:t>
      </w:r>
      <w:r>
        <w:t>High</w:t>
      </w:r>
      <w:r>
        <w:t xml:space="preserve"> </w:t>
      </w:r>
      <w:r>
        <w:t>cases (TROP2: HR 5.15,</w:t>
      </w:r>
      <w:r>
        <w:t xml:space="preserve"> </w:t>
      </w:r>
      <w:r>
        <w:t>P</w:t>
      </w:r>
      <w:r>
        <w:t xml:space="preserve"> </w:t>
      </w:r>
      <w:r>
        <w:t>= 0.012; HER2: HR 6.01,</w:t>
      </w:r>
      <w:r>
        <w:t xml:space="preserve"> </w:t>
      </w:r>
      <w:r>
        <w:t>P</w:t>
      </w:r>
      <w:r>
        <w:t xml:space="preserve"> </w:t>
      </w:r>
      <w:r>
        <w:t>&amp;lt; 0.001). Targeted epitopes are not commonly downregulated on CTCs at the time of acquired clinical resistance, and switching between TROP2- and HER2-targeting ADCs sharing similar payloads infrequently leads to second-line response. Thus, while CTC burden is correlated with response to these ADCs, the level of TROP2 or HER2 expression is poorly predictive. These findings point to sensitivity to the drug payload as a potential driver of clinical response to currently approved ADCs in breast cancer.</w:t>
      </w:r>
    </w:p>
    <w:p>
      <w:pPr>
        <w:spacing w:before="120" w:after="120"/>
      </w:pPr>
      <w:r>
        <w:rPr>
          <w:sz w:val="18"/>
        </w:rPr>
        <w:t>——————————————————————————————————————————————————————————————————————</w:t>
      </w:r>
    </w:p>
    <w:p>
      <w:pPr>
        <w:spacing w:before="160" w:after="40" w:line="240" w:lineRule="auto"/>
      </w:pPr>
      <w:r>
        <w:rPr>
          <w:b/>
        </w:rPr>
        <w:t xml:space="preserve">[320] </w:t>
      </w:r>
      <w:hyperlink r:id="rId847">
        <w:r>
          <w:rPr>
            <w:color w:val="1155CC"/>
            <w:u w:val="single"/>
          </w:rPr>
          <w:t>一般人群队列中 JAK2V617F 克隆扩增的数学模型</w:t>
        </w:r>
      </w:hyperlink>
    </w:p>
    <w:p>
      <w:pPr>
        <w:spacing w:before="0" w:after="80"/>
      </w:pPr>
      <w:r>
        <w:rPr>
          <w:i/>
          <w:sz w:val="20"/>
        </w:rPr>
        <w:t>EN: Mathematical modeling of JAK2V617F clonal expansion in a general population cohort</w:t>
      </w:r>
    </w:p>
    <w:p>
      <w:pPr>
        <w:spacing w:before="0" w:after="120"/>
      </w:pPr>
      <w:r>
        <w:rPr>
          <w:b/>
        </w:rPr>
        <w:t xml:space="preserve">Source: </w:t>
      </w:r>
      <w:r>
        <w:t>Proceedings of the National Academy of Sciences: Keyword search for query</w:t>
      </w:r>
      <w:r>
        <w:t xml:space="preserve">    </w:t>
      </w:r>
      <w:r>
        <w:rPr>
          <w:b/>
        </w:rPr>
        <w:t xml:space="preserve">Pub date: </w:t>
      </w:r>
      <w:r>
        <w:t>2026-06-17 07:00:00+00:00</w:t>
      </w:r>
      <w:r>
        <w:t xml:space="preserve">    </w:t>
      </w:r>
      <w:r>
        <w:rPr>
          <w:b/>
        </w:rPr>
        <w:t xml:space="preserve">DOI: </w:t>
      </w:r>
      <w:hyperlink r:id="rId848">
        <w:r>
          <w:rPr>
            <w:color w:val="1155CC"/>
            <w:u w:val="single"/>
          </w:rPr>
          <w:t>10.1073/pnas.2507773123</w:t>
        </w:r>
      </w:hyperlink>
    </w:p>
    <w:p>
      <w:pPr>
        <w:spacing w:before="0" w:after="120"/>
      </w:pPr>
      <w:r>
        <w:rPr>
          <w:b/>
        </w:rPr>
        <w:t xml:space="preserve">Notes: </w:t>
      </w:r>
      <w:r>
        <w:t>abstract_source=crossref</w:t>
      </w:r>
    </w:p>
    <w:p>
      <w:pPr>
        <w:spacing w:before="0" w:after="80" w:lineRule="auto" w:line="276"/>
      </w:pPr>
      <w:r>
        <w:rPr>
          <w:b/>
        </w:rPr>
        <w:t xml:space="preserve">摘要（ZH）: </w:t>
      </w:r>
      <w:r>
        <w:t>费城染色体阴性骨髓增生性肿瘤 (MPN) 是一组血癌，其特征是一种或多种类型的血细胞过度产生，可导致血栓形成和其他并发症。 MPN 发育缓慢，由造血干细胞 (HSC) 中相对较小的一组突变驱动。它们的缓慢发展（数十年）为研究其发病提供了独特的机会，但直到最近，尚未表现出明显疾病的个体的数据还很少。感谢在丹麦西兰郊区进行的雄心勃勃的丹麦一般郊区人口研究，我们确定了（</w:t>
      </w:r>
      <w:r>
        <w:t xml:space="preserve"> </w:t>
      </w:r>
      <w:r>
        <w:t>n</w:t>
      </w:r>
      <w:r>
        <w:t xml:space="preserve"> </w:t>
      </w:r>
      <w:r>
        <w:t>=</w:t>
      </w:r>
      <w:r>
        <w:rPr>
          <w:vertAlign w:val="subscript"/>
        </w:rPr>
        <w:t>67</w:t>
      </w:r>
      <w:r>
        <w:t xml:space="preserve"> </w:t>
      </w:r>
      <w:r>
        <w:t>）携带 MPN 中最常见驱动突变的个体队列（即</w:t>
      </w:r>
      <w:r>
        <w:t xml:space="preserve"> </w:t>
      </w:r>
      <w:r>
        <w:t>JAK2V617F</w:t>
      </w:r>
      <w:r>
        <w:t xml:space="preserve"> </w:t>
      </w:r>
      <w:r>
        <w:t>）并获得了跨越 10 年的变异等位基因分数 (VAF) 的后续测量结果。我们证明这些数据与控制健康和突变 HSC 之间竞争的 Moran 模型一致，并估计每个个体突变克隆的选择优势。值得注意的是，我们发现对于许多人来说，多年来 VAF 的变化在统计上与零甚至负选择性优势一致。这与之前的研究形成鲜明对比，之前的研究重点关注被诊断为明显 MPN 疾病的患者。</w:t>
      </w:r>
    </w:p>
    <w:p>
      <w:pPr>
        <w:spacing w:before="0" w:after="200" w:lineRule="auto" w:line="276"/>
      </w:pPr>
      <w:r>
        <w:rPr>
          <w:b/>
        </w:rPr>
        <w:t xml:space="preserve">Abstract (EN): </w:t>
      </w:r>
      <w:r>
        <w:t>The Philadelphia chromosome-negative myeloproliferative neoplasms (MPNs) are a group of blood cancers characterized by overproduction of one or more types of blood cells, which can lead to thrombosis and other complications. MPNs develop slowly and are driven by a relatively small set of mutations in the hematopoietic stem cells (HSCs). Their slow development (over the course of decades) affords a unique opportunity to study their onset, but until recently few data have been available from individuals not yet showing overt disease. Thanks to the ambitious Danish General Suburban Population Study conducted in suburban Zealand, Denmark, we have identified a (</w:t>
      </w:r>
      <w:r>
        <w:t xml:space="preserve"> </w:t>
      </w:r>
      <w:r>
        <w:t>n</w:t>
      </w:r>
      <w:r>
        <w:t xml:space="preserve"> </w:t>
      </w:r>
      <w:r>
        <w:t>=</w:t>
      </w:r>
      <w:r>
        <w:rPr>
          <w:vertAlign w:val="subscript"/>
        </w:rPr>
        <w:t>67</w:t>
      </w:r>
      <w:r>
        <w:t xml:space="preserve"> </w:t>
      </w:r>
      <w:r>
        <w:t>) cohort of individuals harboring the most common driver mutation in MPN (namely</w:t>
      </w:r>
      <w:r>
        <w:t xml:space="preserve"> </w:t>
      </w:r>
      <w:r>
        <w:t>JAK2V617F</w:t>
      </w:r>
      <w:r>
        <w:t xml:space="preserve"> </w:t>
      </w:r>
      <w:r>
        <w:t>) and have obtained follow-up measurements of their variant allele fraction (VAF) spanning over 10 y. We show that these data are consistent with a Moran model governing the competition between healthy and mutated HSCs, and estimate the selective advantage of the mutant clone for each individual. Notably, we find that for many individuals, the change in VAF over many years is statistically consistent with zero, or even negative, selective advantage. This is in contrast to prior studies that have focused on patients diagnosed with overt MPN disease, in whom the mutant cells are almost always found to outcompete the healthy cells. Our results have implications for our understanding of the very early phases of MPN disease, and may contribute to early detection and personalized prediction of disease progression.</w:t>
      </w:r>
    </w:p>
    <w:p>
      <w:pPr>
        <w:spacing w:before="120" w:after="120"/>
      </w:pPr>
      <w:r>
        <w:rPr>
          <w:sz w:val="18"/>
        </w:rPr>
        <w:t>——————————————————————————————————————————————————————————————————————</w:t>
      </w:r>
    </w:p>
    <w:p>
      <w:pPr>
        <w:spacing w:before="160" w:after="40" w:line="240" w:lineRule="auto"/>
      </w:pPr>
      <w:r>
        <w:rPr>
          <w:b/>
        </w:rPr>
        <w:t xml:space="preserve">[321] </w:t>
      </w:r>
      <w:hyperlink r:id="rId849">
        <w:r>
          <w:rPr>
            <w:color w:val="1155CC"/>
            <w:u w:val="single"/>
          </w:rPr>
          <w:t>相反的范围依赖性相互作用在多物种生物膜中产生抗生素耐受性的复杂空间模式</w:t>
        </w:r>
      </w:hyperlink>
    </w:p>
    <w:p>
      <w:pPr>
        <w:spacing w:before="0" w:after="80"/>
      </w:pPr>
      <w:r>
        <w:rPr>
          <w:i/>
          <w:sz w:val="20"/>
        </w:rPr>
        <w:t>EN: Opposing range-dependent interactions create complex spatial patterns of antibiotic tolerance in multispecies biofilms</w:t>
      </w:r>
    </w:p>
    <w:p>
      <w:pPr>
        <w:spacing w:before="0" w:after="120"/>
      </w:pPr>
      <w:r>
        <w:rPr>
          <w:b/>
        </w:rPr>
        <w:t xml:space="preserve">Source: </w:t>
      </w:r>
      <w:r>
        <w:t>Proceedings of the National Academy of Sciences: Keyword search for query</w:t>
      </w:r>
      <w:r>
        <w:t xml:space="preserve">    </w:t>
      </w:r>
      <w:r>
        <w:rPr>
          <w:b/>
        </w:rPr>
        <w:t xml:space="preserve">Pub date: </w:t>
      </w:r>
      <w:r>
        <w:t>2026-06-17 07:00:00+00:00</w:t>
      </w:r>
      <w:r>
        <w:t xml:space="preserve">    </w:t>
      </w:r>
      <w:r>
        <w:rPr>
          <w:b/>
        </w:rPr>
        <w:t xml:space="preserve">DOI: </w:t>
      </w:r>
      <w:hyperlink r:id="rId850">
        <w:r>
          <w:rPr>
            <w:color w:val="1155CC"/>
            <w:u w:val="single"/>
          </w:rPr>
          <w:t>10.1073/pnas.2604163123</w:t>
        </w:r>
      </w:hyperlink>
    </w:p>
    <w:p>
      <w:pPr>
        <w:spacing w:before="0" w:after="120"/>
      </w:pPr>
      <w:r>
        <w:rPr>
          <w:b/>
        </w:rPr>
        <w:t xml:space="preserve">Notes: </w:t>
      </w:r>
      <w:r>
        <w:t>abstract_source=crossref</w:t>
      </w:r>
    </w:p>
    <w:p>
      <w:pPr>
        <w:spacing w:before="0" w:after="80" w:lineRule="auto" w:line="276"/>
      </w:pPr>
      <w:r>
        <w:rPr>
          <w:b/>
        </w:rPr>
        <w:t xml:space="preserve">摘要（ZH）: </w:t>
      </w:r>
      <w:r>
        <w:t>许多微生物群落形成多物种生物膜，其中细胞通过可扩散分子相互作用。在这些生物膜中，多种相互作用（通常具有相反的效果）同时发生，但我们缺乏定量框架来预测它们如何结合起来塑造群落功能。在这里，我们假设当相反的相互作用具有不同的空间范围时，就会出现复杂的空间模式。为了测试这一点，我们研究了两个</w:t>
      </w:r>
      <w:r>
        <w:t xml:space="preserve"> </w:t>
      </w:r>
      <w:r>
        <w:t>铜绿假单胞菌</w:t>
      </w:r>
      <w:r>
        <w:t xml:space="preserve"> </w:t>
      </w:r>
      <w:r>
        <w:t>外产物 HQNO 和鼠李糖脂共同调节</w:t>
      </w:r>
      <w:r>
        <w:t xml:space="preserve"> </w:t>
      </w:r>
      <w:r>
        <w:t>金黄色葡萄球菌</w:t>
      </w:r>
      <w:r>
        <w:t xml:space="preserve"> </w:t>
      </w:r>
      <w:r>
        <w:t>通过分别增加和减少抗生素耐受性。使用基于微流体的成像，我们以单细胞分辨率量化了空间耐受性模式，发现耐受性确实显示出复杂的空间模式：</w:t>
      </w:r>
      <w:r>
        <w:t xml:space="preserve"> </w:t>
      </w:r>
      <w:r>
        <w:t>金黄色葡萄球菌</w:t>
      </w:r>
      <w:r>
        <w:t xml:space="preserve"> </w:t>
      </w:r>
      <w:r>
        <w:t>细胞仅在中等距离的治疗中存活下来</w:t>
      </w:r>
      <w:r>
        <w:t xml:space="preserve"> </w:t>
      </w:r>
      <w:r>
        <w:t>铜绿假单胞菌</w:t>
      </w:r>
      <w:r>
        <w:t xml:space="preserve"> </w:t>
      </w:r>
      <w:r>
        <w:t>，而较近或较远的细胞却没有。结合实验和建模，我们发现这种显着模式的出现是因为鼠李糖脂具有较强但短期的作用，而 HQNO 具有较弱但长期的作用。我们发现空间排列通过改变两种相反相互作用之间的平衡来影响整体耐受性。最后，使用生物打印，我们确认</w:t>
      </w:r>
    </w:p>
    <w:p>
      <w:pPr>
        <w:spacing w:before="0" w:after="200" w:lineRule="auto" w:line="276"/>
      </w:pPr>
      <w:r>
        <w:rPr>
          <w:b/>
        </w:rPr>
        <w:t xml:space="preserve">Abstract (EN): </w:t>
      </w:r>
      <w:r>
        <w:t>Many microbial communities form multispecies biofilms where cells interact through diffusible molecules. In these biofilms, multiple interactions, often with opposing effects, occur simultaneously, yet we lack quantitative frameworks to predict how they combine to shape community functions. Here, we hypothesized that complex spatial patterns can emerge when opposing interactions have distinct spatial ranges. To test this, we studied how two</w:t>
      </w:r>
      <w:r>
        <w:t xml:space="preserve"> </w:t>
      </w:r>
      <w:r>
        <w:t>Pseudomonas aeruginosa</w:t>
      </w:r>
      <w:r>
        <w:t xml:space="preserve"> </w:t>
      </w:r>
      <w:r>
        <w:t>exoproducts, HQNO and rhamnolipids, jointly modulate</w:t>
      </w:r>
      <w:r>
        <w:t xml:space="preserve"> </w:t>
      </w:r>
      <w:r>
        <w:t>Staphylococcus aureus</w:t>
      </w:r>
      <w:r>
        <w:t xml:space="preserve"> </w:t>
      </w:r>
      <w:r>
        <w:t>antibiotic tolerance by respectively increasing and decreasing it. Using microfluidics-based imaging, we quantified spatial-tolerance patterns at single-cell resolution and found that tolerance indeed shows a complex spatial pattern:</w:t>
      </w:r>
      <w:r>
        <w:t xml:space="preserve"> </w:t>
      </w:r>
      <w:r>
        <w:t>S. aureus</w:t>
      </w:r>
      <w:r>
        <w:t xml:space="preserve"> </w:t>
      </w:r>
      <w:r>
        <w:t>cells survived treatment only at intermediate distances from</w:t>
      </w:r>
      <w:r>
        <w:t xml:space="preserve"> </w:t>
      </w:r>
      <w:r>
        <w:t>P. aeruginosa</w:t>
      </w:r>
      <w:r>
        <w:t xml:space="preserve"> </w:t>
      </w:r>
      <w:r>
        <w:t>, while cells closer or farther away did not. Combining experiments and modeling, we showed that this remarkable pattern emerges because rhamnolipids have a stronger but short-ranged effect, while HQNO has a weaker but longer-ranged effect. We found that spatial arrangement affects overall tolerance by shifting the balance between the two opposing interactions. Finally, using bioprinting, we confirmed that HQNO and rhamnolipids modulate tolerance in highly mixed biofilms. In more segregated biofilms, spatial arrangement still strongly modulated tolerance, but independently of these compounds, suggesting additional interactions. Together, our results show that spatial-tolerance patterns emerge from the combined effect of opposing range-dependent interactions and cannot be predicted from either alone. By predicting how opposing interactions jointly determine community properties, our framework provides a foundation for understanding and ultimately engineering microbiome functions.</w:t>
      </w:r>
    </w:p>
    <w:p>
      <w:pPr>
        <w:spacing w:before="120" w:after="120"/>
      </w:pPr>
      <w:r>
        <w:rPr>
          <w:sz w:val="18"/>
        </w:rPr>
        <w:t>——————————————————————————————————————————————————————————————————————</w:t>
      </w:r>
    </w:p>
    <w:p>
      <w:pPr>
        <w:spacing w:before="160" w:after="40" w:line="240" w:lineRule="auto"/>
      </w:pPr>
      <w:r>
        <w:rPr>
          <w:b/>
        </w:rPr>
        <w:t xml:space="preserve">[322] </w:t>
      </w:r>
      <w:hyperlink r:id="rId851">
        <w:r>
          <w:rPr>
            <w:color w:val="1155CC"/>
            <w:u w:val="single"/>
          </w:rPr>
          <w:t>通过多脉冲激励探测和控制相变的相干和非相干动力学</w:t>
        </w:r>
      </w:hyperlink>
    </w:p>
    <w:p>
      <w:pPr>
        <w:spacing w:before="0" w:after="80"/>
      </w:pPr>
      <w:r>
        <w:rPr>
          <w:i/>
          <w:sz w:val="20"/>
        </w:rPr>
        <w:t>EN: Probing and controlling coherent and incoherent dynamics of phase transitions via multipulse excitation</w:t>
      </w:r>
    </w:p>
    <w:p>
      <w:pPr>
        <w:spacing w:before="0" w:after="120"/>
      </w:pPr>
      <w:r>
        <w:rPr>
          <w:b/>
        </w:rPr>
        <w:t xml:space="preserve">Source: </w:t>
      </w:r>
      <w:r>
        <w:t>AAAS: Science Advances: Table of Contents</w:t>
      </w:r>
      <w:r>
        <w:t xml:space="preserve">    </w:t>
      </w:r>
      <w:r>
        <w:rPr>
          <w:b/>
        </w:rPr>
        <w:t xml:space="preserve">Pub date: </w:t>
      </w:r>
      <w:r>
        <w:t>2026-06-17 07:00:00+00:00</w:t>
      </w:r>
      <w:r>
        <w:t xml:space="preserve">    </w:t>
      </w:r>
      <w:r>
        <w:rPr>
          <w:b/>
        </w:rPr>
        <w:t xml:space="preserve">DOI: </w:t>
      </w:r>
      <w:hyperlink r:id="rId852">
        <w:r>
          <w:rPr>
            <w:color w:val="1155CC"/>
            <w:u w:val="single"/>
          </w:rPr>
          <w:t>10.1126/sciadv.aef8585</w:t>
        </w:r>
      </w:hyperlink>
    </w:p>
    <w:p>
      <w:pPr>
        <w:spacing w:before="0" w:after="120"/>
      </w:pPr>
      <w:r>
        <w:rPr>
          <w:b/>
        </w:rPr>
        <w:t xml:space="preserve">Notes: </w:t>
      </w:r>
      <w:r>
        <w:t>abstract_source=crossref</w:t>
      </w:r>
    </w:p>
    <w:p>
      <w:pPr>
        <w:spacing w:before="0" w:after="80" w:lineRule="auto" w:line="276"/>
      </w:pPr>
      <w:r>
        <w:rPr>
          <w:b/>
        </w:rPr>
        <w:t xml:space="preserve">摘要（ZH）: </w:t>
      </w:r>
      <w:r>
        <w:t>超快激光脉冲可以选择性地在固体中诱发大尺寸相干或局部非相干动力学，但利用这些复杂的动力学来实现受控相变仍然具有挑战性。在这里，我们使用实时瞬态密度泛函理论 (rt-TDDFT) 来研究 VO 中的双脉冲激光方案</w:t>
      </w:r>
      <w:r>
        <w:rPr>
          <w:vertAlign w:val="subscript"/>
        </w:rPr>
        <w:t>2</w:t>
      </w:r>
      <w:r>
        <w:t>，阐明了这两种不同类型的动力学的作用，并提出了两种更节能的相变路线。在第一种情况下，微弱的初始脉冲引起 V-V 二聚体的相干振荡。当在二聚体拉伸时间施加第二个脉冲时，瞬态带隙变窄增强了载流子激发，从而减少了相变所需的总激光通量。在第二种情况下，更强但亚阈值的第一脉冲激活类似于光致极化子的局部结构扭曲。随后的长波长脉冲促进极化子的积累和空间传播，最终触发全局相变。我们的研究结果将多脉冲激发确立为一种节能且通用的方法，用于控制结构相变和解开固体中独特的超快动力学。</w:t>
      </w:r>
    </w:p>
    <w:p>
      <w:pPr>
        <w:spacing w:before="0" w:after="200" w:lineRule="auto" w:line="276"/>
      </w:pPr>
      <w:r>
        <w:rPr>
          <w:b/>
        </w:rPr>
        <w:t xml:space="preserve">Abstract (EN): </w:t>
      </w:r>
      <w:r>
        <w:t>Ultrafast laser pulses can selectively induce either wide-sized coherent or localized incoherent dynamics in solids, yet harnessing these complex dynamics to achieve controlled phase transitions remains challenging. Here, we use real-time time-dependent density functional theory (rt-TDDFT) to investigate a double-pulse laser scheme in VO</w:t>
      </w:r>
      <w:r>
        <w:rPr>
          <w:vertAlign w:val="subscript"/>
        </w:rPr>
        <w:t>2</w:t>
      </w:r>
      <w:r>
        <w:t>, elucidating the roles of these two distinct types of dynamics and proposing two more energy-efficient phase transition routes. In the first scenario, a weak initial pulse induces coherent oscillations of V-V dimers. When the second pulse is applied at the dimer stretching time, transient bandgap narrowing enhances carrier excitation, thereby reducing the total laser fluence required for the phase transition. In the second scenario, a stronger but subthreshold first pulse activates localized structural distortions resembling photoinduced polarons. A subsequent long-wavelength pulse promotes accumulation and spatial propagation of the polarons, ultimately triggering a global phase transition. Our findings establish multipulse excitation as an energy-efficient and general approach for controlling structural phase transitions and disentangling distinct ultrafast dynamics in solids.</w:t>
      </w:r>
    </w:p>
    <w:p>
      <w:pPr>
        <w:spacing w:before="120" w:after="120"/>
      </w:pPr>
      <w:r>
        <w:rPr>
          <w:sz w:val="18"/>
        </w:rPr>
        <w:t>——————————————————————————————————————————————————————————————————————</w:t>
      </w:r>
    </w:p>
    <w:p>
      <w:pPr>
        <w:spacing w:before="160" w:after="40" w:line="240" w:lineRule="auto"/>
      </w:pPr>
      <w:r>
        <w:rPr>
          <w:b/>
        </w:rPr>
        <w:t xml:space="preserve">[323] </w:t>
      </w:r>
      <w:hyperlink r:id="rId853">
        <w:r>
          <w:rPr>
            <w:color w:val="1155CC"/>
            <w:u w:val="single"/>
          </w:rPr>
          <w:t>亚热带环流真核浮游植物的动态中尺度汇和源生态位</w:t>
        </w:r>
      </w:hyperlink>
    </w:p>
    <w:p>
      <w:pPr>
        <w:spacing w:before="0" w:after="80"/>
      </w:pPr>
      <w:r>
        <w:rPr>
          <w:i/>
          <w:sz w:val="20"/>
        </w:rPr>
        <w:t>EN: The dynamic mesoscale sink and source niches for eukaryotic phytoplankton in a subtropical gyre</w:t>
      </w:r>
    </w:p>
    <w:p>
      <w:pPr>
        <w:spacing w:before="0" w:after="120"/>
      </w:pPr>
      <w:r>
        <w:rPr>
          <w:b/>
        </w:rPr>
        <w:t xml:space="preserve">Source: </w:t>
      </w:r>
      <w:r>
        <w:t>Proceedings of the National Academy of Sciences: Keyword search for query</w:t>
      </w:r>
      <w:r>
        <w:t xml:space="preserve">    </w:t>
      </w:r>
      <w:r>
        <w:rPr>
          <w:b/>
        </w:rPr>
        <w:t xml:space="preserve">Pub date: </w:t>
      </w:r>
      <w:r>
        <w:t>2026-06-17 07:00:00+00:00</w:t>
      </w:r>
      <w:r>
        <w:t xml:space="preserve">    </w:t>
      </w:r>
      <w:r>
        <w:rPr>
          <w:b/>
        </w:rPr>
        <w:t xml:space="preserve">DOI: </w:t>
      </w:r>
      <w:hyperlink r:id="rId854">
        <w:r>
          <w:rPr>
            <w:color w:val="1155CC"/>
            <w:u w:val="single"/>
          </w:rPr>
          <w:t>10.1073/pnas.2608700123</w:t>
        </w:r>
      </w:hyperlink>
    </w:p>
    <w:p>
      <w:pPr>
        <w:spacing w:before="0" w:after="120"/>
      </w:pPr>
      <w:r>
        <w:rPr>
          <w:b/>
        </w:rPr>
        <w:t xml:space="preserve">Notes: </w:t>
      </w:r>
      <w:r>
        <w:t>abstract_source=crossref</w:t>
      </w:r>
    </w:p>
    <w:p>
      <w:pPr>
        <w:spacing w:before="0" w:after="80" w:lineRule="auto" w:line="276"/>
      </w:pPr>
      <w:r>
        <w:rPr>
          <w:b/>
        </w:rPr>
        <w:t xml:space="preserve">摘要（ZH）: </w:t>
      </w:r>
      <w:r>
        <w:t>通过跟踪遗传样本的水团历史，我们研究了在营养耗尽的亚热带环流中塑造真核浮游植物种群的生物物理动力学，其中蓝细菌具有竞争优势。每份海水样品过滤三次</w:t>
      </w:r>
      <w:r>
        <w:t xml:space="preserve"> </w:t>
      </w:r>
      <w:r>
        <w:t>～</w:t>
      </w:r>
      <w:r>
        <w:t xml:space="preserve"> </w:t>
      </w:r>
      <w:r>
        <w:t>沿着 2,382 公里的北太平洋横断面 46 公里，加入基因组内标，并使用三结构域引物组进行扩增，以获得绝对 16S 和 18S rRNA 体积基因丰度。每个样本的输运历史是通过卫星遥感速度场中平流中尺度拉格朗日粒子云来模拟的。与之前的实地研究一致，真核浮游植物在涡流内和涡流边缘异常丰富，垂直环流在涡流边缘重新分配营养物质。在漩涡之外，我们发现真核生物在统计上显着下降，这是横向相干性的函数：最近从多个来源混合的水域支持与漩涡类似的真核生物异常，而真核生物种群则因在连续三个月或更长时间的水域中的隔离而受到抑制。在这些连贯的外部涡流水团中，我们估计依赖于分类群的真核生物种群半衰期为 8 至 17 个月。这种身体状况相对罕见，因为</w:t>
      </w:r>
      <w:r>
        <w:t xml:space="preserve"> </w:t>
      </w:r>
      <w:r>
        <w:t>&gt;</w:t>
      </w:r>
      <w:r>
        <w:t xml:space="preserve"> </w:t>
      </w:r>
      <w:r>
        <w:rPr>
          <w:vertAlign w:val="subscript"/>
        </w:rPr>
        <w:t>90</w:t>
      </w:r>
    </w:p>
    <w:p>
      <w:pPr>
        <w:spacing w:before="0" w:after="200" w:lineRule="auto" w:line="276"/>
      </w:pPr>
      <w:r>
        <w:rPr>
          <w:b/>
        </w:rPr>
        <w:t xml:space="preserve">Abstract (EN): </w:t>
      </w:r>
      <w:r>
        <w:t>By tracking the water mass histories of genetic samples, we investigated the biophysical dynamics shaping eukaryotic phytoplankton populations in a nutrient-deplete subtropical gyre, where cyanobacteria have a competitive advantage. Triplicate seawater samples were filtered every</w:t>
      </w:r>
      <w:r>
        <w:t xml:space="preserve"> </w:t>
      </w:r>
      <w:r>
        <w:t>∼</w:t>
      </w:r>
      <w:r>
        <w:t xml:space="preserve"> </w:t>
      </w:r>
      <w:r>
        <w:t>46 km along a 2,382 km North Pacific transect, spiked with genomic internal standards, and amplified with a three-domain primer set to obtain absolute 16S and 18S rRNA volumetric gene abundances. The transport histories of each sample were simulated by advecting mesoscale Lagrangian particle clouds in satellite remote sensing velocity fields. Consistent with previous field studies, eukaryotic phytoplankton were anomalously abundant within eddies and along eddy-edges, where vertical circulations redistribute nutrients. Outside of eddies, we found a statistically significant decline in eukaryotes as a function of lateral coherence: Waters that recently mixed from multiple origins supported eukaryote anomalies resembling those of eddies, whereas eukaryotic populations were depressed from isolation in waters that were coherent for three or more months. In these coherent outside-eddy water masses, we estimate taxon-dependent eukaryote population half-lives range from 8 to 17 mo. Such physical conditions are relatively rare, given that</w:t>
      </w:r>
      <w:r>
        <w:t xml:space="preserve"> </w:t>
      </w:r>
      <w:r>
        <w:t>&amp;gt;</w:t>
      </w:r>
      <w:r>
        <w:t xml:space="preserve"> </w:t>
      </w:r>
      <w:r>
        <w:t>90% of the entire gyre during the sampling campaign was composed of eddies and recently mixed waters. These results derived from empirical observations substantiate the theory that eukaryotic phytoplankton would face exclusion in the subtropics on timescales of</w:t>
      </w:r>
      <w:r>
        <w:t xml:space="preserve"> </w:t>
      </w:r>
      <w:r>
        <w:t>∼</w:t>
      </w:r>
      <w:r>
        <w:t xml:space="preserve"> </w:t>
      </w:r>
      <w:r>
        <w:t>years due to competitive pressure from cyanobacteria, yet are sustained in small numbers by regular disturbances promoting opportunistic growth and dispersal.</w:t>
      </w:r>
    </w:p>
    <w:p>
      <w:pPr>
        <w:spacing w:before="120" w:after="120"/>
      </w:pPr>
      <w:r>
        <w:rPr>
          <w:sz w:val="18"/>
        </w:rPr>
        <w:t>——————————————————————————————————————————————————————————————————————</w:t>
      </w:r>
    </w:p>
    <w:p>
      <w:pPr>
        <w:spacing w:before="160" w:after="40" w:line="240" w:lineRule="auto"/>
      </w:pPr>
      <w:r>
        <w:rPr>
          <w:b/>
        </w:rPr>
        <w:t xml:space="preserve">[324] </w:t>
      </w:r>
      <w:hyperlink r:id="rId855">
        <w:r>
          <w:rPr>
            <w:color w:val="1155CC"/>
            <w:u w:val="single"/>
          </w:rPr>
          <w:t>蛋白质组规模微生物蛋白质相互作用的线性时间预测</w:t>
        </w:r>
      </w:hyperlink>
    </w:p>
    <w:p>
      <w:pPr>
        <w:spacing w:before="0" w:after="80"/>
      </w:pPr>
      <w:r>
        <w:rPr>
          <w:i/>
          <w:sz w:val="20"/>
        </w:rPr>
        <w:t>EN: Linear-time prediction of proteome-scale microbial protein interactions</w:t>
      </w:r>
    </w:p>
    <w:p>
      <w:pPr>
        <w:spacing w:before="0" w:after="120"/>
      </w:pPr>
      <w:r>
        <w:rPr>
          <w:b/>
        </w:rPr>
        <w:t xml:space="preserve">Source: </w:t>
      </w:r>
      <w:r>
        <w:t>Proceedings of the National Academy of Sciences: Keyword search for query</w:t>
      </w:r>
      <w:r>
        <w:t xml:space="preserve">    </w:t>
      </w:r>
      <w:r>
        <w:rPr>
          <w:b/>
        </w:rPr>
        <w:t xml:space="preserve">Pub date: </w:t>
      </w:r>
      <w:r>
        <w:t>2026-06-17 07:00:00+00:00</w:t>
      </w:r>
      <w:r>
        <w:t xml:space="preserve">    </w:t>
      </w:r>
      <w:r>
        <w:rPr>
          <w:b/>
        </w:rPr>
        <w:t xml:space="preserve">DOI: </w:t>
      </w:r>
      <w:hyperlink r:id="rId856">
        <w:r>
          <w:rPr>
            <w:color w:val="1155CC"/>
            <w:u w:val="single"/>
          </w:rPr>
          <w:t>10.1073/pnas.2610619123</w:t>
        </w:r>
      </w:hyperlink>
    </w:p>
    <w:p>
      <w:pPr>
        <w:spacing w:before="0" w:after="120"/>
      </w:pPr>
      <w:r>
        <w:rPr>
          <w:b/>
        </w:rPr>
        <w:t xml:space="preserve">Notes: </w:t>
      </w:r>
      <w:r>
        <w:t>abstract_source=crossref</w:t>
      </w:r>
    </w:p>
    <w:p>
      <w:pPr>
        <w:spacing w:before="0" w:after="80" w:lineRule="auto" w:line="276"/>
      </w:pPr>
      <w:r>
        <w:rPr>
          <w:b/>
        </w:rPr>
        <w:t xml:space="preserve">摘要（ZH）: </w:t>
      </w:r>
      <w:r>
        <w:t>蛋白质-蛋白质相互作用（PPI）是生物功能的基础，但蛋白质组规模的相互作用预测仍然受到所有与所有成对比较的二次计算复杂性的瓶颈。在这里，我们提出了 FlashPPI，这是一个基于残基水平相互作用的对比学习框架，它能够对微生物蛋白质组中的物理蛋白质界面进行线性时间预测。通过利用从宏基因组序列捕获跨蛋白质共同进化信号的基因组语言模型，FlashPPI 在共享潜在空间中对齐相互作用的伙伴。我们证明了现有基于序列的方法的性能提高了四倍，同时将蛋白质组范围的筛选时间从几天缩短到几分钟。至关重要的是，FlashPPI 能够以极低的计算成本实现与最先进的结构折叠模型相当的筛选性能。最后，我们将 FlashPPI 集成到一个交互式网络平台中，该平台将预测网络与功能注释和基因组背景相结合，使蛋白质组范围的网络分析快速且可用于微生物发现。</w:t>
      </w:r>
    </w:p>
    <w:p>
      <w:pPr>
        <w:spacing w:before="0" w:after="200" w:lineRule="auto" w:line="276"/>
      </w:pPr>
      <w:r>
        <w:rPr>
          <w:b/>
        </w:rPr>
        <w:t xml:space="preserve">Abstract (EN): </w:t>
      </w:r>
      <w:r>
        <w:t>Protein–protein interactions (PPIs) underpin biological function, yet proteome-scale interaction prediction remains bottlenecked by the quadratic computational complexity of all-vs.-all pairwise comparisons. Here, we present FlashPPI, a contrastive learning framework, grounded in residue-level interactions, that enables linear-time prediction of physical protein interfaces across a microbial proteome. By leveraging a genomic language model that captures cross-protein coevolutionary signals from metagenomic sequences, FlashPPI aligns interacting partners in a shared latent space. We demonstrate a four-fold performance increase over existing sequence-based methods, while reducing proteome-wide screening time from days to minutes. Crucially, FlashPPI achieves comparable screening performance to state-of-the-art structure-folding models at a fraction of the computational cost. Finally, we integrate FlashPPI into an interactive web platform that combines predicted networks with functional annotations and genomic context, making proteome-wide network analysis rapid and accessible for microbial discovery.</w:t>
      </w:r>
    </w:p>
    <w:p>
      <w:pPr>
        <w:spacing w:before="120" w:after="120"/>
      </w:pPr>
      <w:r>
        <w:rPr>
          <w:sz w:val="18"/>
        </w:rPr>
        <w:t>——————————————————————————————————————————————————————————————————————</w:t>
      </w:r>
    </w:p>
    <w:p>
      <w:pPr>
        <w:spacing w:before="160" w:after="40" w:line="240" w:lineRule="auto"/>
      </w:pPr>
      <w:r>
        <w:rPr>
          <w:b/>
        </w:rPr>
        <w:t xml:space="preserve">[325] </w:t>
      </w:r>
      <w:hyperlink r:id="rId857">
        <w:r>
          <w:rPr>
            <w:color w:val="1155CC"/>
            <w:u w:val="single"/>
          </w:rPr>
          <w:t>选择性靶向肌苷单磷酸脱氢酶 2 会损害脑转移潜能，同时保留免疫细胞功能</w:t>
        </w:r>
      </w:hyperlink>
    </w:p>
    <w:p>
      <w:pPr>
        <w:spacing w:before="0" w:after="80"/>
      </w:pPr>
      <w:r>
        <w:rPr>
          <w:i/>
          <w:sz w:val="20"/>
        </w:rPr>
        <w:t>EN: Selectively targeting inosine monophosphate dehydrogenase-2 impairs brain metastatic potential while preserving immune cell function</w:t>
      </w:r>
    </w:p>
    <w:p>
      <w:pPr>
        <w:spacing w:before="0" w:after="120"/>
      </w:pPr>
      <w:r>
        <w:rPr>
          <w:b/>
        </w:rPr>
        <w:t xml:space="preserve">Source: </w:t>
      </w:r>
      <w:r>
        <w:t>Proceedings of the National Academy of Sciences: Keyword search for query</w:t>
      </w:r>
      <w:r>
        <w:t xml:space="preserve">    </w:t>
      </w:r>
      <w:r>
        <w:rPr>
          <w:b/>
        </w:rPr>
        <w:t xml:space="preserve">Pub date: </w:t>
      </w:r>
      <w:r>
        <w:t>2026-06-17 07:00:00+00:00</w:t>
      </w:r>
      <w:r>
        <w:t xml:space="preserve">    </w:t>
      </w:r>
      <w:r>
        <w:rPr>
          <w:b/>
        </w:rPr>
        <w:t xml:space="preserve">DOI: </w:t>
      </w:r>
      <w:hyperlink r:id="rId858">
        <w:r>
          <w:rPr>
            <w:color w:val="1155CC"/>
            <w:u w:val="single"/>
          </w:rPr>
          <w:t>10.1073/pnas.2603440123</w:t>
        </w:r>
      </w:hyperlink>
    </w:p>
    <w:p>
      <w:pPr>
        <w:spacing w:before="0" w:after="120"/>
      </w:pPr>
      <w:r>
        <w:rPr>
          <w:b/>
        </w:rPr>
        <w:t xml:space="preserve">Notes: </w:t>
      </w:r>
      <w:r>
        <w:t>abstract_source=crossref</w:t>
      </w:r>
    </w:p>
    <w:p>
      <w:pPr>
        <w:spacing w:before="0" w:after="80" w:lineRule="auto" w:line="276"/>
      </w:pPr>
      <w:r>
        <w:rPr>
          <w:b/>
        </w:rPr>
        <w:t xml:space="preserve">摘要（ZH）: </w:t>
      </w:r>
      <w:r>
        <w:t>26% 的癌症患者会发生脑转移 (BM)，诊断后 1 年内死亡率高达 90%，但目前的护理标准仍然是姑息治疗。我们之前已经证明，通过其限速酶肌苷单磷酸脱氢酶（IMPDH），从头合成 GTP 是 BM 细胞中的一个可药物代谢的脆弱性。 IMPDH 抑制剂过去已进入 II 期肿瘤学试验，但失败主要是由于与 IMPDH1 脱靶抑制相关的剂量限制毒性，IMPDH1 是正常人淋巴细胞中组成型表达的同工酶。在这里，我们确定 IMPDH 的单一亚型（同工酶）IMPDH2 在脑转移起始细胞 (BMIC) 中特异性上调，而在正常脑组织中不存在，并且足以驱动 BM 的形成。此外，我们发现 IMPDH2 的基因敲除可阻止体外 BM 细胞的增殖和体内 BM 的发生。我们合成了 IMPDH2 选择性化合物，并表明它们对 BMIC 保持有效的抗增殖作用，但与之前开发的泛 IMPDH 抑制剂相比，保留了免疫细胞功能。此外，我们引入了 IMPDH2 的化合物选择性与与奥希替尼（EGFR 突变非小细胞肺癌的护理标准）协同作用的能力之间的正相关性。总的来说，我们的结果表明，特异性阻断 IMPDH2 是一种有效的 BM 治疗策略，它克服了过去阻碍泛 IMPDH 抑制剂临床开发的免疫抑制作用。 IMPDH2 特异性疗法可以</w:t>
      </w:r>
    </w:p>
    <w:p>
      <w:pPr>
        <w:spacing w:before="0" w:after="200" w:lineRule="auto" w:line="276"/>
      </w:pPr>
      <w:r>
        <w:rPr>
          <w:b/>
        </w:rPr>
        <w:t xml:space="preserve">Abstract (EN): </w:t>
      </w:r>
      <w:r>
        <w:t>Brain metastases (BM) occur in 26% of cancer patients and have a 90% mortality rate within 1 y of diagnosis, yet the current standard of care remains palliative. We have previously shown that de novo GTP synthesis is a druggable metabolic vulnerability in BM cells, through its rate-limiting enzyme, inosine monophosphate dehydrogenase (IMPDH). IMPDH inhibitors have progressed to phase-II oncology trials in the past, failing largely due to dose-limiting toxicities associated with off-target inhibition of IMPDH1, the constitutively expressed isoenzyme in normal human lymphocytes. Here, we determined that a single subtype (isoenzyme) of IMPDH, IMPDH2, is specifically upregulated in brain metastasis-initiating cells (BMICs), absent in normal brain tissue, and is sufficient to drive the formation of BM. Moreover, we show that genetic knockout of IMPDH2 stops the proliferation of BM cells in vitro and the onset of BM in vivo. We synthesized IMPDH2-selective compounds and showed that they maintain a potent antiproliferation effect on BMICs, but spare immune cell function compared to previously developed pan-IMPDH inhibitors. Furthermore, we introduce a positive correlation between compound selectivity for IMPDH2 and the ability to synergize with Osimertinib: the standard of care for EGFR-mutant non–small cell lung cancer. Overall, our results suggest that specifically blocking IMPDH2 is an effective therapeutic strategy for BM by overcoming the immune suppressive effects that have hindered the clinical development of pan-IMPDH inhibitors in the past. An IMPDH2 specific therapy could be coadministered with primary tumor standard of care treatments to provide a safe and interceptional approach for BM.</w:t>
      </w:r>
    </w:p>
    <w:p>
      <w:pPr>
        <w:spacing w:before="120" w:after="120"/>
      </w:pPr>
      <w:r>
        <w:rPr>
          <w:sz w:val="18"/>
        </w:rPr>
        <w:t>——————————————————————————————————————————————————————————————————————</w:t>
      </w:r>
    </w:p>
    <w:p>
      <w:pPr>
        <w:spacing w:before="160" w:after="40" w:line="240" w:lineRule="auto"/>
      </w:pPr>
      <w:r>
        <w:rPr>
          <w:b/>
        </w:rPr>
        <w:t xml:space="preserve">[326] </w:t>
      </w:r>
      <w:hyperlink r:id="rId859">
        <w:r>
          <w:rPr>
            <w:color w:val="1155CC"/>
            <w:u w:val="single"/>
          </w:rPr>
          <w:t>空间转录组学鉴定了调节麦穗产量组成性状的不同域</w:t>
        </w:r>
      </w:hyperlink>
    </w:p>
    <w:p>
      <w:pPr>
        <w:spacing w:before="0" w:after="80"/>
      </w:pPr>
      <w:r>
        <w:rPr>
          <w:i/>
          <w:sz w:val="20"/>
        </w:rPr>
        <w:t>EN: Spatial transcriptomics identifies distinct domains regulating yield-component traits of the wheat ear</w:t>
      </w:r>
    </w:p>
    <w:p>
      <w:pPr>
        <w:spacing w:before="0" w:after="120"/>
      </w:pPr>
      <w:r>
        <w:rPr>
          <w:b/>
        </w:rPr>
        <w:t xml:space="preserve">Source: </w:t>
      </w:r>
      <w:r>
        <w:t>AAAS: Science Advances: Table of Contents</w:t>
      </w:r>
      <w:r>
        <w:t xml:space="preserve">    </w:t>
      </w:r>
      <w:r>
        <w:rPr>
          <w:b/>
        </w:rPr>
        <w:t xml:space="preserve">Pub date: </w:t>
      </w:r>
      <w:r>
        <w:t>2026-06-17 07:00:00+00:00</w:t>
      </w:r>
      <w:r>
        <w:t xml:space="preserve">    </w:t>
      </w:r>
      <w:r>
        <w:rPr>
          <w:b/>
        </w:rPr>
        <w:t xml:space="preserve">DOI: </w:t>
      </w:r>
      <w:hyperlink r:id="rId860">
        <w:r>
          <w:rPr>
            <w:color w:val="1155CC"/>
            <w:u w:val="single"/>
          </w:rPr>
          <w:t>10.1126/sciadv.aed1407</w:t>
        </w:r>
      </w:hyperlink>
    </w:p>
    <w:p>
      <w:pPr>
        <w:spacing w:before="0" w:after="120"/>
      </w:pPr>
      <w:r>
        <w:rPr>
          <w:b/>
        </w:rPr>
        <w:t xml:space="preserve">Notes: </w:t>
      </w:r>
      <w:r>
        <w:t>abstract_source=crossref</w:t>
      </w:r>
    </w:p>
    <w:p>
      <w:pPr>
        <w:spacing w:before="0" w:after="80" w:lineRule="auto" w:line="276"/>
      </w:pPr>
      <w:r>
        <w:rPr>
          <w:b/>
        </w:rPr>
        <w:t xml:space="preserve">摘要（ZH）: </w:t>
      </w:r>
      <w:r>
        <w:t>谷物形成复杂、高度有序的花序，由在小穗内形成的产生谷物的小花组成。小麦小穗沿着中央轴交替排列，其模式是在早期发育过程中确定的。虽然已经鉴定了一些控制小穗形成的基因，但仍不清楚它们如何相互作用来调节花序形态和支持结构（包括分生组织和轴）的发育。在这里，我们使用空间转录组学来研究发育中的小麦花序的转录景观。我们确定了两个空间上不同的区域来调节小穗结构，包括一个原基区域，其特征在于</w:t>
      </w:r>
      <w:r>
        <w:t xml:space="preserve"> </w:t>
      </w:r>
      <w:r>
        <w:t>拉莫萨2</w:t>
      </w:r>
      <w:r>
        <w:t xml:space="preserve"> </w:t>
      </w:r>
      <w:r>
        <w:t>以及表示的边界区域</w:t>
      </w:r>
      <w:r>
        <w:t xml:space="preserve"> </w:t>
      </w:r>
      <w:r>
        <w:t>模拟1</w:t>
      </w:r>
      <w:r>
        <w:t xml:space="preserve"> </w:t>
      </w:r>
      <w:r>
        <w:t>和苞片抑制器。发育分析表明，小穗从分生组织分化出来，并伴随着表达小穗数量和育性基因的中央脉管系统的形成。空间转录组和遗传数据的结合揭示了小穗发育的关键调节因子，包括提高小穗数量和产量的目标基因。</w:t>
      </w:r>
    </w:p>
    <w:p>
      <w:pPr>
        <w:spacing w:before="0" w:after="200" w:lineRule="auto" w:line="276"/>
      </w:pPr>
      <w:r>
        <w:rPr>
          <w:b/>
        </w:rPr>
        <w:t xml:space="preserve">Abstract (EN): </w:t>
      </w:r>
      <w:r>
        <w:t>Cereals form complex, highly ordered inflorescences composed of grain-producing florets that form within spikelets. Wheat spikelets are arranged in alternating rows along a central rachis, in a pattern determined during early development. While several genes controlling spikelet formation have been identified, it is still unclear how they interact to regulate inflorescence morphology and the development of supporting structures, including meristems and the rachis. Here, we used spatial transcriptomics to investigate the transcriptional landscape of a developing wheat inflorescence. We identified two spatially distinct regions that regulate spikelet architecture, including a primordium region characterized by</w:t>
      </w:r>
      <w:r>
        <w:t xml:space="preserve"> </w:t>
      </w:r>
      <w:r>
        <w:t>RAMOSA2</w:t>
      </w:r>
      <w:r>
        <w:t xml:space="preserve"> </w:t>
      </w:r>
      <w:r>
        <w:t>and a boundary region that expresses</w:t>
      </w:r>
      <w:r>
        <w:t xml:space="preserve"> </w:t>
      </w:r>
      <w:r>
        <w:t>ALOG1</w:t>
      </w:r>
      <w:r>
        <w:t xml:space="preserve"> </w:t>
      </w:r>
      <w:r>
        <w:t>and bract suppressors. Developmental assays indicate that spikelets differentiate from meristems and are accompanied by formation of the central vasculature that expresses spikelet number and fertility genes. The combined spatial transcriptome and genetic data reveal key regulators of spikelet development, including target genes for improving spikelet number and yield.</w:t>
      </w:r>
    </w:p>
    <w:p>
      <w:pPr>
        <w:spacing w:before="120" w:after="120"/>
      </w:pPr>
      <w:r>
        <w:rPr>
          <w:sz w:val="18"/>
        </w:rPr>
        <w:t>——————————————————————————————————————————————————————————————————————</w:t>
      </w:r>
    </w:p>
    <w:p>
      <w:pPr>
        <w:spacing w:before="160" w:after="40" w:line="240" w:lineRule="auto"/>
      </w:pPr>
      <w:r>
        <w:rPr>
          <w:b/>
        </w:rPr>
        <w:t xml:space="preserve">[327] </w:t>
      </w:r>
      <w:hyperlink r:id="rId861">
        <w:r>
          <w:rPr>
            <w:color w:val="1155CC"/>
            <w:u w:val="single"/>
          </w:rPr>
          <w:t>线粒体插入酶 MTCH 家族的结构进化</w:t>
        </w:r>
      </w:hyperlink>
    </w:p>
    <w:p>
      <w:pPr>
        <w:spacing w:before="0" w:after="80"/>
      </w:pPr>
      <w:r>
        <w:rPr>
          <w:i/>
          <w:sz w:val="20"/>
        </w:rPr>
        <w:t>EN: Structural evolution of the MTCH family of mitochondrial insertases</w:t>
      </w:r>
    </w:p>
    <w:p>
      <w:pPr>
        <w:spacing w:before="0" w:after="120"/>
      </w:pPr>
      <w:r>
        <w:rPr>
          <w:b/>
        </w:rPr>
        <w:t xml:space="preserve">Source: </w:t>
      </w:r>
      <w:r>
        <w:t>AAAS: Science Advances: Table of Contents</w:t>
      </w:r>
      <w:r>
        <w:t xml:space="preserve">    </w:t>
      </w:r>
      <w:r>
        <w:rPr>
          <w:b/>
        </w:rPr>
        <w:t xml:space="preserve">Pub date: </w:t>
      </w:r>
      <w:r>
        <w:t>2026-06-17 07:00:00+00:00</w:t>
      </w:r>
      <w:r>
        <w:t xml:space="preserve">    </w:t>
      </w:r>
      <w:r>
        <w:rPr>
          <w:b/>
        </w:rPr>
        <w:t xml:space="preserve">DOI: </w:t>
      </w:r>
      <w:hyperlink r:id="rId862">
        <w:r>
          <w:rPr>
            <w:color w:val="1155CC"/>
            <w:u w:val="single"/>
          </w:rPr>
          <w:t>10.1126/sciadv.aeh2957</w:t>
        </w:r>
      </w:hyperlink>
    </w:p>
    <w:p>
      <w:pPr>
        <w:spacing w:before="0" w:after="120"/>
      </w:pPr>
      <w:r>
        <w:rPr>
          <w:b/>
        </w:rPr>
        <w:t xml:space="preserve">Notes: </w:t>
      </w:r>
      <w:r>
        <w:t>abstract_source=crossref</w:t>
      </w:r>
    </w:p>
    <w:p>
      <w:pPr>
        <w:spacing w:before="0" w:after="80" w:lineRule="auto" w:line="276"/>
      </w:pPr>
      <w:r>
        <w:rPr>
          <w:b/>
        </w:rPr>
        <w:t xml:space="preserve">摘要（ZH）: </w:t>
      </w:r>
      <w:r>
        <w:t>我们证明 MTCH2 是线粒体外膜 (OM) 插入酶大家族的定义成员。 MTCH 插入酶在全动物中是保守的，并且与溶质载体 25 转运蛋白不同。 33 千道尔顿的人类 MTCH2 的冷冻电镜结构显示，其插入酶活性的进化需要跨膜螺旋的丧失，从而产生了由其独特的结构化 C 末端稳定的脂质可接近的亲水性凹槽。突变分析表明，MTCH 插入酶活性减弱，而高活性突变体的实验结构和重建表明，其沟槽内残基的疏水性、电荷和大小可调节 MTCH 功能。利用 MTCH2 结构，我们鉴定了植物 OM 插入酶，并提出了一种跨所有生命界插入 OM 的通用机制。</w:t>
      </w:r>
    </w:p>
    <w:p>
      <w:pPr>
        <w:spacing w:before="0" w:after="200" w:lineRule="auto" w:line="276"/>
      </w:pPr>
      <w:r>
        <w:rPr>
          <w:b/>
        </w:rPr>
        <w:t xml:space="preserve">Abstract (EN): </w:t>
      </w:r>
      <w:r>
        <w:t>We demonstrate that MTCH2 is the defining member of a large family of mitochondrial outer membrane (OM) insertases. MTCH insertases are conserved across holozoa and have diverged from the solute carrier 25 transporters. The cryoelectron microscopy structure of the 33-kilodalton human MTCH2 revealed that evolution of its insertase activity required loss of a transmembrane helix, which created a lipid-accessible hydrophilic groove stabilized by its unique, structured C terminus. Mutational analyses showed that MTCH insertase activity is attenuated, while experimental structures and reconstitution of hyperactive mutants demonstrated that the hydrophobicity, charge, and size of the residues that line its groove regulated MTCH function. Leveraging the MTCH2 structure, we identified the plant OM insertase and proposed a universal mechanism for OM insertion across all kingdoms of life.</w:t>
      </w:r>
    </w:p>
    <w:p>
      <w:pPr>
        <w:spacing w:before="120" w:after="120"/>
      </w:pPr>
      <w:r>
        <w:rPr>
          <w:sz w:val="18"/>
        </w:rPr>
        <w:t>——————————————————————————————————————————————————————————————————————</w:t>
      </w:r>
    </w:p>
    <w:p>
      <w:pPr>
        <w:spacing w:before="160" w:after="40" w:line="240" w:lineRule="auto"/>
      </w:pPr>
      <w:r>
        <w:rPr>
          <w:b/>
        </w:rPr>
        <w:t xml:space="preserve">[328] </w:t>
      </w:r>
      <w:hyperlink r:id="rId863">
        <w:r>
          <w:rPr>
            <w:color w:val="1155CC"/>
            <w:u w:val="single"/>
          </w:rPr>
          <w:t>量子反常霍尔绝缘体中的非厄米动力学</w:t>
        </w:r>
      </w:hyperlink>
    </w:p>
    <w:p>
      <w:pPr>
        <w:spacing w:before="0" w:after="80"/>
      </w:pPr>
      <w:r>
        <w:rPr>
          <w:i/>
          <w:sz w:val="20"/>
        </w:rPr>
        <w:t>EN: Non-Hermitian dynamics in quantum anomalous Hall insulators</w:t>
      </w:r>
    </w:p>
    <w:p>
      <w:pPr>
        <w:spacing w:before="0" w:after="120"/>
      </w:pPr>
      <w:r>
        <w:rPr>
          <w:b/>
        </w:rPr>
        <w:t xml:space="preserve">Source: </w:t>
      </w:r>
      <w:r>
        <w:t>AAAS: Science Advances: Table of Contents</w:t>
      </w:r>
      <w:r>
        <w:t xml:space="preserve">    </w:t>
      </w:r>
      <w:r>
        <w:rPr>
          <w:b/>
        </w:rPr>
        <w:t xml:space="preserve">Pub date: </w:t>
      </w:r>
      <w:r>
        <w:t>2026-06-17 07:00:00+00:00</w:t>
      </w:r>
      <w:r>
        <w:t xml:space="preserve">    </w:t>
      </w:r>
      <w:r>
        <w:rPr>
          <w:b/>
        </w:rPr>
        <w:t xml:space="preserve">DOI: </w:t>
      </w:r>
      <w:hyperlink r:id="rId864">
        <w:r>
          <w:rPr>
            <w:color w:val="1155CC"/>
            <w:u w:val="single"/>
          </w:rPr>
          <w:t>10.1126/sciadv.aec7638</w:t>
        </w:r>
      </w:hyperlink>
    </w:p>
    <w:p>
      <w:pPr>
        <w:spacing w:before="0" w:after="120"/>
      </w:pPr>
      <w:r>
        <w:rPr>
          <w:b/>
        </w:rPr>
        <w:t xml:space="preserve">Notes: </w:t>
      </w:r>
      <w:r>
        <w:t>abstract_source=crossref</w:t>
      </w:r>
    </w:p>
    <w:p>
      <w:pPr>
        <w:spacing w:before="0" w:after="80" w:lineRule="auto" w:line="276"/>
      </w:pPr>
      <w:r>
        <w:rPr>
          <w:b/>
        </w:rPr>
        <w:t xml:space="preserve">摘要（ZH）: </w:t>
      </w:r>
      <w:r>
        <w:t>磁掺杂拓扑绝缘体 (TI) 表现出两个不同的相：费米能级位于表面间隙内时的量子反常霍尔 (QAH) 相和间隙外的金属相。 QAH 相具有称为手性边缘态的单向传输通道，而金属相由于不平衡的双向边缘态而表现出非互易传输。使用 Cr 掺杂 (Bi,Sb) 中的手性边缘态</w:t>
      </w:r>
      <w:r>
        <w:rPr>
          <w:vertAlign w:val="subscript"/>
        </w:rPr>
        <w:t>2</w:t>
      </w:r>
      <w:r>
        <w:t>碲</w:t>
      </w:r>
      <w:r>
        <w:rPr>
          <w:vertAlign w:val="subscript"/>
        </w:rPr>
        <w:t>3</w:t>
      </w:r>
      <w:r>
        <w:t>通过夹层结构，我们在一维 Corbino 链中实现了具有明确手性的非厄米电导矩阵。通过将边界条件从周期性调整为开放，我们揭示了非厄米集肤效应，其中本征态以指数方式集中在链的一端。在金属相中，我们进一步观察到电导矩阵中相邻位点之间的不对称双向耦合，这是系统固有非互易性的直接结果。这些结果将磁性 TI 确立为研究拓扑系统中出现的非厄米现象的强大平台。</w:t>
      </w:r>
    </w:p>
    <w:p>
      <w:pPr>
        <w:spacing w:before="0" w:after="200" w:lineRule="auto" w:line="276"/>
      </w:pPr>
      <w:r>
        <w:rPr>
          <w:b/>
        </w:rPr>
        <w:t xml:space="preserve">Abstract (EN): </w:t>
      </w:r>
      <w:r>
        <w:t>Magnetically doped topological insulators (TIs) exhibit two distinct phases: the quantum anomalous Hall (QAH) phase when the Fermi level resides within the surface gap and a metallic phase outside the gap. The QAH phase hosts unidirectional transport channels known as chiral edge states, while the metallic phase exhibits nonreciprocal transport due to unbalanced bidirectional edge states. Using the chiral edge states in Cr-doped (Bi,Sb)</w:t>
      </w:r>
      <w:r>
        <w:rPr>
          <w:vertAlign w:val="subscript"/>
        </w:rPr>
        <w:t>2</w:t>
      </w:r>
      <w:r>
        <w:t>Te</w:t>
      </w:r>
      <w:r>
        <w:rPr>
          <w:vertAlign w:val="subscript"/>
        </w:rPr>
        <w:t>3</w:t>
      </w:r>
      <w:r>
        <w:t>sandwich structures, we realize non-Hermitian conductance matrices in a one-dimensional Corbino chain with well-defined chirality. By tuning the boundary conditions from periodic to open, we reveal the non-Hermitian skin effect, where eigenstates localize exponentially at one end of the chain. In the metallic phase, we further observe asymmetric, bidirectional coupling between the neighboring sites in the conductance matrix, a direct consequence of the system’s intrinsic nonreciprocity. These results establish magnetic TIs as a powerful platform for investigating emergent non-Hermitian phenomena in topological systems.</w:t>
      </w:r>
    </w:p>
    <w:p>
      <w:pPr>
        <w:spacing w:before="120" w:after="120"/>
      </w:pPr>
      <w:r>
        <w:rPr>
          <w:sz w:val="18"/>
        </w:rPr>
        <w:t>——————————————————————————————————————————————————————————————————————</w:t>
      </w:r>
    </w:p>
    <w:p>
      <w:pPr>
        <w:spacing w:before="160" w:after="40" w:line="240" w:lineRule="auto"/>
      </w:pPr>
      <w:r>
        <w:rPr>
          <w:b/>
        </w:rPr>
        <w:t xml:space="preserve">[329] </w:t>
      </w:r>
      <w:hyperlink r:id="rId865">
        <w:r>
          <w:rPr>
            <w:color w:val="1155CC"/>
            <w:u w:val="single"/>
          </w:rPr>
          <w:t>类淋巴动力学的无创全脑成像</w:t>
        </w:r>
      </w:hyperlink>
    </w:p>
    <w:p>
      <w:pPr>
        <w:spacing w:before="0" w:after="80"/>
      </w:pPr>
      <w:r>
        <w:rPr>
          <w:i/>
          <w:sz w:val="20"/>
        </w:rPr>
        <w:t>EN: Noninvasive whole-brain imaging of glymphatic dynamics</w:t>
      </w:r>
    </w:p>
    <w:p>
      <w:pPr>
        <w:spacing w:before="0" w:after="120"/>
      </w:pPr>
      <w:r>
        <w:rPr>
          <w:b/>
        </w:rPr>
        <w:t xml:space="preserve">Source: </w:t>
      </w:r>
      <w:r>
        <w:t>AAAS: Science Advances: Table of Contents</w:t>
      </w:r>
      <w:r>
        <w:t xml:space="preserve">    </w:t>
      </w:r>
      <w:r>
        <w:rPr>
          <w:b/>
        </w:rPr>
        <w:t xml:space="preserve">Pub date: </w:t>
      </w:r>
      <w:r>
        <w:t>2026-06-17 07:00:00+00:00</w:t>
      </w:r>
      <w:r>
        <w:t xml:space="preserve">    </w:t>
      </w:r>
      <w:r>
        <w:rPr>
          <w:b/>
        </w:rPr>
        <w:t xml:space="preserve">DOI: </w:t>
      </w:r>
      <w:hyperlink r:id="rId866">
        <w:r>
          <w:rPr>
            <w:color w:val="1155CC"/>
            <w:u w:val="single"/>
          </w:rPr>
          <w:t>10.1126/sciadv.aee4926</w:t>
        </w:r>
      </w:hyperlink>
    </w:p>
    <w:p>
      <w:pPr>
        <w:spacing w:before="0" w:after="120"/>
      </w:pPr>
      <w:r>
        <w:rPr>
          <w:b/>
        </w:rPr>
        <w:t xml:space="preserve">Notes: </w:t>
      </w:r>
      <w:r>
        <w:t>abstract_source=crossref</w:t>
      </w:r>
    </w:p>
    <w:p>
      <w:pPr>
        <w:spacing w:before="0" w:after="80" w:lineRule="auto" w:line="276"/>
      </w:pPr>
      <w:r>
        <w:rPr>
          <w:b/>
        </w:rPr>
        <w:t xml:space="preserve">摘要（ZH）: </w:t>
      </w:r>
      <w:r>
        <w:t>通过类淋巴系统的脑脊液循环在清除中枢神经系统代谢废物方面起着至关重要的作用。然而，全脑类淋巴动力学的机制尚未完全了解，部分原因是缺乏深部大脑的类淋巴成像技术。在这里，我们报告了一种混合成像技术，该技术集成了三维光声断层扫描和超声定位显微镜（3D-PAULM），并通过在第二近红外窗口（NIR-II）中具有强光吸收的光声染料增强。 3D-PAULM 允许通过完整的头骨对小鼠进行连续、无创、全脑成像，提供脑血管系统的超分辨率绘图以及对类淋巴系统中 NIR-II 染料的高灵敏度追踪。使用 3D-PAULM，我们研究了因缺血性中风、衰老和麻醉而受损的类淋巴功能。我们的结果提供了对各种生理和病理条件下类淋巴运输的见解，并将 3D-PAULM 确立为临床前类淋巴研究的宝贵工具。</w:t>
      </w:r>
    </w:p>
    <w:p>
      <w:pPr>
        <w:spacing w:before="0" w:after="200" w:lineRule="auto" w:line="276"/>
      </w:pPr>
      <w:r>
        <w:rPr>
          <w:b/>
        </w:rPr>
        <w:t xml:space="preserve">Abstract (EN): </w:t>
      </w:r>
      <w:r>
        <w:t>Cerebrospinal fluid circulation through the glymphatic system plays a crucial role in removing metabolic waste from the central nervous system. However, the mechanism underlying the brain-wide glymphatic dynamics is not yet fully understood, in part due to the lack of glymphatic imaging technologies on deep brains. Here, we report a hybrid imaging technology that integrates three-dimensional photoacoustic tomography and ultrasound localization microscopy (3D-PAULM), enhanced by a photoacoustic dye with strong optical absorption in the second near-infrared window (NIR-II). 3D-PAULM allows for continuous, noninvasive, whole-brain imaging in mice through intact skull, providing superresolution mapping of the brain vasculature and highly sensitive tracing of the NIR-II dye in the glymphatic system. Using 3D-PAULM, we investigated the glymphatic function impaired by ischemic stroke, aging, and anesthesia. Our results provide insights into glymphatic transport under various physiological as well as pathological conditions and establish 3D-PAULM as a valuable tool for preclinical glymphatic research.</w:t>
      </w:r>
    </w:p>
    <w:p>
      <w:pPr>
        <w:spacing w:before="120" w:after="120"/>
      </w:pPr>
      <w:r>
        <w:rPr>
          <w:sz w:val="18"/>
        </w:rPr>
        <w:t>——————————————————————————————————————————————————————————————————————</w:t>
      </w:r>
    </w:p>
    <w:p>
      <w:pPr>
        <w:spacing w:before="160" w:after="40" w:line="240" w:lineRule="auto"/>
      </w:pPr>
      <w:r>
        <w:rPr>
          <w:b/>
        </w:rPr>
        <w:t xml:space="preserve">[330] </w:t>
      </w:r>
      <w:hyperlink r:id="rId867">
        <w:r>
          <w:rPr>
            <w:color w:val="1155CC"/>
            <w:u w:val="single"/>
          </w:rPr>
          <w:t>多种死亡原因的重新分类和加权：2003-2023 年美国死亡证明</w:t>
        </w:r>
      </w:hyperlink>
    </w:p>
    <w:p>
      <w:pPr>
        <w:spacing w:before="0" w:after="80"/>
      </w:pPr>
      <w:r>
        <w:rPr>
          <w:i/>
          <w:sz w:val="20"/>
        </w:rPr>
        <w:t>EN: Reclassification and weighting of multiple causes of death: US death certificates 2003–2023</w:t>
      </w:r>
    </w:p>
    <w:p>
      <w:pPr>
        <w:spacing w:before="0" w:after="120"/>
      </w:pPr>
      <w:r>
        <w:rPr>
          <w:b/>
        </w:rPr>
        <w:t xml:space="preserve">Source: </w:t>
      </w:r>
      <w:r>
        <w:t>Proceedings of the National Academy of Sciences: Keyword search for query</w:t>
      </w:r>
      <w:r>
        <w:t xml:space="preserve">    </w:t>
      </w:r>
      <w:r>
        <w:rPr>
          <w:b/>
        </w:rPr>
        <w:t xml:space="preserve">Pub date: </w:t>
      </w:r>
      <w:r>
        <w:t>2026-06-17 07:00:00+00:00</w:t>
      </w:r>
      <w:r>
        <w:t xml:space="preserve">    </w:t>
      </w:r>
      <w:r>
        <w:rPr>
          <w:b/>
        </w:rPr>
        <w:t xml:space="preserve">DOI: </w:t>
      </w:r>
      <w:hyperlink r:id="rId868">
        <w:r>
          <w:rPr>
            <w:color w:val="1155CC"/>
            <w:u w:val="single"/>
          </w:rPr>
          <w:t>10.1073/pnas.2604493123</w:t>
        </w:r>
      </w:hyperlink>
    </w:p>
    <w:p>
      <w:pPr>
        <w:spacing w:before="0" w:after="120"/>
      </w:pPr>
      <w:r>
        <w:rPr>
          <w:b/>
        </w:rPr>
        <w:t xml:space="preserve">Notes: </w:t>
      </w:r>
      <w:r>
        <w:t>abstract_source=crossref</w:t>
      </w:r>
    </w:p>
    <w:p>
      <w:pPr>
        <w:spacing w:before="0" w:after="80" w:lineRule="auto" w:line="276"/>
      </w:pPr>
      <w:r>
        <w:rPr>
          <w:b/>
        </w:rPr>
        <w:t xml:space="preserve">摘要（ZH）: </w:t>
      </w:r>
      <w:r>
        <w:t>死亡证明记录了由验证者（实体轴）报告并按照死亡率编码规则（记录轴）标准化的死亡原因。传统的统计数据将这些因素简化为单一的根本原因，而忽略了其他影响因素；相反，加权方案可以将负担分配给所有列出的原因。我们评估了从实体到记录轴的重新分类以及 2003 年至 2023 年所有 56,986,831 份美国死亡证明的权重，将国际疾病分类 (ICD)-10 代码映射到 14 个广泛的疾病类别，并测试了三种权重方案：W1（50% 为根本原因，50% 在促成原因之间平均分配）、W2（对所有原因均等权重）和 W2A（对所有原因均等权重） ICD-10 代码级别）。实体和记录轴就广泛类别的 48,313,403 例死亡 (84.8%) 和按 ICD-10 代码分类的 39,260,709 例死亡 (68.9%) 的根本原因达成一致 (</w:t>
      </w:r>
      <w:r>
        <w:t xml:space="preserve"> </w:t>
      </w:r>
      <w:r>
        <w:t>SI附录</w:t>
      </w:r>
      <w:r>
        <w:t xml:space="preserve"> </w:t>
      </w:r>
      <w:r>
        <w:t>，表S5</w:t>
      </w:r>
      <w:r>
        <w:t xml:space="preserve"> </w:t>
      </w:r>
      <w:r>
        <w:t>一个</w:t>
      </w:r>
      <w:r>
        <w:t xml:space="preserve"> </w:t>
      </w:r>
      <w:r>
        <w:t>和</w:t>
      </w:r>
      <w:r>
        <w:t xml:space="preserve"> </w:t>
      </w:r>
      <w:r>
        <w:t>乙</w:t>
      </w:r>
      <w:r>
        <w:t xml:space="preserve"> </w:t>
      </w:r>
      <w:r>
        <w:t>）；使用 3 个字符的一致性达到 70.4%。重新分类显着增加了 COVID-19 (+92%) 和交通死亡 (+43%)，同时减少了其他外部原因 (−54%)。加权显着改变了负担归因：COVID-19（-44％至–63％）和跌倒（-46％至–66％）减少，其他外部原因增加了两倍以上（+204％至254％），并且第2周和第2A周的未加权计数偏差比第1周更明显。加权也使疾病类别计数更接近实体</w:t>
      </w:r>
    </w:p>
    <w:p>
      <w:pPr>
        <w:spacing w:before="0" w:after="200" w:lineRule="auto" w:line="276"/>
      </w:pPr>
      <w:r>
        <w:rPr>
          <w:b/>
        </w:rPr>
        <w:t xml:space="preserve">Abstract (EN): </w:t>
      </w:r>
      <w:r>
        <w:t>Death certificates record causes of death as reported by certifiers (Entity Axis) and as standardized by mortality coding rules (Record Axis). Conventional statistics reduce these to a single underlying cause, ignoring other contributing conditions; weighting schemes can instead distribute the burden across all listed causes. We evaluated reclassification from Entity to Record axis and weighting across all 56,986,831 US death certificates from 2003 to 2023, mapping International Classification of Diseases (ICD)-10 codes to 14 broad disease categories and testing three weighting schemes: W1 (50% to the underlying cause, 50% shared equally among contributing causes), W2 (equal weighting across all causes), and W2A (equal weighting at the ICD-10 code level). Entity and Record Axes agreed on underlying cause in 48,313,403 deaths (84.8%) by broad category and 39,260,709 deaths (68.9%) by ICD-10 code (</w:t>
      </w:r>
      <w:r>
        <w:t xml:space="preserve"> </w:t>
      </w:r>
      <w:r>
        <w:t>SI Appendix</w:t>
      </w:r>
      <w:r>
        <w:t xml:space="preserve"> </w:t>
      </w:r>
      <w:r>
        <w:t>, Table S5</w:t>
      </w:r>
      <w:r>
        <w:t xml:space="preserve"> </w:t>
      </w:r>
      <w:r>
        <w:t>A</w:t>
      </w:r>
      <w:r>
        <w:t xml:space="preserve"> </w:t>
      </w:r>
      <w:r>
        <w:t>and</w:t>
      </w:r>
      <w:r>
        <w:t xml:space="preserve"> </w:t>
      </w:r>
      <w:r>
        <w:t>B</w:t>
      </w:r>
      <w:r>
        <w:t xml:space="preserve"> </w:t>
      </w:r>
      <w:r>
        <w:t>); concordance reached 70.4% using 3-character. Reclassification markedly increased COVID-19 (+92%) and Transport deaths (+43%) while decreasing Other External Causes (−54%). Weighting substantially altered burden attribution: COVID-19 (−44 to –63%) and Falls (−46 to –66%) decreased, Other External causes more than tripled (+204 to 254%), and deviations from unweighted counts were more pronounced with W2 and W2A than W1. Weighting also brought disease-category counts closer to Entity Axis values and restored Respiratory seasonality suppressed during the pandemic. Systematic differences between reported and reclassified causes of death, and the choice of weighting scheme, profoundly alter disease burden estimates for several causes, with major implications for resource allocation and public health priorities.</w:t>
      </w:r>
    </w:p>
    <w:p>
      <w:pPr>
        <w:spacing w:before="120" w:after="120"/>
      </w:pPr>
      <w:r>
        <w:rPr>
          <w:sz w:val="18"/>
        </w:rPr>
        <w:t>——————————————————————————————————————————————————————————————————————</w:t>
      </w:r>
    </w:p>
    <w:p>
      <w:pPr>
        <w:spacing w:before="160" w:after="40" w:line="240" w:lineRule="auto"/>
      </w:pPr>
      <w:r>
        <w:rPr>
          <w:b/>
        </w:rPr>
        <w:t xml:space="preserve">[331] </w:t>
      </w:r>
      <w:hyperlink r:id="rId869">
        <w:r>
          <w:rPr>
            <w:color w:val="1155CC"/>
            <w:u w:val="single"/>
          </w:rPr>
          <w:t>寻找哈伯德模型中的奇异配对：多体计算和量子气体显微镜</w:t>
        </w:r>
      </w:hyperlink>
    </w:p>
    <w:p>
      <w:pPr>
        <w:spacing w:before="0" w:after="80"/>
      </w:pPr>
      <w:r>
        <w:rPr>
          <w:i/>
          <w:sz w:val="20"/>
        </w:rPr>
        <w:t>EN: In search of exotic pairing in the Hubbard model: Many-body computation and quantum gas microscopy</w:t>
      </w:r>
    </w:p>
    <w:p>
      <w:pPr>
        <w:spacing w:before="0" w:after="120"/>
      </w:pPr>
      <w:r>
        <w:rPr>
          <w:b/>
        </w:rPr>
        <w:t xml:space="preserve">Source: </w:t>
      </w:r>
      <w:r>
        <w:t>Proceedings of the National Academy of Sciences: Keyword search for query</w:t>
      </w:r>
      <w:r>
        <w:t xml:space="preserve">    </w:t>
      </w:r>
      <w:r>
        <w:rPr>
          <w:b/>
        </w:rPr>
        <w:t xml:space="preserve">Pub date: </w:t>
      </w:r>
      <w:r>
        <w:t>2026-06-17 07:00:00+00:00</w:t>
      </w:r>
      <w:r>
        <w:t xml:space="preserve">    </w:t>
      </w:r>
      <w:r>
        <w:rPr>
          <w:b/>
        </w:rPr>
        <w:t xml:space="preserve">DOI: </w:t>
      </w:r>
      <w:hyperlink r:id="rId870">
        <w:r>
          <w:rPr>
            <w:color w:val="1155CC"/>
            <w:u w:val="single"/>
          </w:rPr>
          <w:t>10.1073/pnas.2600303123</w:t>
        </w:r>
      </w:hyperlink>
    </w:p>
    <w:p>
      <w:pPr>
        <w:spacing w:before="0" w:after="120"/>
      </w:pPr>
      <w:r>
        <w:rPr>
          <w:b/>
        </w:rPr>
        <w:t xml:space="preserve">Notes: </w:t>
      </w:r>
      <w:r>
        <w:t>abstract_source=crossref</w:t>
      </w:r>
    </w:p>
    <w:p>
      <w:pPr>
        <w:spacing w:before="0" w:after="80" w:lineRule="auto" w:line="276"/>
      </w:pPr>
      <w:r>
        <w:rPr>
          <w:b/>
        </w:rPr>
        <w:t xml:space="preserve">摘要（ZH）: </w:t>
      </w:r>
      <w:r>
        <w:t>以富尔德-费雷尔-拉金-奥夫钦尼科夫（FFLO）状态为例的有限动量配对代表了由费米表面失配驱动的非常规超流性的范例形式，但其在二维系统中的检测仍然难以捉摸。在这里，我们使用基于量子气体显微镜和约束路径辅助场量子蒙特卡罗的组合实验和计算方法研究了掺杂的自旋不平衡有吸引力的哈伯德模型，并通过直接比较显示了在实验可达到的温度下短程相关性的定量一致性。我们确定了 FFLO 相关性出现的密度和磁化强度的广泛范围，并建立了它们的有限温度演化，在实验可达到的温度下已经出现了有限动量配对的清晰特征。自旋-XY 相关性被认为是 FFLO 物理的稳健、可直接测量的代理。根据各种可观测值和相关性的温度依赖性获得了定量表征，这阐明了配对与竞争订单的相互作用。</w:t>
      </w:r>
    </w:p>
    <w:p>
      <w:pPr>
        <w:spacing w:before="0" w:after="200" w:lineRule="auto" w:line="276"/>
      </w:pPr>
      <w:r>
        <w:rPr>
          <w:b/>
        </w:rPr>
        <w:t xml:space="preserve">Abstract (EN): </w:t>
      </w:r>
      <w:r>
        <w:t>Finite-momentum pairing, exemplified by Fulde–Ferrell–Larkin–Ovchinnikov (FFLO) states, represents a paradigmatic form of unconventional superfluidity driven by Fermi-surface mismatch, but its detection in two-dimensional systems has remained elusive. Here we study a doped, spin-imbalanced attractive Hubbard model using a combined experimental and computational approach, based on quantum gas microscopy and constrained-path auxiliary-field quantum Monte Carlo, with direct comparisons showing quantitative agreement for short-range correlations at experimentally accessible temperatures. We identify broad regimes in density and magnetization where FFLO correlations emerge, and establish their finite-temperature evolution, with clear signatures of finite-momentum pairing already appearing at experimentally accessible temperatures. Spin–XY correlations are identified as a robust, directly measurable proxy for FFLO physics. Quantitative characterizations are obtained on the temperature dependence of a variety of observables and correlations, which elucidate the interplay of pairing with competing orders.</w:t>
      </w:r>
    </w:p>
    <w:p>
      <w:pPr>
        <w:spacing w:before="120" w:after="120"/>
      </w:pPr>
      <w:r>
        <w:rPr>
          <w:sz w:val="18"/>
        </w:rPr>
        <w:t>——————————————————————————————————————————————————————————————————————</w:t>
      </w:r>
    </w:p>
    <w:p>
      <w:pPr>
        <w:spacing w:before="160" w:after="40" w:line="240" w:lineRule="auto"/>
      </w:pPr>
      <w:r>
        <w:rPr>
          <w:b/>
        </w:rPr>
        <w:t xml:space="preserve">[332] </w:t>
      </w:r>
      <w:hyperlink r:id="rId871">
        <w:r>
          <w:rPr>
            <w:color w:val="1155CC"/>
            <w:u w:val="single"/>
          </w:rPr>
          <w:t>使用 ESI FT-ICR MS 测定天然有机物中分子的稳定碳同位素比率</w:t>
        </w:r>
      </w:hyperlink>
    </w:p>
    <w:p>
      <w:pPr>
        <w:spacing w:before="0" w:after="80"/>
      </w:pPr>
      <w:r>
        <w:rPr>
          <w:i/>
          <w:sz w:val="20"/>
        </w:rPr>
        <w:t>EN: Determination of stable carbon isotope ratios for molecules in natural organic matter using ESI FT-ICR MS</w:t>
      </w:r>
    </w:p>
    <w:p>
      <w:pPr>
        <w:spacing w:before="0" w:after="120"/>
      </w:pPr>
      <w:r>
        <w:rPr>
          <w:b/>
        </w:rPr>
        <w:t xml:space="preserve">Source: </w:t>
      </w:r>
      <w:r>
        <w:t>AAAS: Science Advances: Table of Contents</w:t>
      </w:r>
      <w:r>
        <w:t xml:space="preserve">    </w:t>
      </w:r>
      <w:r>
        <w:rPr>
          <w:b/>
        </w:rPr>
        <w:t xml:space="preserve">Pub date: </w:t>
      </w:r>
      <w:r>
        <w:t>2026-06-17 07:00:00+00:00</w:t>
      </w:r>
      <w:r>
        <w:t xml:space="preserve">    </w:t>
      </w:r>
      <w:r>
        <w:rPr>
          <w:b/>
        </w:rPr>
        <w:t xml:space="preserve">DOI: </w:t>
      </w:r>
      <w:hyperlink r:id="rId872">
        <w:r>
          <w:rPr>
            <w:color w:val="1155CC"/>
            <w:u w:val="single"/>
          </w:rPr>
          <w:t>10.1126/sciadv.aee5238</w:t>
        </w:r>
      </w:hyperlink>
    </w:p>
    <w:p>
      <w:pPr>
        <w:spacing w:before="0" w:after="120"/>
      </w:pPr>
      <w:r>
        <w:rPr>
          <w:b/>
        </w:rPr>
        <w:t xml:space="preserve">Notes: </w:t>
      </w:r>
      <w:r>
        <w:t>abstract_source=crossref</w:t>
      </w:r>
    </w:p>
    <w:p>
      <w:pPr>
        <w:spacing w:before="0" w:after="80" w:lineRule="auto" w:line="276"/>
      </w:pPr>
      <w:r>
        <w:rPr>
          <w:b/>
        </w:rPr>
        <w:t xml:space="preserve">摘要（ZH）: </w:t>
      </w:r>
      <w:r>
        <w:t>傅里叶变换离子回旋共振质谱 (FT-ICR MS) 能够非靶向识别天然有机物 (NOM) 中的分子式，但天然丰度的分子水平同位素分析仍然有限。在这里，我们提出了使用 FT-ICR MS 在 NOM 中进行分子式特定同位素分析 (MSIA) 的全面工作流程，包括针对通用参考材料 (RM) 进行校准。 MSIA 的核心步骤是强度调谐策略，通过充分的光谱平均，实现亚千分之一 (‰) 的精度和准确度，并实现稳健的同位素比较 (Δδ</w:t>
      </w:r>
      <w:r>
        <w:rPr>
          <w:vertAlign w:val="subscript"/>
        </w:rPr>
        <w:t>13</w:t>
      </w:r>
      <w:r>
        <w:t>C) 跨样本。在陆地和海洋 NOM 之间，我们观察到 Δδ</w:t>
      </w:r>
      <w:r>
        <w:rPr>
          <w:vertAlign w:val="subscript"/>
        </w:rPr>
        <w:t>13</w:t>
      </w:r>
      <w:r>
        <w:t>海洋浓缩配方的 C 值分别为 17.3、8.8 和 10.1‰</w:t>
      </w:r>
      <w:r>
        <w:t xml:space="preserve"> </w:t>
      </w:r>
      <w:r>
        <w:t>19 号</w:t>
      </w:r>
      <w:r>
        <w:t xml:space="preserve"> </w:t>
      </w:r>
      <w:r>
        <w:t>H</w:t>
      </w:r>
      <w:r>
        <w:rPr>
          <w:vertAlign w:val="subscript"/>
        </w:rPr>
        <w:t>22</w:t>
      </w:r>
      <w:r>
        <w:t>氧</w:t>
      </w:r>
      <w:r>
        <w:rPr>
          <w:vertAlign w:val="subscript"/>
        </w:rPr>
        <w:t>10</w:t>
      </w:r>
      <w:r>
        <w:t>,C</w:t>
      </w:r>
      <w:r>
        <w:rPr>
          <w:vertAlign w:val="subscript"/>
        </w:rPr>
        <w:t>20</w:t>
      </w:r>
      <w:r>
        <w:t>H</w:t>
      </w:r>
      <w:r>
        <w:rPr>
          <w:vertAlign w:val="subscript"/>
        </w:rPr>
        <w:t>26</w:t>
      </w:r>
      <w:r>
        <w:t>氧</w:t>
      </w:r>
      <w:r>
        <w:rPr>
          <w:vertAlign w:val="subscript"/>
        </w:rPr>
        <w:t>9</w:t>
      </w:r>
      <w:r>
        <w:t>，和C</w:t>
      </w:r>
      <w:r>
        <w:rPr>
          <w:vertAlign w:val="subscript"/>
        </w:rPr>
        <w:t>20</w:t>
      </w:r>
      <w:r>
        <w:t>H</w:t>
      </w:r>
      <w:r>
        <w:rPr>
          <w:vertAlign w:val="subscript"/>
        </w:rPr>
        <w:t>24</w:t>
      </w:r>
      <w:r>
        <w:t>氧</w:t>
      </w:r>
      <w:r>
        <w:rPr>
          <w:vertAlign w:val="subscript"/>
        </w:rPr>
        <w:t>9</w:t>
      </w:r>
      <w:r>
        <w:t>分别是，而不变公式 C</w:t>
      </w:r>
      <w:r>
        <w:rPr>
          <w:vertAlign w:val="subscript"/>
        </w:rPr>
        <w:t>18</w:t>
      </w:r>
      <w:r>
        <w:t>H</w:t>
      </w:r>
      <w:r>
        <w:rPr>
          <w:vertAlign w:val="subscript"/>
        </w:rPr>
        <w:t>22</w:t>
      </w:r>
      <w:r>
        <w:t>氧</w:t>
      </w:r>
      <w:r>
        <w:rPr>
          <w:vertAlign w:val="subscript"/>
        </w:rPr>
        <w:t>6</w:t>
      </w:r>
      <w:r>
        <w:t>，显示出不显着差异（Δδ</w:t>
      </w:r>
      <w:r>
        <w:rPr>
          <w:vertAlign w:val="subscript"/>
        </w:rPr>
        <w:t>13</w:t>
      </w:r>
      <w:r>
        <w:t>C=2.7‰，</w:t>
      </w:r>
      <w:r>
        <w:t xml:space="preserve"> </w:t>
      </w:r>
      <w:r>
        <w:t>磷</w:t>
      </w:r>
      <w:r>
        <w:t xml:space="preserve"> </w:t>
      </w:r>
      <w:r>
        <w:t>= 0.296）。 RM 的矩阵效应激增</w:t>
      </w:r>
    </w:p>
    <w:p>
      <w:pPr>
        <w:spacing w:before="0" w:after="200" w:lineRule="auto" w:line="276"/>
      </w:pPr>
      <w:r>
        <w:rPr>
          <w:b/>
        </w:rPr>
        <w:t xml:space="preserve">Abstract (EN): </w:t>
      </w:r>
      <w:r>
        <w:t>Fourier transform ion cyclotron resonance mass spectrometry (FT-ICR MS) enables nontargeted identification of molecular formulas in natural organic matter (NOM), yet molecular-level isotope analysis at natural abundance remains limited. Here, we present a comprehensive workflow for molecular formula–specific isotope analysis (MSIA) in NOM using FT-ICR MS, including calibration against universal reference materials (RMs). The central step of MSIA is an intensity-tuning strategy that, with sufficient spectral averaging, achieves sub–per mil (‰) precision and accuracy and enables robust isotopic comparison (Δδ</w:t>
      </w:r>
      <w:r>
        <w:rPr>
          <w:vertAlign w:val="subscript"/>
        </w:rPr>
        <w:t>13</w:t>
      </w:r>
      <w:r>
        <w:t>C) across samples. Between terrestrial and marine NOM, we observed Δδ</w:t>
      </w:r>
      <w:r>
        <w:rPr>
          <w:vertAlign w:val="subscript"/>
        </w:rPr>
        <w:t>13</w:t>
      </w:r>
      <w:r>
        <w:t>C values of 17.3, 8.8, and 10.1‰ for marine-enriched formulas C</w:t>
      </w:r>
      <w:r>
        <w:rPr>
          <w:vertAlign w:val="subscript"/>
        </w:rPr>
        <w:t>19</w:t>
      </w:r>
      <w:r>
        <w:t>H</w:t>
      </w:r>
      <w:r>
        <w:rPr>
          <w:vertAlign w:val="subscript"/>
        </w:rPr>
        <w:t>22</w:t>
      </w:r>
      <w:r>
        <w:t>O</w:t>
      </w:r>
      <w:r>
        <w:rPr>
          <w:vertAlign w:val="subscript"/>
        </w:rPr>
        <w:t>10</w:t>
      </w:r>
      <w:r>
        <w:t>, C</w:t>
      </w:r>
      <w:r>
        <w:rPr>
          <w:vertAlign w:val="subscript"/>
        </w:rPr>
        <w:t>20</w:t>
      </w:r>
      <w:r>
        <w:t>H</w:t>
      </w:r>
      <w:r>
        <w:rPr>
          <w:vertAlign w:val="subscript"/>
        </w:rPr>
        <w:t>26</w:t>
      </w:r>
      <w:r>
        <w:t>O</w:t>
      </w:r>
      <w:r>
        <w:rPr>
          <w:vertAlign w:val="subscript"/>
        </w:rPr>
        <w:t>9</w:t>
      </w:r>
      <w:r>
        <w:t>, and C</w:t>
      </w:r>
      <w:r>
        <w:rPr>
          <w:vertAlign w:val="subscript"/>
        </w:rPr>
        <w:t>20</w:t>
      </w:r>
      <w:r>
        <w:t>H</w:t>
      </w:r>
      <w:r>
        <w:rPr>
          <w:vertAlign w:val="subscript"/>
        </w:rPr>
        <w:t>24</w:t>
      </w:r>
      <w:r>
        <w:t>O</w:t>
      </w:r>
      <w:r>
        <w:rPr>
          <w:vertAlign w:val="subscript"/>
        </w:rPr>
        <w:t>9</w:t>
      </w:r>
      <w:r>
        <w:t>, respectively, whereas an invariant formula, C</w:t>
      </w:r>
      <w:r>
        <w:rPr>
          <w:vertAlign w:val="subscript"/>
        </w:rPr>
        <w:t>18</w:t>
      </w:r>
      <w:r>
        <w:t>H</w:t>
      </w:r>
      <w:r>
        <w:rPr>
          <w:vertAlign w:val="subscript"/>
        </w:rPr>
        <w:t>22</w:t>
      </w:r>
      <w:r>
        <w:t>O</w:t>
      </w:r>
      <w:r>
        <w:rPr>
          <w:vertAlign w:val="subscript"/>
        </w:rPr>
        <w:t>6</w:t>
      </w:r>
      <w:r>
        <w:t>, showed a nonsignificant difference (Δδ</w:t>
      </w:r>
      <w:r>
        <w:rPr>
          <w:vertAlign w:val="subscript"/>
        </w:rPr>
        <w:t>13</w:t>
      </w:r>
      <w:r>
        <w:t>C = 2.7‰,</w:t>
      </w:r>
      <w:r>
        <w:t xml:space="preserve"> </w:t>
      </w:r>
      <w:r>
        <w:t>P</w:t>
      </w:r>
      <w:r>
        <w:t xml:space="preserve"> </w:t>
      </w:r>
      <w:r>
        <w:t>= 0.296). Matrix effects for RMs spiked into NOM were within the method uncertainty, rendering existing RMs suitable for MSIA when matched in carbon number, peak intensity, and mass (&amp;lt;50 daltons). Under these conditions, molecular formula–level δ</w:t>
      </w:r>
      <w:r>
        <w:rPr>
          <w:vertAlign w:val="subscript"/>
        </w:rPr>
        <w:t>13</w:t>
      </w:r>
      <w:r>
        <w:t>C values were obtained, e.g., −46.8‰ for C</w:t>
      </w:r>
      <w:r>
        <w:rPr>
          <w:vertAlign w:val="subscript"/>
        </w:rPr>
        <w:t>18</w:t>
      </w:r>
      <w:r>
        <w:t>H</w:t>
      </w:r>
      <w:r>
        <w:rPr>
          <w:vertAlign w:val="subscript"/>
        </w:rPr>
        <w:t>22</w:t>
      </w:r>
      <w:r>
        <w:t>O</w:t>
      </w:r>
      <w:r>
        <w:rPr>
          <w:vertAlign w:val="subscript"/>
        </w:rPr>
        <w:t>6</w:t>
      </w:r>
      <w:r>
        <w:t>in terrestrial NOM.</w:t>
      </w:r>
    </w:p>
    <w:p>
      <w:pPr>
        <w:spacing w:before="120" w:after="120"/>
      </w:pPr>
      <w:r>
        <w:rPr>
          <w:sz w:val="18"/>
        </w:rPr>
        <w:t>——————————————————————————————————————————————————————————————————————</w:t>
      </w:r>
    </w:p>
    <w:p>
      <w:pPr>
        <w:spacing w:before="160" w:after="40" w:line="240" w:lineRule="auto"/>
      </w:pPr>
      <w:r>
        <w:rPr>
          <w:b/>
        </w:rPr>
        <w:t xml:space="preserve">[333] </w:t>
      </w:r>
      <w:hyperlink r:id="rId873">
        <w:r>
          <w:rPr>
            <w:color w:val="1155CC"/>
            <w:u w:val="single"/>
          </w:rPr>
          <w:t>漂流鱼聚集装置对海洋保护区的全球影响</w:t>
        </w:r>
      </w:hyperlink>
    </w:p>
    <w:p>
      <w:pPr>
        <w:spacing w:before="0" w:after="80"/>
      </w:pPr>
      <w:r>
        <w:rPr>
          <w:i/>
          <w:sz w:val="20"/>
        </w:rPr>
        <w:t>EN: Global impacts of drifting fish aggregating devices on marine protected areas</w:t>
      </w:r>
    </w:p>
    <w:p>
      <w:pPr>
        <w:spacing w:before="0" w:after="120"/>
      </w:pPr>
      <w:r>
        <w:rPr>
          <w:b/>
        </w:rPr>
        <w:t xml:space="preserve">Source: </w:t>
      </w:r>
      <w:r>
        <w:t>AAAS: Science Advances: Table of Contents</w:t>
      </w:r>
      <w:r>
        <w:t xml:space="preserve">    </w:t>
      </w:r>
      <w:r>
        <w:rPr>
          <w:b/>
        </w:rPr>
        <w:t xml:space="preserve">Pub date: </w:t>
      </w:r>
      <w:r>
        <w:t>2026-06-17 07:00:00+00:00</w:t>
      </w:r>
      <w:r>
        <w:t xml:space="preserve">    </w:t>
      </w:r>
      <w:r>
        <w:rPr>
          <w:b/>
        </w:rPr>
        <w:t xml:space="preserve">DOI: </w:t>
      </w:r>
      <w:hyperlink r:id="rId874">
        <w:r>
          <w:rPr>
            <w:color w:val="1155CC"/>
            <w:u w:val="single"/>
          </w:rPr>
          <w:t>10.1126/sciadv.aee6998</w:t>
        </w:r>
      </w:hyperlink>
    </w:p>
    <w:p>
      <w:pPr>
        <w:spacing w:before="0" w:after="120"/>
      </w:pPr>
      <w:r>
        <w:rPr>
          <w:b/>
        </w:rPr>
        <w:t xml:space="preserve">Notes: </w:t>
      </w:r>
      <w:r>
        <w:t>abstract_source=crossref</w:t>
      </w:r>
    </w:p>
    <w:p>
      <w:pPr>
        <w:spacing w:before="0" w:after="80" w:lineRule="auto" w:line="276"/>
      </w:pPr>
      <w:r>
        <w:rPr>
          <w:b/>
        </w:rPr>
        <w:t xml:space="preserve">摘要（ZH）: </w:t>
      </w:r>
      <w:r>
        <w:t>保护区是到 2050 年扭转生物多样性丧失的努力的重要组成部分。在海洋中，工业围网捕鱼公司大量释放自由漂流集鱼装置 (dFAD)，以帮助捕获金枪鱼。这些设备可以在不被发现的情况下进入海洋保护区 (MPA)，可能导致野生动物纠缠、塑料污染和栖息地退化。在这里，我们调查 dFAD 可能损害 MPA 目标的过程，并评估它们给现有 MPA 带来的负担。通过分析漂流、搁浅和专家访谈数据，我们发现 dFAD 可能与全球 MPA 网络中 53% 的地区发生了相互作用，并搁浅在 174 个保护区，这些保护区是至少 490 个濒危物种的家园。虽然最近对 dFAD 设计的改进应该会减少对野生动物的伤害，但我们的研究结果表明，需要改进监管、透明度和行业问责制，以减轻对海洋保护区的额外影响，特别是在中太平洋、西印度洋和加勒比海地区记录的热点地区。</w:t>
      </w:r>
    </w:p>
    <w:p>
      <w:pPr>
        <w:spacing w:before="0" w:after="200" w:lineRule="auto" w:line="276"/>
      </w:pPr>
      <w:r>
        <w:rPr>
          <w:b/>
        </w:rPr>
        <w:t xml:space="preserve">Abstract (EN): </w:t>
      </w:r>
      <w:r>
        <w:t>Protected areas are a critical component of efforts to reverse biodiversity loss by 2050. In the ocean, free-drifting fish aggregating devices (dFADs) are released in large numbers by industrial purse seine fishing companies to help catch tuna. These devices can enter marine protected areas (MPAs) undetected, potentially leading to wildlife entanglement, plastic pollution, and habitat degradation. Here we investigate processes by which dFADs may compromise MPA objectives and assess the burden they put on existing MPAs. By analyzing drift, strandings, and expert interview data, we show that dFADs have likely interacted with 53% of the global MPA network by area and stranded in 174 protected areas, which are home to at least 490 at-risk species. While recent improvements to dFAD design should reduce harm to wildlife, our findings suggest that improved regulation, transparency, and industry accountability are required to mitigate additional effects on MPAs, especially around documented hotspots in the central Pacific, western Indian Ocean, and Caribbean.</w:t>
      </w:r>
    </w:p>
    <w:p>
      <w:pPr>
        <w:spacing w:before="120" w:after="120"/>
      </w:pPr>
      <w:r>
        <w:rPr>
          <w:sz w:val="18"/>
        </w:rPr>
        <w:t>——————————————————————————————————————————————————————————————————————</w:t>
      </w:r>
    </w:p>
    <w:p>
      <w:pPr>
        <w:spacing w:before="160" w:after="40" w:line="240" w:lineRule="auto"/>
      </w:pPr>
      <w:r>
        <w:rPr>
          <w:b/>
        </w:rPr>
        <w:t xml:space="preserve">[334] </w:t>
      </w:r>
      <w:hyperlink r:id="rId875">
        <w:r>
          <w:rPr>
            <w:color w:val="1155CC"/>
            <w:u w:val="single"/>
          </w:rPr>
          <w:t>非晶界面框架和预先存在的位错使脆性金属间化合物具有可塑性</w:t>
        </w:r>
      </w:hyperlink>
    </w:p>
    <w:p>
      <w:pPr>
        <w:spacing w:before="0" w:after="80"/>
      </w:pPr>
      <w:r>
        <w:rPr>
          <w:i/>
          <w:sz w:val="20"/>
        </w:rPr>
        <w:t>EN: Plasticity in brittle intermetallics enabled by framework of amorphous interfaces and preexisting dislocations</w:t>
      </w:r>
    </w:p>
    <w:p>
      <w:pPr>
        <w:spacing w:before="0" w:after="120"/>
      </w:pPr>
      <w:r>
        <w:rPr>
          <w:b/>
        </w:rPr>
        <w:t xml:space="preserve">Source: </w:t>
      </w:r>
      <w:r>
        <w:t>AAAS: Science Advances: Table of Contents</w:t>
      </w:r>
      <w:r>
        <w:t xml:space="preserve">    </w:t>
      </w:r>
      <w:r>
        <w:rPr>
          <w:b/>
        </w:rPr>
        <w:t xml:space="preserve">Pub date: </w:t>
      </w:r>
      <w:r>
        <w:t>2026-06-17 07:00:00+00:00</w:t>
      </w:r>
      <w:r>
        <w:t xml:space="preserve">    </w:t>
      </w:r>
      <w:r>
        <w:rPr>
          <w:b/>
        </w:rPr>
        <w:t xml:space="preserve">DOI: </w:t>
      </w:r>
      <w:hyperlink r:id="rId876">
        <w:r>
          <w:rPr>
            <w:color w:val="1155CC"/>
            <w:u w:val="single"/>
          </w:rPr>
          <w:t>10.1126/sciadv.aeb0766</w:t>
        </w:r>
      </w:hyperlink>
    </w:p>
    <w:p>
      <w:pPr>
        <w:spacing w:before="0" w:after="120"/>
      </w:pPr>
      <w:r>
        <w:rPr>
          <w:b/>
        </w:rPr>
        <w:t xml:space="preserve">Notes: </w:t>
      </w:r>
      <w:r>
        <w:t>abstract_source=crossref</w:t>
      </w:r>
    </w:p>
    <w:p>
      <w:pPr>
        <w:spacing w:before="0" w:after="80" w:lineRule="auto" w:line="276"/>
      </w:pPr>
      <w:r>
        <w:rPr>
          <w:b/>
        </w:rPr>
        <w:t xml:space="preserve">摘要（ZH）: </w:t>
      </w:r>
      <w:r>
        <w:t>金属间化合物因其卓越的强度和高熔点而极具吸引力，作为先进结构材料具有巨大的潜力。然而，它们在室温下固有的脆性严重限制了实际应用。在这项工作中，我们将非晶界面（FAI）和预先存在的位错的框架结构引入纳米晶（NC）CoAl金属间化合物中，以协同增强强度和塑性。微柱压缩测试表明，其屈服强度超过 6 吉帕斯卡，持续加工硬化约为 8.5 吉帕斯卡，压缩塑性应变超过 15%。 FAI 适应 NC CoAl 晶粒的塑性变形，防止晶间断裂，同时通过变形诱导结晶促进位错发射和传播到 CoAl 中。分子动力学 (MD) 模拟证实位错是从结晶区域（类似 BCC 的局部基序）发出的，并揭示预先存在的位错通过相互作用和倍增阻碍位错运动，从而促进位错存储。这些机制共同增强了加工硬化和大塑性。这种策略提供了一种在脆性材料中实现室温塑性的方法，这些材料通常表现出有限的位错活动。</w:t>
      </w:r>
    </w:p>
    <w:p>
      <w:pPr>
        <w:spacing w:before="0" w:after="200" w:lineRule="auto" w:line="276"/>
      </w:pPr>
      <w:r>
        <w:rPr>
          <w:b/>
        </w:rPr>
        <w:t xml:space="preserve">Abstract (EN): </w:t>
      </w:r>
      <w:r>
        <w:t>Intermetallics are highly attractive for their exceptional strength and high melting points, offering significant potential as advanced structural materials. However, their inherent brittleness at room temperature severely limits practical applications. In this work, we introduce a structure of framework of amorphous interfaces (FAIs) and preexisting dislocations into nanocrystalline (NC) CoAl intermetallics to synergistically enhance both strength and plasticity. Micropillar compression tests reveal a high yield strength exceeding 6 gigapascals, a sustained work hardening to approximately 8.5 gigapascals, and a compressive plastic strain exceeding 15%. The FAIs accommodate the plastic deformation of NC CoAl grains, preventing intergranular fracture while promoting dislocation emission and propagation into CoAl through deformation-induced crystallization. Molecular dynamics (MD) simulations confirm that dislocations are emitted from crystalized regions (BCC-like local motifs) and reveal that preexisting dislocations impede dislocation motion via interactions and multiplication, promoting dislocation storage. Together, these mechanisms enable enhanced work hardening and large plasticity. This strategy offers an approach to achieving room temperature plasticity in brittle materials, which often show limited dislocation activity.</w:t>
      </w:r>
    </w:p>
    <w:p>
      <w:pPr>
        <w:spacing w:before="120" w:after="120"/>
      </w:pPr>
      <w:r>
        <w:rPr>
          <w:sz w:val="18"/>
        </w:rPr>
        <w:t>——————————————————————————————————————————————————————————————————————</w:t>
      </w:r>
    </w:p>
    <w:p>
      <w:pPr>
        <w:spacing w:before="160" w:after="40" w:line="240" w:lineRule="auto"/>
      </w:pPr>
      <w:r>
        <w:rPr>
          <w:b/>
        </w:rPr>
        <w:t xml:space="preserve">[335] </w:t>
      </w:r>
      <w:hyperlink r:id="rId877">
        <w:r>
          <w:rPr>
            <w:color w:val="1155CC"/>
            <w:u w:val="single"/>
          </w:rPr>
          <w:t>适体功能化的凋亡囊泡通过恢复软骨细胞的线粒体 OXPHOS 改善骨关节炎</w:t>
        </w:r>
      </w:hyperlink>
    </w:p>
    <w:p>
      <w:pPr>
        <w:spacing w:before="0" w:after="80"/>
      </w:pPr>
      <w:r>
        <w:rPr>
          <w:i/>
          <w:sz w:val="20"/>
        </w:rPr>
        <w:t>EN: Aptamer-functionalized apoptotic vesicles ameliorate osteoarthritis via resuming mitochondria OXPHOS of chondrocytes</w:t>
      </w:r>
    </w:p>
    <w:p>
      <w:pPr>
        <w:spacing w:before="0" w:after="120"/>
      </w:pPr>
      <w:r>
        <w:rPr>
          <w:b/>
        </w:rPr>
        <w:t xml:space="preserve">Source: </w:t>
      </w:r>
      <w:r>
        <w:t>AAAS: Science Advances: Table of Contents</w:t>
      </w:r>
      <w:r>
        <w:t xml:space="preserve">    </w:t>
      </w:r>
      <w:r>
        <w:rPr>
          <w:b/>
        </w:rPr>
        <w:t xml:space="preserve">Pub date: </w:t>
      </w:r>
      <w:r>
        <w:t>2026-06-17 07:00:00+00:00</w:t>
      </w:r>
      <w:r>
        <w:t xml:space="preserve">    </w:t>
      </w:r>
      <w:r>
        <w:rPr>
          <w:b/>
        </w:rPr>
        <w:t xml:space="preserve">DOI: </w:t>
      </w:r>
      <w:hyperlink r:id="rId878">
        <w:r>
          <w:rPr>
            <w:color w:val="1155CC"/>
            <w:u w:val="single"/>
          </w:rPr>
          <w:t>10.1126/sciadv.aec1031</w:t>
        </w:r>
      </w:hyperlink>
    </w:p>
    <w:p>
      <w:pPr>
        <w:spacing w:before="0" w:after="120"/>
      </w:pPr>
      <w:r>
        <w:rPr>
          <w:b/>
        </w:rPr>
        <w:t xml:space="preserve">Notes: </w:t>
      </w:r>
      <w:r>
        <w:t>abstract_source=crossref</w:t>
      </w:r>
    </w:p>
    <w:p>
      <w:pPr>
        <w:spacing w:before="0" w:after="80" w:lineRule="auto" w:line="276"/>
      </w:pPr>
      <w:r>
        <w:rPr>
          <w:b/>
        </w:rPr>
        <w:t xml:space="preserve">摘要（ZH）: </w:t>
      </w:r>
      <w:r>
        <w:t>新的证据表明，骨关节炎（OA）的进展与软骨细胞线粒体损伤引起的软骨基质稳态破坏密切相关。源自间充质干细胞（MSC）的凋亡囊泡（apoV）在组织再生和骨关节疾病方面表现出巨大的治疗前景。然而，它们靶向软骨细胞的能力较差且在关节腔中的保留时间短阻碍了进一步的临床转化。作为一种化学合成的核酸，适体tgg2表现出与软骨细胞的强大特异性结合。在本研究中，我们的团队通过席夫碱反应成功地将apoVs与tgg2（tgg2@apoVs）功能化，具有高缀合效率，并制备了基于透明质酸甲基丙烯酰（HAMA）水凝胶的可注射缓释系统。 tgg2@apoVs 在体外显着促进软骨细胞胞外基质合成并改善线粒体氧化磷酸化（OXPHOS）。与 tgg2@apoVs 复合的 HAMA 可注射水凝胶显着减轻了体内 OA 症状。初步探讨了apoV改善软骨细胞线粒体能量代谢的潜在分子机制。具体来说，apoV 激活转录因子 Yin Yang 1 (YY1) 上调 Cox7c（电子传递链中复杂 IV 的关键亚基）的表达，从而增强线粒体 OXPHOS。总之，tgg2@apoVs的缓释系统为OA治疗提供了一种经济高效的解决方案，并阐明了其分子机制</w:t>
      </w:r>
    </w:p>
    <w:p>
      <w:pPr>
        <w:spacing w:before="0" w:after="200" w:lineRule="auto" w:line="276"/>
      </w:pPr>
      <w:r>
        <w:rPr>
          <w:b/>
        </w:rPr>
        <w:t xml:space="preserve">Abstract (EN): </w:t>
      </w:r>
      <w:r>
        <w:t>Emerging evidence suggests that osteoarthritis (OA) progression is critically associated with disruptions of cartilage matrix homeostasis caused by mitochondrial impairment in chondrocytes. Apoptotic vesicles (apoVs) derived from mesenchymal stem cells (MSCs) have exhibited great therapeutic promising for tissue regeneration and osteoarticular diseases. However, their poor ability targeting chondrocytes and short-time retention in joint cavity hinder further clinical translation. As a chemically synthesized nucleic acid, aptamer tgg2 demonstrated a robust specificity binding with chondrocytes. In this study, our team successfully functionalized apoVs with tgg2 (tgg2@apoVs) via Schiff base reaction with high conjugation efficiency and fabricated an injectable sustained-release system based on hyaluronic acid methacryloyl (HAMA) hydrogels. tgg2@apoVs significantly promoted chondrocyte extracellular matrix synthesis and improved mitochondrial oxidative phosphorylation (OXPHOS) in vitro. The HAMA injectable hydrogels compounded with tgg2@apoVs remarkedly alleviated OA symptoms in vivo. The potential molecular mechanism of apoVs’ improvement in mitochondrial energy metabolism of chondrocytes is preliminarily investigated. Specifically, apoVs activate transcriptional factor Yin Yang 1 (YY1) to up-regulate the expression of Cox7c, a key subunit of complex IV in electron transport chain, thereby augmenting mitochondrial OXPHOS. In conclusion, the tgg2@apoVs’ sustained-release system provides a cost-effective solution for OA treatment, and the elucidation of the molecular mechanism underlying apoVs’ enhancement of chondrocyte OXPHOS offers insights for broader applications in energy metabolism–related diseases.</w:t>
      </w:r>
    </w:p>
    <w:p>
      <w:pPr>
        <w:spacing w:before="120" w:after="120"/>
      </w:pPr>
      <w:r>
        <w:rPr>
          <w:sz w:val="18"/>
        </w:rPr>
        <w:t>——————————————————————————————————————————————————————————————————————</w:t>
      </w:r>
    </w:p>
    <w:p>
      <w:pPr>
        <w:spacing w:before="160" w:after="40" w:line="240" w:lineRule="auto"/>
      </w:pPr>
      <w:r>
        <w:rPr>
          <w:b/>
        </w:rPr>
        <w:t xml:space="preserve">[336] </w:t>
      </w:r>
      <w:hyperlink r:id="rId879">
        <w:r>
          <w:rPr>
            <w:color w:val="1155CC"/>
            <w:u w:val="single"/>
          </w:rPr>
          <w:t>钴取代 BiFeO3 纳米点中铁电拓扑域切换引起的电场诱导铁磁域变化</w:t>
        </w:r>
      </w:hyperlink>
    </w:p>
    <w:p>
      <w:pPr>
        <w:spacing w:before="0" w:after="80"/>
      </w:pPr>
      <w:r>
        <w:rPr>
          <w:i/>
          <w:sz w:val="20"/>
        </w:rPr>
        <w:t>EN: Electric field–induced ferromagnetic domain change by ferroelectric topological domain switching in Co-substituted BiFeO3 nanodots</w:t>
      </w:r>
    </w:p>
    <w:p>
      <w:pPr>
        <w:spacing w:before="0" w:after="120"/>
      </w:pPr>
      <w:r>
        <w:rPr>
          <w:b/>
        </w:rPr>
        <w:t xml:space="preserve">Source: </w:t>
      </w:r>
      <w:r>
        <w:t>AAAS: Science Advances: Table of Contents</w:t>
      </w:r>
      <w:r>
        <w:t xml:space="preserve">    </w:t>
      </w:r>
      <w:r>
        <w:rPr>
          <w:b/>
        </w:rPr>
        <w:t xml:space="preserve">Pub date: </w:t>
      </w:r>
      <w:r>
        <w:t>2026-06-17 07:00:00+00:00</w:t>
      </w:r>
      <w:r>
        <w:t xml:space="preserve">    </w:t>
      </w:r>
      <w:r>
        <w:rPr>
          <w:b/>
        </w:rPr>
        <w:t xml:space="preserve">DOI: </w:t>
      </w:r>
      <w:hyperlink r:id="rId880">
        <w:r>
          <w:rPr>
            <w:color w:val="1155CC"/>
            <w:u w:val="single"/>
          </w:rPr>
          <w:t>10.1126/sciadv.aec2861</w:t>
        </w:r>
      </w:hyperlink>
    </w:p>
    <w:p>
      <w:pPr>
        <w:spacing w:before="0" w:after="120"/>
      </w:pPr>
      <w:r>
        <w:rPr>
          <w:b/>
        </w:rPr>
        <w:t xml:space="preserve">Notes: </w:t>
      </w:r>
      <w:r>
        <w:t>abstract_source=crossref</w:t>
      </w:r>
    </w:p>
    <w:p>
      <w:pPr>
        <w:spacing w:before="0" w:after="80" w:lineRule="auto" w:line="276"/>
      </w:pPr>
      <w:r>
        <w:rPr>
          <w:b/>
        </w:rPr>
        <w:t xml:space="preserve">摘要（ZH）: </w:t>
      </w:r>
      <w:r>
        <w:t>伴随着极化切换的电场感应磁化反转对于低功耗、非易失性、电压写入、磁读取存储器应用来说是有前景的。钙钛矿铋铁</w:t>
      </w:r>
      <w:r>
        <w:t xml:space="preserve"> </w:t>
      </w:r>
      <w:r>
        <w:t>0.9</w:t>
      </w:r>
      <w:r>
        <w:t xml:space="preserve"> </w:t>
      </w:r>
      <w:r>
        <w:t>钴</w:t>
      </w:r>
      <w:r>
        <w:t xml:space="preserve"> </w:t>
      </w:r>
      <w:r>
        <w:t>0.1</w:t>
      </w:r>
      <w:r>
        <w:t xml:space="preserve"> </w:t>
      </w:r>
      <w:r>
        <w:t>氧</w:t>
      </w:r>
      <w:r>
        <w:rPr>
          <w:vertAlign w:val="subscript"/>
        </w:rPr>
        <w:t>3</w:t>
      </w:r>
      <w:r>
        <w:t>是一种室温多铁性材料，其中铁电和弱铁磁有序共存，自发磁化与铁电极化耦合。在这里，我们报告了电场引起的 BiFe 铁电和铁磁畴变化</w:t>
      </w:r>
      <w:r>
        <w:t xml:space="preserve"> </w:t>
      </w:r>
      <w:r>
        <w:t>0.9</w:t>
      </w:r>
      <w:r>
        <w:t xml:space="preserve"> </w:t>
      </w:r>
      <w:r>
        <w:t>钴</w:t>
      </w:r>
      <w:r>
        <w:t xml:space="preserve"> </w:t>
      </w:r>
      <w:r>
        <w:t>0.1</w:t>
      </w:r>
      <w:r>
        <w:t xml:space="preserve"> </w:t>
      </w:r>
      <w:r>
        <w:t>氧</w:t>
      </w:r>
      <w:r>
        <w:rPr>
          <w:vertAlign w:val="subscript"/>
        </w:rPr>
        <w:t>3</w:t>
      </w:r>
      <w:r>
        <w:t>纳米点使用压电响应显微镜和扫描氮空位中心磁力测量相结合，并辅以图像分析技术，直接观察纳米尺度上的两种铁序。复杂的铁电畴存在于 190 纳米结构中，通过使用偏置悬臂扫描，可以将其从网下极化切换为网上极化，并伴随着磁化的面内和面外分量的反转。这直接证明了在与半导体行业相关的复杂结构中电场引起的磁化反转伴随着 180° 极化切换，为下一代存储设备创造了潜在的路径。</w:t>
      </w:r>
    </w:p>
    <w:p>
      <w:pPr>
        <w:spacing w:before="0" w:after="200" w:lineRule="auto" w:line="276"/>
      </w:pPr>
      <w:r>
        <w:rPr>
          <w:b/>
        </w:rPr>
        <w:t xml:space="preserve">Abstract (EN): </w:t>
      </w:r>
      <w:r>
        <w:t>Electric field–induced magnetization reversal accompanying polarization switching is promising for low–power consumption, nonvolatile, voltage-write, magnetic-read memory applications. Perovskite BiFe</w:t>
      </w:r>
      <w:r>
        <w:t xml:space="preserve"> </w:t>
      </w:r>
      <w:r>
        <w:t>0.9</w:t>
      </w:r>
      <w:r>
        <w:t xml:space="preserve"> </w:t>
      </w:r>
      <w:r>
        <w:t>Co</w:t>
      </w:r>
      <w:r>
        <w:t xml:space="preserve"> </w:t>
      </w:r>
      <w:r>
        <w:t>0.1</w:t>
      </w:r>
      <w:r>
        <w:t xml:space="preserve"> </w:t>
      </w:r>
      <w:r>
        <w:t>O</w:t>
      </w:r>
      <w:r>
        <w:rPr>
          <w:vertAlign w:val="subscript"/>
        </w:rPr>
        <w:t>3</w:t>
      </w:r>
      <w:r>
        <w:t>is a room-temperature multiferroic material in which both ferroelectric and weakly ferromagnetic orders coexist, with spontaneous magnetization coupled to the ferroelectric polarization. Here, we report electric field–induced ferroelectric and ferromagnetic domain changes in BiFe</w:t>
      </w:r>
      <w:r>
        <w:t xml:space="preserve"> </w:t>
      </w:r>
      <w:r>
        <w:t>0.9</w:t>
      </w:r>
      <w:r>
        <w:t xml:space="preserve"> </w:t>
      </w:r>
      <w:r>
        <w:t>Co</w:t>
      </w:r>
      <w:r>
        <w:t xml:space="preserve"> </w:t>
      </w:r>
      <w:r>
        <w:t>0.1</w:t>
      </w:r>
      <w:r>
        <w:t xml:space="preserve"> </w:t>
      </w:r>
      <w:r>
        <w:t>O</w:t>
      </w:r>
      <w:r>
        <w:rPr>
          <w:vertAlign w:val="subscript"/>
        </w:rPr>
        <w:t>3</w:t>
      </w:r>
      <w:r>
        <w:t>nanodots using a combination of piezoresponse microscopy and scanning nitrogen-vacancy center magnetometry assisted by image analysis techniques to directly observe both ferroic orders on the nanometer scale. The complex ferroelectric domains present in a 190-nanometer structure which can be switched from a net-down to a net-up polarization by scanning with a biased cantilever, accompanied by reversal of both in-plane and out-of-plane components of the magnetization. This directly demonstrates electric field–induced magnetization reversal accompanying 180° polarization switching in a complex structure of a scale relevant to the semiconductor industry, creating a potential path for next generation memory devices.</w:t>
      </w:r>
    </w:p>
    <w:p>
      <w:pPr>
        <w:spacing w:before="120" w:after="120"/>
      </w:pPr>
      <w:r>
        <w:rPr>
          <w:sz w:val="18"/>
        </w:rPr>
        <w:t>——————————————————————————————————————————————————————————————————————</w:t>
      </w:r>
    </w:p>
    <w:p>
      <w:pPr>
        <w:spacing w:before="160" w:after="40" w:line="240" w:lineRule="auto"/>
      </w:pPr>
      <w:r>
        <w:rPr>
          <w:b/>
        </w:rPr>
        <w:t xml:space="preserve">[337] </w:t>
      </w:r>
      <w:hyperlink r:id="rId881">
        <w:r>
          <w:rPr>
            <w:color w:val="1155CC"/>
            <w:u w:val="single"/>
          </w:rPr>
          <w:t>NEDdylation 通过稳定线粒体转录来维持卵母细胞质量</w:t>
        </w:r>
      </w:hyperlink>
    </w:p>
    <w:p>
      <w:pPr>
        <w:spacing w:before="0" w:after="80"/>
      </w:pPr>
      <w:r>
        <w:rPr>
          <w:i/>
          <w:sz w:val="20"/>
        </w:rPr>
        <w:t>EN: NEDDylation maintains oocyte quality by stabilizing mitochondrial transcription</w:t>
      </w:r>
    </w:p>
    <w:p>
      <w:pPr>
        <w:spacing w:before="0" w:after="120"/>
      </w:pPr>
      <w:r>
        <w:rPr>
          <w:b/>
        </w:rPr>
        <w:t xml:space="preserve">Source: </w:t>
      </w:r>
      <w:r>
        <w:t>AAAS: Science Advances: Table of Contents</w:t>
      </w:r>
      <w:r>
        <w:t xml:space="preserve">    </w:t>
      </w:r>
      <w:r>
        <w:rPr>
          <w:b/>
        </w:rPr>
        <w:t xml:space="preserve">Pub date: </w:t>
      </w:r>
      <w:r>
        <w:t>2026-06-17 07:00:00+00:00</w:t>
      </w:r>
      <w:r>
        <w:t xml:space="preserve">    </w:t>
      </w:r>
      <w:r>
        <w:rPr>
          <w:b/>
        </w:rPr>
        <w:t xml:space="preserve">DOI: </w:t>
      </w:r>
      <w:hyperlink r:id="rId882">
        <w:r>
          <w:rPr>
            <w:color w:val="1155CC"/>
            <w:u w:val="single"/>
          </w:rPr>
          <w:t>10.1126/sciadv.aec3505</w:t>
        </w:r>
      </w:hyperlink>
    </w:p>
    <w:p>
      <w:pPr>
        <w:spacing w:before="0" w:after="120"/>
      </w:pPr>
      <w:r>
        <w:rPr>
          <w:b/>
        </w:rPr>
        <w:t xml:space="preserve">Notes: </w:t>
      </w:r>
      <w:r>
        <w:t>abstract_source=crossref</w:t>
      </w:r>
    </w:p>
    <w:p>
      <w:pPr>
        <w:spacing w:before="0" w:after="80" w:lineRule="auto" w:line="276"/>
      </w:pPr>
      <w:r>
        <w:rPr>
          <w:b/>
        </w:rPr>
        <w:t xml:space="preserve">摘要（ZH）: </w:t>
      </w:r>
      <w:r>
        <w:t>与年龄相关的卵母细胞质量下降会增加不孕、流产和出生缺陷的风险。线粒体功能障碍是造成这种下降的一个关键因素。在这里，我们报告卵母细胞特异性删除</w:t>
      </w:r>
      <w:r>
        <w:t xml:space="preserve"> </w:t>
      </w:r>
      <w:r>
        <w:t>乌巴3</w:t>
      </w:r>
      <w:r>
        <w:t xml:space="preserve"> </w:t>
      </w:r>
      <w:r>
        <w:t>编码 E1 NEDDylation 激活复合物的催化亚基，导致小鼠不育。完全生长，生发囊泡阶段</w:t>
      </w:r>
      <w:r>
        <w:t xml:space="preserve"> </w:t>
      </w:r>
      <w:r>
        <w:t>乌巴3</w:t>
      </w:r>
      <w:r>
        <w:t xml:space="preserve"> </w:t>
      </w:r>
      <w:r>
        <w:t>条件性敲除卵母细胞表现出线粒体功能障碍，包括活性氧升高、氧化磷酸化受损以及线粒体编码的RNA转录本耗竭。蛋白质组学分析发现了线粒体相关蛋白的变化，包括线粒体基质和呼吸链成分的富集以及电子传递链复合物丰度的减少。这些缺陷与线粒体 RNA 聚合酶 POLRMT [聚合酶 (RNA) 线粒体 DNA 定向] 水平降低有关。我们进一步表明 POLRMT 直接被 NEDDylation 修饰，NEDDylation 通过拮抗泛素化和降解来改变其稳定性。值得注意的是，小鼠和人类卵母细胞中的 NEDD8 水平随着年龄的增长而下降。总之，这些发现确定 NEDDylation 是卵母细胞质量的调节剂，并将该途径与卵母细胞中的线粒体转录联系起来。</w:t>
      </w:r>
    </w:p>
    <w:p>
      <w:pPr>
        <w:spacing w:before="0" w:after="200" w:lineRule="auto" w:line="276"/>
      </w:pPr>
      <w:r>
        <w:rPr>
          <w:b/>
        </w:rPr>
        <w:t xml:space="preserve">Abstract (EN): </w:t>
      </w:r>
      <w:r>
        <w:t>Age-related decline in oocyte quality increases the risk of infertility, miscarriage, and birth defects. Mitochondrial dysfunction is a key contributor to this decline. Here, we report that oocyte-specific deletion of</w:t>
      </w:r>
      <w:r>
        <w:t xml:space="preserve"> </w:t>
      </w:r>
      <w:r>
        <w:t>Uba3</w:t>
      </w:r>
      <w:r>
        <w:t xml:space="preserve"> </w:t>
      </w:r>
      <w:r>
        <w:t>, which encodes the catalytic subunit of the E1 NEDDylation-activating complex, causes sterility in mice. Fully grown, germinal vesicle–stage</w:t>
      </w:r>
      <w:r>
        <w:t xml:space="preserve"> </w:t>
      </w:r>
      <w:r>
        <w:t>Uba3</w:t>
      </w:r>
      <w:r>
        <w:t xml:space="preserve"> </w:t>
      </w:r>
      <w:r>
        <w:t>conditional knockout oocytes exhibit mitochondrial dysfunction, including elevated reactive oxygen species, impaired oxidative phosphorylation, and depletion of mitochondrially encoded RNA transcripts. Proteomic analysis identified alterations in mitochondrial-associated proteins, including enrichment of mitochondrial matrix and respiratory chain components and reduced abundance of electron transport chain complexes. These defects were associated with reduced levels of the mitochondrial RNA polymerase, POLRMT [polymerase (RNA) mitochondrial DNA directed]. We further show that POLRMT is directly modified by NEDDylation, which alters its stability by antagonizing ubiquitylation and degradation. Notably, NEDD8 levels decline with age in both mouse and human oocytes. Together, these findings identify NEDDylation as a regulator of oocyte quality and connect this pathway to mitochondrial transcription in oocytes.</w:t>
      </w:r>
    </w:p>
    <w:p>
      <w:pPr>
        <w:spacing w:before="120" w:after="120"/>
      </w:pPr>
      <w:r>
        <w:rPr>
          <w:sz w:val="18"/>
        </w:rPr>
        <w:t>——————————————————————————————————————————————————————————————————————</w:t>
      </w:r>
    </w:p>
    <w:p>
      <w:pPr>
        <w:spacing w:before="160" w:after="40" w:line="240" w:lineRule="auto"/>
      </w:pPr>
      <w:r>
        <w:rPr>
          <w:b/>
        </w:rPr>
        <w:t xml:space="preserve">[338] </w:t>
      </w:r>
      <w:hyperlink r:id="rId883">
        <w:r>
          <w:rPr>
            <w:color w:val="1155CC"/>
            <w:u w:val="single"/>
          </w:rPr>
          <w:t>桑树苯并呋喃天然产物生物合成酶的表征</w:t>
        </w:r>
      </w:hyperlink>
    </w:p>
    <w:p>
      <w:pPr>
        <w:spacing w:before="0" w:after="80"/>
      </w:pPr>
      <w:r>
        <w:rPr>
          <w:i/>
          <w:sz w:val="20"/>
        </w:rPr>
        <w:t>EN: Characterization of the biosynthetic enzymes of the Morus alba benzofuran natural products</w:t>
      </w:r>
    </w:p>
    <w:p>
      <w:pPr>
        <w:spacing w:before="0" w:after="120"/>
      </w:pPr>
      <w:r>
        <w:rPr>
          <w:b/>
        </w:rPr>
        <w:t xml:space="preserve">Source: </w:t>
      </w:r>
      <w:r>
        <w:t>AAAS: Science Advances: Table of Contents</w:t>
      </w:r>
      <w:r>
        <w:t xml:space="preserve">    </w:t>
      </w:r>
      <w:r>
        <w:rPr>
          <w:b/>
        </w:rPr>
        <w:t xml:space="preserve">Pub date: </w:t>
      </w:r>
      <w:r>
        <w:t>2026-06-17 07:00:00+00:00</w:t>
      </w:r>
      <w:r>
        <w:t xml:space="preserve">    </w:t>
      </w:r>
      <w:r>
        <w:rPr>
          <w:b/>
        </w:rPr>
        <w:t xml:space="preserve">DOI: </w:t>
      </w:r>
      <w:hyperlink r:id="rId884">
        <w:r>
          <w:rPr>
            <w:color w:val="1155CC"/>
            <w:u w:val="single"/>
          </w:rPr>
          <w:t>10.1126/sciadv.aec4824</w:t>
        </w:r>
      </w:hyperlink>
    </w:p>
    <w:p>
      <w:pPr>
        <w:spacing w:before="0" w:after="120"/>
      </w:pPr>
      <w:r>
        <w:rPr>
          <w:b/>
        </w:rPr>
        <w:t xml:space="preserve">Notes: </w:t>
      </w:r>
      <w:r>
        <w:t>abstract_source=crossref</w:t>
      </w:r>
    </w:p>
    <w:p>
      <w:pPr>
        <w:spacing w:before="0" w:after="80" w:lineRule="auto" w:line="276"/>
      </w:pPr>
      <w:r>
        <w:rPr>
          <w:b/>
        </w:rPr>
        <w:t xml:space="preserve">摘要（ZH）: </w:t>
      </w:r>
      <w:r>
        <w:t>Moracins 是一类独特的苯并呋喃天然产物，主要存在于桑科植物中。尽管它们具有不同的生物活性和有趣的化学结构，但人们对它们的生物合成知之甚少。在这里，我们阐明了 moracin M（莫拉辛生物合成中常见的中间体）的生物合成途径。使用热蛋白质组分析，我们从</w:t>
      </w:r>
      <w:r>
        <w:t xml:space="preserve"> </w:t>
      </w:r>
      <w:r>
        <w:t>白桑</w:t>
      </w:r>
      <w:r>
        <w:t xml:space="preserve"> </w:t>
      </w:r>
      <w:r>
        <w:t>(MaLAC) 可催化氧化白藜芦醇前所未有的氧化环化为 moracin M。与其他植物漆酶不同，MaLAC 是第一个被证明可催化天然产物生物合成中分子内氧化环化反应的植物漆酶。机理研究揭示了铜介导的自由基环化，为工程漆酶催化具有综合价值的分子内氧化环化提供了指导。 moracin M 的生物合成途径异源构建于</w:t>
      </w:r>
      <w:r>
        <w:t xml:space="preserve"> </w:t>
      </w:r>
      <w:r>
        <w:t>本塞姆氏烟草</w:t>
      </w:r>
      <w:r>
        <w:t xml:space="preserve"> </w:t>
      </w:r>
      <w:r>
        <w:t>。这项工作不仅为莫拉辛生物合成提供了重要见解，为通过代谢工程策略制造具有生物活性的莫拉辛奠定了基础，而且展示了无标记化学蛋白质组学在阐明植物次生代谢物未知生物合成途径方面的力量。</w:t>
      </w:r>
    </w:p>
    <w:p>
      <w:pPr>
        <w:spacing w:before="0" w:after="200" w:lineRule="auto" w:line="276"/>
      </w:pPr>
      <w:r>
        <w:rPr>
          <w:b/>
        </w:rPr>
        <w:t xml:space="preserve">Abstract (EN): </w:t>
      </w:r>
      <w:r>
        <w:t>Moracins are a distinct class of benzofuran natural products, primarily found in Moraceae plants. Despite their varying biological activities and interesting chemical structures, little is known about their biosynthesis. Here, we elucidate the biosynthetic pathway of moracin M, a common intermediate in moracin biosynthesis. Using thermal proteome profiling, we identified a noncanonical laccase from</w:t>
      </w:r>
      <w:r>
        <w:t xml:space="preserve"> </w:t>
      </w:r>
      <w:r>
        <w:t>Morus alba</w:t>
      </w:r>
      <w:r>
        <w:t xml:space="preserve"> </w:t>
      </w:r>
      <w:r>
        <w:t>(MaLAC) that catalyzes an unprecedented oxidative cyclization of oxyresveratrol to moracin M. Distinct from other plant laccases, MaLAC is the first plant laccase shown to catalyze an intramolecular oxidative cyclization reaction in natural product biosynthesis. Mechanistic studies revealed a copper-mediated radical cyclization, providing guidance for engineering laccases to catalyze synthetically valuable intramolecular oxidative cyclization. The biosynthetic pathway for moracin M was heterologously constructed in</w:t>
      </w:r>
      <w:r>
        <w:t xml:space="preserve"> </w:t>
      </w:r>
      <w:r>
        <w:t>Nicotiana benthamiana</w:t>
      </w:r>
      <w:r>
        <w:t xml:space="preserve"> </w:t>
      </w:r>
      <w:r>
        <w:t>. This work not only provides important insights into moracin biosynthesis, laying the foundation for manufacturing bioactive moracins via metabolic engineering strategies, but also demonstrates the power of label-free chemoproteomics in elucidating unknown biosynthetic pathways of plant secondary metabolites.</w:t>
      </w:r>
    </w:p>
    <w:p>
      <w:pPr>
        <w:spacing w:before="120" w:after="120"/>
      </w:pPr>
      <w:r>
        <w:rPr>
          <w:sz w:val="18"/>
        </w:rPr>
        <w:t>——————————————————————————————————————————————————————————————————————</w:t>
      </w:r>
    </w:p>
    <w:p>
      <w:pPr>
        <w:spacing w:before="160" w:after="40" w:line="240" w:lineRule="auto"/>
      </w:pPr>
      <w:r>
        <w:rPr>
          <w:b/>
        </w:rPr>
        <w:t xml:space="preserve">[339] </w:t>
      </w:r>
      <w:hyperlink r:id="rId885">
        <w:r>
          <w:rPr>
            <w:color w:val="1155CC"/>
            <w:u w:val="single"/>
          </w:rPr>
          <w:t>用于食品分类的可扩展多路复用机器学习气体传感器芯片</w:t>
        </w:r>
      </w:hyperlink>
    </w:p>
    <w:p>
      <w:pPr>
        <w:spacing w:before="0" w:after="80"/>
      </w:pPr>
      <w:r>
        <w:rPr>
          <w:i/>
          <w:sz w:val="20"/>
        </w:rPr>
        <w:t>EN: Scalable multiplexed machine learning gas sensor chips for food classification</w:t>
      </w:r>
    </w:p>
    <w:p>
      <w:pPr>
        <w:spacing w:before="0" w:after="120"/>
      </w:pPr>
      <w:r>
        <w:rPr>
          <w:b/>
        </w:rPr>
        <w:t xml:space="preserve">Source: </w:t>
      </w:r>
      <w:r>
        <w:t>AAAS: Science Advances: Table of Contents</w:t>
      </w:r>
      <w:r>
        <w:t xml:space="preserve">    </w:t>
      </w:r>
      <w:r>
        <w:rPr>
          <w:b/>
        </w:rPr>
        <w:t xml:space="preserve">Pub date: </w:t>
      </w:r>
      <w:r>
        <w:t>2026-06-17 07:00:00+00:00</w:t>
      </w:r>
      <w:r>
        <w:t xml:space="preserve">    </w:t>
      </w:r>
      <w:r>
        <w:rPr>
          <w:b/>
        </w:rPr>
        <w:t xml:space="preserve">DOI: </w:t>
      </w:r>
      <w:hyperlink r:id="rId886">
        <w:r>
          <w:rPr>
            <w:color w:val="1155CC"/>
            <w:u w:val="single"/>
          </w:rPr>
          <w:t>10.1126/sciadv.aec7965</w:t>
        </w:r>
      </w:hyperlink>
    </w:p>
    <w:p>
      <w:pPr>
        <w:spacing w:before="0" w:after="120"/>
      </w:pPr>
      <w:r>
        <w:rPr>
          <w:b/>
        </w:rPr>
        <w:t xml:space="preserve">Notes: </w:t>
      </w:r>
      <w:r>
        <w:t>abstract_source=crossref</w:t>
      </w:r>
    </w:p>
    <w:p>
      <w:pPr>
        <w:spacing w:before="0" w:after="80" w:lineRule="auto" w:line="276"/>
      </w:pPr>
      <w:r>
        <w:rPr>
          <w:b/>
        </w:rPr>
        <w:t xml:space="preserve">摘要（ZH）: </w:t>
      </w:r>
      <w:r>
        <w:t>多路气体传感器阵列与机器学习相结合，解锁了以前无法实现的基于气味的传感应用。当前的平台受到具有相似成分的重叠传感材料的限制，导致高度相关的响应，或多步骤沉积过程阻碍了可扩展性。在这项工作中，我们开发了一款具有完全不同传感层的 16 元件单片芯片，从而实现了真正的异构阵列。该系统由高度灵敏的碳纳米管场效应晶体管组成，通过与自动移液系统兼容的单步微分配方法进行功能化。由此产生的芯片会根据特定物体的气味特征产生特征信号模式，并且与机器学习算法相结合，可以执行自动物体识别。我们展示了对 16 种不同对象的分类，包括食物腐败和坚果过敏原，总体预测准确度为 92.6%。</w:t>
      </w:r>
    </w:p>
    <w:p>
      <w:pPr>
        <w:spacing w:before="0" w:after="200" w:lineRule="auto" w:line="276"/>
      </w:pPr>
      <w:r>
        <w:rPr>
          <w:b/>
        </w:rPr>
        <w:t xml:space="preserve">Abstract (EN): </w:t>
      </w:r>
      <w:r>
        <w:t>Multiplexed gas sensor arrays combined with machine learning have unlocked previously inaccessible applications for scent-based sensing. Current platforms are limited by overlapping sensing materials with similar compositions, leading to highly correlated responses, or multistep deposition processes that hinder scalability. In this work, we developed a 16-element monolithic chip with fully distinct sensing layers, enabling a truly heterogeneous array. The system consists of highly sensitive carbon nanotube field effect transistors that are functionalized through a single-step microdispensing method compatible with automated pipetting systems. The resulting chip produces characteristic signal patterns in response to object-specific scent profiles and, when combined with machine learning algorithms, can perform automated object identification. We demonstrate the classification of 16 different objects, including food spoilage and nut allergens, with a 92.6% overall prediction accuracy.</w:t>
      </w:r>
    </w:p>
    <w:p>
      <w:pPr>
        <w:spacing w:before="120" w:after="120"/>
      </w:pPr>
      <w:r>
        <w:rPr>
          <w:sz w:val="18"/>
        </w:rPr>
        <w:t>——————————————————————————————————————————————————————————————————————</w:t>
      </w:r>
    </w:p>
    <w:p>
      <w:pPr>
        <w:spacing w:before="160" w:after="40" w:line="240" w:lineRule="auto"/>
      </w:pPr>
      <w:r>
        <w:rPr>
          <w:b/>
        </w:rPr>
        <w:t xml:space="preserve">[340] </w:t>
      </w:r>
      <w:hyperlink r:id="rId887">
        <w:r>
          <w:rPr>
            <w:color w:val="1155CC"/>
            <w:u w:val="single"/>
          </w:rPr>
          <w:t>空间转录组图谱鉴定了微塑料诱导的肝毒性中的 Ppara-Anxa2 串扰</w:t>
        </w:r>
      </w:hyperlink>
    </w:p>
    <w:p>
      <w:pPr>
        <w:spacing w:before="0" w:after="80"/>
      </w:pPr>
      <w:r>
        <w:rPr>
          <w:i/>
          <w:sz w:val="20"/>
        </w:rPr>
        <w:t>EN: Spatial transcriptome mapping identifies Ppara-Anxa2 cross-talk in microplastic-induced hepatotoxicity</w:t>
      </w:r>
    </w:p>
    <w:p>
      <w:pPr>
        <w:spacing w:before="0" w:after="120"/>
      </w:pPr>
      <w:r>
        <w:rPr>
          <w:b/>
        </w:rPr>
        <w:t xml:space="preserve">Source: </w:t>
      </w:r>
      <w:r>
        <w:t>AAAS: Science Advances: Table of Contents</w:t>
      </w:r>
      <w:r>
        <w:t xml:space="preserve">    </w:t>
      </w:r>
      <w:r>
        <w:rPr>
          <w:b/>
        </w:rPr>
        <w:t xml:space="preserve">Pub date: </w:t>
      </w:r>
      <w:r>
        <w:t>2026-06-17 07:00:00+00:00</w:t>
      </w:r>
      <w:r>
        <w:t xml:space="preserve">    </w:t>
      </w:r>
      <w:r>
        <w:rPr>
          <w:b/>
        </w:rPr>
        <w:t xml:space="preserve">DOI: </w:t>
      </w:r>
      <w:hyperlink r:id="rId888">
        <w:r>
          <w:rPr>
            <w:color w:val="1155CC"/>
            <w:u w:val="single"/>
          </w:rPr>
          <w:t>10.1126/sciadv.aec8681</w:t>
        </w:r>
      </w:hyperlink>
    </w:p>
    <w:p>
      <w:pPr>
        <w:spacing w:before="0" w:after="120"/>
      </w:pPr>
      <w:r>
        <w:rPr>
          <w:b/>
        </w:rPr>
        <w:t xml:space="preserve">Notes: </w:t>
      </w:r>
      <w:r>
        <w:t>abstract_source=crossref</w:t>
      </w:r>
    </w:p>
    <w:p>
      <w:pPr>
        <w:spacing w:before="0" w:after="80" w:lineRule="auto" w:line="276"/>
      </w:pPr>
      <w:r>
        <w:rPr>
          <w:b/>
        </w:rPr>
        <w:t xml:space="preserve">摘要（ZH）: </w:t>
      </w:r>
      <w:r>
        <w:t>微塑料 (MP) 越来越被认为是一个紧迫的全球健康问题，越来越多的证据表明其生物蓄积性与慢性疾病风险有关。肝脏作为代谢稳态和解毒的中心器官，对持续的 MP 暴露特别敏感。然而，聚乙烯（PE）是最普遍但研究相对较少的塑料类型，其肝脏反应的机制仍不清楚。通过进行整体和空间转录组学分析相结合，我们观察到，PE 导致食用标准或代谢功能障碍相关脂肪性肝炎 (MASH) 诱导饮食的小鼠出现肝功能障碍，驱动全局和空间上不同的转录改变，包括核受体 (NR)、</w:t>
      </w:r>
      <w:r>
        <w:t xml:space="preserve"> </w:t>
      </w:r>
      <w:r>
        <w:t>帕拉</w:t>
      </w:r>
      <w:r>
        <w:t xml:space="preserve"> </w:t>
      </w:r>
      <w:r>
        <w:t>。空间转录组学揭示了批量分析中掩盖的细胞类型异质性和基因表达模式。空间聚类发现了以细胞多样性减少和独特的 PE 响应基因特征为特征的炎症热点。其中，NR 信号传导成为关键的调控轴，Ppara 被确定为调节剂。我们进一步证明 Ppara 调节</w:t>
      </w:r>
      <w:r>
        <w:t xml:space="preserve"> </w:t>
      </w:r>
      <w:r>
        <w:t>安克萨2</w:t>
      </w:r>
      <w:r>
        <w:t xml:space="preserve"> </w:t>
      </w:r>
      <w:r>
        <w:t>，一种通过增强子和启动子结合参与损伤反应和组织恢复的基因。这些发现提供了关于 PE 如何破坏肝脏稳态的见解，并强调了空间转录组学在阐明环境对组织组织和基因表达调控的影响方面的价值。这项研究提供了</w:t>
      </w:r>
    </w:p>
    <w:p>
      <w:pPr>
        <w:spacing w:before="0" w:after="200" w:lineRule="auto" w:line="276"/>
      </w:pPr>
      <w:r>
        <w:rPr>
          <w:b/>
        </w:rPr>
        <w:t xml:space="preserve">Abstract (EN): </w:t>
      </w:r>
      <w:r>
        <w:t>Microplastics (MPs) are increasingly recognized as an urgent global health concern, with mounting evidence linking their bioaccumulation to chronic disease risks. The liver, as a central organ for metabolic homeostasis and detoxification, is particularly sensitive to sustained MP exposure. However, the mechanisms underlying hepatic responses to polyethylene (PE), the most prevalent yet relatively understudied plastic type, remain poorly defined. By performing combined bulk and spatial transcriptomic analyses, we observed that PE resulted in hepatic dysfunction in mice fed on standard or metabolic dysfunction-associated steatohepatitis (MASH)–inducing diets, driving both globally and spatially distinct transcriptional alterations, including a nuclear receptor (NR),</w:t>
      </w:r>
      <w:r>
        <w:t xml:space="preserve"> </w:t>
      </w:r>
      <w:r>
        <w:t>Ppara</w:t>
      </w:r>
      <w:r>
        <w:t xml:space="preserve"> </w:t>
      </w:r>
      <w:r>
        <w:t>. Spatial transcriptomics uncovered the cell type heterogeneity and gene expression patterns masked in bulk analyses. Spatial clustering uncovered inflammatory hotspots characterized by reduced cellular diversity and distinct PE-responsive gene signatures. Among these, NR signaling emerged as a key regulatory axis, with Ppara identified as a modulator. We further demonstrated that Ppara regulates</w:t>
      </w:r>
      <w:r>
        <w:t xml:space="preserve"> </w:t>
      </w:r>
      <w:r>
        <w:t>Anxa2</w:t>
      </w:r>
      <w:r>
        <w:t xml:space="preserve"> </w:t>
      </w:r>
      <w:r>
        <w:t>, a gene involved in damage response and tissue recovery, through enhancer and promoter binding. These findings offer insights into how PE disrupts hepatic homeostasis and underscores the value of spatial transcriptomics in elucidating environmental impacts on tissue organization and gene expression regulation. This study provides a molecular framework for understanding MP-associated disruption of liver pathophysiology and highlights potential targets for therapeutic intervention.</w:t>
      </w:r>
    </w:p>
    <w:p>
      <w:pPr>
        <w:spacing w:before="120" w:after="120"/>
      </w:pPr>
      <w:r>
        <w:rPr>
          <w:sz w:val="18"/>
        </w:rPr>
        <w:t>——————————————————————————————————————————————————————————————————————</w:t>
      </w:r>
    </w:p>
    <w:p>
      <w:pPr>
        <w:spacing w:before="160" w:after="40" w:line="240" w:lineRule="auto"/>
      </w:pPr>
      <w:r>
        <w:rPr>
          <w:b/>
        </w:rPr>
        <w:t xml:space="preserve">[341] </w:t>
      </w:r>
      <w:hyperlink r:id="rId889">
        <w:r>
          <w:rPr>
            <w:color w:val="1155CC"/>
            <w:u w:val="single"/>
          </w:rPr>
          <w:t>秀丽隐杆线虫的状态转换导航策略有利于趋化性</w:t>
        </w:r>
      </w:hyperlink>
    </w:p>
    <w:p>
      <w:pPr>
        <w:spacing w:before="0" w:after="80"/>
      </w:pPr>
      <w:r>
        <w:rPr>
          <w:i/>
          <w:sz w:val="20"/>
        </w:rPr>
        <w:t>EN: State-switching navigation strategies in Caenorhabditis elegans are beneficial for chemotaxis</w:t>
      </w:r>
    </w:p>
    <w:p>
      <w:pPr>
        <w:spacing w:before="0" w:after="120"/>
      </w:pPr>
      <w:r>
        <w:rPr>
          <w:b/>
        </w:rPr>
        <w:t xml:space="preserve">Source: </w:t>
      </w:r>
      <w:r>
        <w:t>Proceedings of the National Academy of Sciences: Keyword search for query</w:t>
      </w:r>
      <w:r>
        <w:t xml:space="preserve">    </w:t>
      </w:r>
      <w:r>
        <w:rPr>
          <w:b/>
        </w:rPr>
        <w:t xml:space="preserve">Pub date: </w:t>
      </w:r>
      <w:r>
        <w:t>2026-06-17 07:00:00+00:00</w:t>
      </w:r>
      <w:r>
        <w:t xml:space="preserve">    </w:t>
      </w:r>
      <w:r>
        <w:rPr>
          <w:b/>
        </w:rPr>
        <w:t xml:space="preserve">DOI: </w:t>
      </w:r>
      <w:hyperlink r:id="rId890">
        <w:r>
          <w:rPr>
            <w:color w:val="1155CC"/>
            <w:u w:val="single"/>
          </w:rPr>
          <w:t>10.1073/pnas.2519999123</w:t>
        </w:r>
      </w:hyperlink>
    </w:p>
    <w:p>
      <w:pPr>
        <w:spacing w:before="0" w:after="120"/>
      </w:pPr>
      <w:r>
        <w:rPr>
          <w:b/>
        </w:rPr>
        <w:t xml:space="preserve">Notes: </w:t>
      </w:r>
      <w:r>
        <w:t>abstract_source=crossref</w:t>
      </w:r>
    </w:p>
    <w:p>
      <w:pPr>
        <w:spacing w:before="0" w:after="80" w:lineRule="auto" w:line="276"/>
      </w:pPr>
      <w:r>
        <w:rPr>
          <w:b/>
        </w:rPr>
        <w:t xml:space="preserve">摘要（ZH）: </w:t>
      </w:r>
      <w:r>
        <w:t>动物采用不同的策略来关联感觉输入和行为输出来导航感觉环境，但使用什么策略、何时切换以及为什么仍不清楚。</w:t>
      </w:r>
      <w:r>
        <w:t xml:space="preserve"> </w:t>
      </w:r>
      <w:r>
        <w:t>秀丽隐杆线虫</w:t>
      </w:r>
      <w:r>
        <w:t xml:space="preserve"> </w:t>
      </w:r>
      <w:r>
        <w:t>通过将“转向”（小的航向变化）与“转向”（大的重新定向）相结合来进行导航。目前尚不清楚这些元素之间的转换是仅由感觉输入驱动还是由持久的内部状态驱动。目前还不清楚蠕虫有时是如何退出转弯的，从而使它们已经朝向目标，尽管它们在转弯时缺乏空间意识。我们通过感官引导导航的测量和状态相关控制的统计模型来解决这些问题。蠕虫导航可以通过一种感觉驱动的双状态切换模型来很好地描述，该模型的状态持续数秒并产生不同的感觉运动混合物：一种状态是转向丰富，另一种状态是转向丰富。这种分层的时间组织挑战了梯度攀登策略是静态的和纯粹刺激锁定的观点。相反，感觉输入会因果地调节持久状态之间的转换，从而在退出回合丰富状态时产生“定向回合”的外观。使用受到基因干扰的动物进行的测量以及使用数据约束的强化学习进行的建模都表明状态切换可以增强梯度攀爬性能。测量、扰动和建模共同揭示了状态切换在功能上是有益的，可以跨时间组织行为——这是一个首要原则</w:t>
      </w:r>
    </w:p>
    <w:p>
      <w:pPr>
        <w:spacing w:before="0" w:after="200" w:lineRule="auto" w:line="276"/>
      </w:pPr>
      <w:r>
        <w:rPr>
          <w:b/>
        </w:rPr>
        <w:t xml:space="preserve">Abstract (EN): </w:t>
      </w:r>
      <w:r>
        <w:t>Animals employ different strategies for relating sensory input and behavioral output to navigate sensory environments, but what strategy to use, when to switch and why remain unclear.</w:t>
      </w:r>
      <w:r>
        <w:t xml:space="preserve"> </w:t>
      </w:r>
      <w:r>
        <w:t>Caenorhabditis elegans</w:t>
      </w:r>
      <w:r>
        <w:t xml:space="preserve"> </w:t>
      </w:r>
      <w:r>
        <w:t>navigate by combining “steering” (small heading changes) with “turn” (large reorientations). It is unknown whether transitions between these elements are driven solely by sensory input or also by persistent internal states. It is also unclear how worms sometimes appear to exit turns such that they are already oriented toward a goal, despite their presumed lack of spatial awareness during turns. We address these questions with measurements of sensory-guided navigation and a statistical model of state-dependent control. Worm navigation is well described by a sensory-driven, two-state-switching model whose states persist for seconds and produce distinct sensorimotor mixtures: one state is steer-enriched, the other turn-enriched. This hierarchical temporal organization challenges the view that gradient-climbing strategies are static and purely stimulus-locked. Instead, sensory input causally modulates transitions between persistent states, creating the appearance of “directed turns” when exiting the turn-enriched state. Measurements using genetically perturbed animals and modeling with data-constrained reinforcement-learning both show that state switching enhances gradient-climbing performance. Together, measurement, perturbation, and modeling reveal that state switching is functionally beneficial, organizing behavior across time—a principle that may generalize across species and contexts.</w:t>
      </w:r>
    </w:p>
    <w:p>
      <w:pPr>
        <w:spacing w:before="120" w:after="120"/>
      </w:pPr>
      <w:r>
        <w:rPr>
          <w:sz w:val="18"/>
        </w:rPr>
        <w:t>——————————————————————————————————————————————————————————————————————</w:t>
      </w:r>
    </w:p>
    <w:p>
      <w:pPr>
        <w:spacing w:before="160" w:after="40" w:line="240" w:lineRule="auto"/>
      </w:pPr>
      <w:r>
        <w:rPr>
          <w:b/>
        </w:rPr>
        <w:t xml:space="preserve">[342] </w:t>
      </w:r>
      <w:hyperlink r:id="rId891">
        <w:r>
          <w:rPr>
            <w:color w:val="1155CC"/>
            <w:u w:val="single"/>
          </w:rPr>
          <w:t>SLC25A3 输出线粒体铜以金属化细胞色素 C 氧化酶并防止铜凋亡</w:t>
        </w:r>
      </w:hyperlink>
    </w:p>
    <w:p>
      <w:pPr>
        <w:spacing w:before="0" w:after="80"/>
      </w:pPr>
      <w:r>
        <w:rPr>
          <w:i/>
          <w:sz w:val="20"/>
        </w:rPr>
        <w:t>EN: SLC25A3 exports mitochondrial copper to metalate cytochrome c oxidase and prevent cuproptosis</w:t>
      </w:r>
    </w:p>
    <w:p>
      <w:pPr>
        <w:spacing w:before="0" w:after="120"/>
      </w:pPr>
      <w:r>
        <w:rPr>
          <w:b/>
        </w:rPr>
        <w:t xml:space="preserve">Source: </w:t>
      </w:r>
      <w:r>
        <w:t>Proceedings of the National Academy of Sciences: Keyword search for query</w:t>
      </w:r>
      <w:r>
        <w:t xml:space="preserve">    </w:t>
      </w:r>
      <w:r>
        <w:rPr>
          <w:b/>
        </w:rPr>
        <w:t xml:space="preserve">Pub date: </w:t>
      </w:r>
      <w:r>
        <w:t>2026-06-17 07:00:00+00:00</w:t>
      </w:r>
      <w:r>
        <w:t xml:space="preserve">    </w:t>
      </w:r>
      <w:r>
        <w:rPr>
          <w:b/>
        </w:rPr>
        <w:t xml:space="preserve">DOI: </w:t>
      </w:r>
      <w:hyperlink r:id="rId892">
        <w:r>
          <w:rPr>
            <w:color w:val="1155CC"/>
            <w:u w:val="single"/>
          </w:rPr>
          <w:t>10.1073/pnas.2612098123</w:t>
        </w:r>
      </w:hyperlink>
    </w:p>
    <w:p>
      <w:pPr>
        <w:spacing w:before="0" w:after="120"/>
      </w:pPr>
      <w:r>
        <w:rPr>
          <w:b/>
        </w:rPr>
        <w:t xml:space="preserve">Notes: </w:t>
      </w:r>
      <w:r>
        <w:t>abstract_source=crossref</w:t>
      </w:r>
    </w:p>
    <w:p>
      <w:pPr>
        <w:spacing w:before="0" w:after="80" w:lineRule="auto" w:line="276"/>
      </w:pPr>
      <w:r>
        <w:rPr>
          <w:b/>
        </w:rPr>
        <w:t xml:space="preserve">摘要（ZH）: </w:t>
      </w:r>
      <w:r>
        <w:t>铜 (Cu) 是细胞色素的重要辅助因子</w:t>
      </w:r>
      <w:r>
        <w:t xml:space="preserve"> </w:t>
      </w:r>
      <w:r>
        <w:t>c</w:t>
      </w:r>
      <w:r>
        <w:t xml:space="preserve"> </w:t>
      </w:r>
      <w:r>
        <w:t>氧化酶 (CcO) 是一种线粒体呼吸链酶，主要使用来自线粒体基质池的 Cu 在膜间隙 (IMS) 中进行金属化。虽然 Cu 导入基质取决于内膜载体 SLC25A3，但基质 Cu 输出到 IMS 以插入 CcO 的途径仍然是线粒体内 Cu 运输的一个主要的、未解决的步骤。在这里，我们利用我们最近的发现，即 Cu 离子载体艾司氯醇 (ES) 将 Cu 直接释放到线粒体基质中，表明 SLC25A3 是将 Cu 输出到 IMS 进行 CcO 金属化所必需的。正如预期的那样，SLC25A3 的缺失会降低线粒体 Cu 含量和 CcO 活性。引人注目的是，通过 ES 介导的 Cu 向基质的传递来绕过 SLC25A3 的丢失并不能恢复 CcO 功能；相反，它会驱动有毒的铜保留并引发铜凋亡，表明SLC25A3促进的铜输出是CcO金属化的限制决定因素。异源表达</w:t>
      </w:r>
      <w:r>
        <w:t xml:space="preserve"> </w:t>
      </w:r>
      <w:r>
        <w:t>乳酸乳球菌</w:t>
      </w:r>
      <w:r>
        <w:t xml:space="preserve"> </w:t>
      </w:r>
      <w:r>
        <w:t>证实 SLC25A3 可以介导 Cu 输出。这些结果表明，SLC25A3 是人们长期寻找的线粒体铜输出蛋白，在实现 CcO 金属化和门控铜凋亡敏感性方面具有双重作用。</w:t>
      </w:r>
    </w:p>
    <w:p>
      <w:pPr>
        <w:spacing w:before="0" w:after="200" w:lineRule="auto" w:line="276"/>
      </w:pPr>
      <w:r>
        <w:rPr>
          <w:b/>
        </w:rPr>
        <w:t xml:space="preserve">Abstract (EN): </w:t>
      </w:r>
      <w:r>
        <w:t>Copper (Cu) is an essential cofactor for cytochrome</w:t>
      </w:r>
      <w:r>
        <w:t xml:space="preserve"> </w:t>
      </w:r>
      <w:r>
        <w:t>c</w:t>
      </w:r>
      <w:r>
        <w:t xml:space="preserve"> </w:t>
      </w:r>
      <w:r>
        <w:t>oxidase (CcO), a mitochondrial respiratory chain enzyme that is metalated in the intermembrane space (IMS) primarily using Cu derived from the mitochondrial matrix pool. While Cu import into the matrix depends on the inner membrane carrier SLC25A3, the route by which matrix Cu is exported to the IMS for insertion into CcO has remained a major, unresolved step in intramitochondrial Cu trafficking. Here, we leveraged our recent discovery that the Cu ionophore elesclomol (ES) releases Cu directly into the mitochondrial matrix to show that SLC25A3 is required for exporting Cu to the IMS for CcO metalation. Loss of SLC25A3 decreases mitochondrial Cu content and CcO activity as expected. Strikingly, bypassing the loss of SLC25A3 with ES-mediated Cu delivery to the matrix fails to restore CcO function; rather, it drives toxic Cu retention and triggers cuproptosis, revealing that SLC25A3-facilitated Cu export is the limiting determinant of CcO metalation. Heterologous expression in</w:t>
      </w:r>
      <w:r>
        <w:t xml:space="preserve"> </w:t>
      </w:r>
      <w:r>
        <w:t>Lactococcus lactis</w:t>
      </w:r>
      <w:r>
        <w:t xml:space="preserve"> </w:t>
      </w:r>
      <w:r>
        <w:t>confirms that SLC25A3 can mediate Cu export. These results suggest that SLC25A3 is the long-sought mitochondrial Cu exporter with a dual role in enabling CcO metalation and gating susceptibility to cuproptosis.</w:t>
      </w:r>
    </w:p>
    <w:p>
      <w:pPr>
        <w:spacing w:before="120" w:after="120"/>
      </w:pPr>
      <w:r>
        <w:rPr>
          <w:sz w:val="18"/>
        </w:rPr>
        <w:t>——————————————————————————————————————————————————————————————————————</w:t>
      </w:r>
    </w:p>
    <w:p>
      <w:pPr>
        <w:spacing w:before="160" w:after="40" w:line="240" w:lineRule="auto"/>
      </w:pPr>
      <w:r>
        <w:rPr>
          <w:b/>
        </w:rPr>
        <w:t xml:space="preserve">[343] </w:t>
      </w:r>
      <w:hyperlink r:id="rId893">
        <w:r>
          <w:rPr>
            <w:color w:val="1155CC"/>
            <w:u w:val="single"/>
          </w:rPr>
          <w:t>人类心脏的寿命依赖性转录动力学</w:t>
        </w:r>
      </w:hyperlink>
    </w:p>
    <w:p>
      <w:pPr>
        <w:spacing w:before="0" w:after="80"/>
      </w:pPr>
      <w:r>
        <w:rPr>
          <w:i/>
          <w:sz w:val="20"/>
        </w:rPr>
        <w:t>EN: Life-span–dependent transcriptional dynamics of the human heart</w:t>
      </w:r>
    </w:p>
    <w:p>
      <w:pPr>
        <w:spacing w:before="0" w:after="120"/>
      </w:pPr>
      <w:r>
        <w:rPr>
          <w:b/>
        </w:rPr>
        <w:t xml:space="preserve">Source: </w:t>
      </w:r>
      <w:r>
        <w:t>AAAS: Science Advances: Table of Contents</w:t>
      </w:r>
      <w:r>
        <w:t xml:space="preserve">    </w:t>
      </w:r>
      <w:r>
        <w:rPr>
          <w:b/>
        </w:rPr>
        <w:t xml:space="preserve">Pub date: </w:t>
      </w:r>
      <w:r>
        <w:t>2026-06-17 07:00:00+00:00</w:t>
      </w:r>
      <w:r>
        <w:t xml:space="preserve">    </w:t>
      </w:r>
      <w:r>
        <w:rPr>
          <w:b/>
        </w:rPr>
        <w:t xml:space="preserve">DOI: </w:t>
      </w:r>
      <w:hyperlink r:id="rId894">
        <w:r>
          <w:rPr>
            <w:color w:val="1155CC"/>
            <w:u w:val="single"/>
          </w:rPr>
          <w:t>10.1126/sciadv.aeg2614</w:t>
        </w:r>
      </w:hyperlink>
    </w:p>
    <w:p>
      <w:pPr>
        <w:spacing w:before="0" w:after="120"/>
      </w:pPr>
      <w:r>
        <w:rPr>
          <w:b/>
        </w:rPr>
        <w:t xml:space="preserve">Notes: </w:t>
      </w:r>
      <w:r>
        <w:t>abstract_source=crossref</w:t>
      </w:r>
    </w:p>
    <w:p>
      <w:pPr>
        <w:spacing w:before="0" w:after="80" w:lineRule="auto" w:line="276"/>
      </w:pPr>
      <w:r>
        <w:rPr>
          <w:b/>
        </w:rPr>
        <w:t xml:space="preserve">摘要（ZH）: </w:t>
      </w:r>
      <w:r>
        <w:t>人类心脏从发育到衰老不断经历转录重塑，但控制这一过程的细胞和调控特征仍未完全确定。在这里，我们生成了包含 442,239 个细胞核的单核 RNA 测序图谱，这些细胞核来自 29 名个体的 54 个非衰竭心肌组织，涵盖发育期、成年期和衰老期，涵盖左心室和右心室。在所有主要细胞类型中，我们发现了协调但细胞类型特异性的转录轨迹，这些轨迹在整个生命周期中逐渐丧失基因表达稳态、应激反应和炎症信号传导。心肌细胞表现出独特的与年龄相关的转录状态，富含衰老和疾病相关的特征。监管网络分析确定</w:t>
      </w:r>
      <w:r>
        <w:t xml:space="preserve"> </w:t>
      </w:r>
      <w:r>
        <w:t>PRDM16</w:t>
      </w:r>
      <w:r>
        <w:t xml:space="preserve"> </w:t>
      </w:r>
      <w:r>
        <w:t>作为一种转录调节因子，其活性随着心肌细胞年龄的增长而下降。功能扰动</w:t>
      </w:r>
      <w:r>
        <w:t xml:space="preserve"> </w:t>
      </w:r>
      <w:r>
        <w:t>PRDM16</w:t>
      </w:r>
      <w:r>
        <w:t xml:space="preserve"> </w:t>
      </w:r>
      <w:r>
        <w:t>在人类心肌细胞模型中，它诱导衰老、代谢功能障碍和应激反应，而在老年小鼠心脏中，它的重新平衡改善了心脏功能，并部分逆转了与衰老相关的转录程序。最后，利用寿命解析的单核数据，我们构建了心脏转录组年龄预测模型，该模型密切跟踪非衰竭心脏的实际年龄，并揭示了与心肌病加速衰老一致的偏差。总之，这项研究提供了人类心脏整个生命周期的全面单核资源。</w:t>
      </w:r>
    </w:p>
    <w:p>
      <w:pPr>
        <w:spacing w:before="0" w:after="200" w:lineRule="auto" w:line="276"/>
      </w:pPr>
      <w:r>
        <w:rPr>
          <w:b/>
        </w:rPr>
        <w:t xml:space="preserve">Abstract (EN): </w:t>
      </w:r>
      <w:r>
        <w:t>The human heart undergoes continuous transcriptional remodeling from development through aging, yet the cellular and regulatory features governing this process remain incompletely defined. Here, we generated a single-nucleus RNA sequencing atlas of 442,239 nuclei from 54 nonfailing myocardial tissues of 29 individuals spanning development, adulthood, and aging, covering left and right ventricles. Across all major cell types, we uncovered coordinated yet cell type–specific transcriptional trajectories that converge on progressive loss of gene expression homeostasis, stress responses, and inflammatory signaling over the life span. Cardiomyocytes displayed distinct age-associated transcriptional states enriched for senescence- and disease-related signatures. Regulatory network analysis identified</w:t>
      </w:r>
      <w:r>
        <w:t xml:space="preserve"> </w:t>
      </w:r>
      <w:r>
        <w:t>PRDM16</w:t>
      </w:r>
      <w:r>
        <w:t xml:space="preserve"> </w:t>
      </w:r>
      <w:r>
        <w:t>as a transcriptional regulator whose activity declined with age in cardiomyocytes. Functional perturbation of</w:t>
      </w:r>
      <w:r>
        <w:t xml:space="preserve"> </w:t>
      </w:r>
      <w:r>
        <w:t>PRDM16</w:t>
      </w:r>
      <w:r>
        <w:t xml:space="preserve"> </w:t>
      </w:r>
      <w:r>
        <w:t>in human cardiomyocyte models induced senescence, metabolic dysfunction, and stress responses, whereas its rebalancing in aged mouse hearts improved cardiac function and partially reversed aging-associated transcriptional programs. Last, leveraging life-span–resolved single-nucleus data, we constructed cardiac transcriptomic age prediction models that closely tracked chronological age in nonfailing hearts and revealed deviations consistent with accelerated aging in cardiomyopathies. Together, this study provides a comprehensive single-nucleus resource of the human heart across the life span and delineates cellular and regulatory features associated with cardiac aging.</w:t>
      </w:r>
    </w:p>
    <w:p>
      <w:pPr>
        <w:spacing w:before="120" w:after="120"/>
      </w:pPr>
      <w:r>
        <w:rPr>
          <w:sz w:val="18"/>
        </w:rPr>
        <w:t>——————————————————————————————————————————————————————————————————————</w:t>
      </w:r>
    </w:p>
    <w:p>
      <w:pPr>
        <w:spacing w:before="160" w:after="40" w:line="240" w:lineRule="auto"/>
      </w:pPr>
      <w:r>
        <w:rPr>
          <w:b/>
        </w:rPr>
        <w:t xml:space="preserve">[344] </w:t>
      </w:r>
      <w:hyperlink r:id="rId895">
        <w:r>
          <w:rPr>
            <w:color w:val="1155CC"/>
            <w:u w:val="single"/>
          </w:rPr>
          <w:t>F-box 蛋白 OsFKF1 与 OsGI 或 Hd1 相互作用并介导 OsGI 降解以控制水稻的开花时间</w:t>
        </w:r>
      </w:hyperlink>
    </w:p>
    <w:p>
      <w:pPr>
        <w:spacing w:before="0" w:after="80"/>
      </w:pPr>
      <w:r>
        <w:rPr>
          <w:i/>
          <w:sz w:val="20"/>
        </w:rPr>
        <w:t>EN: An F-box protein OsFKF1 interacts with either OsGI or Hd1 and mediates the degradation of OsGI to control flowering time in rice</w:t>
      </w:r>
    </w:p>
    <w:p>
      <w:pPr>
        <w:spacing w:before="0" w:after="120"/>
      </w:pPr>
      <w:r>
        <w:rPr>
          <w:b/>
        </w:rPr>
        <w:t xml:space="preserve">Source: </w:t>
      </w:r>
      <w:r>
        <w:t>AAAS: Science Advances: Table of Contents</w:t>
      </w:r>
      <w:r>
        <w:t xml:space="preserve">    </w:t>
      </w:r>
      <w:r>
        <w:rPr>
          <w:b/>
        </w:rPr>
        <w:t xml:space="preserve">Pub date: </w:t>
      </w:r>
      <w:r>
        <w:t>2026-06-17 07:00:00+00:00</w:t>
      </w:r>
      <w:r>
        <w:t xml:space="preserve">    </w:t>
      </w:r>
      <w:r>
        <w:rPr>
          <w:b/>
        </w:rPr>
        <w:t xml:space="preserve">DOI: </w:t>
      </w:r>
      <w:hyperlink r:id="rId896">
        <w:r>
          <w:rPr>
            <w:color w:val="1155CC"/>
            <w:u w:val="single"/>
          </w:rPr>
          <w:t>10.1126/sciadv.adz5090</w:t>
        </w:r>
      </w:hyperlink>
    </w:p>
    <w:p>
      <w:pPr>
        <w:spacing w:before="0" w:after="120"/>
      </w:pPr>
      <w:r>
        <w:rPr>
          <w:b/>
        </w:rPr>
        <w:t xml:space="preserve">Notes: </w:t>
      </w:r>
      <w:r>
        <w:t>abstract_source=crossref</w:t>
      </w:r>
    </w:p>
    <w:p>
      <w:pPr>
        <w:spacing w:before="0" w:after="80" w:lineRule="auto" w:line="276"/>
      </w:pPr>
      <w:r>
        <w:rPr>
          <w:b/>
        </w:rPr>
        <w:t xml:space="preserve">摘要（ZH）: </w:t>
      </w:r>
      <w:r>
        <w:t>水稻开花时间（</w:t>
      </w:r>
      <w:r>
        <w:t xml:space="preserve"> </w:t>
      </w:r>
      <w:r>
        <w:t>水稻</w:t>
      </w:r>
      <w:r>
        <w:t xml:space="preserve"> </w:t>
      </w:r>
      <w:r>
        <w:t>）在调节粮食产量、品质、适应性等方面发挥着重要作用。</w:t>
      </w:r>
      <w:r>
        <w:t xml:space="preserve"> </w:t>
      </w:r>
      <w:r>
        <w:t>苜蓿</w:t>
      </w:r>
      <w:r>
        <w:t xml:space="preserve"> </w:t>
      </w:r>
      <w:r>
        <w:t>GIGANTEAN (OsGI)，标题日期 1 (Hd1)，以及</w:t>
      </w:r>
      <w:r>
        <w:t xml:space="preserve"> </w:t>
      </w:r>
      <w:r>
        <w:t>苜蓿</w:t>
      </w:r>
      <w:r>
        <w:t xml:space="preserve"> </w:t>
      </w:r>
      <w:r>
        <w:t>黄素结合、Kelch 重复序列和 F-box 1 (OsFKF1) 是控制水稻开花时间的关键因素。不过，他们的关系还不太清楚。在这项研究中，我们发现 OsFKF1（一种包含 F-box 结构域的蛋白质）与 OsGI 和 Hd1 发生物理相互作用。 OsFKF1 通过泛素化介导以 OsGI 为目标进行降解 26</w:t>
      </w:r>
      <w:r>
        <w:t xml:space="preserve"> </w:t>
      </w:r>
      <w:r>
        <w:t>S</w:t>
      </w:r>
      <w:r>
        <w:t xml:space="preserve"> </w:t>
      </w:r>
      <w:r>
        <w:t>蛋白酶体。 OsFKF1 在功能上与 FKF1 一样保守</w:t>
      </w:r>
      <w:r>
        <w:t xml:space="preserve"> </w:t>
      </w:r>
      <w:r>
        <w:t>拟南芥</w:t>
      </w:r>
      <w:r>
        <w:t xml:space="preserve"> </w:t>
      </w:r>
      <w:r>
        <w:t>。突变</w:t>
      </w:r>
      <w:r>
        <w:t xml:space="preserve"> </w:t>
      </w:r>
      <w:r>
        <w:t>奥斯FKF1</w:t>
      </w:r>
      <w:r>
        <w:t xml:space="preserve"> </w:t>
      </w:r>
      <w:r>
        <w:t>,</w:t>
      </w:r>
      <w:r>
        <w:t xml:space="preserve"> </w:t>
      </w:r>
      <w:r>
        <w:t>奥斯GI</w:t>
      </w:r>
      <w:r>
        <w:t xml:space="preserve"> </w:t>
      </w:r>
      <w:r>
        <w:t>, 和</w:t>
      </w:r>
      <w:r>
        <w:t xml:space="preserve"> </w:t>
      </w:r>
      <w:r>
        <w:t>高清1</w:t>
      </w:r>
      <w:r>
        <w:t xml:space="preserve"> </w:t>
      </w:r>
      <w:r>
        <w:t>在相同的遗传背景下通过 CRISPR-Cas9 产生的基因赋予晚花表型。的</w:t>
      </w:r>
      <w:r>
        <w:t xml:space="preserve"> </w:t>
      </w:r>
      <w:r>
        <w:t>osfkf1</w:t>
      </w:r>
      <w:r>
        <w:t xml:space="preserve"> </w:t>
      </w:r>
      <w:r>
        <w:t>突变抑制表达</w:t>
      </w:r>
      <w:r>
        <w:t xml:space="preserve"> </w:t>
      </w:r>
      <w:r>
        <w:t>埃赫德1</w:t>
      </w:r>
      <w:r>
        <w:t xml:space="preserve"> </w:t>
      </w:r>
      <w:r>
        <w:t>,</w:t>
      </w:r>
      <w:r>
        <w:t xml:space="preserve"> </w:t>
      </w:r>
      <w:r>
        <w:t>高清1</w:t>
      </w:r>
      <w:r>
        <w:t xml:space="preserve"> </w:t>
      </w:r>
      <w:r>
        <w:t>, 和</w:t>
      </w:r>
      <w:r>
        <w:t xml:space="preserve"> </w:t>
      </w:r>
      <w:r>
        <w:t>埃赫德2</w:t>
      </w:r>
      <w:r>
        <w:t xml:space="preserve"> </w:t>
      </w:r>
      <w:r>
        <w:t>，同时激活</w:t>
      </w:r>
      <w:r>
        <w:t xml:space="preserve"> </w:t>
      </w:r>
      <w:r>
        <w:t>GHD7</w:t>
      </w:r>
      <w:r>
        <w:t xml:space="preserve"> </w:t>
      </w:r>
      <w:r>
        <w:t>和</w:t>
      </w:r>
      <w:r>
        <w:t xml:space="preserve"> </w:t>
      </w:r>
      <w:r>
        <w:t>埃HD3</w:t>
      </w:r>
      <w:r>
        <w:t xml:space="preserve"> </w:t>
      </w:r>
      <w:r>
        <w:t>，进一步降低成花基因的表达</w:t>
      </w:r>
      <w:r>
        <w:t xml:space="preserve"> </w:t>
      </w:r>
      <w:r>
        <w:t>HD3a</w:t>
      </w:r>
      <w:r>
        <w:t xml:space="preserve"> </w:t>
      </w:r>
      <w:r>
        <w:t>和</w:t>
      </w:r>
      <w:r>
        <w:t xml:space="preserve"> </w:t>
      </w:r>
      <w:r>
        <w:t>RFT1</w:t>
      </w:r>
      <w:r>
        <w:t xml:space="preserve"> </w:t>
      </w:r>
      <w:r>
        <w:t>，导致开花时间延迟。突变</w:t>
      </w:r>
    </w:p>
    <w:p>
      <w:pPr>
        <w:spacing w:before="0" w:after="200" w:lineRule="auto" w:line="276"/>
      </w:pPr>
      <w:r>
        <w:rPr>
          <w:b/>
        </w:rPr>
        <w:t xml:space="preserve">Abstract (EN): </w:t>
      </w:r>
      <w:r>
        <w:t>Flowering time of rice (</w:t>
      </w:r>
      <w:r>
        <w:t xml:space="preserve"> </w:t>
      </w:r>
      <w:r>
        <w:t>Oryza sativa</w:t>
      </w:r>
      <w:r>
        <w:t xml:space="preserve"> </w:t>
      </w:r>
      <w:r>
        <w:t>) plays important roles in regulating grain yield, quality, and adaptability.</w:t>
      </w:r>
      <w:r>
        <w:t xml:space="preserve"> </w:t>
      </w:r>
      <w:r>
        <w:t>O. sativa</w:t>
      </w:r>
      <w:r>
        <w:t xml:space="preserve"> </w:t>
      </w:r>
      <w:r>
        <w:t>GIGANTEAN (OsGI), heading date 1 (Hd1), and</w:t>
      </w:r>
      <w:r>
        <w:t xml:space="preserve"> </w:t>
      </w:r>
      <w:r>
        <w:t>O. sativa</w:t>
      </w:r>
      <w:r>
        <w:t xml:space="preserve"> </w:t>
      </w:r>
      <w:r>
        <w:t>flavin-binding, Kelch repeat, and F-box 1 (OsFKF1) are key factors controlling flowering time in rice. However, their relationships are not quite clear. In this study, we found that OsFKF1, an F-box domain–containing protein, physically interacts with OsGI and Hd1. OsFKF1 targets OsGI for degradation through ubiquitination-mediated 26</w:t>
      </w:r>
      <w:r>
        <w:t xml:space="preserve"> </w:t>
      </w:r>
      <w:r>
        <w:t>S</w:t>
      </w:r>
      <w:r>
        <w:t xml:space="preserve"> </w:t>
      </w:r>
      <w:r>
        <w:t>proteasome. OsFKF1 is functionally conserved with FKF1 in</w:t>
      </w:r>
      <w:r>
        <w:t xml:space="preserve"> </w:t>
      </w:r>
      <w:r>
        <w:t>Arabidopsis</w:t>
      </w:r>
      <w:r>
        <w:t xml:space="preserve"> </w:t>
      </w:r>
      <w:r>
        <w:t>. Mutations of</w:t>
      </w:r>
      <w:r>
        <w:t xml:space="preserve"> </w:t>
      </w:r>
      <w:r>
        <w:t>OsFKF1</w:t>
      </w:r>
      <w:r>
        <w:t xml:space="preserve"> </w:t>
      </w:r>
      <w:r>
        <w:t>,</w:t>
      </w:r>
      <w:r>
        <w:t xml:space="preserve"> </w:t>
      </w:r>
      <w:r>
        <w:t>OsGI</w:t>
      </w:r>
      <w:r>
        <w:t xml:space="preserve"> </w:t>
      </w:r>
      <w:r>
        <w:t>, and</w:t>
      </w:r>
      <w:r>
        <w:t xml:space="preserve"> </w:t>
      </w:r>
      <w:r>
        <w:t>Hd1</w:t>
      </w:r>
      <w:r>
        <w:t xml:space="preserve"> </w:t>
      </w:r>
      <w:r>
        <w:t>generated through CRISPR-Cas9 in the same genetic background confer late flowering phenotypes. The</w:t>
      </w:r>
      <w:r>
        <w:t xml:space="preserve"> </w:t>
      </w:r>
      <w:r>
        <w:t>osfkf1</w:t>
      </w:r>
      <w:r>
        <w:t xml:space="preserve"> </w:t>
      </w:r>
      <w:r>
        <w:t>mutations suppress the expression of</w:t>
      </w:r>
      <w:r>
        <w:t xml:space="preserve"> </w:t>
      </w:r>
      <w:r>
        <w:t>Ehd1</w:t>
      </w:r>
      <w:r>
        <w:t xml:space="preserve"> </w:t>
      </w:r>
      <w:r>
        <w:t>,</w:t>
      </w:r>
      <w:r>
        <w:t xml:space="preserve"> </w:t>
      </w:r>
      <w:r>
        <w:t>Hd1</w:t>
      </w:r>
      <w:r>
        <w:t xml:space="preserve"> </w:t>
      </w:r>
      <w:r>
        <w:t>, and</w:t>
      </w:r>
      <w:r>
        <w:t xml:space="preserve"> </w:t>
      </w:r>
      <w:r>
        <w:t>Ehd2</w:t>
      </w:r>
      <w:r>
        <w:t xml:space="preserve"> </w:t>
      </w:r>
      <w:r>
        <w:t>, while activating</w:t>
      </w:r>
      <w:r>
        <w:t xml:space="preserve"> </w:t>
      </w:r>
      <w:r>
        <w:t>Ghd7</w:t>
      </w:r>
      <w:r>
        <w:t xml:space="preserve"> </w:t>
      </w:r>
      <w:r>
        <w:t>and</w:t>
      </w:r>
      <w:r>
        <w:t xml:space="preserve"> </w:t>
      </w:r>
      <w:r>
        <w:t>Ehd3</w:t>
      </w:r>
      <w:r>
        <w:t xml:space="preserve"> </w:t>
      </w:r>
      <w:r>
        <w:t>, which further reduces the expression of florigen genes</w:t>
      </w:r>
      <w:r>
        <w:t xml:space="preserve"> </w:t>
      </w:r>
      <w:r>
        <w:t>Hd3a</w:t>
      </w:r>
      <w:r>
        <w:t xml:space="preserve"> </w:t>
      </w:r>
      <w:r>
        <w:t>and</w:t>
      </w:r>
      <w:r>
        <w:t xml:space="preserve"> </w:t>
      </w:r>
      <w:r>
        <w:t>RFT1</w:t>
      </w:r>
      <w:r>
        <w:t xml:space="preserve"> </w:t>
      </w:r>
      <w:r>
        <w:t>, leading to delayed flowering time. Mutations of</w:t>
      </w:r>
      <w:r>
        <w:t xml:space="preserve"> </w:t>
      </w:r>
      <w:r>
        <w:t>OsFKF1</w:t>
      </w:r>
      <w:r>
        <w:t xml:space="preserve"> </w:t>
      </w:r>
      <w:r>
        <w:t>also affect the agronomic traits and enhance grain yield. These findings reveal the molecular mechanisms of OsFKF1 on regulating flowering time and provide valuable germplasm resources for rice breeding to improve growth period.</w:t>
      </w:r>
    </w:p>
    <w:p>
      <w:pPr>
        <w:spacing w:before="120" w:after="120"/>
      </w:pPr>
      <w:r>
        <w:rPr>
          <w:sz w:val="18"/>
        </w:rPr>
        <w:t>——————————————————————————————————————————————————————————————————————</w:t>
      </w:r>
    </w:p>
    <w:p>
      <w:pPr>
        <w:spacing w:before="160" w:after="40" w:line="240" w:lineRule="auto"/>
      </w:pPr>
      <w:r>
        <w:rPr>
          <w:b/>
        </w:rPr>
        <w:t xml:space="preserve">[345] </w:t>
      </w:r>
      <w:hyperlink r:id="rId897">
        <w:r>
          <w:rPr>
            <w:color w:val="1155CC"/>
            <w:u w:val="single"/>
          </w:rPr>
          <w:t>通过抗坏血酸和 TET 活性控制初始 T 细胞反应性和外周耐受性</w:t>
        </w:r>
      </w:hyperlink>
    </w:p>
    <w:p>
      <w:pPr>
        <w:spacing w:before="0" w:after="80"/>
      </w:pPr>
      <w:r>
        <w:rPr>
          <w:i/>
          <w:sz w:val="20"/>
        </w:rPr>
        <w:t>EN: Control of naive T cell reactivity and peripheral tolerance by ascorbate and TET activity</w:t>
      </w:r>
    </w:p>
    <w:p>
      <w:pPr>
        <w:spacing w:before="0" w:after="120"/>
      </w:pPr>
      <w:r>
        <w:rPr>
          <w:b/>
        </w:rPr>
        <w:t xml:space="preserve">Source: </w:t>
      </w:r>
      <w:r>
        <w:t>AAAS: Science Advances: Table of Contents</w:t>
      </w:r>
      <w:r>
        <w:t xml:space="preserve">    </w:t>
      </w:r>
      <w:r>
        <w:rPr>
          <w:b/>
        </w:rPr>
        <w:t xml:space="preserve">Pub date: </w:t>
      </w:r>
      <w:r>
        <w:t>2026-06-17 07:00:00+00:00</w:t>
      </w:r>
      <w:r>
        <w:t xml:space="preserve">    </w:t>
      </w:r>
      <w:r>
        <w:rPr>
          <w:b/>
        </w:rPr>
        <w:t xml:space="preserve">DOI: </w:t>
      </w:r>
      <w:hyperlink r:id="rId898">
        <w:r>
          <w:rPr>
            <w:color w:val="1155CC"/>
            <w:u w:val="single"/>
          </w:rPr>
          <w:t>10.1126/sciadv.aeh1439</w:t>
        </w:r>
      </w:hyperlink>
    </w:p>
    <w:p>
      <w:pPr>
        <w:spacing w:before="0" w:after="120"/>
      </w:pPr>
      <w:r>
        <w:rPr>
          <w:b/>
        </w:rPr>
        <w:t xml:space="preserve">Notes: </w:t>
      </w:r>
      <w:r>
        <w:t>abstract_source=crossref</w:t>
      </w:r>
    </w:p>
    <w:p>
      <w:pPr>
        <w:spacing w:before="0" w:after="80" w:lineRule="auto" w:line="276"/>
      </w:pPr>
      <w:r>
        <w:rPr>
          <w:b/>
        </w:rPr>
        <w:t xml:space="preserve">摘要（ZH）: </w:t>
      </w:r>
      <w:r>
        <w:t>外周耐受取决于限制传统 T 细胞对自身抗原的反应。为了确定营养因素和相关表观遗传调控的贡献，我们进行了体内 CRISPR 筛选，并确定抗坏血酸转运蛋白 Slc23a2 作为初始 T 细胞 (Tn) 反应性的关键调节因子。 T 细胞特异性丧失</w:t>
      </w:r>
      <w:r>
        <w:t xml:space="preserve"> </w:t>
      </w:r>
      <w:r>
        <w:t>SLC23A2</w:t>
      </w:r>
      <w:r>
        <w:t xml:space="preserve"> </w:t>
      </w:r>
      <w:r>
        <w:t>减少细胞内抗坏血酸，诱导区域 DNA 高甲基化，增强 Tn 细胞分化为效应细胞和记忆细胞群，并促进低度自身免疫炎症。这些表型反映了抗坏血酸剥夺引起的表型，</w:t>
      </w:r>
      <w:r>
        <w:t xml:space="preserve"> </w:t>
      </w:r>
      <w:r>
        <w:t>TET</w:t>
      </w:r>
      <w:r>
        <w:t xml:space="preserve"> </w:t>
      </w:r>
      <w:r>
        <w:t>双加氧酶缺乏和衰老。从机制上讲，Slc23a2 通过抗坏血酸维持 TET 酶活性，抑制近端 TCR 信号传导，抑制辅助 T 细胞谱系程序，并维持 Tn 细胞中的 Tcf1 表达和染色质结合。删除</w:t>
      </w:r>
      <w:r>
        <w:t xml:space="preserve"> </w:t>
      </w:r>
      <w:r>
        <w:t>TCF7</w:t>
      </w:r>
      <w:r>
        <w:t xml:space="preserve"> </w:t>
      </w:r>
      <w:r>
        <w:t>部分表型</w:t>
      </w:r>
      <w:r>
        <w:t xml:space="preserve"> </w:t>
      </w:r>
      <w:r>
        <w:t>SLC23A2</w:t>
      </w:r>
      <w:r>
        <w:t xml:space="preserve"> </w:t>
      </w:r>
      <w:r>
        <w:t>缺乏，而 Tcf1 过度表达可以减轻影响。总之，这些发现将抗坏血酸和 TET 依赖性 DNA 去甲基化确定为一个检查点，可抑制 Tn 细胞对自身抗原的反应性，从而维持外周耐受性，这一过程会因衰老而受到损害。</w:t>
      </w:r>
    </w:p>
    <w:p>
      <w:pPr>
        <w:spacing w:before="0" w:after="200" w:lineRule="auto" w:line="276"/>
      </w:pPr>
      <w:r>
        <w:rPr>
          <w:b/>
        </w:rPr>
        <w:t xml:space="preserve">Abstract (EN): </w:t>
      </w:r>
      <w:r>
        <w:t>Peripheral tolerance depends on limiting conventional T cell responses to self-antigens. To define the contribution of nutritional factors and related epigenetic regulation, we perform in vivo CRISPR screening and identify the ascorbate transporter Slc23a2 as a key regulator of naive T cell (Tn) reactivity. T cell–specific loss of</w:t>
      </w:r>
      <w:r>
        <w:t xml:space="preserve"> </w:t>
      </w:r>
      <w:r>
        <w:t>Slc23a2</w:t>
      </w:r>
      <w:r>
        <w:t xml:space="preserve"> </w:t>
      </w:r>
      <w:r>
        <w:t>reduces intracellular ascorbate, induces regional DNA hypermethylation, enhances differentiation of Tn cells into effector and memory populations, and promotes low-grade autoimmune inflammation. These phenotypes mirror those caused by ascorbate deprivation,</w:t>
      </w:r>
      <w:r>
        <w:t xml:space="preserve"> </w:t>
      </w:r>
      <w:r>
        <w:t>TET</w:t>
      </w:r>
      <w:r>
        <w:t xml:space="preserve"> </w:t>
      </w:r>
      <w:r>
        <w:t>dioxygenase deficiency, and aging. Mechanistically, Slc23a2 maintains TET enzymatic activity through ascorbate, dampens proximal TCR signaling, represses helper T cell lineage programs, and sustains Tcf1 expression and chromatin binding in Tn cells. Deletion of</w:t>
      </w:r>
      <w:r>
        <w:t xml:space="preserve"> </w:t>
      </w:r>
      <w:r>
        <w:t>Tcf7</w:t>
      </w:r>
      <w:r>
        <w:t xml:space="preserve"> </w:t>
      </w:r>
      <w:r>
        <w:t>partially phenocopies</w:t>
      </w:r>
      <w:r>
        <w:t xml:space="preserve"> </w:t>
      </w:r>
      <w:r>
        <w:t>Slc23a2</w:t>
      </w:r>
      <w:r>
        <w:t xml:space="preserve"> </w:t>
      </w:r>
      <w:r>
        <w:t>deficiency, whereas Tcf1 overexpression mitigates the effects. Together, these findings identify ascorbate and TET-dependent DNA demethylation as a checkpoint that restrains Tn cell reactivity to self-antigens, thereby maintaining peripheral tolerance, a process compromised with aging.</w:t>
      </w:r>
    </w:p>
    <w:p>
      <w:pPr>
        <w:spacing w:before="120" w:after="120"/>
      </w:pPr>
      <w:r>
        <w:rPr>
          <w:sz w:val="18"/>
        </w:rPr>
        <w:t>——————————————————————————————————————————————————————————————————————</w:t>
      </w:r>
    </w:p>
    <w:p>
      <w:pPr>
        <w:spacing w:before="160" w:after="40" w:line="240" w:lineRule="auto"/>
      </w:pPr>
      <w:r>
        <w:rPr>
          <w:b/>
        </w:rPr>
        <w:t xml:space="preserve">[346] </w:t>
      </w:r>
      <w:hyperlink r:id="rId899">
        <w:r>
          <w:rPr>
            <w:color w:val="1155CC"/>
            <w:u w:val="single"/>
          </w:rPr>
          <w:t>Pyrodictium abyssi AbpX揭示了形成热稳定水凝胶的钙响应微生物生物基质蛋白家族</w:t>
        </w:r>
      </w:hyperlink>
    </w:p>
    <w:p>
      <w:pPr>
        <w:spacing w:before="0" w:after="80"/>
      </w:pPr>
      <w:r>
        <w:rPr>
          <w:i/>
          <w:sz w:val="20"/>
        </w:rPr>
        <w:t>EN: Pyrodictium abyssi AbpX reveals a calcium-responsive family of microbial biomatrix proteins that form thermostable hydrogels</w:t>
      </w:r>
    </w:p>
    <w:p>
      <w:pPr>
        <w:spacing w:before="0" w:after="120"/>
      </w:pPr>
      <w:r>
        <w:rPr>
          <w:b/>
        </w:rPr>
        <w:t xml:space="preserve">Source: </w:t>
      </w:r>
      <w:r>
        <w:t>Proceedings of the National Academy of Sciences: Keyword search for query</w:t>
      </w:r>
      <w:r>
        <w:t xml:space="preserve">    </w:t>
      </w:r>
      <w:r>
        <w:rPr>
          <w:b/>
        </w:rPr>
        <w:t xml:space="preserve">Pub date: </w:t>
      </w:r>
      <w:r>
        <w:t>2026-06-17 07:00:00+00:00</w:t>
      </w:r>
      <w:r>
        <w:t xml:space="preserve">    </w:t>
      </w:r>
      <w:r>
        <w:rPr>
          <w:b/>
        </w:rPr>
        <w:t xml:space="preserve">DOI: </w:t>
      </w:r>
      <w:hyperlink r:id="rId900">
        <w:r>
          <w:rPr>
            <w:color w:val="1155CC"/>
            <w:u w:val="single"/>
          </w:rPr>
          <w:t>10.1073/pnas.2600204123</w:t>
        </w:r>
      </w:hyperlink>
    </w:p>
    <w:p>
      <w:pPr>
        <w:spacing w:before="0" w:after="120"/>
      </w:pPr>
      <w:r>
        <w:rPr>
          <w:b/>
        </w:rPr>
        <w:t xml:space="preserve">Notes: </w:t>
      </w:r>
      <w:r>
        <w:t>abstract_source=crossref</w:t>
      </w:r>
    </w:p>
    <w:p>
      <w:pPr>
        <w:spacing w:before="0" w:after="80" w:lineRule="auto" w:line="276"/>
      </w:pPr>
      <w:r>
        <w:rPr>
          <w:b/>
        </w:rPr>
        <w:t xml:space="preserve">摘要（ZH）: </w:t>
      </w:r>
      <w:r>
        <w:t>在极端环境条件下繁殖的微生物群落的进化压力通常会导致独特的结构适应，以促进细胞存活。在这里，我们报告了对 AbpX 的一项研究，这是一种在超嗜热古菌培养物中发现的生物基质蛋白</w:t>
      </w:r>
      <w:r>
        <w:t xml:space="preserve"> </w:t>
      </w:r>
      <w:r>
        <w:t>深渊火盘菌</w:t>
      </w:r>
      <w:r>
        <w:t xml:space="preserve"> </w:t>
      </w:r>
      <w:r>
        <w:t>。在离体和体外条件下，AbpX 组装成由半柔性原纤维组成的旁晶晶格。重组 AbpX 原纤维的冷冻电镜分析表明，前体蛋白通过供体链互补 (DSC) 聚合，这是先前报道的革兰氏阴性细菌中伴侣引导菌毛的过程。与后者的 DSC 蛋白质聚合物不同，AbpX 在钙离子存在下进行无伴侣聚合，钙离子被隔离在原纤维中原聚体之间的供体链-受体沟界面处。结合冷冻电镜和晶体学信息，提出了 AbpX 晶格的结构模型，可深入了解其在生物膜形成中的潜在作用。这些发现表明，钙离子配位可能有助于原纤维组装和预组织原纤维以掺入蛋白质晶格中。生物信息分析表明，AbpX 体现了 TasA 超家族中钙离子响应生物基质蛋白的独特且广泛分布的分支，可以在环境友好的条件下在体外制造成水凝胶生物材料。</w:t>
      </w:r>
    </w:p>
    <w:p>
      <w:pPr>
        <w:spacing w:before="0" w:after="200" w:lineRule="auto" w:line="276"/>
      </w:pPr>
      <w:r>
        <w:rPr>
          <w:b/>
        </w:rPr>
        <w:t xml:space="preserve">Abstract (EN): </w:t>
      </w:r>
      <w:r>
        <w:t>Evolutionary pressure on microbial communities propagating under extreme environmental conditions often results in unique structural adaptations to promote cell survival. Here, we report an investigation of AbpX, a biomatrix protein identified in cultures of the hyperthermophilic archaeon</w:t>
      </w:r>
      <w:r>
        <w:t xml:space="preserve"> </w:t>
      </w:r>
      <w:r>
        <w:t>Pyrodictium abyssi</w:t>
      </w:r>
      <w:r>
        <w:t xml:space="preserve"> </w:t>
      </w:r>
      <w:r>
        <w:t>. Under ex vivo and in vitro conditions, AbpX assembles into a paracrystalline lattice composed of semiflexible fibrils. CryoEM analysis of recombinant AbpX fibrils reveals that the precursor protein polymerizes through donor strand complementation (DSC), a process previously reported for chaperone-usher fimbriae in Gram-negative bacteria. Unlike the latter DSC protein polymers, AbpX undergoes chaperone-free polymerization in the presence of calcium ions, which are sequestered at the donor strand-acceptor groove interface between protomers in the fibril. Using a combination of cryoEM and crystallographic information, a structural model is proposed for the AbpX lattice that provides insight into its potential role in biofilm formation. These findings suggest that calcium ion coordination may contribute to fibril assembly and preorganize fibrils for incorporation into the protein lattice. Bioinformatic analysis indicates that AbpX exemplifies a distinct and broadly distributed clade of calcium ion responsive biomatrix proteins within the TasA superfamily that can be fabricated into hydrogel biomaterials in vitro under environmentally benign conditions.</w:t>
      </w:r>
    </w:p>
    <w:p>
      <w:pPr>
        <w:spacing w:before="120" w:after="120"/>
      </w:pPr>
      <w:r>
        <w:rPr>
          <w:sz w:val="18"/>
        </w:rPr>
        <w:t>——————————————————————————————————————————————————————————————————————</w:t>
      </w:r>
    </w:p>
    <w:p>
      <w:pPr>
        <w:spacing w:before="160" w:after="40" w:line="240" w:lineRule="auto"/>
      </w:pPr>
      <w:r>
        <w:rPr>
          <w:b/>
        </w:rPr>
        <w:t xml:space="preserve">[347] </w:t>
      </w:r>
      <w:hyperlink r:id="rId901">
        <w:r>
          <w:rPr>
            <w:color w:val="1155CC"/>
            <w:u w:val="single"/>
          </w:rPr>
          <w:t>化学合成中的打破规则</w:t>
        </w:r>
      </w:hyperlink>
    </w:p>
    <w:p>
      <w:pPr>
        <w:spacing w:before="0" w:after="80"/>
      </w:pPr>
      <w:r>
        <w:rPr>
          <w:i/>
          <w:sz w:val="20"/>
        </w:rPr>
        <w:t>EN: Rule-breaking in chemical synthesis</w:t>
      </w:r>
    </w:p>
    <w:p>
      <w:pPr>
        <w:spacing w:before="0" w:after="120"/>
      </w:pPr>
      <w:r>
        <w:rPr>
          <w:b/>
        </w:rPr>
        <w:t xml:space="preserve">Source: </w:t>
      </w:r>
      <w:r>
        <w:t>AAAS: Science Advances: Table of Contents</w:t>
      </w:r>
      <w:r>
        <w:t xml:space="preserve">    </w:t>
      </w:r>
      <w:r>
        <w:rPr>
          <w:b/>
        </w:rPr>
        <w:t xml:space="preserve">Pub date: </w:t>
      </w:r>
      <w:r>
        <w:t>2026-06-17 07:00:00+00:00</w:t>
      </w:r>
      <w:r>
        <w:t xml:space="preserve">    </w:t>
      </w:r>
      <w:r>
        <w:rPr>
          <w:b/>
        </w:rPr>
        <w:t xml:space="preserve">DOI: </w:t>
      </w:r>
      <w:hyperlink r:id="rId902">
        <w:r>
          <w:rPr>
            <w:color w:val="1155CC"/>
            <w:u w:val="single"/>
          </w:rPr>
          <w:t>10.1126/sciadv.aeg7124</w:t>
        </w:r>
      </w:hyperlink>
    </w:p>
    <w:p>
      <w:pPr>
        <w:spacing w:before="0" w:after="120"/>
      </w:pPr>
      <w:r>
        <w:rPr>
          <w:b/>
        </w:rPr>
        <w:t xml:space="preserve">Notes: </w:t>
      </w:r>
      <w:r>
        <w:t>abstract_source=crossref</w:t>
      </w:r>
    </w:p>
    <w:p>
      <w:pPr>
        <w:spacing w:before="0" w:after="80" w:lineRule="auto" w:line="276"/>
      </w:pPr>
      <w:r>
        <w:rPr>
          <w:b/>
        </w:rPr>
        <w:t xml:space="preserve">摘要（ZH）: </w:t>
      </w:r>
      <w:r>
        <w:t>挑战百年的结构、键合和反应性规则使得能够发现涉及酰胺和反布雷特烯烃的新合成化学。</w:t>
      </w:r>
    </w:p>
    <w:p>
      <w:pPr>
        <w:spacing w:before="0" w:after="200" w:lineRule="auto" w:line="276"/>
      </w:pPr>
      <w:r>
        <w:rPr>
          <w:b/>
        </w:rPr>
        <w:t xml:space="preserve">Abstract (EN): </w:t>
      </w:r>
      <w:r>
        <w:t>Challenging century-old rules of structure, bonding, and reactivity enables the discovery of new synthetic chemistry involving amides and anti-Bredt olefins.</w:t>
      </w:r>
    </w:p>
    <w:p>
      <w:pPr>
        <w:spacing w:before="120" w:after="120"/>
      </w:pPr>
      <w:r>
        <w:rPr>
          <w:sz w:val="18"/>
        </w:rPr>
        <w:t>——————————————————————————————————————————————————————————————————————</w:t>
      </w:r>
    </w:p>
    <w:p>
      <w:pPr>
        <w:spacing w:before="160" w:after="40" w:line="240" w:lineRule="auto"/>
      </w:pPr>
      <w:r>
        <w:rPr>
          <w:b/>
        </w:rPr>
        <w:t xml:space="preserve">[348] </w:t>
      </w:r>
      <w:hyperlink r:id="rId903">
        <w:r>
          <w:rPr>
            <w:color w:val="1155CC"/>
            <w:u w:val="single"/>
          </w:rPr>
          <w:t>压电仿生递送纳米系统通过并行 PANoptosis/STING 激活肝细胞癌将冷肿瘤转变为热肿瘤</w:t>
        </w:r>
      </w:hyperlink>
    </w:p>
    <w:p>
      <w:pPr>
        <w:spacing w:before="0" w:after="80"/>
      </w:pPr>
      <w:r>
        <w:rPr>
          <w:i/>
          <w:sz w:val="20"/>
        </w:rPr>
        <w:t>EN: Piezobiomimetic delivery nanosystem converts cold tumors to hot by parallel PANoptosis/STING activation in hepatocellular carcinoma</w:t>
      </w:r>
    </w:p>
    <w:p>
      <w:pPr>
        <w:spacing w:before="0" w:after="120"/>
      </w:pPr>
      <w:r>
        <w:rPr>
          <w:b/>
        </w:rPr>
        <w:t xml:space="preserve">Source: </w:t>
      </w:r>
      <w:r>
        <w:t>AAAS: Science Advances: Table of Contents</w:t>
      </w:r>
      <w:r>
        <w:t xml:space="preserve">    </w:t>
      </w:r>
      <w:r>
        <w:rPr>
          <w:b/>
        </w:rPr>
        <w:t xml:space="preserve">Pub date: </w:t>
      </w:r>
      <w:r>
        <w:t>2026-06-17 07:00:00+00:00</w:t>
      </w:r>
      <w:r>
        <w:t xml:space="preserve">    </w:t>
      </w:r>
      <w:r>
        <w:rPr>
          <w:b/>
        </w:rPr>
        <w:t xml:space="preserve">DOI: </w:t>
      </w:r>
      <w:hyperlink r:id="rId904">
        <w:r>
          <w:rPr>
            <w:color w:val="1155CC"/>
            <w:u w:val="single"/>
          </w:rPr>
          <w:t>10.1126/sciadv.aea6844</w:t>
        </w:r>
      </w:hyperlink>
    </w:p>
    <w:p>
      <w:pPr>
        <w:spacing w:before="0" w:after="120"/>
      </w:pPr>
      <w:r>
        <w:rPr>
          <w:b/>
        </w:rPr>
        <w:t xml:space="preserve">Notes: </w:t>
      </w:r>
      <w:r>
        <w:t>abstract_source=crossref</w:t>
      </w:r>
    </w:p>
    <w:p>
      <w:pPr>
        <w:spacing w:before="0" w:after="80" w:lineRule="auto" w:line="276"/>
      </w:pPr>
      <w:r>
        <w:rPr>
          <w:b/>
        </w:rPr>
        <w:t xml:space="preserve">摘要（ZH）: </w:t>
      </w:r>
      <w:r>
        <w:t>肝细胞癌（HCC）对于将冷肿瘤转变为热肿瘤的治疗效果仍然是一个挑战。在此，掺杂缺陷设计的锰钙钛矿压电纳米立方体（Mn-BaZrO</w:t>
      </w:r>
      <w:r>
        <w:rPr>
          <w:vertAlign w:val="subscript"/>
        </w:rPr>
        <w:t>3</w:t>
      </w:r>
      <w:r>
        <w:t>，MBZO）在肿瘤来源的纳米囊泡内集成米替隆仿生递送，被提议用于并行焦亡-细胞凋亡-坏死性凋亡（PANoptosis）和干扰素基因刺激剂（STING）途径激活，以重塑免疫微环境，从而导致 HCC 中的肿瘤消退。 MBZO 纳米立方体同样靶向 HCC 细胞，通过压电催化效应积累并产生外源活性氧。具体来说，米替隆加速了氧化应激放大，可能作为肝癌细胞程序性死亡的诱导剂。然后，PANoptosis 被激活，破坏细胞屏障并释放与损伤相关的分子模式，从而促进免疫原性。同时，MBZO 协同刺激 STING 通路，引发促炎反应并引发免疫原性细胞死亡，触发效应免疫细胞部署 (EICD)。压电仿生递送纳米系统连接了先天免疫激活和EICD，将冷肿瘤转化为热肿瘤并抑制肿瘤生长，从而增强压电免疫疗法在HCC中的疗效。</w:t>
      </w:r>
    </w:p>
    <w:p>
      <w:pPr>
        <w:spacing w:before="0" w:after="200" w:lineRule="auto" w:line="276"/>
      </w:pPr>
      <w:r>
        <w:rPr>
          <w:b/>
        </w:rPr>
        <w:t xml:space="preserve">Abstract (EN): </w:t>
      </w:r>
      <w:r>
        <w:t>Hepatocellular carcinoma (HCC) remains a challenge for therapeutic efficacy in converting cold tumors into hot ones. Herein, doping defect–engineered manganese perovskite piezoelectric nanocubes (Mn-BaZrO</w:t>
      </w:r>
      <w:r>
        <w:rPr>
          <w:vertAlign w:val="subscript"/>
        </w:rPr>
        <w:t>3</w:t>
      </w:r>
      <w:r>
        <w:t>, MBZO) integrated miltirone biomimetic delivery within tumor-derived nanovesicles are proposed for the parallel pyroptosis-apoptosis-necroptosis (PANoptosis) and the stimulator of interferon genes (STING) pathway activation to reshape the immune microenvironment, leading to tumor regression in HCC. Homologously targeting HCC cells, MBZO nanocubes accumulated and produced exogenous reactive oxygen species through the piezocatalytic effect. Specifically, miltirone accelerated oxidative stress amplification, potentially serving as an inducer of programmed cell death in HCC. Then, PANoptosis was activated to disrupt the cell barrier and release damage-associated molecular patterns, promoting immunogenicity. Concurrently, MBZO synergistically stimulated the STING pathway to evoke pro-inflammatory responses and elicit immunogenic cell death, triggering effector immune cell deployment (EICD). The piezobiomimetic delivery nanosystem bridged innate immunity activation and EICD to convert cold tumors into hot tumors and suppress tumor growth, thereby enhancing the efficacy of piezoimmunotherapy in HCC.</w:t>
      </w:r>
    </w:p>
    <w:p>
      <w:pPr>
        <w:spacing w:before="120" w:after="120"/>
      </w:pPr>
      <w:r>
        <w:rPr>
          <w:sz w:val="18"/>
        </w:rPr>
        <w:t>——————————————————————————————————————————————————————————————————————</w:t>
      </w:r>
    </w:p>
    <w:p>
      <w:pPr>
        <w:spacing w:before="160" w:after="40" w:line="240" w:lineRule="auto"/>
      </w:pPr>
      <w:r>
        <w:rPr>
          <w:b/>
        </w:rPr>
        <w:t xml:space="preserve">[349] </w:t>
      </w:r>
      <w:hyperlink r:id="rId905">
        <w:r>
          <w:rPr>
            <w:color w:val="1155CC"/>
            <w:u w:val="single"/>
          </w:rPr>
          <w:t>保守的框内终止密码子在甲病毒中充当多能防御机制</w:t>
        </w:r>
      </w:hyperlink>
    </w:p>
    <w:p>
      <w:pPr>
        <w:spacing w:before="0" w:after="80"/>
      </w:pPr>
      <w:r>
        <w:rPr>
          <w:i/>
          <w:sz w:val="20"/>
        </w:rPr>
        <w:t>EN: A conserved in-frame stop codon acts as a multipotent defense mechanism in alphaviruses</w:t>
      </w:r>
    </w:p>
    <w:p>
      <w:pPr>
        <w:spacing w:before="0" w:after="120"/>
      </w:pPr>
      <w:r>
        <w:rPr>
          <w:b/>
        </w:rPr>
        <w:t xml:space="preserve">Source: </w:t>
      </w:r>
      <w:r>
        <w:t>AAAS: Science Advances: Table of Contents</w:t>
      </w:r>
      <w:r>
        <w:t xml:space="preserve">    </w:t>
      </w:r>
      <w:r>
        <w:rPr>
          <w:b/>
        </w:rPr>
        <w:t xml:space="preserve">Pub date: </w:t>
      </w:r>
      <w:r>
        <w:t>2026-06-17 07:00:00+00:00</w:t>
      </w:r>
      <w:r>
        <w:t xml:space="preserve">    </w:t>
      </w:r>
      <w:r>
        <w:rPr>
          <w:b/>
        </w:rPr>
        <w:t xml:space="preserve">DOI: </w:t>
      </w:r>
      <w:hyperlink r:id="rId906">
        <w:r>
          <w:rPr>
            <w:color w:val="1155CC"/>
            <w:u w:val="single"/>
          </w:rPr>
          <w:t>10.1126/sciadv.aee6015</w:t>
        </w:r>
      </w:hyperlink>
    </w:p>
    <w:p>
      <w:pPr>
        <w:spacing w:before="0" w:after="120"/>
      </w:pPr>
      <w:r>
        <w:rPr>
          <w:b/>
        </w:rPr>
        <w:t xml:space="preserve">Notes: </w:t>
      </w:r>
      <w:r>
        <w:t>abstract_source=crossref</w:t>
      </w:r>
    </w:p>
    <w:p>
      <w:pPr>
        <w:spacing w:before="0" w:after="80" w:lineRule="auto" w:line="276"/>
      </w:pPr>
      <w:r>
        <w:rPr>
          <w:b/>
        </w:rPr>
        <w:t xml:space="preserve">摘要（ZH）: </w:t>
      </w:r>
      <w:r>
        <w:t>大多数甲病毒都维持一个框内蛋白石终止密码子，该密码子会中断脊椎动物和昆虫宿主中 nsP3 和 nsP4 之间的非结构多蛋白 (nsP) ORF。我们证明 nsP3 蛋白石终止密码子赋予 Sindbis 病毒 (SINV) 在 RNAi 能力中的复制优势</w:t>
      </w:r>
      <w:r>
        <w:t xml:space="preserve"> </w:t>
      </w:r>
      <w:r>
        <w:t>伊蚊</w:t>
      </w:r>
      <w:r>
        <w:t xml:space="preserve"> </w:t>
      </w:r>
      <w:r>
        <w:t>细胞和蚊子中，但不在 RNAi 缺陷细胞或蚊子中。蛋白石终止密码子的突变会延迟病毒 nsP 多蛋白的加工，破坏病毒复制球的完整性，并使病毒 RNA 容易受到 Dicer 2 裂解的影响，从而导致针对 SINV 的抗病毒 siRNA 反应更高。同样，蛋白石密码子突变引起的这些缺陷会增加病毒 RNA 检测并增强脊椎动物细胞中的免疫信号传导。因此，甲病毒中的单个终止密码子介导多能病毒策略，以逃避不同宿主的先天免疫防御。</w:t>
      </w:r>
    </w:p>
    <w:p>
      <w:pPr>
        <w:spacing w:before="0" w:after="200" w:lineRule="auto" w:line="276"/>
      </w:pPr>
      <w:r>
        <w:rPr>
          <w:b/>
        </w:rPr>
        <w:t xml:space="preserve">Abstract (EN): </w:t>
      </w:r>
      <w:r>
        <w:t>Most alphaviruses maintain an in-frame opal stop codon that interrupts their nonstructural polyprotein (nsP) ORF between nsP3 and nsP4 in both vertebrate and insect hosts. We show that the nsP3 opal stop codon confers a replicative advantage to Sindbis virus (SINV) in RNAi-competent</w:t>
      </w:r>
      <w:r>
        <w:t xml:space="preserve"> </w:t>
      </w:r>
      <w:r>
        <w:t>Aedes</w:t>
      </w:r>
      <w:r>
        <w:t xml:space="preserve"> </w:t>
      </w:r>
      <w:r>
        <w:t>cells and mosquitoes but not in RNAi-deficient cells or mosquitoes. Mutation of the opal stop codon delays processing of the viral nsP polyprotein, disrupts viral replication spherule integrity, and renders viral RNA susceptible to Dicer 2 cleavage, resulting in higher antiviral siRNA responses against SINV. Similarly, these defects caused by opal codon mutations lead to increased viral RNA detection and enhanced immune signaling in vertebrate cells. Thus, a single stop codon in alphaviruses mediates a multipotent viral strategy to evade innate immune defenses across diverse hosts.</w:t>
      </w:r>
    </w:p>
    <w:p>
      <w:pPr>
        <w:spacing w:before="120" w:after="120"/>
      </w:pPr>
      <w:r>
        <w:rPr>
          <w:sz w:val="18"/>
        </w:rPr>
        <w:t>——————————————————————————————————————————————————————————————————————</w:t>
      </w:r>
    </w:p>
    <w:p>
      <w:pPr>
        <w:spacing w:before="160" w:after="40" w:line="240" w:lineRule="auto"/>
      </w:pPr>
      <w:r>
        <w:rPr>
          <w:b/>
        </w:rPr>
        <w:t xml:space="preserve">[350] </w:t>
      </w:r>
      <w:hyperlink r:id="rId907">
        <w:r>
          <w:rPr>
            <w:color w:val="1155CC"/>
            <w:u w:val="single"/>
          </w:rPr>
          <w:t>热浪导致美国西部野火活动加剧</w:t>
        </w:r>
      </w:hyperlink>
    </w:p>
    <w:p>
      <w:pPr>
        <w:spacing w:before="0" w:after="80"/>
      </w:pPr>
      <w:r>
        <w:rPr>
          <w:i/>
          <w:sz w:val="20"/>
        </w:rPr>
        <w:t>EN: Heatwaves enable wildfire activity in the western United States</w:t>
      </w:r>
    </w:p>
    <w:p>
      <w:pPr>
        <w:spacing w:before="0" w:after="120"/>
      </w:pPr>
      <w:r>
        <w:rPr>
          <w:b/>
        </w:rPr>
        <w:t xml:space="preserve">Source: </w:t>
      </w:r>
      <w:r>
        <w:t>AAAS: Science Advances: Table of Contents</w:t>
      </w:r>
      <w:r>
        <w:t xml:space="preserve">    </w:t>
      </w:r>
      <w:r>
        <w:rPr>
          <w:b/>
        </w:rPr>
        <w:t xml:space="preserve">Pub date: </w:t>
      </w:r>
      <w:r>
        <w:t>2026-06-17 07:00:00+00:00</w:t>
      </w:r>
      <w:r>
        <w:t xml:space="preserve">    </w:t>
      </w:r>
      <w:r>
        <w:rPr>
          <w:b/>
        </w:rPr>
        <w:t xml:space="preserve">DOI: </w:t>
      </w:r>
      <w:hyperlink r:id="rId908">
        <w:r>
          <w:rPr>
            <w:color w:val="1155CC"/>
            <w:u w:val="single"/>
          </w:rPr>
          <w:t>10.1126/sciadv.aea1277</w:t>
        </w:r>
      </w:hyperlink>
    </w:p>
    <w:p>
      <w:pPr>
        <w:spacing w:before="0" w:after="120"/>
      </w:pPr>
      <w:r>
        <w:rPr>
          <w:b/>
        </w:rPr>
        <w:t xml:space="preserve">Notes: </w:t>
      </w:r>
      <w:r>
        <w:t>abstract_source=crossref</w:t>
      </w:r>
    </w:p>
    <w:p>
      <w:pPr>
        <w:spacing w:before="0" w:after="80" w:lineRule="auto" w:line="276"/>
      </w:pPr>
      <w:r>
        <w:rPr>
          <w:b/>
        </w:rPr>
        <w:t xml:space="preserve">摘要（ZH）: </w:t>
      </w:r>
      <w:r>
        <w:t>尽管热浪的总体影响已得到广泛研究，但热浪与野火活动之间的联系仍然相对未得到充分研究。我们分析了热浪与美国西部 (WUS) 野火发生和增长之间的联系，发现 2001 年至 2024 年期间，42% 的烧毁面积发生在热浪期间和热浪之后。热浪通过气象和燃料可燃性条件促进每日燃烧面积显着增加，从而促进新的点火并加剧正在进行的火灾活动，在大多数地区热浪过后影响持续存在。此外，热浪与云对地闪电的增加同时发生，这可能会增加火灾的发生。最后，我们观察到自 2001 年以来 WUS 森林烧毁面积增加了 2.5 倍，其中约 64% 的增加与热浪同时发生，但非森林没有相应增加。热浪对西澳大利亚州森林烧毁面积的影响越来越大，这对火灾管理和公共卫生具有重要影响，并且可以改善对野火风险的预测。</w:t>
      </w:r>
    </w:p>
    <w:p>
      <w:pPr>
        <w:spacing w:before="0" w:after="200" w:lineRule="auto" w:line="276"/>
      </w:pPr>
      <w:r>
        <w:rPr>
          <w:b/>
        </w:rPr>
        <w:t xml:space="preserve">Abstract (EN): </w:t>
      </w:r>
      <w:r>
        <w:t>While overall impacts of heatwaves have been extensively studied, the connection between heatwaves and wildfire activity remains relatively underexplored. We analyze links between heatwaves and both wildfire occurrence and growth across the western United States (WUS) and find that 42% of burned area during 2001–2024 occurred during and immediately following heatwaves. Heatwaves facilitate significant increases in daily burned area through meteorological and fuel flammability conditions that promote new ignitions and exacerbate ongoing fire activity, with effects persisting post-heatwave in most regions. In addition, heatwaves co-occur with increased cloud-to-ground lightning that can potentially increase ignitions. Last, we observe a 2.5-fold increase in burned area in WUS forests since 2001, with ~64% of this increase coinciding with heatwaves, but without corresponding increases in nonforests. The growing influence of heatwaves in shaping burned area in WUS forests has important implications for fire management and public health and can improve predictions of wildfire risk.</w:t>
      </w:r>
    </w:p>
    <w:p>
      <w:pPr>
        <w:spacing w:before="120" w:after="120"/>
      </w:pPr>
      <w:r>
        <w:rPr>
          <w:sz w:val="18"/>
        </w:rPr>
        <w:t>——————————————————————————————————————————————————————————————————————</w:t>
      </w:r>
    </w:p>
    <w:p>
      <w:pPr>
        <w:spacing w:before="160" w:after="40" w:line="240" w:lineRule="auto"/>
      </w:pPr>
      <w:r>
        <w:rPr>
          <w:b/>
        </w:rPr>
        <w:t xml:space="preserve">[351] </w:t>
      </w:r>
      <w:hyperlink r:id="rId909">
        <w:r>
          <w:rPr>
            <w:color w:val="1155CC"/>
            <w:u w:val="single"/>
          </w:rPr>
          <w:t>扩大参与：本科生科学培训项目 20 年成果</w:t>
        </w:r>
      </w:hyperlink>
    </w:p>
    <w:p>
      <w:pPr>
        <w:spacing w:before="0" w:after="80"/>
      </w:pPr>
      <w:r>
        <w:rPr>
          <w:i/>
          <w:sz w:val="20"/>
        </w:rPr>
        <w:t>EN: Broadening participation: 20-year outcomes from undergraduate science training programs</w:t>
      </w:r>
    </w:p>
    <w:p>
      <w:pPr>
        <w:spacing w:before="0" w:after="120"/>
      </w:pPr>
      <w:r>
        <w:rPr>
          <w:b/>
        </w:rPr>
        <w:t xml:space="preserve">Source: </w:t>
      </w:r>
      <w:r>
        <w:t>AAAS: Science Advances: Table of Contents</w:t>
      </w:r>
      <w:r>
        <w:t xml:space="preserve">    </w:t>
      </w:r>
      <w:r>
        <w:rPr>
          <w:b/>
        </w:rPr>
        <w:t xml:space="preserve">Pub date: </w:t>
      </w:r>
      <w:r>
        <w:t>2026-06-17 07:00:00+00:00</w:t>
      </w:r>
      <w:r>
        <w:t xml:space="preserve">    </w:t>
      </w:r>
      <w:r>
        <w:rPr>
          <w:b/>
        </w:rPr>
        <w:t xml:space="preserve">DOI: </w:t>
      </w:r>
      <w:hyperlink r:id="rId910">
        <w:r>
          <w:rPr>
            <w:color w:val="1155CC"/>
            <w:u w:val="single"/>
          </w:rPr>
          <w:t>10.1126/sciadv.aeh0739</w:t>
        </w:r>
      </w:hyperlink>
    </w:p>
    <w:p>
      <w:pPr>
        <w:spacing w:before="0" w:after="120"/>
      </w:pPr>
      <w:r>
        <w:rPr>
          <w:b/>
        </w:rPr>
        <w:t xml:space="preserve">Notes: </w:t>
      </w:r>
      <w:r>
        <w:t>abstract_source=crossref</w:t>
      </w:r>
    </w:p>
    <w:p>
      <w:pPr>
        <w:spacing w:before="0" w:after="80" w:lineRule="auto" w:line="276"/>
      </w:pPr>
      <w:r>
        <w:rPr>
          <w:b/>
        </w:rPr>
        <w:t xml:space="preserve">摘要（ZH）: </w:t>
      </w:r>
      <w:r>
        <w:t>科学在多元化的视角下蓬勃发展，但来自少数种族和族裔群体的女性和科学家在博士级生物医学研究职业中的代表性仍然不足。尽管对培训计划进行了数十年的投资，但其有效性的严格长期证据仍然有限。我们进行了一项为期 20 年的前瞻性、匹配对照纵向研究，以测试参加美国国立卫生研究院的两个本科项目：科学增强研究计划 (RISE) 和少数族裔研究职业机会 (MARC) 是否可以提高博士 (Ph.D.) 的完成率。我们利用 11 项基线特征的倾向得分匹配，对 2005 年至 2025 年的 743 名学生进行了跟踪。参与者获得博士学位的可能性是匹配的同龄人的两倍多，在调整之前的学业成就和职业意图后，效果仍然强劲。这些发现表明，持续的本科生培训计划可以持久扩大生物医学研究队伍的参与度。</w:t>
      </w:r>
    </w:p>
    <w:p>
      <w:pPr>
        <w:spacing w:before="0" w:after="200" w:lineRule="auto" w:line="276"/>
      </w:pPr>
      <w:r>
        <w:rPr>
          <w:b/>
        </w:rPr>
        <w:t xml:space="preserve">Abstract (EN): </w:t>
      </w:r>
      <w:r>
        <w:t>Science thrives on diverse perspectives, yet women and scientists from underrepresented racial and ethnic groups remain underrepresented in doctoral-level biomedical research careers. Despite decades of investment in training initiatives, rigorous long-term evidence of their effectiveness is limited. We conducted a 20-year prospective, matched-control longitudinal study to test whether participation in two National Institutes of Health undergraduate programs, the Research Initiative for Scientific Enhancement (RISE) and Minority Access to Research Careers (MARC), increases doctoral (Ph.D.) completion. Using propensity score matching on 11 baseline characteristics, we followed 743 students from 2005 to 2025. Participants were more than twice as likely as matched peers to earn a Ph.D., with effects remaining robust after adjusting for prior academic achievement and career intentions. These findings demonstrate that sustained undergraduate training programs can durably expand participation in the biomedical research workforce.</w:t>
      </w:r>
    </w:p>
    <w:p>
      <w:pPr>
        <w:spacing w:before="120" w:after="120"/>
      </w:pPr>
      <w:r>
        <w:rPr>
          <w:sz w:val="18"/>
        </w:rPr>
        <w:t>——————————————————————————————————————————————————————————————————————</w:t>
      </w:r>
    </w:p>
    <w:p>
      <w:pPr>
        <w:spacing w:before="160" w:after="40" w:line="240" w:lineRule="auto"/>
      </w:pPr>
      <w:r>
        <w:rPr>
          <w:b/>
        </w:rPr>
        <w:t xml:space="preserve">[352] </w:t>
      </w:r>
      <w:hyperlink r:id="rId911">
        <w:r>
          <w:rPr>
            <w:color w:val="1155CC"/>
            <w:u w:val="single"/>
          </w:rPr>
          <w:t>用于直接将胺转化为酯的可编程双功能黄素酶</w:t>
        </w:r>
      </w:hyperlink>
    </w:p>
    <w:p>
      <w:pPr>
        <w:spacing w:before="0" w:after="80"/>
      </w:pPr>
      <w:r>
        <w:rPr>
          <w:i/>
          <w:sz w:val="20"/>
        </w:rPr>
        <w:t>EN: A programmable bifunctional flavoenzyme for direct amine-to-ester conversion</w:t>
      </w:r>
    </w:p>
    <w:p>
      <w:pPr>
        <w:spacing w:before="0" w:after="120"/>
      </w:pPr>
      <w:r>
        <w:rPr>
          <w:b/>
        </w:rPr>
        <w:t xml:space="preserve">Source: </w:t>
      </w:r>
      <w:r>
        <w:t>AAAS: Science Advances: Table of Contents</w:t>
      </w:r>
      <w:r>
        <w:t xml:space="preserve">    </w:t>
      </w:r>
      <w:r>
        <w:rPr>
          <w:b/>
        </w:rPr>
        <w:t xml:space="preserve">Pub date: </w:t>
      </w:r>
      <w:r>
        <w:t>2026-06-17 07:00:00+00:00</w:t>
      </w:r>
      <w:r>
        <w:t xml:space="preserve">    </w:t>
      </w:r>
      <w:r>
        <w:rPr>
          <w:b/>
        </w:rPr>
        <w:t xml:space="preserve">DOI: </w:t>
      </w:r>
      <w:hyperlink r:id="rId912">
        <w:r>
          <w:rPr>
            <w:color w:val="1155CC"/>
            <w:u w:val="single"/>
          </w:rPr>
          <w:t>10.1126/sciadv.aef2491</w:t>
        </w:r>
      </w:hyperlink>
    </w:p>
    <w:p>
      <w:pPr>
        <w:spacing w:before="0" w:after="120"/>
      </w:pPr>
      <w:r>
        <w:rPr>
          <w:b/>
        </w:rPr>
        <w:t xml:space="preserve">Notes: </w:t>
      </w:r>
      <w:r>
        <w:t>abstract_source=crossref</w:t>
      </w:r>
    </w:p>
    <w:p>
      <w:pPr>
        <w:spacing w:before="0" w:after="80" w:lineRule="auto" w:line="276"/>
      </w:pPr>
      <w:r>
        <w:rPr>
          <w:b/>
        </w:rPr>
        <w:t xml:space="preserve">摘要（ZH）: </w:t>
      </w:r>
      <w:r>
        <w:t>在单个酶活性位点内统一机械上不同的氧化转化是生物催化中长期存在的挑战。特别是，黄素依赖性氧化脱氨和拜尔-维利格氧化在进化和机制上仍然是分离的，这提出了一个基本问题：它们的催化循环是否可以在不相互干扰的情况下连贯地整合。在这里，我们报告了一种双功能祖先黄素酶AncFO-221，它使用面向功能的祖先序列重建策略进行重建，该策略能够在单个活性位点内直接将胺转化为酯。结合实验和计算分析揭示了一个统一的催化框架，其中胺氧化过程中组氨酸辅助的质子和氢化物转移本质上与 C 耦合</w:t>
      </w:r>
      <w:r>
        <w:t xml:space="preserve"> </w:t>
      </w:r>
      <w:r>
        <w:t>4a</w:t>
      </w:r>
      <w:r>
        <w:t xml:space="preserve"> </w:t>
      </w:r>
      <w:r>
        <w:t>-过氧黄素介导的氧插入，建立连续的胺氧化-Baeyer-Villiger氧化（AO-BVO）反应循环，而不是偶然的级联。在这种机制统一的指导下，模块化蛋白质工程产生了一种优化的变体 M15，催化效率提高了约 18 倍，还原副反应几乎完全抑制，内酯产率高达 93%。值得注意的是，该工程酶表现出可编程和非常规的区域选择性，优先在结构多样的胺之间迁移弱迁移基团，从而推翻了经典的Baeyer-Villiger迁移规则。这项研究表明祖先重建梳理</w:t>
      </w:r>
    </w:p>
    <w:p>
      <w:pPr>
        <w:spacing w:before="0" w:after="200" w:lineRule="auto" w:line="276"/>
      </w:pPr>
      <w:r>
        <w:rPr>
          <w:b/>
        </w:rPr>
        <w:t xml:space="preserve">Abstract (EN): </w:t>
      </w:r>
      <w:r>
        <w:t>The unification of mechanistically distinct oxidative transformations within a single enzyme active site represents a long-standing challenge in biocatalysis. In particular, flavin-dependent oxidative deamination and Baeyer-Villiger oxidation have remained evolutionarily and mechanistically segregated, raising fundamental questions as to whether their catalytic cycles can be coherently integrated without mutual interference. Here, we report a bifunctional ancestral flavoenzyme, AncFO-221, reconstructed using a function-oriented ancestral sequence reconstruction strategy, which enables direct amine-to-ester conversion within a single active site. Combined experimental and computational analyses reveal a unified catalytic framework in which histidine-assisted proton and hydride transfer during amine oxidation is intrinsically coupled to C</w:t>
      </w:r>
      <w:r>
        <w:t xml:space="preserve"> </w:t>
      </w:r>
      <w:r>
        <w:t>4a</w:t>
      </w:r>
      <w:r>
        <w:t xml:space="preserve"> </w:t>
      </w:r>
      <w:r>
        <w:t>-peroxyflavin–mediated oxygen insertion, establishing a continuous amine oxidation-Baeyer–Villiger oxidation (AO-BVO) reaction cycle rather than a fortuitous cascade. Guided by this mechanistic unity, modular protein engineering produced an optimized variant, M15, exhibiting an ~18-fold enhancement in catalytic efficiency, near-complete suppression of reductive side reactions, and lactone yields up to 93%. Notably, the engineered enzyme displays programmable and unconventional regioselectivity, preferentially migrating weakly migratory groups across structurally diverse amines, thereby overriding the classical Baeyer-Villiger migratory rule. This study demonstrates that ancestral reconstruction combined with mechanism-guided evolution can merge evolutionarily segregated chemistries into a single, tunable catalytic platform, providing a generalizable blueprint for the design of multistep oxidative biocatalysts.</w:t>
      </w:r>
    </w:p>
    <w:p>
      <w:pPr>
        <w:spacing w:before="120" w:after="120"/>
      </w:pPr>
      <w:r>
        <w:rPr>
          <w:sz w:val="18"/>
        </w:rPr>
        <w:t>——————————————————————————————————————————————————————————————————————</w:t>
      </w:r>
    </w:p>
    <w:p>
      <w:pPr>
        <w:spacing w:before="160" w:after="40" w:line="240" w:lineRule="auto"/>
      </w:pPr>
      <w:r>
        <w:rPr>
          <w:b/>
        </w:rPr>
        <w:t xml:space="preserve">[353] </w:t>
      </w:r>
      <w:hyperlink r:id="rId913">
        <w:r>
          <w:rPr>
            <w:color w:val="1155CC"/>
            <w:u w:val="single"/>
          </w:rPr>
          <w:t>通过协同人工智能和遥感改变全球水循环观测</w:t>
        </w:r>
      </w:hyperlink>
    </w:p>
    <w:p>
      <w:pPr>
        <w:spacing w:before="0" w:after="80"/>
      </w:pPr>
      <w:r>
        <w:rPr>
          <w:i/>
          <w:sz w:val="20"/>
        </w:rPr>
        <w:t>EN: Transforming global water cycle observations via synergistic AI and remote sensing</w:t>
      </w:r>
    </w:p>
    <w:p>
      <w:pPr>
        <w:spacing w:before="0" w:after="120"/>
      </w:pPr>
      <w:r>
        <w:rPr>
          <w:b/>
        </w:rPr>
        <w:t xml:space="preserve">Source: </w:t>
      </w:r>
      <w:r>
        <w:t>AAAS: Science Advances: Table of Contents</w:t>
      </w:r>
      <w:r>
        <w:t xml:space="preserve">    </w:t>
      </w:r>
      <w:r>
        <w:rPr>
          <w:b/>
        </w:rPr>
        <w:t xml:space="preserve">Pub date: </w:t>
      </w:r>
      <w:r>
        <w:t>2026-06-17 07:00:00+00:00</w:t>
      </w:r>
      <w:r>
        <w:t xml:space="preserve">    </w:t>
      </w:r>
      <w:r>
        <w:rPr>
          <w:b/>
        </w:rPr>
        <w:t xml:space="preserve">DOI: </w:t>
      </w:r>
      <w:hyperlink r:id="rId914">
        <w:r>
          <w:rPr>
            <w:color w:val="1155CC"/>
            <w:u w:val="single"/>
          </w:rPr>
          <w:t>10.1126/sciadv.aef3610</w:t>
        </w:r>
      </w:hyperlink>
    </w:p>
    <w:p>
      <w:pPr>
        <w:spacing w:before="0" w:after="120"/>
      </w:pPr>
      <w:r>
        <w:rPr>
          <w:b/>
        </w:rPr>
        <w:t xml:space="preserve">Notes: </w:t>
      </w:r>
      <w:r>
        <w:t>abstract_source=crossref</w:t>
      </w:r>
    </w:p>
    <w:p>
      <w:pPr>
        <w:spacing w:before="0" w:after="80" w:lineRule="auto" w:line="276"/>
      </w:pPr>
      <w:r>
        <w:rPr>
          <w:b/>
        </w:rPr>
        <w:t xml:space="preserve">摘要（ZH）: </w:t>
      </w:r>
      <w:r>
        <w:t>气候变化导致的陆地水循环和水灾害的快速变化对遥感观测能力提出了挑战。当前依赖于特定区域经验参数和多级工作流程的模型无法以高时空分辨率稳健地处理复杂且加速的水循环。在各种地面条件下增加精细尺度表示的参数复杂性变得令人望而却步。为了解决这些限制，我们提出了来自水文学变压器 (BERTH) 的双向编码器表示，这是一种端到端人工智能 (AI) 框架，用于 30 米和日尺度的全球水循环监测，直接将遥感辐射率转换为蒸散量、降水、土壤湿度和径流。作为定量地球科学的变革性范式，BERTH 在全球数据集上进行训练，可以精确捕获不同条件下的时空动态，其准确性超越了现有的地球物理模型。 BERTH 体现了人工智能和遥感的协同集成，提供了一个变革性平台，支持对全球水资源和地球系统动力学的下一代研究。</w:t>
      </w:r>
    </w:p>
    <w:p>
      <w:pPr>
        <w:spacing w:before="0" w:after="200" w:lineRule="auto" w:line="276"/>
      </w:pPr>
      <w:r>
        <w:rPr>
          <w:b/>
        </w:rPr>
        <w:t xml:space="preserve">Abstract (EN): </w:t>
      </w:r>
      <w:r>
        <w:t>Rapid shifts in terrestrial water cycle and water-related disasters due to climate change challenge the capability of remote sensing observation. Current models that rely on region-specific empirical parameters and multistage workflows fail to robustly handle complex and accelerated water cycle with high spatiotemporal resolutions. Increasing parameter complexity for fine-scale representation under various terrestrial conditions becomes prohibitive. To address these limitations, we present bidirectional encoder representations from transformers for hydrology (BERTH), an end-to-end artificial intelligence (AI) framework for global water cycle monitoring at 30-meter and daily scale, directly transforming remote sensing radiance to evapotranspiration, precipitation, soil moisture, and runoff. As a transformative paradigm for quantitative Earth science, BERTH trained on global datasets precisely captures spatiotemporal dynamics across diverse conditions, surpassing existing geophysical models in accuracy. Embodying the synergistic integration of AI and remote sensing, BERTH offers a transformative platform that supports next-generation investigations into global water resources and Earth system dynamics.</w:t>
      </w:r>
    </w:p>
    <w:p>
      <w:pPr>
        <w:spacing w:before="120" w:after="120"/>
      </w:pPr>
      <w:r>
        <w:rPr>
          <w:sz w:val="18"/>
        </w:rPr>
        <w:t>——————————————————————————————————————————————————————————————————————</w:t>
      </w:r>
    </w:p>
    <w:p>
      <w:pPr>
        <w:spacing w:before="160" w:after="40" w:line="240" w:lineRule="auto"/>
      </w:pPr>
      <w:r>
        <w:rPr>
          <w:b/>
        </w:rPr>
        <w:t xml:space="preserve">[354] </w:t>
      </w:r>
      <w:hyperlink r:id="rId915">
        <w:r>
          <w:rPr>
            <w:color w:val="1155CC"/>
            <w:u w:val="single"/>
          </w:rPr>
          <w:t>不受束缚的薄膜神经刺激器包裹在微小的神经干上，用于无线神经调节</w:t>
        </w:r>
      </w:hyperlink>
    </w:p>
    <w:p>
      <w:pPr>
        <w:spacing w:before="0" w:after="80"/>
      </w:pPr>
      <w:r>
        <w:rPr>
          <w:i/>
          <w:sz w:val="20"/>
        </w:rPr>
        <w:t>EN: Untethered thin-film neurostimulator wrapped around tiny nerve trunks for wireless neuromodulation</w:t>
      </w:r>
    </w:p>
    <w:p>
      <w:pPr>
        <w:spacing w:before="0" w:after="120"/>
      </w:pPr>
      <w:r>
        <w:rPr>
          <w:b/>
        </w:rPr>
        <w:t xml:space="preserve">Source: </w:t>
      </w:r>
      <w:r>
        <w:t>AAAS: Science Advances: Table of Contents</w:t>
      </w:r>
      <w:r>
        <w:t xml:space="preserve">    </w:t>
      </w:r>
      <w:r>
        <w:rPr>
          <w:b/>
        </w:rPr>
        <w:t xml:space="preserve">Pub date: </w:t>
      </w:r>
      <w:r>
        <w:t>2026-06-17 07:00:00+00:00</w:t>
      </w:r>
      <w:r>
        <w:t xml:space="preserve">    </w:t>
      </w:r>
      <w:r>
        <w:rPr>
          <w:b/>
        </w:rPr>
        <w:t xml:space="preserve">DOI: </w:t>
      </w:r>
      <w:hyperlink r:id="rId916">
        <w:r>
          <w:rPr>
            <w:color w:val="1155CC"/>
            <w:u w:val="single"/>
          </w:rPr>
          <w:t>10.1126/sciadv.aec9247</w:t>
        </w:r>
      </w:hyperlink>
    </w:p>
    <w:p>
      <w:pPr>
        <w:spacing w:before="0" w:after="120"/>
      </w:pPr>
      <w:r>
        <w:rPr>
          <w:b/>
        </w:rPr>
        <w:t xml:space="preserve">Notes: </w:t>
      </w:r>
      <w:r>
        <w:t>abstract_source=crossref</w:t>
      </w:r>
    </w:p>
    <w:p>
      <w:pPr>
        <w:spacing w:before="0" w:after="80" w:lineRule="auto" w:line="276"/>
      </w:pPr>
      <w:r>
        <w:rPr>
          <w:b/>
        </w:rPr>
        <w:t xml:space="preserve">摘要（ZH）: </w:t>
      </w:r>
      <w:r>
        <w:t>对微小周围神经干进行近器官神经调节的电刺激可以对难治性疾病进行精确的电疗法，但对这些脆弱的神经干进行长期稳定的神经调节仍然是一个工程挑战。在这里，我们报告了 NeuroWrap 超声波刺激器 (NWUS) 的开发，这是一种不受束缚的自粘薄膜神经刺激器，能够保形地包裹微小的神经干。这种不受束缚的结构可以帮助避免由于身体运动过程中引线无法控制的微运动而导致的微小神经的损伤或断裂。 NWUS 是一款超声波响应声电转换器，具有优化的阻抗匹配，可实现高效的无线电刺激。 NWUS 的电疗法应用在大鼠模型中用于免疫调节治疗的慢性迷走神经刺激中得到了进一步的说明。大鼠实验性自身免疫性心肌炎的无线神经调节疗法被证明可以恢复左心室功能，抑制促炎细胞因子的表达以及心脏组织内巨噬细胞的浸润，并促进调节性 T 细胞的募集以及抗炎细胞因子水平的增加。</w:t>
      </w:r>
    </w:p>
    <w:p>
      <w:pPr>
        <w:spacing w:before="0" w:after="200" w:lineRule="auto" w:line="276"/>
      </w:pPr>
      <w:r>
        <w:rPr>
          <w:b/>
        </w:rPr>
        <w:t xml:space="preserve">Abstract (EN): </w:t>
      </w:r>
      <w:r>
        <w:t>Electrical stimulation of tiny peripheral nerve trunks for near-organ neuromodulation enables precise electroceutical therapy for refractory diseases, but long-term stable neuromodulation of these delicate, fragile nerve trunks remains an engineering challenge. Here, we report the development of NeuroWrap Ultrasonic Stimulator (NWUS), an untethered, self-adhesive thin-film neurostimulator capable of conformally wrapping around tiny nerve trunks. The untethered architecture can help avoid the damage or rupture of tiny nerves due to uncontrollable micromotion of lead wires during bodily movements. The NWUS is an ultrasound-responsive acoustoelectric converter with optimized impedance matching, which enables highly effective wireless electrical stimulation. The electroceutical application of NWUS was further illustrated in chronic vagus nerve stimulation for immunomodulation therapy in a rat model. The wireless neuromodulation therapy of rat experimental autoimmune myocarditis was proven to restore left ventricular function, suppress proinflammatory cytokine expression as well as macrophage infiltration within cardiac tissue, and promote regulatory T cell recruitment along with increased anti-inflammatory cytokine levels.</w:t>
      </w:r>
    </w:p>
    <w:p>
      <w:pPr>
        <w:spacing w:before="120" w:after="120"/>
      </w:pPr>
      <w:r>
        <w:rPr>
          <w:sz w:val="18"/>
        </w:rPr>
        <w:t>——————————————————————————————————————————————————————————————————————</w:t>
      </w:r>
    </w:p>
    <w:p>
      <w:pPr>
        <w:spacing w:before="160" w:after="40" w:line="240" w:lineRule="auto"/>
      </w:pPr>
      <w:r>
        <w:rPr>
          <w:b/>
        </w:rPr>
        <w:t xml:space="preserve">[355] </w:t>
      </w:r>
      <w:hyperlink r:id="rId917">
        <w:r>
          <w:rPr>
            <w:color w:val="1155CC"/>
            <w:u w:val="single"/>
          </w:rPr>
          <w:t>参考 μHz Schawlow-Townes 线宽量子噪声限制激光器的超高效光频分频</w:t>
        </w:r>
      </w:hyperlink>
    </w:p>
    <w:p>
      <w:pPr>
        <w:spacing w:before="0" w:after="80"/>
      </w:pPr>
      <w:r>
        <w:rPr>
          <w:i/>
          <w:sz w:val="20"/>
        </w:rPr>
        <w:t>EN: Superefficient optical frequency division referenced to μHz Schawlow-Townes-linewidth quantum noise–limited lasers</w:t>
      </w:r>
    </w:p>
    <w:p>
      <w:pPr>
        <w:spacing w:before="0" w:after="120"/>
      </w:pPr>
      <w:r>
        <w:rPr>
          <w:b/>
        </w:rPr>
        <w:t xml:space="preserve">Source: </w:t>
      </w:r>
      <w:r>
        <w:t>AAAS: Science Advances: Table of Contents</w:t>
      </w:r>
      <w:r>
        <w:t xml:space="preserve">    </w:t>
      </w:r>
      <w:r>
        <w:rPr>
          <w:b/>
        </w:rPr>
        <w:t xml:space="preserve">Pub date: </w:t>
      </w:r>
      <w:r>
        <w:t>2026-06-17 07:00:00+00:00</w:t>
      </w:r>
      <w:r>
        <w:t xml:space="preserve">    </w:t>
      </w:r>
      <w:r>
        <w:rPr>
          <w:b/>
        </w:rPr>
        <w:t xml:space="preserve">DOI: </w:t>
      </w:r>
      <w:hyperlink r:id="rId918">
        <w:r>
          <w:rPr>
            <w:color w:val="1155CC"/>
            <w:u w:val="single"/>
          </w:rPr>
          <w:t>10.1126/sciadv.aed1856</w:t>
        </w:r>
      </w:hyperlink>
    </w:p>
    <w:p>
      <w:pPr>
        <w:spacing w:before="0" w:after="120"/>
      </w:pPr>
      <w:r>
        <w:rPr>
          <w:b/>
        </w:rPr>
        <w:t xml:space="preserve">Notes: </w:t>
      </w:r>
      <w:r>
        <w:t>abstract_source=crossref</w:t>
      </w:r>
    </w:p>
    <w:p>
      <w:pPr>
        <w:spacing w:before="0" w:after="80" w:lineRule="auto" w:line="276"/>
      </w:pPr>
      <w:r>
        <w:rPr>
          <w:b/>
        </w:rPr>
        <w:t xml:space="preserve">摘要（ZH）: </w:t>
      </w:r>
      <w:r>
        <w:t>光频分 (OFD) 通过光频梳将超稳定的光频率转换为微波，产生具有创纪录的低相位噪声和时间抖动的微波振荡器。然而，由于光学参考中存在严重的热噪声和技术噪声，传统的 OFD 系统面临着划分复杂性和噪声抑制之间的显着权衡。在这里，我们通过使用共腔双色布里渊激光器作为参考来应对这一挑战，以 10 微赫兹 Schawlow-Townes 线宽在基本量子噪声极限下运行。在这些超相干激光器的支持下，我们的 OFD 系统使用了显着简化的梳状分频器，分频系数前所未有地达到 10，产生 10GHz 微波信号，其相位噪声在 1 赫兹偏移下相对于每赫兹载波为 -65 分贝，在 10 千赫偏移下相对于每赫兹载波为 -155 分贝，在 1 赫兹偏移下相对于每赫兹载波为 -172 分贝。 10兆赫偏移。利用这种纯度，我们通过毫秒调谐实现了 5 至 20 GHz 的宽带合成。这项工作重新定义了 OFD 中噪声抑制和除法复杂度之间的权衡，为下一代原子钟、量子传感器和低噪声雷达系统的紧凑、高性能微波合成铺平了道路。</w:t>
      </w:r>
    </w:p>
    <w:p>
      <w:pPr>
        <w:spacing w:before="0" w:after="200" w:lineRule="auto" w:line="276"/>
      </w:pPr>
      <w:r>
        <w:rPr>
          <w:b/>
        </w:rPr>
        <w:t xml:space="preserve">Abstract (EN): </w:t>
      </w:r>
      <w:r>
        <w:t>Optical frequency division (OFD) converts ultrastable optical frequencies to microwaves via an optical frequency comb, generating microwave oscillators with record-low phase noise and time jitter. However, conventional OFD systems face a notable trade-off between division complexity and noise suppression because of severe thermal and technical noise in optical references. Here, we address this challenge by using common-cavity bicolor Brillouin lasers as references, operating at the fundamental quantum noise limit with a 10-microhertz Schawlow-Townes linewidth. Enabled by these ultracoherent lasers, our OFD system uses a markedly simplified comb divider with an unprecedented division factor of 10, producing a 10-gigahertz microwave signal with exceptional phase noise of −65 decibels relative to the carrier per hertz at 1-hertz offset, −155 decibels relative to the carrier per hertz at 10-kilohertz offset, and −172 decibels relative to the carrier per hertz at 10-megahertz offset. Leveraging this purity, we implement broadband synthesis from 5 to 20 gigahertz with millisecond tuning. This work redefines the trade-off between noise suppression and division complexity in OFD, paving the way for compact, high-performance microwave synthesis for next-generation atomic clocks, quantum sensors, and low-noise radar systems.</w:t>
      </w:r>
    </w:p>
    <w:p>
      <w:pPr>
        <w:spacing w:before="120" w:after="120"/>
      </w:pPr>
      <w:r>
        <w:rPr>
          <w:sz w:val="18"/>
        </w:rPr>
        <w:t>——————————————————————————————————————————————————————————————————————</w:t>
      </w:r>
    </w:p>
    <w:p>
      <w:pPr>
        <w:spacing w:before="160" w:after="40" w:line="240" w:lineRule="auto"/>
      </w:pPr>
      <w:r>
        <w:rPr>
          <w:b/>
        </w:rPr>
        <w:t xml:space="preserve">[356] </w:t>
      </w:r>
      <w:hyperlink r:id="rId919">
        <w:r>
          <w:rPr>
            <w:color w:val="1155CC"/>
            <w:u w:val="single"/>
          </w:rPr>
          <w:t>芯片上矢量涡旋光束的直接全电解码</w:t>
        </w:r>
      </w:hyperlink>
    </w:p>
    <w:p>
      <w:pPr>
        <w:spacing w:before="0" w:after="80"/>
      </w:pPr>
      <w:r>
        <w:rPr>
          <w:i/>
          <w:sz w:val="20"/>
        </w:rPr>
        <w:t>EN: Direct all-electrical decoding of vector vortex beams on chip</w:t>
      </w:r>
    </w:p>
    <w:p>
      <w:pPr>
        <w:spacing w:before="0" w:after="120"/>
      </w:pPr>
      <w:r>
        <w:rPr>
          <w:b/>
        </w:rPr>
        <w:t xml:space="preserve">Source: </w:t>
      </w:r>
      <w:r>
        <w:t>AAAS: Science Advances: Table of Contents</w:t>
      </w:r>
      <w:r>
        <w:t xml:space="preserve">    </w:t>
      </w:r>
      <w:r>
        <w:rPr>
          <w:b/>
        </w:rPr>
        <w:t xml:space="preserve">Pub date: </w:t>
      </w:r>
      <w:r>
        <w:t>2026-06-17 07:00:00+00:00</w:t>
      </w:r>
      <w:r>
        <w:t xml:space="preserve">    </w:t>
      </w:r>
      <w:r>
        <w:rPr>
          <w:b/>
        </w:rPr>
        <w:t xml:space="preserve">DOI: </w:t>
      </w:r>
      <w:hyperlink r:id="rId920">
        <w:r>
          <w:rPr>
            <w:color w:val="1155CC"/>
            <w:u w:val="single"/>
          </w:rPr>
          <w:t>10.1126/sciadv.aed0418</w:t>
        </w:r>
      </w:hyperlink>
    </w:p>
    <w:p>
      <w:pPr>
        <w:spacing w:before="0" w:after="120"/>
      </w:pPr>
      <w:r>
        <w:rPr>
          <w:b/>
        </w:rPr>
        <w:t xml:space="preserve">Notes: </w:t>
      </w:r>
      <w:r>
        <w:t>abstract_source=crossref</w:t>
      </w:r>
    </w:p>
    <w:p>
      <w:pPr>
        <w:spacing w:before="0" w:after="80" w:lineRule="auto" w:line="276"/>
      </w:pPr>
      <w:r>
        <w:rPr>
          <w:b/>
        </w:rPr>
        <w:t xml:space="preserve">摘要（ZH）: </w:t>
      </w:r>
      <w:r>
        <w:t>矢量涡旋光束、以偏振和相位奇点为特征的结构光场为下一代光子技术带来了巨大的希望。虽然标量涡旋光束的检测已经得到研究，但矢量涡旋光束的直接、全电和无滤波器检测仍然是一个挑战。在这里，我们展示了一个片上全电检测平台，能够同时解析入射矢量涡旋光束的轨道角动量（OAM）阶数和偏振态。这一功能是通过将范德华层状热电材料与相位梯度元光栅耦合来实现的，该元光栅将 OAM 和偏振信息空间映射到表面等离子体激元强度分布上，从而诱导定向调制的光热电响应。利用这些独特的光响应，我们演示了概念验证的二维加密光通信协议。我们的平台建立了一种可扩展的高维光场检测方法，并为涵盖安全通信、量子信息、光学操纵和高分辨率成像的先进光电系统奠定了基础。</w:t>
      </w:r>
    </w:p>
    <w:p>
      <w:pPr>
        <w:spacing w:before="0" w:after="200" w:lineRule="auto" w:line="276"/>
      </w:pPr>
      <w:r>
        <w:rPr>
          <w:b/>
        </w:rPr>
        <w:t xml:space="preserve">Abstract (EN): </w:t>
      </w:r>
      <w:r>
        <w:t>Vector vortex beams, structured light fields characterized by polarization and phase singularities, offer substantial promise for next-generation photonic technologies. While the detection of scalar vortex beams has been investigated, the direct, all-electrical, and filter-free detection of vector vortex beams has remained a challenge. Here, we demonstrate an on-chip, all-electrical detection platform capable of simultaneously resolving the orbital angular momentum (OAM) order and polarization state of incident vector vortex beams. This functionality is achieved by coupling van der Waals layered thermoelectric materials with a phase-gradient metagrating, which spatially maps OAM and polarization information onto surface plasmon polariton intensity distributions, thereby inducing directionally modulated photothermoelectric responses. Leveraging these distinctive photoresponses, we demonstrate a proof-of-concept two-dimensional encrypted optical communication protocol. Our platform establishes a scalable approach for high-dimensional light field detection and lays the groundwork for advanced optoelectronic systems spanning secure communications, quantum information, optical manipulation, and high-resolution imaging.</w:t>
      </w:r>
    </w:p>
    <w:p>
      <w:pPr>
        <w:spacing w:before="120" w:after="120"/>
      </w:pPr>
      <w:r>
        <w:rPr>
          <w:sz w:val="18"/>
        </w:rPr>
        <w:t>——————————————————————————————————————————————————————————————————————</w:t>
      </w:r>
    </w:p>
    <w:p>
      <w:pPr>
        <w:spacing w:before="160" w:after="40" w:line="240" w:lineRule="auto"/>
      </w:pPr>
      <w:r>
        <w:rPr>
          <w:b/>
        </w:rPr>
        <w:t xml:space="preserve">[357] </w:t>
      </w:r>
      <w:hyperlink r:id="rId921">
        <w:r>
          <w:rPr>
            <w:color w:val="1155CC"/>
            <w:u w:val="single"/>
          </w:rPr>
          <w:t>硬骨鱼特异性氧免疫轴，FIH 通过竞争性 IκBα 结合激活 NF-κB</w:t>
        </w:r>
      </w:hyperlink>
    </w:p>
    <w:p>
      <w:pPr>
        <w:spacing w:before="0" w:after="80"/>
      </w:pPr>
      <w:r>
        <w:rPr>
          <w:i/>
          <w:sz w:val="20"/>
        </w:rPr>
        <w:t>EN: A teleost-specific oxygen–immunity axis where FIH activates NF-κB via competitive IκBα binding</w:t>
      </w:r>
    </w:p>
    <w:p>
      <w:pPr>
        <w:spacing w:before="0" w:after="120"/>
      </w:pPr>
      <w:r>
        <w:rPr>
          <w:b/>
        </w:rPr>
        <w:t xml:space="preserve">Source: </w:t>
      </w:r>
      <w:r>
        <w:t>Proceedings of the National Academy of Sciences: Keyword search for query</w:t>
      </w:r>
      <w:r>
        <w:t xml:space="preserve">    </w:t>
      </w:r>
      <w:r>
        <w:rPr>
          <w:b/>
        </w:rPr>
        <w:t xml:space="preserve">Pub date: </w:t>
      </w:r>
      <w:r>
        <w:t>2026-06-17 07:00:00+00:00</w:t>
      </w:r>
      <w:r>
        <w:t xml:space="preserve">    </w:t>
      </w:r>
      <w:r>
        <w:rPr>
          <w:b/>
        </w:rPr>
        <w:t xml:space="preserve">DOI: </w:t>
      </w:r>
      <w:hyperlink r:id="rId922">
        <w:r>
          <w:rPr>
            <w:color w:val="1155CC"/>
            <w:u w:val="single"/>
          </w:rPr>
          <w:t>10.1073/pnas.2529211123</w:t>
        </w:r>
      </w:hyperlink>
    </w:p>
    <w:p>
      <w:pPr>
        <w:spacing w:before="0" w:after="120"/>
      </w:pPr>
      <w:r>
        <w:rPr>
          <w:b/>
        </w:rPr>
        <w:t xml:space="preserve">Notes: </w:t>
      </w:r>
      <w:r>
        <w:t>abstract_source=crossref</w:t>
      </w:r>
    </w:p>
    <w:p>
      <w:pPr>
        <w:spacing w:before="0" w:after="80" w:lineRule="auto" w:line="276"/>
      </w:pPr>
      <w:r>
        <w:rPr>
          <w:b/>
        </w:rPr>
        <w:t xml:space="preserve">摘要（ZH）: </w:t>
      </w:r>
      <w:r>
        <w:t>全球变暖引起的水体脱氧对硬骨鱼构成了严峻的生理挑战，通常会影响它们的免疫防御机制。虽然水生生物面临着平衡代谢适应与病原体抗性的进化压力，但它们在缺氧胁迫下克服高病原体负荷所采用的分子策略仍然知之甚少。在这里，在硬骨鱼中发现了氧-免疫调节轴，其中氧传感器 FIH（抑制 HIF 的因子）通过竞争性取代 IκBα 中的 p65 来激活 NF-κB 通路。 FIH 突变体实验表明 NF-κB 激活不需要 FIH 羟化酶活性。在体外，FIH 结合 IκBα，促进 p65 核转位，并增加炎症基因表达。 FIH 击倒削弱了这些反应。体内，CRISPR/Cas9 生成</w:t>
      </w:r>
      <w:r>
        <w:t xml:space="preserve"> </w:t>
      </w:r>
      <w:r>
        <w:t>博士菲赫</w:t>
      </w:r>
      <w:r>
        <w:t xml:space="preserve"> </w:t>
      </w:r>
      <w:r>
        <w:t>–/–</w:t>
      </w:r>
      <w:r>
        <w:t xml:space="preserve"> </w:t>
      </w:r>
      <w:r>
        <w:t>斑马鱼表现出 NF-κB 驱动的炎症减少、对 LPS 攻击的反应改变以及剂量依赖性权衡</w:t>
      </w:r>
      <w:r>
        <w:t xml:space="preserve"> </w:t>
      </w:r>
      <w:r>
        <w:t>弧菌</w:t>
      </w:r>
      <w:r>
        <w:t xml:space="preserve"> </w:t>
      </w:r>
      <w:r>
        <w:t>鳗鱼</w:t>
      </w:r>
      <w:r>
        <w:t xml:space="preserve"> </w:t>
      </w:r>
      <w:r>
        <w:t>感染，低剂量时抵抗力降低，但高剂量时免疫病理学减轻。 AlphaFold3 建模和突变分析确定了一个有竞争力的界面。在人类细胞中，FIH-IκBα 结合发生而无需 NF-κB 激活。值得注意的是，用硬骨鱼对应物替换人类 IκBα 的 C 端片段恢复了 FIH 依赖性竞争和 NF-κB 激活，表明谱系特异性的结构分歧。</w:t>
      </w:r>
    </w:p>
    <w:p>
      <w:pPr>
        <w:spacing w:before="0" w:after="200" w:lineRule="auto" w:line="276"/>
      </w:pPr>
      <w:r>
        <w:rPr>
          <w:b/>
        </w:rPr>
        <w:t xml:space="preserve">Abstract (EN): </w:t>
      </w:r>
      <w:r>
        <w:t>Global warming–induced aquatic deoxygenation poses a severe physiological challenge to teleosts, often influencing their immune defense mechanisms. While aquatic organisms are under evolutionary pressure to balance metabolic adaptation with pathogen resistance, the molecular strategies they employ to overcome high pathogen loads under hypoxic stress remain poorly understood. Here, an oxygen–immunity regulatory axis was identified in teleosts, in which the oxygen sensor FIH (factor inhibiting HIF) activated the NF-κB pathway by competitively displacing p65 from IκBα. Experiments with FIH mutants showed that NF-κB activation did not require FIH hydroxylase activity. In vitro, FIH bound IκBα, promoted p65 nuclear translocation, and increased inflammatory gene expression. FIH knockdown blunted these responses. In vivo, CRISPR/Cas9-generated</w:t>
      </w:r>
      <w:r>
        <w:t xml:space="preserve"> </w:t>
      </w:r>
      <w:r>
        <w:t>drfih</w:t>
      </w:r>
      <w:r>
        <w:t xml:space="preserve"> </w:t>
      </w:r>
      <w:r>
        <w:t>–/–</w:t>
      </w:r>
      <w:r>
        <w:t xml:space="preserve"> </w:t>
      </w:r>
      <w:r>
        <w:t>zebrafish showed reduced NF-κB-driven inflammation, altered responses to LPS challenge, and a dose-dependent trade-off in</w:t>
      </w:r>
      <w:r>
        <w:t xml:space="preserve"> </w:t>
      </w:r>
      <w:r>
        <w:t>Vibrio</w:t>
      </w:r>
      <w:r>
        <w:t xml:space="preserve"> </w:t>
      </w:r>
      <w:r>
        <w:t>anguillarum</w:t>
      </w:r>
      <w:r>
        <w:t xml:space="preserve"> </w:t>
      </w:r>
      <w:r>
        <w:t>infection, with reduced resistance at a low dose but mitigated immunopathology at a high dose. AlphaFold3 modeling and mutational analyses pinpointed a competitive interface. In human cells, FIH–IκBα binding occurred without NF-κB activation. Notably, replacing a C-terminal segment of human IκBα with the teleost counterpart restored FIH-dependent competition and NF-κB activation, indicating lineage-specific structural divergence. Extensive cross-species predictions revealed that several aquatic vertebrates, an amphibian, and a shrimp species possessed a competitive interface, whereas the terrestrial species examined did not. These findings revealed a hydroxylase-independent mechanism, likely associated with aquatic lineages, that linked oxygen sensing to innate immunity and had implications for vertebrate evolution, climate-driven hypoxia, and aquaculture health.</w:t>
      </w:r>
    </w:p>
    <w:p>
      <w:pPr>
        <w:spacing w:before="120" w:after="120"/>
      </w:pPr>
      <w:r>
        <w:rPr>
          <w:sz w:val="18"/>
        </w:rPr>
        <w:t>——————————————————————————————————————————————————————————————————————</w:t>
      </w:r>
    </w:p>
    <w:p>
      <w:pPr>
        <w:spacing w:before="160" w:after="40" w:line="240" w:lineRule="auto"/>
      </w:pPr>
      <w:r>
        <w:rPr>
          <w:b/>
        </w:rPr>
        <w:t xml:space="preserve">[358] </w:t>
      </w:r>
      <w:hyperlink r:id="rId923">
        <w:r>
          <w:rPr>
            <w:color w:val="1155CC"/>
            <w:u w:val="single"/>
          </w:rPr>
          <w:t>染色体不稳定导致肿瘤发生和复发的非细胞自主机制</w:t>
        </w:r>
      </w:hyperlink>
    </w:p>
    <w:p>
      <w:pPr>
        <w:spacing w:before="0" w:after="80"/>
      </w:pPr>
      <w:r>
        <w:rPr>
          <w:i/>
          <w:sz w:val="20"/>
        </w:rPr>
        <w:t>EN: Non-cell-autonomous mechanisms of tumor initiation and relapse by chromosomal instability</w:t>
      </w:r>
    </w:p>
    <w:p>
      <w:pPr>
        <w:spacing w:before="0" w:after="120"/>
      </w:pPr>
      <w:r>
        <w:rPr>
          <w:b/>
        </w:rPr>
        <w:t xml:space="preserve">Source: </w:t>
      </w:r>
      <w:r>
        <w:t>Proceedings of the National Academy of Sciences: Keyword search for query</w:t>
      </w:r>
      <w:r>
        <w:t xml:space="preserve">    </w:t>
      </w:r>
      <w:r>
        <w:rPr>
          <w:b/>
        </w:rPr>
        <w:t xml:space="preserve">Pub date: </w:t>
      </w:r>
      <w:r>
        <w:t>2026-06-17 07:00:00+00:00</w:t>
      </w:r>
      <w:r>
        <w:t xml:space="preserve">    </w:t>
      </w:r>
      <w:r>
        <w:rPr>
          <w:b/>
        </w:rPr>
        <w:t xml:space="preserve">DOI: </w:t>
      </w:r>
      <w:hyperlink r:id="rId924">
        <w:r>
          <w:rPr>
            <w:color w:val="1155CC"/>
            <w:u w:val="single"/>
          </w:rPr>
          <w:t>10.1073/pnas.2531095123</w:t>
        </w:r>
      </w:hyperlink>
    </w:p>
    <w:p>
      <w:pPr>
        <w:spacing w:before="0" w:after="120"/>
      </w:pPr>
      <w:r>
        <w:rPr>
          <w:b/>
        </w:rPr>
        <w:t xml:space="preserve">Notes: </w:t>
      </w:r>
      <w:r>
        <w:t>abstract_source=crossref</w:t>
      </w:r>
    </w:p>
    <w:p>
      <w:pPr>
        <w:spacing w:before="0" w:after="80" w:lineRule="auto" w:line="276"/>
      </w:pPr>
      <w:r>
        <w:rPr>
          <w:b/>
        </w:rPr>
        <w:t xml:space="preserve">摘要（ZH）: </w:t>
      </w:r>
      <w:r>
        <w:t>染色体不稳定性（CIN）是癌症的一个标志，也是肿瘤遗传异质性的主要原因。根据CIN的程度和受影响的组织，CIN可以促进或抑制肿瘤形成，并且高CIN诱导已被提出作为一种治疗策略。 CIN 如何实现这些效果尚不清楚。在这里，我们使用分级 CIN 的条件小鼠模型，结合对 DMBA/TPA 引发的皮肤肿瘤的纵向监测，表明低 CIN 会增加皮肤肿瘤的发生频率，而较高的 CIN 会加速肿瘤的发生和生长速度。引人注目的是，肿瘤的基因重组分析表明，在高 CIN 诱导下，快速生长的肿瘤源自罕见的低 CIN 细胞，这表明高 CIN 具有强烈的非细胞自主效应。基因表达分析和免疫组织化学表明，高 CIN 会导致表皮增生、免疫逃避和再生反应，从而刺激低 CIN 肿瘤生长，其效果超出了单独诱导低 CIN 所达到的效果。这种细胞外在效应可能是 CIN 肿瘤形成的常见机制，正如我们在 CIN 诱导的肠、乳腺和肠系膜肿瘤中也观察到的那样。当在已建立的皮肤肿瘤中诱导高 CIN 时，模仿基于 CIN 的治疗，肿瘤会消退，但会很快复发。复发的肿瘤也源自罕见的低 CIN 细胞。我们的研究结果对我们理解 CIN 对癌症发生和进展的贡献具有重要意义，并对 CIN 治疗的基本原理给予了谨慎的关注。</w:t>
      </w:r>
    </w:p>
    <w:p>
      <w:pPr>
        <w:spacing w:before="0" w:after="200" w:lineRule="auto" w:line="276"/>
      </w:pPr>
      <w:r>
        <w:rPr>
          <w:b/>
        </w:rPr>
        <w:t xml:space="preserve">Abstract (EN): </w:t>
      </w:r>
      <w:r>
        <w:t>Chromosomal instability (CIN) is a hallmark of cancer, and a primary cause of genetic heterogeneity in tumors. Depending on the degree of CIN and the affected tissue, CIN can promote or suppress tumor formation, and high CIN induction has been proposed as a therapeutic strategy. How CIN achieves these effects is unclear. Here we use a conditional mouse model of graded CIN in combination with longitudinal monitoring of DMBA/TPA-initiated skin tumors to show that low CIN increases the frequency of skin tumor initiation, while higher CIN accelerates tumor onset and growth rates. Strikingly, gene recombination analysis of the tumors reveals that upon high CIN induction the fast-growing tumors originate from rare low CIN cells, suggesting a strong non-cell-autonomous effect of high CIN. Gene expression analysis and immunohistochemistry show that high CIN causes epidermal hyperplasia, immune evasion, and a regenerative response that stimulates low CIN tumor growth beyond what is achieved by induction of low CIN alone. Such cell-extrinsic effects may be a common mechanism of tumor formation by CIN, as we observe it also in CIN-induced tumors of the intestine, breast, and mesentery. When high CIN is induced in established skin tumors, mimicking CIN-based therapy, tumors regress but relapse quickly. Relapsed tumors, too, arose from rare low CIN cells. Our findings have implications for our understanding of the contributions of CIN to cancer initiation and progression and give caution to the rationale for CIN therapies.</w:t>
      </w:r>
    </w:p>
    <w:p>
      <w:pPr>
        <w:spacing w:before="120" w:after="120"/>
      </w:pPr>
      <w:r>
        <w:rPr>
          <w:sz w:val="18"/>
        </w:rPr>
        <w:t>——————————————————————————————————————————————————————————————————————</w:t>
      </w:r>
    </w:p>
    <w:p>
      <w:pPr>
        <w:spacing w:before="160" w:after="40" w:line="240" w:lineRule="auto"/>
      </w:pPr>
      <w:r>
        <w:rPr>
          <w:b/>
        </w:rPr>
        <w:t xml:space="preserve">[359] </w:t>
      </w:r>
      <w:hyperlink r:id="rId925">
        <w:r>
          <w:rPr>
            <w:color w:val="1155CC"/>
            <w:u w:val="single"/>
          </w:rPr>
          <w:t>全基因组 CRISPR 筛选揭示了硅藻如何在动态光下茁壮成长</w:t>
        </w:r>
      </w:hyperlink>
    </w:p>
    <w:p>
      <w:pPr>
        <w:spacing w:before="0" w:after="80"/>
      </w:pPr>
      <w:r>
        <w:rPr>
          <w:i/>
          <w:sz w:val="20"/>
        </w:rPr>
        <w:t>EN: A genome-wide CRISPR screen reveals how diatoms thrive in dynamic light</w:t>
      </w:r>
    </w:p>
    <w:p>
      <w:pPr>
        <w:spacing w:before="0" w:after="120"/>
      </w:pPr>
      <w:r>
        <w:rPr>
          <w:b/>
        </w:rPr>
        <w:t xml:space="preserve">Source: </w:t>
      </w:r>
      <w:r>
        <w:t>Proceedings of the National Academy of Sciences: Keyword search for query</w:t>
      </w:r>
      <w:r>
        <w:t xml:space="preserve">    </w:t>
      </w:r>
      <w:r>
        <w:rPr>
          <w:b/>
        </w:rPr>
        <w:t xml:space="preserve">Pub date: </w:t>
      </w:r>
      <w:r>
        <w:t>2026-06-17 07:00:00+00:00</w:t>
      </w:r>
      <w:r>
        <w:t xml:space="preserve">    </w:t>
      </w:r>
      <w:r>
        <w:rPr>
          <w:b/>
        </w:rPr>
        <w:t xml:space="preserve">DOI: </w:t>
      </w:r>
      <w:hyperlink r:id="rId926">
        <w:r>
          <w:rPr>
            <w:color w:val="1155CC"/>
            <w:u w:val="single"/>
          </w:rPr>
          <w:t>10.1073/pnas.2532811123</w:t>
        </w:r>
      </w:hyperlink>
    </w:p>
    <w:p>
      <w:pPr>
        <w:spacing w:before="0" w:after="120"/>
      </w:pPr>
      <w:r>
        <w:rPr>
          <w:b/>
        </w:rPr>
        <w:t xml:space="preserve">Notes: </w:t>
      </w:r>
      <w:r>
        <w:t>abstract_source=crossref</w:t>
      </w:r>
    </w:p>
    <w:p>
      <w:pPr>
        <w:spacing w:before="0" w:after="80" w:lineRule="auto" w:line="276"/>
      </w:pPr>
      <w:r>
        <w:rPr>
          <w:b/>
        </w:rPr>
        <w:t xml:space="preserve">摘要（ZH）: </w:t>
      </w:r>
      <w:r>
        <w:t>硅藻是一种高度多样化的藻类，对全球初级生产和海洋碳固存具有巨大影响。它们是复杂内共生起源的红色谱系光养生物，因此在进化上与通常用作光合作用模型的植物和其他绿色谱系光养生物不同。为了加速独特硅藻生物学的发现，我们在海洋硅藻中开发了全基因组 CRISPR/Cas9 筛选，</w:t>
      </w:r>
      <w:r>
        <w:t xml:space="preserve"> </w:t>
      </w:r>
      <w:r>
        <w:t>三角褐指藻。</w:t>
      </w:r>
      <w:r>
        <w:t xml:space="preserve"> </w:t>
      </w:r>
      <w:r>
        <w:t>动态光照条件在硅藻生长的营养丰富、混合良好的海洋环境中很常见。的</w:t>
      </w:r>
      <w:r>
        <w:t xml:space="preserve"> </w:t>
      </w:r>
      <w:r>
        <w:t>三角褐藻</w:t>
      </w:r>
      <w:r>
        <w:t xml:space="preserve"> </w:t>
      </w:r>
      <w:r>
        <w:t>突变体文库在不同的光照条件下生长，包括高光和波动光。我们确定了在动态光下生存所需的一系列基因，包括循环电子流（CEF）效应子和催化卡尔文循环酶翻译后修饰的酶。在鉴定出的未知功能的基因中，我们证明了红色谱系独有的基因 STROBE1 是 CEF 增强剂，是依赖 CEF 生成反式类囊体质子梯度所需的。 STROBE1 和本次筛选中鉴定的其他基因揭示了硅藻适应动态光环境的意想不到的机制。这种全基因组遗传筛选</w:t>
      </w:r>
      <w:r>
        <w:t xml:space="preserve"> </w:t>
      </w:r>
      <w:r>
        <w:t>三角褐藻</w:t>
      </w:r>
      <w:r>
        <w:t xml:space="preserve"> </w:t>
      </w:r>
      <w:r>
        <w:t>将加速这些生态上重要的生物体中新基因功能的公正发现。</w:t>
      </w:r>
    </w:p>
    <w:p>
      <w:pPr>
        <w:spacing w:before="0" w:after="200" w:lineRule="auto" w:line="276"/>
      </w:pPr>
      <w:r>
        <w:rPr>
          <w:b/>
        </w:rPr>
        <w:t xml:space="preserve">Abstract (EN): </w:t>
      </w:r>
      <w:r>
        <w:t>Diatoms are a highly diverse algal group with outsized impact on global primary production and marine carbon sequestration. They are red lineage phototrophs of complex endosymbiotic origin and therefore evolutionarily divergent from plants and other green lineage phototrophs that typically serve as photosynthesis models. To accelerate the discovery of unique diatom biology, we developed a genome-wide CRISPR/Cas9 screen in the marine diatom,</w:t>
      </w:r>
      <w:r>
        <w:t xml:space="preserve"> </w:t>
      </w:r>
      <w:r>
        <w:t>Phaeodactylum tricornutum.</w:t>
      </w:r>
      <w:r>
        <w:t xml:space="preserve"> </w:t>
      </w:r>
      <w:r>
        <w:t>Dynamic light conditions are common in nutrient-rich, well-mixed marine environments in which diatoms thrive. The</w:t>
      </w:r>
      <w:r>
        <w:t xml:space="preserve"> </w:t>
      </w:r>
      <w:r>
        <w:t>P. tricornutum</w:t>
      </w:r>
      <w:r>
        <w:t xml:space="preserve"> </w:t>
      </w:r>
      <w:r>
        <w:t>mutant library was grown in different light regimes, including both high light and fluctuating light. We identified a broad set of genes required for survival specifically in dynamic light, including effectors of cyclic electron flow (CEF) and enzymes catalyzing posttranslational modifications of Calvin cycle enzymes. Among genes of unknown function identified, we demonstrated that the red lineage-exclusive gene STROBE1 is a CEF potentiator required for CEF-dependent generation of a trans-thylakoid proton gradient. STROBE1 and other genes identified in this screen reveal unexpected mechanisms underlying the adaptation of diatoms to dynamic light environments. This genome-wide genetic screen in</w:t>
      </w:r>
      <w:r>
        <w:t xml:space="preserve"> </w:t>
      </w:r>
      <w:r>
        <w:t>P. tricornutum</w:t>
      </w:r>
      <w:r>
        <w:t xml:space="preserve"> </w:t>
      </w:r>
      <w:r>
        <w:t>will accelerate the unbiased discovery of novel gene functions in these ecologically important organisms.</w:t>
      </w:r>
    </w:p>
    <w:p>
      <w:pPr>
        <w:spacing w:before="120" w:after="120"/>
      </w:pPr>
      <w:r>
        <w:rPr>
          <w:sz w:val="18"/>
        </w:rPr>
        <w:t>——————————————————————————————————————————————————————————————————————</w:t>
      </w:r>
    </w:p>
    <w:p>
      <w:pPr>
        <w:spacing w:before="160" w:after="40" w:line="240" w:lineRule="auto"/>
      </w:pPr>
      <w:r>
        <w:rPr>
          <w:b/>
        </w:rPr>
        <w:t xml:space="preserve">[360] </w:t>
      </w:r>
      <w:hyperlink r:id="rId927">
        <w:r>
          <w:rPr>
            <w:color w:val="1155CC"/>
            <w:u w:val="single"/>
          </w:rPr>
          <w:t>固定氮的非生物来源在生命起源后维持了早期生态系统数亿年</w:t>
        </w:r>
      </w:hyperlink>
    </w:p>
    <w:p>
      <w:pPr>
        <w:spacing w:before="0" w:after="80"/>
      </w:pPr>
      <w:r>
        <w:rPr>
          <w:i/>
          <w:sz w:val="20"/>
        </w:rPr>
        <w:t>EN: Abiotic sources of fixed nitrogen sustained early ecosystems for several hundred million years after the origin of life</w:t>
      </w:r>
    </w:p>
    <w:p>
      <w:pPr>
        <w:spacing w:before="0" w:after="120"/>
      </w:pPr>
      <w:r>
        <w:rPr>
          <w:b/>
        </w:rPr>
        <w:t xml:space="preserve">Source: </w:t>
      </w:r>
      <w:r>
        <w:t>AAAS: Science Advances: Table of Contents</w:t>
      </w:r>
      <w:r>
        <w:t xml:space="preserve">    </w:t>
      </w:r>
      <w:r>
        <w:rPr>
          <w:b/>
        </w:rPr>
        <w:t xml:space="preserve">Pub date: </w:t>
      </w:r>
      <w:r>
        <w:t>2026-06-17 07:00:00+00:00</w:t>
      </w:r>
      <w:r>
        <w:t xml:space="preserve">    </w:t>
      </w:r>
      <w:r>
        <w:rPr>
          <w:b/>
        </w:rPr>
        <w:t xml:space="preserve">DOI: </w:t>
      </w:r>
      <w:hyperlink r:id="rId928">
        <w:r>
          <w:rPr>
            <w:color w:val="1155CC"/>
            <w:u w:val="single"/>
          </w:rPr>
          <w:t>10.1126/sciadv.aec4450</w:t>
        </w:r>
      </w:hyperlink>
    </w:p>
    <w:p>
      <w:pPr>
        <w:spacing w:before="0" w:after="120"/>
      </w:pPr>
      <w:r>
        <w:rPr>
          <w:b/>
        </w:rPr>
        <w:t xml:space="preserve">Notes: </w:t>
      </w:r>
      <w:r>
        <w:t>abstract_source=crossref</w:t>
      </w:r>
    </w:p>
    <w:p>
      <w:pPr>
        <w:spacing w:before="0" w:after="80" w:lineRule="auto" w:line="276"/>
      </w:pPr>
      <w:r>
        <w:rPr>
          <w:b/>
        </w:rPr>
        <w:t xml:space="preserve">摘要（ZH）: </w:t>
      </w:r>
      <w:r>
        <w:t>氮 (N) 在控制生物生产力方面发挥着至关重要的作用。然而，目前尚不清楚地球最早的生态系统如何获取生物可利用形式的氮。在这里，我们提出了基因组证据，表明最后一个普遍共同祖先 (LUCA) 具有将铵输入细胞的基因，但第一个具有所有三种催化固氮基因的生物体至少在 10 亿年后才出现。同样，从尿素和腈中获取氮的酶途径似乎早于生物氮</w:t>
      </w:r>
      <w:r>
        <w:rPr>
          <w:vertAlign w:val="subscript"/>
        </w:rPr>
        <w:t>2</w:t>
      </w:r>
      <w:r>
        <w:t>固定。我们的研究结果表明，地球最早的生物圈是由铵和其他含氮化合物的环境来源维持的，这些化合物可能源自热液活动、光化学、岩石风化、闪电或撞击事件等过程的组合。生物氮</w:t>
      </w:r>
      <w:r>
        <w:rPr>
          <w:vertAlign w:val="subscript"/>
        </w:rPr>
        <w:t>2</w:t>
      </w:r>
      <w:r>
        <w:t>固定可能是由于生物营养需求的增加或由于铵、尿素和腈的非生物供应减少而出现的。</w:t>
      </w:r>
    </w:p>
    <w:p>
      <w:pPr>
        <w:spacing w:before="0" w:after="200" w:lineRule="auto" w:line="276"/>
      </w:pPr>
      <w:r>
        <w:rPr>
          <w:b/>
        </w:rPr>
        <w:t xml:space="preserve">Abstract (EN): </w:t>
      </w:r>
      <w:r>
        <w:t>Nitrogen (N) plays a crucial role in controlling biological productivity. However, it remains unknown how Earth’s earliest ecosystems accessed bioavailable forms of nitrogen. Here, we present genomic evidence that the last universal common ancestor (LUCA) had genes for importing ammonium into the cell, but the first organisms with all three catalytic nitrogen fixing genes emerged at least 1 billion years later. Similarly, enzymatic pathways for accessing nitrogen from urea and nitriles appear to predate biological N</w:t>
      </w:r>
      <w:r>
        <w:rPr>
          <w:vertAlign w:val="subscript"/>
        </w:rPr>
        <w:t>2</w:t>
      </w:r>
      <w:r>
        <w:t>fixation. Our results imply that Earth’s earliest biosphere was maintained by environmental sources of ammonium and other N-bearing compounds, possibly derived from a combination of processes such as hydrothermal activity, photochemistry, rock weathering, lightning, or impact events. Biological N</w:t>
      </w:r>
      <w:r>
        <w:rPr>
          <w:vertAlign w:val="subscript"/>
        </w:rPr>
        <w:t>2</w:t>
      </w:r>
      <w:r>
        <w:t>fixation may have emerged in response to an increase in biological nutrient demand or due to declining abiotic supplies of ammonium, urea, and nitriles.</w:t>
      </w:r>
    </w:p>
    <w:p>
      <w:pPr>
        <w:spacing w:before="120" w:after="120"/>
      </w:pPr>
      <w:r>
        <w:rPr>
          <w:sz w:val="18"/>
        </w:rPr>
        <w:t>——————————————————————————————————————————————————————————————————————</w:t>
      </w:r>
    </w:p>
    <w:p>
      <w:pPr>
        <w:spacing w:before="160" w:after="40" w:line="240" w:lineRule="auto"/>
      </w:pPr>
      <w:r>
        <w:rPr>
          <w:b/>
        </w:rPr>
        <w:t xml:space="preserve">[361] </w:t>
      </w:r>
      <w:hyperlink r:id="rId929">
        <w:r>
          <w:rPr>
            <w:color w:val="1155CC"/>
            <w:u w:val="single"/>
          </w:rPr>
          <w:t>ENO1 结合 HDAC1 调节组蛋白乳酰化和基因转录</w:t>
        </w:r>
      </w:hyperlink>
    </w:p>
    <w:p>
      <w:pPr>
        <w:spacing w:before="0" w:after="80"/>
      </w:pPr>
      <w:r>
        <w:rPr>
          <w:i/>
          <w:sz w:val="20"/>
        </w:rPr>
        <w:t>EN: ENO1 couples HDAC1 to regulate histone lactylation and gene transcription</w:t>
      </w:r>
    </w:p>
    <w:p>
      <w:pPr>
        <w:spacing w:before="0" w:after="120"/>
      </w:pPr>
      <w:r>
        <w:rPr>
          <w:b/>
        </w:rPr>
        <w:t xml:space="preserve">Source: </w:t>
      </w:r>
      <w:r>
        <w:t>Proceedings of the National Academy of Sciences: Keyword search for query</w:t>
      </w:r>
      <w:r>
        <w:t xml:space="preserve">    </w:t>
      </w:r>
      <w:r>
        <w:rPr>
          <w:b/>
        </w:rPr>
        <w:t xml:space="preserve">Pub date: </w:t>
      </w:r>
      <w:r>
        <w:t>2026-06-17 07:00:00+00:00</w:t>
      </w:r>
      <w:r>
        <w:t xml:space="preserve">    </w:t>
      </w:r>
      <w:r>
        <w:rPr>
          <w:b/>
        </w:rPr>
        <w:t xml:space="preserve">DOI: </w:t>
      </w:r>
      <w:hyperlink r:id="rId930">
        <w:r>
          <w:rPr>
            <w:color w:val="1155CC"/>
            <w:u w:val="single"/>
          </w:rPr>
          <w:t>10.1073/pnas.2535245123</w:t>
        </w:r>
      </w:hyperlink>
    </w:p>
    <w:p>
      <w:pPr>
        <w:spacing w:before="0" w:after="120"/>
      </w:pPr>
      <w:r>
        <w:rPr>
          <w:b/>
        </w:rPr>
        <w:t xml:space="preserve">Notes: </w:t>
      </w:r>
      <w:r>
        <w:t>abstract_source=crossref</w:t>
      </w:r>
    </w:p>
    <w:p>
      <w:pPr>
        <w:spacing w:before="0" w:after="80" w:lineRule="auto" w:line="276"/>
      </w:pPr>
      <w:r>
        <w:rPr>
          <w:b/>
        </w:rPr>
        <w:t xml:space="preserve">摘要（ZH）: </w:t>
      </w:r>
      <w:r>
        <w:t>组蛋白脱乙酰酶 (HDAC) 主要在经典转录复合物中调节转录并催化脱乙酰化。然而，其他 HDAC 相关蛋白在协调这一过程中的机制作用仍不完全清楚。为了系统地解码活细胞中的内源性 HDAC 相互作用组，我们开发了 BimPL，一种异双功能分子支持的邻近标记策略。利用 BimPL 和定量蛋白质组学，我们可靠地捕获了已建立的 HDAC 复合物并鉴定了假定的相互作用因子，包括糖酵解酶烯醇化酶-1 (ENO1)。重要的是，我们发现 ENO1 易位到细胞核中并与染色质处的 HDAC1 相互作用，进而通过局部生成的磷酸烯醇丙酮酸 (PEP) 减弱 HDAC1 的活性。因此，ENO1-HDAC1 偶联可促进组蛋白赖氨酸乳酰化 (Kla)，从而驱动肝脏恶性肿瘤中癌基因的转录重编程。我们的研究将 BimPL 确立为绘制内源蛋白质相互作用组的多功能工具，并揭示了代谢酶协调的组蛋白乳酰化 HDAC 调节机制，强调了 ENO1 在表观遗传重编程中的兼职功能。</w:t>
      </w:r>
    </w:p>
    <w:p>
      <w:pPr>
        <w:spacing w:before="0" w:after="200" w:lineRule="auto" w:line="276"/>
      </w:pPr>
      <w:r>
        <w:rPr>
          <w:b/>
        </w:rPr>
        <w:t xml:space="preserve">Abstract (EN): </w:t>
      </w:r>
      <w:r>
        <w:t>Histone deacetylases (HDACs) regulate transcription and catalyze deacetylation predominantly within canonical transcriptional complexes. Nevertheless, the mechanistic role of other HDAC-associated proteins in orchestrating this process remains incompletely understood. To systematically decode endogenous HDAC interactomes in living cells, we developed BimPL, a heterobifunctional molecule-enabled proximity labeling strategy. Leveraging BimPL and quantitative proteomics, we robustly captured established HDAC complexes and identified putative interactors, including glycolytic enzyme enolase-1 (ENO1). Importantly, we uncover that ENO1 translocates into the nucleus and interacts with HDAC1 at chromatin, which in turn blunts the activity of HDAC1 through locally generated phosphoenolpyruvate (PEP). Consequently, the ENO1–HDAC1 coupling promotes histone lysine lactylation (Kla), which drives transcriptional reprogramming of oncogenes in hepatic malignancies. Our study establishes BimPL as a versatile tool for mapping endogenous protein interactomes and reveals a metabolic enzyme-orchestrated HDAC regulatory mechanism for histone lactylation, highlighting ENO1’s moonlighting function in epigenetic reprogramming.</w:t>
      </w:r>
    </w:p>
    <w:p>
      <w:pPr>
        <w:spacing w:before="120" w:after="120"/>
      </w:pPr>
      <w:r>
        <w:rPr>
          <w:sz w:val="18"/>
        </w:rPr>
        <w:t>——————————————————————————————————————————————————————————————————————</w:t>
      </w:r>
    </w:p>
    <w:p>
      <w:pPr>
        <w:spacing w:before="160" w:after="40" w:line="240" w:lineRule="auto"/>
      </w:pPr>
      <w:r>
        <w:rPr>
          <w:b/>
        </w:rPr>
        <w:t xml:space="preserve">[362] </w:t>
      </w:r>
      <w:hyperlink r:id="rId931">
        <w:r>
          <w:rPr>
            <w:color w:val="1155CC"/>
            <w:u w:val="single"/>
          </w:rPr>
          <w:t>多普勒编码的米氏散射飞行粒子彩虹</w:t>
        </w:r>
      </w:hyperlink>
    </w:p>
    <w:p>
      <w:pPr>
        <w:spacing w:before="0" w:after="80"/>
      </w:pPr>
      <w:r>
        <w:rPr>
          <w:i/>
          <w:sz w:val="20"/>
        </w:rPr>
        <w:t>EN: Doppler-encoded Mie scattering rainbow of flying particles</w:t>
      </w:r>
    </w:p>
    <w:p>
      <w:pPr>
        <w:spacing w:before="0" w:after="120"/>
      </w:pPr>
      <w:r>
        <w:rPr>
          <w:b/>
        </w:rPr>
        <w:t xml:space="preserve">Source: </w:t>
      </w:r>
      <w:r>
        <w:t>AAAS: Science Advances: Table of Contents</w:t>
      </w:r>
      <w:r>
        <w:t xml:space="preserve">    </w:t>
      </w:r>
      <w:r>
        <w:rPr>
          <w:b/>
        </w:rPr>
        <w:t xml:space="preserve">Pub date: </w:t>
      </w:r>
      <w:r>
        <w:t>2026-06-17 07:00:00+00:00</w:t>
      </w:r>
      <w:r>
        <w:t xml:space="preserve">    </w:t>
      </w:r>
      <w:r>
        <w:rPr>
          <w:b/>
        </w:rPr>
        <w:t xml:space="preserve">DOI: </w:t>
      </w:r>
      <w:hyperlink r:id="rId932">
        <w:r>
          <w:rPr>
            <w:color w:val="1155CC"/>
            <w:u w:val="single"/>
          </w:rPr>
          <w:t>10.1126/sciadv.aef7659</w:t>
        </w:r>
      </w:hyperlink>
    </w:p>
    <w:p>
      <w:pPr>
        <w:spacing w:before="0" w:after="120"/>
      </w:pPr>
      <w:r>
        <w:rPr>
          <w:b/>
        </w:rPr>
        <w:t xml:space="preserve">Notes: </w:t>
      </w:r>
      <w:r>
        <w:t>abstract_source=crossref</w:t>
      </w:r>
    </w:p>
    <w:p>
      <w:pPr>
        <w:spacing w:before="0" w:after="80" w:lineRule="auto" w:line="276"/>
      </w:pPr>
      <w:r>
        <w:rPr>
          <w:b/>
        </w:rPr>
        <w:t xml:space="preserve">摘要（ZH）: </w:t>
      </w:r>
      <w:r>
        <w:t>光散射构成了光与物质相互作用中最基本的过程，是现代粒子计量学的基石。尽管已经建立了许多基于散射的技术来表征受限运动中的粒子，但对自由飞行粒子的精确分析仍然很大程度上不发达。这种限制主要源于对可访问数据采集时间的严格限制以及传统散射检测方案中固有的运动引起的图像模糊。在这里，我们报告了使用反谐振空心光纤中的光学推进微粒观察到的多普勒编码米氏散射效应，并进一步介绍了用于飞行粒子的单粒子级计量的横向多普勒光谱测定法。研究发现，当用高数值孔径物镜在近场收集时，具有发散衍射角的飞行粒子的散射条纹被编码为明显的多普勒频移——这在相对于入射光束轴的横向上形成宽带“散射彩虹”。这种与角度相关的多普勒效应将飞行粒子的空间衍射图案转换到频域，从而能够在毫秒级观察窗口内高精度确定空气中粒子的直径和折射率。我们的研究结果解锁了解决频域中飞行粒子特征的自由度，为需要原位部件的广泛应用建立了多功能诊断平台</w:t>
      </w:r>
    </w:p>
    <w:p>
      <w:pPr>
        <w:spacing w:before="0" w:after="200" w:lineRule="auto" w:line="276"/>
      </w:pPr>
      <w:r>
        <w:rPr>
          <w:b/>
        </w:rPr>
        <w:t xml:space="preserve">Abstract (EN): </w:t>
      </w:r>
      <w:r>
        <w:t>Light scattering constitutes the most fundamental process in light-matter interactions and serves as the cornerstone of modern particle metrology. Although numerous scattering-based techniques have been established for characterizing particles in constrained motion, the precise analysis of freely flying particles remains largely underdeveloped. This limitation stems primarily from the severe constraints on accessible data acquisition time and the motion-induced image blur inherent in conventional scattering detection schemes. Here, we report the observation of a Doppler-encoded Mie scattering effect using optically propelled microparticles in antiresonant hollow-core fibers and further introduce a transverse Doppler spectrometry for single-particle-level metrology of flying particles. It is found that, when collected in the near field by a high–numerical aperture objective, the scattering fringes of a flying particle with divergent diffraction angles are encoded with distinct Doppler frequency shifts—this forms a broadband “scattering rainbow” in the transverse direction relative to the incident beam axis. This angle-dependent Doppler effect transforms the spatial diffraction pattern of a flying particle into the frequency domain, enabling high-precision determination of diameter and refractive index of airborne particles within a millisecond-scale observation window. Our findings unlock degrees of freedom for resolving flying particle features in the frequency domain, establishing a versatile diagnostic platform for a broad spectrum of applications that demand in situ particle analysis, such as atmospheric aerosol monitoring, hypersonic flow diagnostics, and label-free flow cytometry.</w:t>
      </w:r>
    </w:p>
    <w:p>
      <w:pPr>
        <w:spacing w:before="120" w:after="120"/>
      </w:pPr>
      <w:r>
        <w:rPr>
          <w:sz w:val="18"/>
        </w:rPr>
        <w:t>——————————————————————————————————————————————————————————————————————</w:t>
      </w:r>
    </w:p>
    <w:p>
      <w:pPr>
        <w:spacing w:before="160" w:after="40" w:line="240" w:lineRule="auto"/>
      </w:pPr>
      <w:r>
        <w:rPr>
          <w:b/>
        </w:rPr>
        <w:t xml:space="preserve">[363] </w:t>
      </w:r>
      <w:hyperlink r:id="rId933">
        <w:r>
          <w:rPr>
            <w:color w:val="1155CC"/>
            <w:u w:val="single"/>
          </w:rPr>
          <w:t>共享的空间和时间原则控制跨时间尺度的连接组动态</w:t>
        </w:r>
      </w:hyperlink>
    </w:p>
    <w:p>
      <w:pPr>
        <w:spacing w:before="0" w:after="80"/>
      </w:pPr>
      <w:r>
        <w:rPr>
          <w:i/>
          <w:sz w:val="20"/>
        </w:rPr>
        <w:t>EN: Shared spatial and temporal principles govern connectome dynamics across timescales</w:t>
      </w:r>
    </w:p>
    <w:p>
      <w:pPr>
        <w:spacing w:before="0" w:after="120"/>
      </w:pPr>
      <w:r>
        <w:rPr>
          <w:b/>
        </w:rPr>
        <w:t xml:space="preserve">Source: </w:t>
      </w:r>
      <w:r>
        <w:t>Proceedings of the National Academy of Sciences: Keyword search for query</w:t>
      </w:r>
      <w:r>
        <w:t xml:space="preserve">    </w:t>
      </w:r>
      <w:r>
        <w:rPr>
          <w:b/>
        </w:rPr>
        <w:t xml:space="preserve">Pub date: </w:t>
      </w:r>
      <w:r>
        <w:t>2026-06-17 07:00:00+00:00</w:t>
      </w:r>
      <w:r>
        <w:t xml:space="preserve">    </w:t>
      </w:r>
      <w:r>
        <w:rPr>
          <w:b/>
        </w:rPr>
        <w:t xml:space="preserve">DOI: </w:t>
      </w:r>
      <w:hyperlink r:id="rId934">
        <w:r>
          <w:rPr>
            <w:color w:val="1155CC"/>
            <w:u w:val="single"/>
          </w:rPr>
          <w:t>10.1073/pnas.2535464123</w:t>
        </w:r>
      </w:hyperlink>
    </w:p>
    <w:p>
      <w:pPr>
        <w:spacing w:before="0" w:after="120"/>
      </w:pPr>
      <w:r>
        <w:rPr>
          <w:b/>
        </w:rPr>
        <w:t xml:space="preserve">Notes: </w:t>
      </w:r>
      <w:r>
        <w:t>abstract_source=crossref</w:t>
      </w:r>
    </w:p>
    <w:p>
      <w:pPr>
        <w:spacing w:before="0" w:after="80" w:lineRule="auto" w:line="276"/>
      </w:pPr>
      <w:r>
        <w:rPr>
          <w:b/>
        </w:rPr>
        <w:t xml:space="preserve">摘要（ZH）: </w:t>
      </w:r>
      <w:r>
        <w:t>虽然大脑以不同的速度处理信息，但人们对功能性连接组如何同时支持多种速度的情况知之甚少。 FMRI 和电生理学模式已分别用于研究慢速和快速的连接组动力学。但人们常常隐含地假设这些模式捕获了相同的潜在神经过程，而功能磁共振成像通过低通时间滤波器来实现这一点。然而，最近的工作提出了另一种可能性，即连接组动力学包含在多个时间尺度上运行的不同过程。如果这种多尺度连通性过程确实共存，那么一个关键问题是它们的模式和序列是否是根据共同的规律（即共同的空间和时间原则）组织的。在同时进行的人类功能磁共振成像和源定位脑电图中，我们研究了连接组的基本成分——瞬时共激活模式——跨越六个神经活动时间尺度，从亚慢到γ波段。我们发现了循环共激活模式或状态流，它们在时间尺度上并行和异步运行，从而形成了时间尺度的总体空间原理。这些状态在所有时间尺度上也以高度相似的序列发生，揭示了时间尺度的总体时间原理。总之，这些发现表明，连接组由多个以不同速度（从几十毫秒到几秒）并行运行的动态流组成，而不是由每种模态的时间分辨率过滤的单个流。空间和时间</w:t>
      </w:r>
    </w:p>
    <w:p>
      <w:pPr>
        <w:spacing w:before="0" w:after="200" w:lineRule="auto" w:line="276"/>
      </w:pPr>
      <w:r>
        <w:rPr>
          <w:b/>
        </w:rPr>
        <w:t xml:space="preserve">Abstract (EN): </w:t>
      </w:r>
      <w:r>
        <w:t>While the brain processes information at various speeds, little is known about how the functional connectome can concurrently support multiple speeds in parallel. FMRI and electrophysiological modalities have been used to study connectome dynamics at slow and fast speeds, respectively. But it is often implicitly assumed that these modalities capture the same underlying neural processes, with fMRI doing so through a low-pass temporal filter. However, recent work suggests the alternative possibility that connectome dynamics comprise distinct processes operating at multiple timescales. If such multiscale connectivity processes indeed coexist, a key question is whether their patterns and sequences are organized on the basis of shared regularities, i.e., common spatial and temporal principles. In simultaneous human fMRI and source-localized EEG, we investigated the connectome’s foundational constituents—the instantaneous coactivation patterns—across six timescales of neural activity, from infraslow through γ-band. We found streams of recurrent coactivation patterns, or states, that operate in parallel and asynchronously across timescales, thereby forming a timescale-overarching spatial principle. These states also occurred in highly similar sequences at all timescales, revealing a timescale-overarching temporal principle. Together, these findings indicate that the connectome comprises multiple dynamic streams operating in parallel at distinct speeds, from tens of milliseconds to seconds, rather than a single stream filtered by each modality’s temporal resolution. Spatial and temporal principles that span these streams enable their integration into a unified system. Consequently, research on human behavior and mental disorders should account for the full range of the connectome’s timescales.</w:t>
      </w:r>
    </w:p>
    <w:p>
      <w:pPr>
        <w:spacing w:before="120" w:after="120"/>
      </w:pPr>
      <w:r>
        <w:rPr>
          <w:sz w:val="18"/>
        </w:rPr>
        <w:t>——————————————————————————————————————————————————————————————————————</w:t>
      </w:r>
    </w:p>
    <w:p>
      <w:pPr>
        <w:spacing w:before="160" w:after="40" w:line="240" w:lineRule="auto"/>
      </w:pPr>
      <w:r>
        <w:rPr>
          <w:b/>
        </w:rPr>
        <w:t xml:space="preserve">[364] </w:t>
      </w:r>
      <w:hyperlink r:id="rId935">
        <w:r>
          <w:rPr>
            <w:color w:val="1155CC"/>
            <w:u w:val="single"/>
          </w:rPr>
          <w:t>过饱和控制的组装途径指导离子发光团中的分层手性表达</w:t>
        </w:r>
      </w:hyperlink>
    </w:p>
    <w:p>
      <w:pPr>
        <w:spacing w:before="0" w:after="80"/>
      </w:pPr>
      <w:r>
        <w:rPr>
          <w:i/>
          <w:sz w:val="20"/>
        </w:rPr>
        <w:t>EN: Supersaturation-controlled assembly pathway directs hierarchical chirality expression in ionic luminophores</w:t>
      </w:r>
    </w:p>
    <w:p>
      <w:pPr>
        <w:spacing w:before="0" w:after="120"/>
      </w:pPr>
      <w:r>
        <w:rPr>
          <w:b/>
        </w:rPr>
        <w:t xml:space="preserve">Source: </w:t>
      </w:r>
      <w:r>
        <w:t>Proceedings of the National Academy of Sciences: Keyword search for query</w:t>
      </w:r>
      <w:r>
        <w:t xml:space="preserve">    </w:t>
      </w:r>
      <w:r>
        <w:rPr>
          <w:b/>
        </w:rPr>
        <w:t xml:space="preserve">Pub date: </w:t>
      </w:r>
      <w:r>
        <w:t>2026-06-17 07:00:00+00:00</w:t>
      </w:r>
      <w:r>
        <w:t xml:space="preserve">    </w:t>
      </w:r>
      <w:r>
        <w:rPr>
          <w:b/>
        </w:rPr>
        <w:t xml:space="preserve">DOI: </w:t>
      </w:r>
      <w:hyperlink r:id="rId936">
        <w:r>
          <w:rPr>
            <w:color w:val="1155CC"/>
            <w:u w:val="single"/>
          </w:rPr>
          <w:t>10.1073/pnas.2535931123</w:t>
        </w:r>
      </w:hyperlink>
    </w:p>
    <w:p>
      <w:pPr>
        <w:spacing w:before="0" w:after="120"/>
      </w:pPr>
      <w:r>
        <w:rPr>
          <w:b/>
        </w:rPr>
        <w:t xml:space="preserve">Notes: </w:t>
      </w:r>
      <w:r>
        <w:t>abstract_source=crossref</w:t>
      </w:r>
    </w:p>
    <w:p>
      <w:pPr>
        <w:spacing w:before="0" w:after="80" w:lineRule="auto" w:line="276"/>
      </w:pPr>
      <w:r>
        <w:rPr>
          <w:b/>
        </w:rPr>
        <w:t xml:space="preserve">摘要（ZH）: </w:t>
      </w:r>
      <w:r>
        <w:t>分子手性在多个长度尺度上的受控表达是许多天然组装体的核心特征，但在合成材料中实现仍然是一个重大挑战。在这里，我们证明过饱和度——特别是它的时间演化——在反溶剂扩散过程中充当指导手性表达的强大动力学参数。通过调整扩散条件，可以从相同的离子对发光体中出现两种不同的组装途径。在所有情况下，成核都是在达到临界过饱和阈值时开始的，这与常见的成核过程一致。随后的生长途径会有所不同，具体取决于过饱和度如何随着时间的推移而持续。当反溶剂扩散快速完成并且系统过渡到蒸发主导状态时，中间组装体的逐渐重组产生具有明显手性组织的宏观涡旋状薄膜，其大的圆偏振光发射不对称因子（|g）</w:t>
      </w:r>
      <w:r>
        <w:t xml:space="preserve"> </w:t>
      </w:r>
      <w:r>
        <w:t>CPLE</w:t>
      </w:r>
      <w:r>
        <w:t xml:space="preserve"> </w:t>
      </w:r>
      <w:r>
        <w:t>|）主要源自结构引起的散射。相反，当通过持续的反溶剂扩散持续维持过饱和时，较高的成核密度与受限的生长相结合，导致方形微晶仅表现出较弱的超分子手性。这两条路径产生了不同的手性光学特征，具有相反的 CPLE 符号，并且手性光学响应存在数量级差异，涡旋膜达到 |g</w:t>
      </w:r>
      <w:r>
        <w:t xml:space="preserve"> </w:t>
      </w:r>
      <w:r>
        <w:t>CPLE</w:t>
      </w:r>
      <w:r>
        <w:t xml:space="preserve"> </w:t>
      </w:r>
      <w:r>
        <w:t>|值高达 0.09。</w:t>
      </w:r>
    </w:p>
    <w:p>
      <w:pPr>
        <w:spacing w:before="0" w:after="200" w:lineRule="auto" w:line="276"/>
      </w:pPr>
      <w:r>
        <w:rPr>
          <w:b/>
        </w:rPr>
        <w:t xml:space="preserve">Abstract (EN): </w:t>
      </w:r>
      <w:r>
        <w:t>The controlled expression of molecular chirality across multiple length scales is a central feature of many natural assemblies, yet remains a significant challenge to achieve in synthetic materials. Here, we show that supersaturation—particularly its temporal evolution—acts as a powerful kinetic parameter for directing chiral expression during antisolvent diffusion. By tuning diffusion conditions, two distinct assembly pathways can emerge from the same ion-paired luminophores. In all cases, nucleation is initiated upon reaching a critical supersaturation threshold, consistent with a common nucleation process. The subsequent growth pathways diverge depending on how supersaturation is sustained over time. When antisolvent diffusion is rapidly completed and the system transitions to an evaporation-dominated regime, gradual reorganization of intermediate assemblies produces macroscopic vortex-like films with pronounced chiral organization, whose large circularly polarized light emission dissymmetry factors (|g</w:t>
      </w:r>
      <w:r>
        <w:t xml:space="preserve"> </w:t>
      </w:r>
      <w:r>
        <w:t>CPLE</w:t>
      </w:r>
      <w:r>
        <w:t xml:space="preserve"> </w:t>
      </w:r>
      <w:r>
        <w:t>|) originate primarily from structure-induced scattering. In contrast, when supersaturation is continuously maintained through ongoing antisolvent diffusion, higher nucleation density combined with restricted growth leads to square microcrystals that exhibit only weak supramolecular chirality. The two pathways yield distinct chiroptical signatures with opposite CPLE signs and an order-of-magnitude difference in chiroptical response, with vortex films reaching |g</w:t>
      </w:r>
      <w:r>
        <w:t xml:space="preserve"> </w:t>
      </w:r>
      <w:r>
        <w:t>CPLE</w:t>
      </w:r>
      <w:r>
        <w:t xml:space="preserve"> </w:t>
      </w:r>
      <w:r>
        <w:t>| values up to 0.09. This study establishes a mechanistic link between supersaturation evolution and hierarchical chiral assembly and offers insights for designing macroscopic chiral photonic architectures with relevance to biomimetic and chiroptical applications.</w:t>
      </w:r>
    </w:p>
    <w:p>
      <w:pPr>
        <w:spacing w:before="120" w:after="120"/>
      </w:pPr>
      <w:r>
        <w:rPr>
          <w:sz w:val="18"/>
        </w:rPr>
        <w:t>——————————————————————————————————————————————————————————————————————</w:t>
      </w:r>
    </w:p>
    <w:p>
      <w:pPr>
        <w:spacing w:before="160" w:after="40" w:line="240" w:lineRule="auto"/>
      </w:pPr>
      <w:r>
        <w:rPr>
          <w:b/>
        </w:rPr>
        <w:t xml:space="preserve">[365] </w:t>
      </w:r>
      <w:hyperlink r:id="rId937">
        <w:r>
          <w:rPr>
            <w:color w:val="1155CC"/>
            <w:u w:val="single"/>
          </w:rPr>
          <w:t>FcRL4 是一种 IgA 受体，主要结合连接链</w:t>
        </w:r>
      </w:hyperlink>
    </w:p>
    <w:p>
      <w:pPr>
        <w:spacing w:before="0" w:after="80"/>
      </w:pPr>
      <w:r>
        <w:rPr>
          <w:i/>
          <w:sz w:val="20"/>
        </w:rPr>
        <w:t>EN: FcRL4 is an IgA receptor that primarily binds the joining chain</w:t>
      </w:r>
    </w:p>
    <w:p>
      <w:pPr>
        <w:spacing w:before="0" w:after="120"/>
      </w:pPr>
      <w:r>
        <w:rPr>
          <w:b/>
        </w:rPr>
        <w:t xml:space="preserve">Source: </w:t>
      </w:r>
      <w:r>
        <w:t>Proceedings of the National Academy of Sciences: Keyword search for query</w:t>
      </w:r>
      <w:r>
        <w:t xml:space="preserve">    </w:t>
      </w:r>
      <w:r>
        <w:rPr>
          <w:b/>
        </w:rPr>
        <w:t xml:space="preserve">Pub date: </w:t>
      </w:r>
      <w:r>
        <w:t>2026-06-17 07:00:00+00:00</w:t>
      </w:r>
      <w:r>
        <w:t xml:space="preserve">    </w:t>
      </w:r>
      <w:r>
        <w:rPr>
          <w:b/>
        </w:rPr>
        <w:t xml:space="preserve">DOI: </w:t>
      </w:r>
      <w:hyperlink r:id="rId938">
        <w:r>
          <w:rPr>
            <w:color w:val="1155CC"/>
            <w:u w:val="single"/>
          </w:rPr>
          <w:t>10.1073/pnas.2600183123</w:t>
        </w:r>
      </w:hyperlink>
    </w:p>
    <w:p>
      <w:pPr>
        <w:spacing w:before="0" w:after="120"/>
      </w:pPr>
      <w:r>
        <w:rPr>
          <w:b/>
        </w:rPr>
        <w:t xml:space="preserve">Notes: </w:t>
      </w:r>
      <w:r>
        <w:t>abstract_source=crossref</w:t>
      </w:r>
    </w:p>
    <w:p>
      <w:pPr>
        <w:spacing w:before="0" w:after="80" w:lineRule="auto" w:line="276"/>
      </w:pPr>
      <w:r>
        <w:rPr>
          <w:b/>
        </w:rPr>
        <w:t xml:space="preserve">摘要（ZH）: </w:t>
      </w:r>
      <w:r>
        <w:t>免疫球蛋白 A (IgA) 是人体免疫系统的重要组成部分，其与受体的相互作用对于免疫调节至关重要。 Fc 受体样 4 (FcRL4) 是一种 IgA 受体，可选择性结合含有连接链（J 链）的全身性 IgA。这种相互作用的分子机制仍不清楚。在这里，我们展示了 FcRL4 与 dIgA 核心（Fcα 二聚体和 J 链）复合的冷冻电镜结构，揭示了 1:1 的结合化学计量。 FcRL4 主要与 J 链相互作用，但仍然可以通过熵惩罚机制区分包含 J 链的 IgM。我们的结构还解释了为什么 FcRL4 不结合分泌型 IgA，因为分泌成分会阻碍 FcRL4 结合。功能研究表明 FcRL4 缺乏内化 IgA 或 IgA 免疫复合物的能力。这些发现为 IgA 生物学提供了新的见解。</w:t>
      </w:r>
    </w:p>
    <w:p>
      <w:pPr>
        <w:spacing w:before="0" w:after="200" w:lineRule="auto" w:line="276"/>
      </w:pPr>
      <w:r>
        <w:rPr>
          <w:b/>
        </w:rPr>
        <w:t xml:space="preserve">Abstract (EN): </w:t>
      </w:r>
      <w:r>
        <w:t>Immunoglobulin A (IgA) is a crucial component of the human immune system, and its interaction with receptors is essential for immune regulation. Fc-receptor-like 4 (FcRL4) is an IgA receptor that selectively binds systemic IgA containing the joining chain (J-chain). The molecular mechanism of this interaction has remained unclear. Here, we present a cryo-EM structure of FcRL4 complexed with the dIgA core (Fcα dimer and J-chain), revealing a 1:1 binding stoichiometry. FcRL4 primarily interacts with the J-chain but can nevertheless discriminate against J-chain-containing IgM through an entropic penalty mechanism. Our structure also explains why FcRL4 does not bind secretory IgA, as the secretory component would hinder FcRL4 binding. Functional studies indicate that FcRL4 lacks the ability to internalize IgA or IgA immune complex. These findings provide fresh insights into IgA biology.</w:t>
      </w:r>
    </w:p>
    <w:p>
      <w:pPr>
        <w:spacing w:before="120" w:after="120"/>
      </w:pPr>
      <w:r>
        <w:rPr>
          <w:sz w:val="18"/>
        </w:rPr>
        <w:t>——————————————————————————————————————————————————————————————————————</w:t>
      </w:r>
    </w:p>
    <w:p>
      <w:pPr>
        <w:spacing w:before="160" w:after="40" w:line="240" w:lineRule="auto"/>
      </w:pPr>
      <w:r>
        <w:rPr>
          <w:b/>
        </w:rPr>
        <w:t xml:space="preserve">[366] </w:t>
      </w:r>
      <w:hyperlink r:id="rId939">
        <w:r>
          <w:rPr>
            <w:color w:val="1155CC"/>
            <w:u w:val="single"/>
          </w:rPr>
          <w:t>NPAS3 调节的星形胶质细胞线粒体生物能是认知所必需的</w:t>
        </w:r>
      </w:hyperlink>
    </w:p>
    <w:p>
      <w:pPr>
        <w:spacing w:before="0" w:after="80"/>
      </w:pPr>
      <w:r>
        <w:rPr>
          <w:i/>
          <w:sz w:val="20"/>
        </w:rPr>
        <w:t>EN: NPAS3-regulated astrocyte mitochondrial bioenergetics is required for cognition</w:t>
      </w:r>
    </w:p>
    <w:p>
      <w:pPr>
        <w:spacing w:before="0" w:after="120"/>
      </w:pPr>
      <w:r>
        <w:rPr>
          <w:b/>
        </w:rPr>
        <w:t xml:space="preserve">Source: </w:t>
      </w:r>
      <w:r>
        <w:t>AAAS: Science Advances: Table of Contents</w:t>
      </w:r>
      <w:r>
        <w:t xml:space="preserve">    </w:t>
      </w:r>
      <w:r>
        <w:rPr>
          <w:b/>
        </w:rPr>
        <w:t xml:space="preserve">Pub date: </w:t>
      </w:r>
      <w:r>
        <w:t>2026-06-17 07:00:00+00:00</w:t>
      </w:r>
      <w:r>
        <w:t xml:space="preserve">    </w:t>
      </w:r>
      <w:r>
        <w:rPr>
          <w:b/>
        </w:rPr>
        <w:t xml:space="preserve">DOI: </w:t>
      </w:r>
      <w:hyperlink r:id="rId940">
        <w:r>
          <w:rPr>
            <w:color w:val="1155CC"/>
            <w:u w:val="single"/>
          </w:rPr>
          <w:t>10.1126/sciadv.adt2527</w:t>
        </w:r>
      </w:hyperlink>
    </w:p>
    <w:p>
      <w:pPr>
        <w:spacing w:before="0" w:after="120"/>
      </w:pPr>
      <w:r>
        <w:rPr>
          <w:b/>
        </w:rPr>
        <w:t xml:space="preserve">Notes: </w:t>
      </w:r>
      <w:r>
        <w:t>abstract_source=crossref</w:t>
      </w:r>
    </w:p>
    <w:p>
      <w:pPr>
        <w:spacing w:before="0" w:after="80" w:lineRule="auto" w:line="276"/>
      </w:pPr>
      <w:r>
        <w:rPr>
          <w:b/>
        </w:rPr>
        <w:t xml:space="preserve">摘要（ZH）: </w:t>
      </w:r>
      <w:r>
        <w:t>基本螺旋-环-螺旋转录因子神经元 PAS（Per、Arnt、Sim）结构域蛋白 3 (NPAS3) 提供代谢途径的转录调节，并在星形胶质细胞中高度表达。 NPAS3 变异与多种神经精神疾病下的认知功能障碍有关，但潜在的脑细胞类型特异性机制仍不清楚。在这里，我们报告 NPAS3 是小鼠大脑星形胶质细胞线粒体生物能的关键调节因子。选择性删除</w:t>
      </w:r>
      <w:r>
        <w:t xml:space="preserve"> </w:t>
      </w:r>
      <w:r>
        <w:t>Npas3</w:t>
      </w:r>
      <w:r>
        <w:t xml:space="preserve"> </w:t>
      </w:r>
      <w:r>
        <w:t>成熟星形胶质细胞中参与谷氨酸氧化的线粒体谷氨酸载体2的表达降低，导致星形胶质细胞中氧化磷酸化和乳酸产生减少。这种缺陷降低了内侧前额皮质 (mPFC) 锥体神经元的内在兴奋性、树突棘密度和兴奋性突触传递。小鼠与</w:t>
      </w:r>
      <w:r>
        <w:t xml:space="preserve"> </w:t>
      </w:r>
      <w:r>
        <w:t>Npas3</w:t>
      </w:r>
      <w:r>
        <w:t xml:space="preserve"> </w:t>
      </w:r>
      <w:r>
        <w:t>- 缺陷的 mPFC 星形胶质细胞表现出微量恐惧调节受损，可通过乳酸治疗来挽救。因此，本研究证明了 NPAS3 依赖性星形胶质细胞线粒体生物能与认知功能之间的机制联系，并为神经精神疾病认知功能障碍的神经胶质细胞靶向治疗提供了见解。</w:t>
      </w:r>
    </w:p>
    <w:p>
      <w:pPr>
        <w:spacing w:before="0" w:after="200" w:lineRule="auto" w:line="276"/>
      </w:pPr>
      <w:r>
        <w:rPr>
          <w:b/>
        </w:rPr>
        <w:t xml:space="preserve">Abstract (EN): </w:t>
      </w:r>
      <w:r>
        <w:t>The basic helix-loop-helix transcription factor neuronal PAS (Per, Arnt, Sim) domain protein 3 (NPAS3) provides transcriptional regulation of metabolic pathways and is highly expressed in astrocytes. NPAS3 variants have been associated with cognitive dysfunction under several neuropsychiatric conditions, but the underlying brain cell type–specific mechanisms remain obscure. Here, we report that NPAS3 is a key regulator of mitochondrial bioenergetics in astrocytes in the mouse brain. Selective deletion of</w:t>
      </w:r>
      <w:r>
        <w:t xml:space="preserve"> </w:t>
      </w:r>
      <w:r>
        <w:t>Npas3</w:t>
      </w:r>
      <w:r>
        <w:t xml:space="preserve"> </w:t>
      </w:r>
      <w:r>
        <w:t>in mature astrocytes decreases expression of mitochondrial glutamate carrier 2 involved in glutamate oxidation, leading to reduced oxidative phosphorylation and lactate production in astrocytes. This deficit reduces intrinsic excitability, dendritic spine density, and excitatory synaptic transmission of medial prefrontal cortex (mPFC) pyramidal neurons. Mice with</w:t>
      </w:r>
      <w:r>
        <w:t xml:space="preserve"> </w:t>
      </w:r>
      <w:r>
        <w:t>Npas3</w:t>
      </w:r>
      <w:r>
        <w:t xml:space="preserve"> </w:t>
      </w:r>
      <w:r>
        <w:t>-deficient mPFC astrocytes exhibit impaired trace fear conditioning, which is rescued by lactate treatment. Thus, the present study demonstrates a mechanistic link between NPAS3-dependent astrocyte mitochondrial bioenergetics and cognitive function and provides insights for glia-targeting treatment of cognitive dysfunction in neuropsychiatric disease.</w:t>
      </w:r>
    </w:p>
    <w:p>
      <w:pPr>
        <w:spacing w:before="120" w:after="120"/>
      </w:pPr>
      <w:r>
        <w:rPr>
          <w:sz w:val="18"/>
        </w:rPr>
        <w:t>——————————————————————————————————————————————————————————————————————</w:t>
      </w:r>
    </w:p>
    <w:p>
      <w:pPr>
        <w:spacing w:before="160" w:after="40" w:line="240" w:lineRule="auto"/>
      </w:pPr>
      <w:r>
        <w:rPr>
          <w:b/>
        </w:rPr>
        <w:t xml:space="preserve">[367] </w:t>
      </w:r>
      <w:hyperlink r:id="rId941">
        <w:r>
          <w:rPr>
            <w:color w:val="1155CC"/>
            <w:u w:val="single"/>
          </w:rPr>
          <w:t>干旱引起的从绿色食物网到棕色食物网的能量重新分配预示着草原碳储存</w:t>
        </w:r>
      </w:hyperlink>
    </w:p>
    <w:p>
      <w:pPr>
        <w:spacing w:before="0" w:after="80"/>
      </w:pPr>
      <w:r>
        <w:rPr>
          <w:i/>
          <w:sz w:val="20"/>
        </w:rPr>
        <w:t>EN: Aridity-induced energy reallocation from green to brown food webs predicts grassland carbon storage</w:t>
      </w:r>
    </w:p>
    <w:p>
      <w:pPr>
        <w:spacing w:before="0" w:after="120"/>
      </w:pPr>
      <w:r>
        <w:rPr>
          <w:b/>
        </w:rPr>
        <w:t xml:space="preserve">Source: </w:t>
      </w:r>
      <w:r>
        <w:t>Proceedings of the National Academy of Sciences: Keyword search for query</w:t>
      </w:r>
      <w:r>
        <w:t xml:space="preserve">    </w:t>
      </w:r>
      <w:r>
        <w:rPr>
          <w:b/>
        </w:rPr>
        <w:t xml:space="preserve">Pub date: </w:t>
      </w:r>
      <w:r>
        <w:t>2026-06-17 07:00:00+00:00</w:t>
      </w:r>
      <w:r>
        <w:t xml:space="preserve">    </w:t>
      </w:r>
      <w:r>
        <w:rPr>
          <w:b/>
        </w:rPr>
        <w:t xml:space="preserve">DOI: </w:t>
      </w:r>
      <w:hyperlink r:id="rId942">
        <w:r>
          <w:rPr>
            <w:color w:val="1155CC"/>
            <w:u w:val="single"/>
          </w:rPr>
          <w:t>10.1073/pnas.2534463123</w:t>
        </w:r>
      </w:hyperlink>
    </w:p>
    <w:p>
      <w:pPr>
        <w:spacing w:before="0" w:after="120"/>
      </w:pPr>
      <w:r>
        <w:rPr>
          <w:b/>
        </w:rPr>
        <w:t xml:space="preserve">Notes: </w:t>
      </w:r>
      <w:r>
        <w:t>abstract_source=crossref</w:t>
      </w:r>
    </w:p>
    <w:p>
      <w:pPr>
        <w:spacing w:before="0" w:after="80" w:lineRule="auto" w:line="276"/>
      </w:pPr>
      <w:r>
        <w:rPr>
          <w:b/>
        </w:rPr>
        <w:t xml:space="preserve">摘要（ZH）: </w:t>
      </w:r>
      <w:r>
        <w:t>预计干旱的加剧会改变土壤食物网的结构和功能，但其对草原食物网能量的影响以及由此产生的土壤碳固存后果仍知之甚少。在这里，我们利用欧亚草原东部跨越温带（黄土和内蒙古高原）和高山（青藏高原）地区 30 个草原生态系统的 240 个观测数据，量化了沿自然干旱梯度的土壤食物网的能量通量。我们发现，干旱加剧会降低所有研究区域整个食物网的总能量通量，这主要是由于物种丧失和营养相互作用减弱所致。随着干旱程度的增加，以食草为基础的“绿色”通道的能量通量比以微生物为基础的“棕色”通道的能量通量下降得更快，导致在整个温带草原更加干旱的条件下，棕色能量通道占据更大的主导地位。土壤食物网的这种大范围“褐变”与温带草原土壤有机碳（SOC）储存量的下降相一致，这表明在干旱加剧的情况下，分解造成的碳损失超过了植物来源的碳输入。相比之下，当食草动物与微生物动物的能量通量比低于〜1的阈值时，高山草原的SOC增加，这可能是因为较低的温度限制了在更干旱的条件下基于微生物的分解和能量转移到微生物通道。了解土壤食物网中能量重新分配的基础代谢过程可以增强建模工作以进行预测</w:t>
      </w:r>
    </w:p>
    <w:p>
      <w:pPr>
        <w:spacing w:before="0" w:after="200" w:lineRule="auto" w:line="276"/>
      </w:pPr>
      <w:r>
        <w:rPr>
          <w:b/>
        </w:rPr>
        <w:t xml:space="preserve">Abstract (EN): </w:t>
      </w:r>
      <w:r>
        <w:t>Increasing aridity is predicted to alter the structure and functioning of soil food webs, yet its impacts on grassland food-web energetics and the resulting consequences for soil carbon sequestration remain poorly understood. Here, we quantified energy fluxes in soil food webs along a natural aridity gradient using data from 240 observations across 30 grassland ecosystems in the eastern Eurasian Steppe, spanning temperate (Loess and Inner Mongolian Plateaus) and alpine (Tibetan Plateau) regions. We found that increasing aridity decreases total energy flux through whole food webs across all study regions, largely driven by species losses and weakened trophic interactions. Energy flux to herbivory-based “green” channels declined more sharply than microbivory-based “brown” channels with increasing aridity, resulting in greater dominance of brown energy channels under more arid conditions across temperate grasslands. This broad-scale “browning” of soil food webs aligns with declining soil organic carbon (SOC) storage in temperate grasslands, suggesting that carbon loss through decomposition outpaces plant-derived carbon inputs under increasing aridity. In contrast, alpine grasslands showed increased SOC when the energy flux ratio of herbivory to microbivory was below the threshold of ~1, likely because lower temperatures constrain microbe-based decomposition and energy transfer to microbivory channels under more arid conditions. Understanding the context-dependent metabolic processes that underlie energy reallocation across soil food webs can augment modeling efforts to predict change to Earth’s carbon cycle.</w:t>
      </w:r>
    </w:p>
    <w:p>
      <w:pPr>
        <w:spacing w:before="120" w:after="120"/>
      </w:pPr>
      <w:r>
        <w:rPr>
          <w:sz w:val="18"/>
        </w:rPr>
        <w:t>——————————————————————————————————————————————————————————————————————</w:t>
      </w:r>
    </w:p>
    <w:p>
      <w:pPr>
        <w:spacing w:before="160" w:after="40" w:line="240" w:lineRule="auto"/>
      </w:pPr>
      <w:r>
        <w:rPr>
          <w:b/>
        </w:rPr>
        <w:t xml:space="preserve">[368] </w:t>
      </w:r>
      <w:hyperlink r:id="rId943">
        <w:r>
          <w:rPr>
            <w:color w:val="1155CC"/>
            <w:u w:val="single"/>
          </w:rPr>
          <w:t>利用对称性引导量子哈密顿量</w:t>
        </w:r>
      </w:hyperlink>
    </w:p>
    <w:p>
      <w:pPr>
        <w:spacing w:before="0" w:after="80"/>
      </w:pPr>
      <w:r>
        <w:rPr>
          <w:i/>
          <w:sz w:val="20"/>
        </w:rPr>
        <w:t>EN: Bootstrapping Quantum Hamiltonians with Symmetry</w:t>
      </w:r>
    </w:p>
    <w:p>
      <w:pPr>
        <w:spacing w:before="0" w:after="120"/>
      </w:pPr>
      <w:r>
        <w:rPr>
          <w:b/>
        </w:rPr>
        <w:t xml:space="preserve">Source: </w:t>
      </w:r>
      <w:r>
        <w:t>Recent Articles in Phys. Rev. Lett.</w:t>
      </w:r>
      <w:r>
        <w:t xml:space="preserve">    </w:t>
      </w:r>
      <w:r>
        <w:rPr>
          <w:b/>
        </w:rPr>
        <w:t xml:space="preserve">Pub date: </w:t>
      </w:r>
      <w:r>
        <w:t>2026-06-17 10:00:00+00:00</w:t>
      </w:r>
      <w:r>
        <w:t xml:space="preserve">    </w:t>
      </w:r>
      <w:r>
        <w:rPr>
          <w:b/>
        </w:rPr>
        <w:t xml:space="preserve">DOI: </w:t>
      </w:r>
      <w:hyperlink r:id="rId944">
        <w:r>
          <w:rPr>
            <w:color w:val="1155CC"/>
            <w:u w:val="single"/>
          </w:rPr>
          <w:t>10.1103/1757-fx9c</w:t>
        </w:r>
      </w:hyperlink>
    </w:p>
    <w:p>
      <w:pPr>
        <w:spacing w:before="0" w:after="120"/>
      </w:pPr>
      <w:r>
        <w:rPr>
          <w:b/>
        </w:rPr>
        <w:t xml:space="preserve">Notes: </w:t>
      </w:r>
      <w:r>
        <w:t>abstract_source=rss_description</w:t>
      </w:r>
    </w:p>
    <w:p>
      <w:pPr>
        <w:spacing w:before="0" w:after="80" w:lineRule="auto" w:line="276"/>
      </w:pPr>
      <w:r>
        <w:rPr>
          <w:b/>
        </w:rPr>
        <w:t xml:space="preserve">摘要（ZH）: </w:t>
      </w:r>
      <w:r>
        <w:t>作者：Michael G. Scheer我们描述了一种半定弛豫方法，该方法找到受埃尔米特线性约束以及基态期望值近似的量子哈密顿量的基态能量下界。我们证明对称性可以用来显着减少计算量……[Phys。莱特牧师。 136, 246501] 2026 年 6 月 17 日星期三发布</w:t>
      </w:r>
    </w:p>
    <w:p>
      <w:pPr>
        <w:spacing w:before="0" w:after="200" w:lineRule="auto" w:line="276"/>
      </w:pPr>
      <w:r>
        <w:rPr>
          <w:b/>
        </w:rPr>
        <w:t xml:space="preserve">Abstract (EN): </w:t>
      </w:r>
      <w:r>
        <w:t>Author(s): Michael G. ScheerWe describe a semidefinite relaxation method which finds lower bounds to the ground state energy of a quantum Hamiltonian subject to Hermitian linear constraints along with approximations of ground state expectation values. We show that symmetry can be used to significantly reduce the computational …[Phys. Rev. Lett. 136, 246501] Published Wed Jun 17, 2026</w:t>
      </w:r>
    </w:p>
    <w:p>
      <w:pPr>
        <w:spacing w:before="120" w:after="120"/>
      </w:pPr>
      <w:r>
        <w:rPr>
          <w:sz w:val="18"/>
        </w:rPr>
        <w:t>——————————————————————————————————————————————————————————————————————</w:t>
      </w:r>
    </w:p>
    <w:p>
      <w:pPr>
        <w:spacing w:before="160" w:after="40" w:line="240" w:lineRule="auto"/>
      </w:pPr>
      <w:r>
        <w:rPr>
          <w:b/>
        </w:rPr>
        <w:t xml:space="preserve">[369] </w:t>
      </w:r>
      <w:hyperlink r:id="rId945">
        <w:r>
          <w:rPr>
            <w:color w:val="1155CC"/>
            <w:u w:val="single"/>
          </w:rPr>
          <w:t>自旋-同位旋对称性在核$β$-衰变中的作用</w:t>
        </w:r>
      </w:hyperlink>
    </w:p>
    <w:p>
      <w:pPr>
        <w:spacing w:before="0" w:after="80"/>
      </w:pPr>
      <w:r>
        <w:rPr>
          <w:i/>
          <w:sz w:val="20"/>
        </w:rPr>
        <w:t>EN: Role of Spin-Isospin Symmetries in Nuclear $β$-Decays</w:t>
      </w:r>
    </w:p>
    <w:p>
      <w:pPr>
        <w:spacing w:before="0" w:after="120"/>
      </w:pPr>
      <w:r>
        <w:rPr>
          <w:b/>
        </w:rPr>
        <w:t xml:space="preserve">Source: </w:t>
      </w:r>
      <w:r>
        <w:t>Recent Articles in Phys. Rev. Lett.</w:t>
      </w:r>
      <w:r>
        <w:t xml:space="preserve">    </w:t>
      </w:r>
      <w:r>
        <w:rPr>
          <w:b/>
        </w:rPr>
        <w:t xml:space="preserve">Pub date: </w:t>
      </w:r>
      <w:r>
        <w:t>2026-06-17 10:00:00+00:00</w:t>
      </w:r>
      <w:r>
        <w:t xml:space="preserve">    </w:t>
      </w:r>
      <w:r>
        <w:rPr>
          <w:b/>
        </w:rPr>
        <w:t xml:space="preserve">DOI: </w:t>
      </w:r>
      <w:hyperlink r:id="rId946">
        <w:r>
          <w:rPr>
            <w:color w:val="1155CC"/>
            <w:u w:val="single"/>
          </w:rPr>
          <w:t>10.1103/vk51-b476</w:t>
        </w:r>
      </w:hyperlink>
    </w:p>
    <w:p>
      <w:pPr>
        <w:spacing w:before="0" w:after="120"/>
      </w:pPr>
      <w:r>
        <w:rPr>
          <w:b/>
        </w:rPr>
        <w:t xml:space="preserve">Notes: </w:t>
      </w:r>
      <w:r>
        <w:t>abstract_source=rss_description</w:t>
      </w:r>
    </w:p>
    <w:p>
      <w:pPr>
        <w:spacing w:before="0" w:after="80" w:lineRule="auto" w:line="276"/>
      </w:pPr>
      <w:r>
        <w:rPr>
          <w:b/>
        </w:rPr>
        <w:t xml:space="preserve">摘要（ZH）: </w:t>
      </w:r>
      <w:r>
        <w:t>作者：Simone Salvatore Li Muli、Tor R. Djärv、Christian Forssén 和 Daniel R. Phillips 一个世纪前，维格纳的 SU(4) 对称性被引入来解释原子核的性质。尽管最近重新引起了人们的兴趣，但它对核结构、转变和反应的影响尚未得到充分探讨。在这里，我们展示了各种高保真核相互作用预测核......[Phys。莱特牧师。 136, 242501] 2026 年 6 月 17 日星期三发布</w:t>
      </w:r>
    </w:p>
    <w:p>
      <w:pPr>
        <w:spacing w:before="0" w:after="200" w:lineRule="auto" w:line="276"/>
      </w:pPr>
      <w:r>
        <w:rPr>
          <w:b/>
        </w:rPr>
        <w:t xml:space="preserve">Abstract (EN): </w:t>
      </w:r>
      <w:r>
        <w:t>Author(s): Simone Salvatore Li Muli, Tor R. Djärv, Christian Forssén, and Daniel R. PhillipsA century ago, Wigner’s SU(4) symmetry was introduced to explain the properties of atomic nuclei. Despite recent revived interest, its impact on nuclear structure, transitions, and reactions has not been fully explored. Here, we show that a variety of high-fidelity nuclear interactions predict nucle…[Phys. Rev. Lett. 136, 242501] Published Wed Jun 17, 2026</w:t>
      </w:r>
    </w:p>
    <w:p>
      <w:pPr>
        <w:spacing w:before="120" w:after="120"/>
      </w:pPr>
      <w:r>
        <w:rPr>
          <w:sz w:val="18"/>
        </w:rPr>
        <w:t>——————————————————————————————————————————————————————————————————————</w:t>
      </w:r>
    </w:p>
    <w:p>
      <w:pPr>
        <w:spacing w:before="160" w:after="40" w:line="240" w:lineRule="auto"/>
      </w:pPr>
      <w:r>
        <w:rPr>
          <w:b/>
        </w:rPr>
        <w:t xml:space="preserve">[370] </w:t>
      </w:r>
      <w:hyperlink r:id="rId947">
        <w:r>
          <w:rPr>
            <w:color w:val="1155CC"/>
            <w:u w:val="single"/>
          </w:rPr>
          <w:t>长基线望远镜的记忆辅助非局域干涉仪</w:t>
        </w:r>
      </w:hyperlink>
    </w:p>
    <w:p>
      <w:pPr>
        <w:spacing w:before="0" w:after="80"/>
      </w:pPr>
      <w:r>
        <w:rPr>
          <w:i/>
          <w:sz w:val="20"/>
        </w:rPr>
        <w:t>EN: Memory-Assisted Nonlocal Interferometer toward Long-Baseline Telescopes</w:t>
      </w:r>
    </w:p>
    <w:p>
      <w:pPr>
        <w:spacing w:before="0" w:after="120"/>
      </w:pPr>
      <w:r>
        <w:rPr>
          <w:b/>
        </w:rPr>
        <w:t xml:space="preserve">Source: </w:t>
      </w:r>
      <w:r>
        <w:t>Recent Articles in Phys. Rev. Lett.</w:t>
      </w:r>
      <w:r>
        <w:t xml:space="preserve">    </w:t>
      </w:r>
      <w:r>
        <w:rPr>
          <w:b/>
        </w:rPr>
        <w:t xml:space="preserve">Pub date: </w:t>
      </w:r>
      <w:r>
        <w:t>2026-06-17 10:00:00+00:00</w:t>
      </w:r>
      <w:r>
        <w:t xml:space="preserve">    </w:t>
      </w:r>
      <w:r>
        <w:rPr>
          <w:b/>
        </w:rPr>
        <w:t xml:space="preserve">DOI: </w:t>
      </w:r>
      <w:hyperlink r:id="rId948">
        <w:r>
          <w:rPr>
            <w:color w:val="1155CC"/>
            <w:u w:val="single"/>
          </w:rPr>
          <w:t>10.1103/qpzn-h7p9</w:t>
        </w:r>
      </w:hyperlink>
    </w:p>
    <w:p>
      <w:pPr>
        <w:spacing w:before="0" w:after="120"/>
      </w:pPr>
      <w:r>
        <w:rPr>
          <w:b/>
        </w:rPr>
        <w:t xml:space="preserve">Notes: </w:t>
      </w:r>
      <w:r>
        <w:t>abstract_source=rss_description</w:t>
      </w:r>
    </w:p>
    <w:p>
      <w:pPr>
        <w:spacing w:before="0" w:after="80" w:lineRule="auto" w:line="276"/>
      </w:pPr>
      <w:r>
        <w:rPr>
          <w:b/>
        </w:rPr>
        <w:t xml:space="preserve">摘要（ZH）: </w:t>
      </w:r>
      <w:r>
        <w:t>Author(s): Bin Wang, Xi-Yu Luo, Bo-Feng Gao, Jian-Long Liu, Chao-Yang Wang, Zi Yan, Qiao-Mu Ke, Da Teng, Ming-Yang Zheng, Yuan Cao, Jun Li, Cheng-Zhi Peng, Qiang Zhang, Xiao-Hui Bao, and Jian-Wei PanA memory-assisted nonlocal optical interferometer leverages delocalized single-photon entanglement to extend interferometric baselines (up to 20 km) and compensate geometric delay.[Phys. Rev. Lett. 136, 240801] Published Wed Jun 17, 2026</w:t>
      </w:r>
    </w:p>
    <w:p>
      <w:pPr>
        <w:spacing w:before="0" w:after="200" w:lineRule="auto" w:line="276"/>
      </w:pPr>
      <w:r>
        <w:rPr>
          <w:b/>
        </w:rPr>
        <w:t xml:space="preserve">Abstract (EN): </w:t>
      </w:r>
      <w:r>
        <w:t>Author(s): Bin Wang, Xi-Yu Luo, Bo-Feng Gao, Jian-Long Liu, Chao-Yang Wang, Zi Yan, Qiao-Mu Ke, Da Teng, Ming-Yang Zheng, Yuan Cao, Jun Li, Cheng-Zhi Peng, Qiang Zhang, Xiao-Hui Bao, and Jian-Wei PanA memory-assisted nonlocal optical interferometer leverages delocalized single-photon entanglement to extend interferometric baselines (up to 20 km) and compensate geometric delay.[Phys. Rev. Lett. 136, 240801] Published Wed Jun 17, 2026</w:t>
      </w:r>
    </w:p>
    <w:p>
      <w:pPr>
        <w:spacing w:before="120" w:after="120"/>
      </w:pPr>
      <w:r>
        <w:rPr>
          <w:sz w:val="18"/>
        </w:rPr>
        <w:t>——————————————————————————————————————————————————————————————————————</w:t>
      </w:r>
    </w:p>
    <w:p>
      <w:pPr>
        <w:spacing w:before="160" w:after="40" w:line="240" w:lineRule="auto"/>
      </w:pPr>
      <w:r>
        <w:rPr>
          <w:b/>
        </w:rPr>
        <w:t xml:space="preserve">[371] </w:t>
      </w:r>
      <w:hyperlink r:id="rId949">
        <w:r>
          <w:rPr>
            <w:color w:val="1155CC"/>
            <w:u w:val="single"/>
          </w:rPr>
          <w:t>勘误表：超冷玻色子 $^{39}\mathrm{K}^{133}\mathrm{Cs}$ 分子的光谱学和基态转移 [Phys.莱特牧师。 135、203401（2025）]</w:t>
        </w:r>
      </w:hyperlink>
    </w:p>
    <w:p>
      <w:pPr>
        <w:spacing w:before="0" w:after="80"/>
      </w:pPr>
      <w:r>
        <w:rPr>
          <w:i/>
          <w:sz w:val="20"/>
        </w:rPr>
        <w:t>EN: Erratum: Spectroscopy and Ground-State Transfer of Ultracold Bosonic $^{39}\mathrm{K}^{133}\mathrm{Cs}$ Molecules [Phys. Rev. Lett. 135, 203401 (2025)]</w:t>
      </w:r>
    </w:p>
    <w:p>
      <w:pPr>
        <w:spacing w:before="0" w:after="120"/>
      </w:pPr>
      <w:r>
        <w:rPr>
          <w:b/>
        </w:rPr>
        <w:t xml:space="preserve">Source: </w:t>
      </w:r>
      <w:r>
        <w:t>Recent Articles in Phys. Rev. Lett.</w:t>
      </w:r>
      <w:r>
        <w:t xml:space="preserve">    </w:t>
      </w:r>
      <w:r>
        <w:rPr>
          <w:b/>
        </w:rPr>
        <w:t xml:space="preserve">Pub date: </w:t>
      </w:r>
      <w:r>
        <w:t>2026-06-17 10:00:00+00:00</w:t>
      </w:r>
      <w:r>
        <w:t xml:space="preserve">    </w:t>
      </w:r>
      <w:r>
        <w:rPr>
          <w:b/>
        </w:rPr>
        <w:t xml:space="preserve">DOI: </w:t>
      </w:r>
      <w:hyperlink r:id="rId950">
        <w:r>
          <w:rPr>
            <w:color w:val="1155CC"/>
            <w:u w:val="single"/>
          </w:rPr>
          <w:t>10.1103/zsg7-r2cm</w:t>
        </w:r>
      </w:hyperlink>
    </w:p>
    <w:p>
      <w:pPr>
        <w:spacing w:before="0" w:after="120"/>
      </w:pPr>
      <w:r>
        <w:rPr>
          <w:b/>
        </w:rPr>
        <w:t xml:space="preserve">Notes: </w:t>
      </w:r>
      <w:r>
        <w:t>abstract_source=rss_description</w:t>
      </w:r>
    </w:p>
    <w:p>
      <w:pPr>
        <w:spacing w:before="0" w:after="80" w:lineRule="auto" w:line="276"/>
      </w:pPr>
      <w:r>
        <w:rPr>
          <w:b/>
        </w:rPr>
        <w:t xml:space="preserve">摘要（ZH）: </w:t>
      </w:r>
      <w:r>
        <w:t>作者：Krzysztof P. Zamarski、Charly Beulenkamp、Yi Zeng、Manuele Landini 和 Hanns-Christoph Nägerl[物理学。牧师神父。莱特。 136, 249902] 2026 年 6 月 17 日星期三发布</w:t>
      </w:r>
    </w:p>
    <w:p>
      <w:pPr>
        <w:spacing w:before="0" w:after="200" w:lineRule="auto" w:line="276"/>
      </w:pPr>
      <w:r>
        <w:rPr>
          <w:b/>
        </w:rPr>
        <w:t xml:space="preserve">Abstract (EN): </w:t>
      </w:r>
      <w:r>
        <w:t>Author(s): Krzysztof P. Zamarski, Charly Beulenkamp, Yi Zeng, Manuele Landini, and Hanns-Christoph Nägerl[Phys. Rev. Lett. 136, 249902] Published Wed Jun 17, 2026</w:t>
      </w:r>
    </w:p>
    <w:p>
      <w:pPr>
        <w:spacing w:before="120" w:after="120"/>
      </w:pPr>
      <w:r>
        <w:rPr>
          <w:sz w:val="18"/>
        </w:rPr>
        <w:t>——————————————————————————————————————————————————————————————————————</w:t>
      </w:r>
    </w:p>
    <w:p>
      <w:pPr>
        <w:spacing w:before="160" w:after="40" w:line="240" w:lineRule="auto"/>
      </w:pPr>
      <w:r>
        <w:rPr>
          <w:b/>
        </w:rPr>
        <w:t xml:space="preserve">[372] </w:t>
      </w:r>
      <w:hyperlink r:id="rId951">
        <w:r>
          <w:rPr>
            <w:color w:val="1155CC"/>
            <w:u w:val="single"/>
          </w:rPr>
          <w:t>重宇宙核磷、氯、氩、钾和钙的性质：阿尔法磁谱仪的结果</w:t>
        </w:r>
      </w:hyperlink>
    </w:p>
    <w:p>
      <w:pPr>
        <w:spacing w:before="0" w:after="80"/>
      </w:pPr>
      <w:r>
        <w:rPr>
          <w:i/>
          <w:sz w:val="20"/>
        </w:rPr>
        <w:t>EN: Properties of Heavy Cosmic Nuclei Phosphorus, Chlorine, Argon, Potassium, and Calcium: Results from the Alpha Magnetic Spectrometer</w:t>
      </w:r>
    </w:p>
    <w:p>
      <w:pPr>
        <w:spacing w:before="0" w:after="120"/>
      </w:pPr>
      <w:r>
        <w:rPr>
          <w:b/>
        </w:rPr>
        <w:t xml:space="preserve">Source: </w:t>
      </w:r>
      <w:r>
        <w:t>Recent Articles in Phys. Rev. Lett.</w:t>
      </w:r>
      <w:r>
        <w:t xml:space="preserve">    </w:t>
      </w:r>
      <w:r>
        <w:rPr>
          <w:b/>
        </w:rPr>
        <w:t xml:space="preserve">Pub date: </w:t>
      </w:r>
      <w:r>
        <w:t>2026-06-17 10:00:00+00:00</w:t>
      </w:r>
      <w:r>
        <w:t xml:space="preserve">    </w:t>
      </w:r>
      <w:r>
        <w:rPr>
          <w:b/>
        </w:rPr>
        <w:t xml:space="preserve">DOI: </w:t>
      </w:r>
      <w:hyperlink r:id="rId952">
        <w:r>
          <w:rPr>
            <w:color w:val="1155CC"/>
            <w:u w:val="single"/>
          </w:rPr>
          <w:t>10.1103/d2vf-fw3v</w:t>
        </w:r>
      </w:hyperlink>
    </w:p>
    <w:p>
      <w:pPr>
        <w:spacing w:before="0" w:after="120"/>
      </w:pPr>
      <w:r>
        <w:rPr>
          <w:b/>
        </w:rPr>
        <w:t xml:space="preserve">Notes: </w:t>
      </w:r>
      <w:r>
        <w:t>abstract_source=rss_description</w:t>
      </w:r>
    </w:p>
    <w:p>
      <w:pPr>
        <w:spacing w:before="0" w:after="80" w:lineRule="auto" w:line="276"/>
      </w:pPr>
      <w:r>
        <w:rPr>
          <w:b/>
        </w:rPr>
        <w:t xml:space="preserve">摘要（ZH）: </w:t>
      </w:r>
      <w:r>
        <w:t>作者：A. Aceituno 等人。 （AMS 合作）我们报告了国际空间站上的 Alpha 磁谱仪 (AMS) 收集的 GV 至 TV 刚性范围内的宇宙磷 (P)、氯 (Cl)、氩 (Ar)、钾 (K) 和钙 (Ca) 通量的独特性质。 13.5 年里总共收集了 100 万个事件……[Phys.莱特牧师。 136, 241002] 2026 年 6 月 17 日星期三发布</w:t>
      </w:r>
    </w:p>
    <w:p>
      <w:pPr>
        <w:spacing w:before="0" w:after="200" w:lineRule="auto" w:line="276"/>
      </w:pPr>
      <w:r>
        <w:rPr>
          <w:b/>
        </w:rPr>
        <w:t xml:space="preserve">Abstract (EN): </w:t>
      </w:r>
      <w:r>
        <w:t>Author(s): A. Aceituno et al. (AMS Collaboration)We report the unique properties of cosmic phosphorus (P), chlorine (Cl), argon (Ar), potassium (K), and calcium (Ca) fluxes in the GV to TV rigidity range collected by the Alpha Magnetic Spectrometer (AMS) on the International Space Station. With a total of one million events collected over 13.5 yea…[Phys. Rev. Lett. 136, 241002] Published Wed Jun 17, 2026</w:t>
      </w:r>
    </w:p>
    <w:p>
      <w:pPr>
        <w:spacing w:before="120" w:after="120"/>
      </w:pPr>
      <w:r>
        <w:rPr>
          <w:sz w:val="18"/>
        </w:rPr>
        <w:t>——————————————————————————————————————————————————————————————————————</w:t>
      </w:r>
    </w:p>
    <w:p>
      <w:pPr>
        <w:spacing w:before="160" w:after="40" w:line="240" w:lineRule="auto"/>
      </w:pPr>
      <w:r>
        <w:rPr>
          <w:b/>
        </w:rPr>
        <w:t xml:space="preserve">[373] </w:t>
      </w:r>
      <w:hyperlink r:id="rId953">
        <w:r>
          <w:rPr>
            <w:color w:val="1155CC"/>
            <w:u w:val="single"/>
          </w:rPr>
          <w:t>勘误表：电八极辐射自发发射的 ${^{2}F}_{7/2}$ 水平的寿命 ${\mathrm{Yb}}^{+}$ [物理。莱特牧师。 127, 213001(2021)]</w:t>
        </w:r>
      </w:hyperlink>
    </w:p>
    <w:p>
      <w:pPr>
        <w:spacing w:before="0" w:after="80"/>
      </w:pPr>
      <w:r>
        <w:rPr>
          <w:i/>
          <w:sz w:val="20"/>
        </w:rPr>
        <w:t>EN: Erratum: Lifetime of the ${^{2}F}_{7/2}$ Level in ${\mathrm{Yb}}^{+}$ for Spontaneous Emission of Electric Octupole Radiation [Phys. Rev. Lett. 127, 213001 (2021)]</w:t>
      </w:r>
    </w:p>
    <w:p>
      <w:pPr>
        <w:spacing w:before="0" w:after="120"/>
      </w:pPr>
      <w:r>
        <w:rPr>
          <w:b/>
        </w:rPr>
        <w:t xml:space="preserve">Source: </w:t>
      </w:r>
      <w:r>
        <w:t>Recent Articles in Phys. Rev. Lett.</w:t>
      </w:r>
      <w:r>
        <w:t xml:space="preserve">    </w:t>
      </w:r>
      <w:r>
        <w:rPr>
          <w:b/>
        </w:rPr>
        <w:t xml:space="preserve">Pub date: </w:t>
      </w:r>
      <w:r>
        <w:t>2026-06-17 10:00:00+00:00</w:t>
      </w:r>
      <w:r>
        <w:t xml:space="preserve">    </w:t>
      </w:r>
      <w:r>
        <w:rPr>
          <w:b/>
        </w:rPr>
        <w:t xml:space="preserve">DOI: </w:t>
      </w:r>
      <w:hyperlink r:id="rId954">
        <w:r>
          <w:rPr>
            <w:color w:val="1155CC"/>
            <w:u w:val="single"/>
          </w:rPr>
          <w:t>10.1103/6zt4-vgwj</w:t>
        </w:r>
      </w:hyperlink>
    </w:p>
    <w:p>
      <w:pPr>
        <w:spacing w:before="0" w:after="120"/>
      </w:pPr>
      <w:r>
        <w:rPr>
          <w:b/>
        </w:rPr>
        <w:t xml:space="preserve">Notes: </w:t>
      </w:r>
      <w:r>
        <w:t>abstract_source=rss_description</w:t>
      </w:r>
    </w:p>
    <w:p>
      <w:pPr>
        <w:spacing w:before="0" w:after="80" w:lineRule="auto" w:line="276"/>
      </w:pPr>
      <w:r>
        <w:rPr>
          <w:b/>
        </w:rPr>
        <w:t xml:space="preserve">摘要（ZH）: </w:t>
      </w:r>
      <w:r>
        <w:t>作者：R. Lange、A. A. Peshkov、N. Huntemann、Chr. Tamm、A. Surzhykov 和 E. Peik [物理学。冻结。莱特。 136, 249901] 2026 年 6 月 17 日星期三发布</w:t>
      </w:r>
    </w:p>
    <w:p>
      <w:pPr>
        <w:spacing w:before="0" w:after="200" w:lineRule="auto" w:line="276"/>
      </w:pPr>
      <w:r>
        <w:rPr>
          <w:b/>
        </w:rPr>
        <w:t xml:space="preserve">Abstract (EN): </w:t>
      </w:r>
      <w:r>
        <w:t>Author(s): R. Lange, A. A. Peshkov, N. Huntemann, Chr. Tamm, A. Surzhykov, and E. Peik[Phys. Rev. Lett. 136, 249901] Published Wed Jun 17, 2026</w:t>
      </w:r>
    </w:p>
    <w:p>
      <w:pPr>
        <w:spacing w:before="120" w:after="120"/>
      </w:pPr>
      <w:r>
        <w:rPr>
          <w:sz w:val="18"/>
        </w:rPr>
        <w:t>——————————————————————————————————————————————————————————————————————</w:t>
      </w:r>
    </w:p>
    <w:p>
      <w:pPr>
        <w:spacing w:before="160" w:after="40" w:line="240" w:lineRule="auto"/>
      </w:pPr>
      <w:r>
        <w:rPr>
          <w:b/>
        </w:rPr>
        <w:t xml:space="preserve">[374] </w:t>
      </w:r>
      <w:hyperlink r:id="rId955">
        <w:r>
          <w:rPr>
            <w:color w:val="1155CC"/>
            <w:u w:val="single"/>
          </w:rPr>
          <w:t>生化网络中基于状态与基于反应的信息处理</w:t>
        </w:r>
      </w:hyperlink>
    </w:p>
    <w:p>
      <w:pPr>
        <w:spacing w:before="0" w:after="80"/>
      </w:pPr>
      <w:r>
        <w:rPr>
          <w:i/>
          <w:sz w:val="20"/>
        </w:rPr>
        <w:t>EN: State- versus Reaction-Based Information Processing in Biochemical Networks</w:t>
      </w:r>
    </w:p>
    <w:p>
      <w:pPr>
        <w:spacing w:before="0" w:after="120"/>
      </w:pPr>
      <w:r>
        <w:rPr>
          <w:b/>
        </w:rPr>
        <w:t xml:space="preserve">Source: </w:t>
      </w:r>
      <w:r>
        <w:t>Recent Articles in Phys. Rev. Lett.</w:t>
      </w:r>
      <w:r>
        <w:t xml:space="preserve">    </w:t>
      </w:r>
      <w:r>
        <w:rPr>
          <w:b/>
        </w:rPr>
        <w:t xml:space="preserve">Pub date: </w:t>
      </w:r>
      <w:r>
        <w:t>2026-06-17 10:00:00+00:00</w:t>
      </w:r>
      <w:r>
        <w:t xml:space="preserve">    </w:t>
      </w:r>
      <w:r>
        <w:rPr>
          <w:b/>
        </w:rPr>
        <w:t xml:space="preserve">DOI: </w:t>
      </w:r>
      <w:hyperlink r:id="rId956">
        <w:r>
          <w:rPr>
            <w:color w:val="1155CC"/>
            <w:u w:val="single"/>
          </w:rPr>
          <w:t>10.1103/nfk6-8x5s</w:t>
        </w:r>
      </w:hyperlink>
    </w:p>
    <w:p>
      <w:pPr>
        <w:spacing w:before="0" w:after="120"/>
      </w:pPr>
      <w:r>
        <w:rPr>
          <w:b/>
        </w:rPr>
        <w:t xml:space="preserve">Notes: </w:t>
      </w:r>
      <w:r>
        <w:t>abstract_source=rss_description</w:t>
      </w:r>
    </w:p>
    <w:p>
      <w:pPr>
        <w:spacing w:before="0" w:after="80" w:lineRule="auto" w:line="276"/>
      </w:pPr>
      <w:r>
        <w:rPr>
          <w:b/>
        </w:rPr>
        <w:t xml:space="preserve">摘要（ZH）: </w:t>
      </w:r>
      <w:r>
        <w:t>作者：Anne-Lena Moor、Age Tjalma、Manuel Reinhardt、Pieter Rein ten Wolde 和 Christoph Zechner 轨迹互信息经常用于量化生化系统中的信息传递。轨迹互信息的易处理解可以通过广泛使用的线性噪声近似（LNA）使用高斯通道理论获得。这种方法预计是准确的……[物理。莱特牧师。 136, 248401] 2026 年 6 月 17 日星期三发布</w:t>
      </w:r>
    </w:p>
    <w:p>
      <w:pPr>
        <w:spacing w:before="0" w:after="200" w:lineRule="auto" w:line="276"/>
      </w:pPr>
      <w:r>
        <w:rPr>
          <w:b/>
        </w:rPr>
        <w:t xml:space="preserve">Abstract (EN): </w:t>
      </w:r>
      <w:r>
        <w:t>Author(s): Anne-Lena Moor, Age Tjalma, Manuel Reinhardt, Pieter Rein ten Wolde, and Christoph ZechnerTrajectory mutual information is frequently used to quantify information transfer in biochemical systems. Tractable solutions of the trajectory mutual information can be obtained via the widely used linear-noise approximation (LNA) using Gaussian channel theory. This approach is expected to be accur…[Phys. Rev. Lett. 136, 248401] Published Wed Jun 17, 2026</w:t>
      </w:r>
    </w:p>
    <w:p>
      <w:pPr>
        <w:spacing w:before="120" w:after="120"/>
      </w:pPr>
      <w:r>
        <w:rPr>
          <w:sz w:val="18"/>
        </w:rPr>
        <w:t>——————————————————————————————————————————————————————————————————————</w:t>
      </w:r>
    </w:p>
    <w:p>
      <w:pPr>
        <w:spacing w:before="160" w:after="40" w:line="240" w:lineRule="auto"/>
      </w:pPr>
      <w:r>
        <w:rPr>
          <w:b/>
        </w:rPr>
        <w:t xml:space="preserve">[375] </w:t>
      </w:r>
      <w:hyperlink r:id="rId957">
        <w:r>
          <w:rPr>
            <w:color w:val="1155CC"/>
            <w:u w:val="single"/>
          </w:rPr>
          <w:t>Kuramoto-Sakaguchi 模型中有限尺寸波动的平均场方法</w:t>
        </w:r>
      </w:hyperlink>
    </w:p>
    <w:p>
      <w:pPr>
        <w:spacing w:before="0" w:after="80"/>
      </w:pPr>
      <w:r>
        <w:rPr>
          <w:i/>
          <w:sz w:val="20"/>
        </w:rPr>
        <w:t>EN: Mean-Field Approach to Finite-Size Fluctuations in the Kuramoto-Sakaguchi Model</w:t>
      </w:r>
    </w:p>
    <w:p>
      <w:pPr>
        <w:spacing w:before="0" w:after="120"/>
      </w:pPr>
      <w:r>
        <w:rPr>
          <w:b/>
        </w:rPr>
        <w:t xml:space="preserve">Source: </w:t>
      </w:r>
      <w:r>
        <w:t>Recent Articles in Phys. Rev. Lett.</w:t>
      </w:r>
      <w:r>
        <w:t xml:space="preserve">    </w:t>
      </w:r>
      <w:r>
        <w:rPr>
          <w:b/>
        </w:rPr>
        <w:t xml:space="preserve">Pub date: </w:t>
      </w:r>
      <w:r>
        <w:t>2026-06-17 10:00:00+00:00</w:t>
      </w:r>
      <w:r>
        <w:t xml:space="preserve">    </w:t>
      </w:r>
      <w:r>
        <w:rPr>
          <w:b/>
        </w:rPr>
        <w:t xml:space="preserve">DOI: </w:t>
      </w:r>
      <w:hyperlink r:id="rId958">
        <w:r>
          <w:rPr>
            <w:color w:val="1155CC"/>
            <w:u w:val="single"/>
          </w:rPr>
          <w:t>10.1103/95t3-rvxg</w:t>
        </w:r>
      </w:hyperlink>
    </w:p>
    <w:p>
      <w:pPr>
        <w:spacing w:before="0" w:after="120"/>
      </w:pPr>
      <w:r>
        <w:rPr>
          <w:b/>
        </w:rPr>
        <w:t xml:space="preserve">Notes: </w:t>
      </w:r>
      <w:r>
        <w:t>abstract_source=rss_description</w:t>
      </w:r>
    </w:p>
    <w:p>
      <w:pPr>
        <w:spacing w:before="0" w:after="80" w:lineRule="auto" w:line="276"/>
      </w:pPr>
      <w:r>
        <w:rPr>
          <w:b/>
        </w:rPr>
        <w:t xml:space="preserve">摘要（ZH）: </w:t>
      </w:r>
      <w:r>
        <w:t>作者：Oleh E. Omel’chenko 和 Georg A. Gottwald 我们开发了一种从头开始的方法来描述确定性 Kuramoto-Sakaguchi 模型中有限大小波动的统计行为。我们获得了复序参数波动的协方差函数的显式表达式，并确定了其幅度的方差......[Phys。莱特牧师。 136, 247201] 2026 年 6 月 17 日星期三发布</w:t>
      </w:r>
    </w:p>
    <w:p>
      <w:pPr>
        <w:spacing w:before="0" w:after="200" w:lineRule="auto" w:line="276"/>
      </w:pPr>
      <w:r>
        <w:rPr>
          <w:b/>
        </w:rPr>
        <w:t xml:space="preserve">Abstract (EN): </w:t>
      </w:r>
      <w:r>
        <w:t>Author(s): Oleh E. Omel’chenko and Georg A. GottwaldWe develop an ab initio approach to describe the statistical behavior of finite-size fluctuations in the deterministic Kuramoto-Sakaguchi model. We obtain explicit expressions for the covariance function of fluctuations of the complex order parameter and determine the variance of its magnitude entir…[Phys. Rev. Lett. 136, 247201] Published Wed Jun 17, 2026</w:t>
      </w:r>
    </w:p>
    <w:p>
      <w:pPr>
        <w:spacing w:before="120" w:after="120"/>
      </w:pPr>
      <w:r>
        <w:rPr>
          <w:sz w:val="18"/>
        </w:rPr>
        <w:t>——————————————————————————————————————————————————————————————————————</w:t>
      </w:r>
    </w:p>
    <w:p>
      <w:pPr>
        <w:spacing w:before="160" w:after="40" w:line="240" w:lineRule="auto"/>
      </w:pPr>
      <w:r>
        <w:rPr>
          <w:b/>
        </w:rPr>
        <w:t xml:space="preserve">[376] </w:t>
      </w:r>
      <w:hyperlink r:id="rId959">
        <w:r>
          <w:rPr>
            <w:color w:val="1155CC"/>
            <w:u w:val="single"/>
          </w:rPr>
          <w:t>通过受激电子-空穴相变设计的势势进行激子转向</w:t>
        </w:r>
      </w:hyperlink>
    </w:p>
    <w:p>
      <w:pPr>
        <w:spacing w:before="0" w:after="80"/>
      </w:pPr>
      <w:r>
        <w:rPr>
          <w:i/>
          <w:sz w:val="20"/>
        </w:rPr>
        <w:t>EN: Exciton Steering via Potential Landscape Engineered by Excited Electron-Hole Phase Transition</w:t>
      </w:r>
    </w:p>
    <w:p>
      <w:pPr>
        <w:spacing w:before="0" w:after="120"/>
      </w:pPr>
      <w:r>
        <w:rPr>
          <w:b/>
        </w:rPr>
        <w:t xml:space="preserve">Source: </w:t>
      </w:r>
      <w:r>
        <w:t>Recent Articles in Phys. Rev. Lett.</w:t>
      </w:r>
      <w:r>
        <w:t xml:space="preserve">    </w:t>
      </w:r>
      <w:r>
        <w:rPr>
          <w:b/>
        </w:rPr>
        <w:t xml:space="preserve">Pub date: </w:t>
      </w:r>
      <w:r>
        <w:t>2026-06-17 10:00:00+00:00</w:t>
      </w:r>
      <w:r>
        <w:t xml:space="preserve">    </w:t>
      </w:r>
      <w:r>
        <w:rPr>
          <w:b/>
        </w:rPr>
        <w:t xml:space="preserve">DOI: </w:t>
      </w:r>
      <w:hyperlink r:id="rId960">
        <w:r>
          <w:rPr>
            <w:color w:val="1155CC"/>
            <w:u w:val="single"/>
          </w:rPr>
          <w:t>10.1103/sslb-bpc9</w:t>
        </w:r>
      </w:hyperlink>
    </w:p>
    <w:p>
      <w:pPr>
        <w:spacing w:before="0" w:after="120"/>
      </w:pPr>
      <w:r>
        <w:rPr>
          <w:b/>
        </w:rPr>
        <w:t xml:space="preserve">Notes: </w:t>
      </w:r>
      <w:r>
        <w:t>abstract_source=rss_description</w:t>
      </w:r>
    </w:p>
    <w:p>
      <w:pPr>
        <w:spacing w:before="0" w:after="80" w:lineRule="auto" w:line="276"/>
      </w:pPr>
      <w:r>
        <w:rPr>
          <w:b/>
        </w:rPr>
        <w:t xml:space="preserve">摘要（ZH）: </w:t>
      </w:r>
      <w:r>
        <w:t>作者：Yiling Yu、Yan Xu、Volodymyr Turkowski、Bo Liu、Sheng Liu、Yihan Xiang、Yaorong Liu、Chen Shen、Sheng Wang、Talat S. Rahman、Ting Yu 和 Jun He 由于缺乏高效、可调节的驱动机制，控制激子输运（尤其是具有强光-物质相互作用的层内激子）具有挑战性，阻碍了实际激子器件的开发。在这封信中，我们展示了层内激子的全光学转向……[物理。莱特牧师。 136, 246901] 2026 年 6 月 17 日星期三发布</w:t>
      </w:r>
    </w:p>
    <w:p>
      <w:pPr>
        <w:spacing w:before="0" w:after="200" w:lineRule="auto" w:line="276"/>
      </w:pPr>
      <w:r>
        <w:rPr>
          <w:b/>
        </w:rPr>
        <w:t xml:space="preserve">Abstract (EN): </w:t>
      </w:r>
      <w:r>
        <w:t>Author(s): Yiling Yu, Yan Xu, Volodymyr Turkowski, Bo Liu, Sheng Liu, Yihan Xiang, Yaorong Liu, Chen Shen, Sheng Wang, Talat S. Rahman, Ting Yu, and Jun HeControlling exciton transport—especially intralayer excitons with strong light-matter interactions—is challenging due to the lack of efficient, tunable driving mechanisms, hindering practical excitonic device development. In this Letter, we demonstrate all-optical steering of intralayer excitons in …[Phys. Rev. Lett. 136, 246901] Published Wed Jun 17, 2026</w:t>
      </w:r>
    </w:p>
    <w:p>
      <w:pPr>
        <w:spacing w:before="120" w:after="120"/>
      </w:pPr>
      <w:r>
        <w:rPr>
          <w:sz w:val="18"/>
        </w:rPr>
        <w:t>——————————————————————————————————————————————————————————————————————</w:t>
      </w:r>
    </w:p>
    <w:p>
      <w:pPr>
        <w:spacing w:before="160" w:after="40" w:line="240" w:lineRule="auto"/>
      </w:pPr>
      <w:r>
        <w:rPr>
          <w:b/>
        </w:rPr>
        <w:t xml:space="preserve">[377] </w:t>
      </w:r>
      <w:hyperlink r:id="rId961">
        <w:r>
          <w:rPr>
            <w:color w:val="1155CC"/>
            <w:u w:val="single"/>
          </w:rPr>
          <w:t>超外围重离子碰撞中唯一$J/ψ→{e}^{+}{e}^{−}$光产生中自旋干涉效应的证据</w:t>
        </w:r>
      </w:hyperlink>
    </w:p>
    <w:p>
      <w:pPr>
        <w:spacing w:before="0" w:after="80"/>
      </w:pPr>
      <w:r>
        <w:rPr>
          <w:i/>
          <w:sz w:val="20"/>
        </w:rPr>
        <w:t>EN: Evidence of Spin-Interference Effects in Exclusive $J/ψ→{e}^{+}{e}^{−}$ Photoproduction in Ultraperipheral Heavy-Ion Collisions</w:t>
      </w:r>
    </w:p>
    <w:p>
      <w:pPr>
        <w:spacing w:before="0" w:after="120"/>
      </w:pPr>
      <w:r>
        <w:rPr>
          <w:b/>
        </w:rPr>
        <w:t xml:space="preserve">Source: </w:t>
      </w:r>
      <w:r>
        <w:t>Recent Articles in Phys. Rev. Lett.</w:t>
      </w:r>
      <w:r>
        <w:t xml:space="preserve">    </w:t>
      </w:r>
      <w:r>
        <w:rPr>
          <w:b/>
        </w:rPr>
        <w:t xml:space="preserve">Pub date: </w:t>
      </w:r>
      <w:r>
        <w:t>2026-06-17 10:00:00+00:00</w:t>
      </w:r>
      <w:r>
        <w:t xml:space="preserve">    </w:t>
      </w:r>
      <w:r>
        <w:rPr>
          <w:b/>
        </w:rPr>
        <w:t xml:space="preserve">DOI: </w:t>
      </w:r>
      <w:hyperlink r:id="rId962">
        <w:r>
          <w:rPr>
            <w:color w:val="1155CC"/>
            <w:u w:val="single"/>
          </w:rPr>
          <w:t>10.1103/tcdb-ldh8</w:t>
        </w:r>
      </w:hyperlink>
    </w:p>
    <w:p>
      <w:pPr>
        <w:spacing w:before="0" w:after="120"/>
      </w:pPr>
      <w:r>
        <w:rPr>
          <w:b/>
        </w:rPr>
        <w:t xml:space="preserve">Notes: </w:t>
      </w:r>
      <w:r>
        <w:t>abstract_source=rss_description</w:t>
      </w:r>
    </w:p>
    <w:p>
      <w:pPr>
        <w:spacing w:before="0" w:after="80" w:lineRule="auto" w:line="276"/>
      </w:pPr>
      <w:r>
        <w:rPr>
          <w:b/>
        </w:rPr>
        <w:t xml:space="preserve">摘要（ZH）: </w:t>
      </w:r>
      <w:r>
        <w:t>作者：B.E.Aboona 等人（STAR 合作）我们报告了 STAR 超外围重离子碰撞中唯一的 $J/ψ→{e}^{+}{e}^{−}$ 光产生中自旋干涉的第一个证据，$\sqrt{{s}_{NN}}=200\text{ }\text{ }\mathrm{GeV}$。在 $\mathrm{Au}+\mathrm{Au}$ 碰撞中，${p…[Phys.莱特牧师。 136, 242302] 2026 年 6 月 17 日星期三发布</w:t>
      </w:r>
    </w:p>
    <w:p>
      <w:pPr>
        <w:spacing w:before="0" w:after="200" w:lineRule="auto" w:line="276"/>
      </w:pPr>
      <w:r>
        <w:rPr>
          <w:b/>
        </w:rPr>
        <w:t xml:space="preserve">Abstract (EN): </w:t>
      </w:r>
      <w:r>
        <w:t>Author(s): B. E. Aboona et al. (STAR Collaboration)We report the first evidence of spin interference in exclusive $J/ψ→{e}^{+}{e}^{−}$ photoproduction in ultraperipheral heavy-ion collisions at STAR at $\sqrt{{s}_{NN}}=200\text{ }\text{ }\mathrm{GeV}$. In $\mathrm{Au}+\mathrm{Au}$ collisions, a negative $\mathrm{cos}(2ϕ)$ modulation is found for ${p…[Phys. Rev. Lett. 136, 242302] Published Wed Jun 17, 2026</w:t>
      </w:r>
    </w:p>
    <w:p>
      <w:pPr>
        <w:spacing w:before="120" w:after="120"/>
      </w:pPr>
      <w:r>
        <w:rPr>
          <w:sz w:val="18"/>
        </w:rPr>
        <w:t>——————————————————————————————————————————————————————————————————————</w:t>
      </w:r>
    </w:p>
    <w:p>
      <w:pPr>
        <w:spacing w:before="160" w:after="40" w:line="240" w:lineRule="auto"/>
      </w:pPr>
      <w:r>
        <w:rPr>
          <w:b/>
        </w:rPr>
        <w:t xml:space="preserve">[378] </w:t>
      </w:r>
      <w:hyperlink r:id="rId963">
        <w:r>
          <w:rPr>
            <w:color w:val="1155CC"/>
            <w:u w:val="single"/>
          </w:rPr>
          <w:t>双线性相图的广义 Kramers-Wanier 对偶性</w:t>
        </w:r>
      </w:hyperlink>
    </w:p>
    <w:p>
      <w:pPr>
        <w:spacing w:before="0" w:after="80"/>
      </w:pPr>
      <w:r>
        <w:rPr>
          <w:i/>
          <w:sz w:val="20"/>
        </w:rPr>
        <w:t>EN: Generalized Kramers-Wanier Duality from Bilinear Phase Map</w:t>
      </w:r>
    </w:p>
    <w:p>
      <w:pPr>
        <w:spacing w:before="0" w:after="120"/>
      </w:pPr>
      <w:r>
        <w:rPr>
          <w:b/>
        </w:rPr>
        <w:t xml:space="preserve">Source: </w:t>
      </w:r>
      <w:r>
        <w:t>Recent Articles in Phys. Rev. Lett.</w:t>
      </w:r>
      <w:r>
        <w:t xml:space="preserve">    </w:t>
      </w:r>
      <w:r>
        <w:rPr>
          <w:b/>
        </w:rPr>
        <w:t xml:space="preserve">Pub date: </w:t>
      </w:r>
      <w:r>
        <w:t>2026-06-17 10:00:00+00:00</w:t>
      </w:r>
      <w:r>
        <w:t xml:space="preserve">    </w:t>
      </w:r>
      <w:r>
        <w:rPr>
          <w:b/>
        </w:rPr>
        <w:t xml:space="preserve">DOI: </w:t>
      </w:r>
      <w:hyperlink r:id="rId964">
        <w:r>
          <w:rPr>
            <w:color w:val="1155CC"/>
            <w:u w:val="single"/>
          </w:rPr>
          <w:t>10.1103/g1l7-bvtf</w:t>
        </w:r>
      </w:hyperlink>
    </w:p>
    <w:p>
      <w:pPr>
        <w:spacing w:before="0" w:after="120"/>
      </w:pPr>
      <w:r>
        <w:rPr>
          <w:b/>
        </w:rPr>
        <w:t xml:space="preserve">Notes: </w:t>
      </w:r>
      <w:r>
        <w:t>abstract_source=rss_description</w:t>
      </w:r>
    </w:p>
    <w:p>
      <w:pPr>
        <w:spacing w:before="0" w:after="80" w:lineRule="auto" w:line="276"/>
      </w:pPr>
      <w:r>
        <w:rPr>
          <w:b/>
        </w:rPr>
        <w:t xml:space="preserve">摘要（ZH）: </w:t>
      </w:r>
      <w:r>
        <w:t>作者：Linhao Li、Masaki Oshikawa 和 Han Yan (闫寒)我们提出了双线性相图，这是一个推广 Kramers-Wannier 变换的概念，用于研究 Qudit 自旋链的非常规带隙相。双线性相位图将变换编码在矩阵中，使得能够探索更广泛的广义量子相位……[Phys.莱特牧师。 136, 240403] 2026 年 6 月 17 日星期三发布</w:t>
      </w:r>
    </w:p>
    <w:p>
      <w:pPr>
        <w:spacing w:before="0" w:after="200" w:lineRule="auto" w:line="276"/>
      </w:pPr>
      <w:r>
        <w:rPr>
          <w:b/>
        </w:rPr>
        <w:t xml:space="preserve">Abstract (EN): </w:t>
      </w:r>
      <w:r>
        <w:t>Author(s): Linhao Li, Masaki Oshikawa, and Han Yan (闫寒)We present the bilinear phase map, a concept that generalizes the Kramers-Wannier transformation to investigate unconventional gapped phases of qudit spin chains. Encoding the transformation in a matrix, the bilinear phase map enables the exploration of a broader spectrum of generalized quantum phas…[Phys. Rev. Lett. 136, 240403] Published Wed Jun 17, 2026</w:t>
      </w:r>
    </w:p>
    <w:p>
      <w:pPr>
        <w:spacing w:before="120" w:after="120"/>
      </w:pPr>
      <w:r>
        <w:rPr>
          <w:sz w:val="18"/>
        </w:rPr>
        <w:t>——————————————————————————————————————————————————————————————————————</w:t>
      </w:r>
    </w:p>
    <w:p>
      <w:pPr>
        <w:spacing w:before="160" w:after="40" w:line="240" w:lineRule="auto"/>
      </w:pPr>
      <w:r>
        <w:rPr>
          <w:b/>
        </w:rPr>
        <w:t xml:space="preserve">[379] </w:t>
      </w:r>
      <w:hyperlink r:id="rId965">
        <w:r>
          <w:rPr>
            <w:color w:val="1155CC"/>
            <w:u w:val="single"/>
          </w:rPr>
          <w:t>$^{7}\mathrm{Be}+^{120}\mathrm{Sn}$ 系统在库仑势垒附近能量处的准弹性散射</w:t>
        </w:r>
      </w:hyperlink>
    </w:p>
    <w:p>
      <w:pPr>
        <w:spacing w:before="0" w:after="80"/>
      </w:pPr>
      <w:r>
        <w:rPr>
          <w:i/>
          <w:sz w:val="20"/>
        </w:rPr>
        <w:t>EN: Quasielastic scattering for the $^{7}\mathrm{Be}+^{120}\mathrm{Sn}$ system at energies near the Coulomb barrier</w:t>
      </w:r>
    </w:p>
    <w:p>
      <w:pPr>
        <w:spacing w:before="0" w:after="120"/>
      </w:pPr>
      <w:r>
        <w:rPr>
          <w:b/>
        </w:rPr>
        <w:t xml:space="preserve">Source: </w:t>
      </w:r>
      <w:r>
        <w:t>Recent Articles in Phys. Rev. C</w:t>
      </w:r>
      <w:r>
        <w:t xml:space="preserve">    </w:t>
      </w:r>
      <w:r>
        <w:rPr>
          <w:b/>
        </w:rPr>
        <w:t xml:space="preserve">Pub date: </w:t>
      </w:r>
      <w:r>
        <w:t>2026-06-17 10:00:00+00:00</w:t>
      </w:r>
      <w:r>
        <w:t xml:space="preserve">    </w:t>
      </w:r>
      <w:r>
        <w:rPr>
          <w:b/>
        </w:rPr>
        <w:t xml:space="preserve">DOI: </w:t>
      </w:r>
      <w:hyperlink r:id="rId966">
        <w:r>
          <w:rPr>
            <w:color w:val="1155CC"/>
            <w:u w:val="single"/>
          </w:rPr>
          <w:t>10.1103/h1mg-1phr</w:t>
        </w:r>
      </w:hyperlink>
    </w:p>
    <w:p>
      <w:pPr>
        <w:spacing w:before="0" w:after="120"/>
      </w:pPr>
      <w:r>
        <w:rPr>
          <w:b/>
        </w:rPr>
        <w:t xml:space="preserve">Notes: </w:t>
      </w:r>
      <w:r>
        <w:t>abstract_source=rss_description</w:t>
      </w:r>
    </w:p>
    <w:p>
      <w:pPr>
        <w:spacing w:before="0" w:after="80" w:lineRule="auto" w:line="276"/>
      </w:pPr>
      <w:r>
        <w:rPr>
          <w:b/>
        </w:rPr>
        <w:t xml:space="preserve">摘要（ZH）: </w:t>
      </w:r>
      <w:r>
        <w:t>作者：C. Chang、L. Yang、C. J. Lin、W. D. Chen、Y. Y. Yang、P. W. Wen、T. P. Luo、D. Y. Pang、J. B. Ma、S. W. Xu、K. Wang、F. F. Duan、N. R. Ma、H. M. Jia、F. Yang、D. H. Huang、M. H. Zhang、G. Yang、Y. Yang、T. H. Mo 等王德新 库仑势垒附近弱束缚核引起的反应动力学目前是核物理的前沿研究课题之一。在这项工作中，来自 $^{120}\mathrm{Sn}$ 目标的放射性核 $^{7}\mathrm{Be}$ 的准弹性散射角分布是我…[Phys. Rev. C 113, 064616] 2026 年 6 月 17 日星期三发布</w:t>
      </w:r>
    </w:p>
    <w:p>
      <w:pPr>
        <w:spacing w:before="0" w:after="200" w:lineRule="auto" w:line="276"/>
      </w:pPr>
      <w:r>
        <w:rPr>
          <w:b/>
        </w:rPr>
        <w:t xml:space="preserve">Abstract (EN): </w:t>
      </w:r>
      <w:r>
        <w:t>Author(s): C. Chang, L. Yang, C. J. Lin, W. D. Chen, Y. Y. Yang, P. W. Wen, T. P. Luo, D. Y. Pang, J. B. Ma, S. W. Xu, K. Wang, F. F. Duan, N. R. Ma, H. M. Jia, F. Yang, D. H. Huang, M. H. Zhang, G. Yang, Y. Yang, T. H. Mo, and D. X. WangReaction dynamics induced by weakly bound nuclei at energies around the Coulomb barrier are now one of the frontier research topics of nuclear physics. In this work, the quasielastic scattering angular distribution of the radioactive nucleus $^{7}\mathrm{Be}$ from a $^{120}\mathrm{Sn}$ target was me…[Phys. Rev. C 113, 064616] Published Wed Jun 17, 2026</w:t>
      </w:r>
    </w:p>
    <w:p>
      <w:pPr>
        <w:spacing w:before="120" w:after="120"/>
      </w:pPr>
      <w:r>
        <w:rPr>
          <w:sz w:val="18"/>
        </w:rPr>
        <w:t>——————————————————————————————————————————————————————————————————————</w:t>
      </w:r>
    </w:p>
    <w:p>
      <w:pPr>
        <w:spacing w:before="160" w:after="40" w:line="240" w:lineRule="auto"/>
      </w:pPr>
      <w:r>
        <w:rPr>
          <w:b/>
        </w:rPr>
        <w:t xml:space="preserve">[380] </w:t>
      </w:r>
      <w:hyperlink r:id="rId967">
        <w:r>
          <w:rPr>
            <w:color w:val="1155CC"/>
            <w:u w:val="single"/>
          </w:rPr>
          <w:t>高重子密度的时空区域和重离子碰撞中的重子停止</w:t>
        </w:r>
      </w:hyperlink>
    </w:p>
    <w:p>
      <w:pPr>
        <w:spacing w:before="0" w:after="80"/>
      </w:pPr>
      <w:r>
        <w:rPr>
          <w:i/>
          <w:sz w:val="20"/>
        </w:rPr>
        <w:t>EN: Space-time regions of high baryon density and baryon stopping in heavy-ion collisions</w:t>
      </w:r>
    </w:p>
    <w:p>
      <w:pPr>
        <w:spacing w:before="0" w:after="120"/>
      </w:pPr>
      <w:r>
        <w:rPr>
          <w:b/>
        </w:rPr>
        <w:t xml:space="preserve">Source: </w:t>
      </w:r>
      <w:r>
        <w:t>Recent Articles in Phys. Rev. C</w:t>
      </w:r>
      <w:r>
        <w:t xml:space="preserve">    </w:t>
      </w:r>
      <w:r>
        <w:rPr>
          <w:b/>
        </w:rPr>
        <w:t xml:space="preserve">Pub date: </w:t>
      </w:r>
      <w:r>
        <w:t>2026-06-17 10:00:00+00:00</w:t>
      </w:r>
      <w:r>
        <w:t xml:space="preserve">    </w:t>
      </w:r>
      <w:r>
        <w:rPr>
          <w:b/>
        </w:rPr>
        <w:t xml:space="preserve">DOI: </w:t>
      </w:r>
      <w:hyperlink r:id="rId968">
        <w:r>
          <w:rPr>
            <w:color w:val="1155CC"/>
            <w:u w:val="single"/>
          </w:rPr>
          <w:t>10.1103/lxv3-jgkq</w:t>
        </w:r>
      </w:hyperlink>
    </w:p>
    <w:p>
      <w:pPr>
        <w:spacing w:before="0" w:after="120"/>
      </w:pPr>
      <w:r>
        <w:rPr>
          <w:b/>
        </w:rPr>
        <w:t xml:space="preserve">Notes: </w:t>
      </w:r>
      <w:r>
        <w:t>abstract_source=rss_description</w:t>
      </w:r>
    </w:p>
    <w:p>
      <w:pPr>
        <w:spacing w:before="0" w:after="80" w:lineRule="auto" w:line="276"/>
      </w:pPr>
      <w:r>
        <w:rPr>
          <w:b/>
        </w:rPr>
        <w:t xml:space="preserve">摘要（ZH）: </w:t>
      </w:r>
      <w:r>
        <w:t>作者：Yuri B. Ivanov 在三流体动力学 (3FD) 模型中计算了四体积 (${V}_{4}=$spatial-3-volume$×$lifetime)，并与喷射 AA 微观输运模型 (JAM) 进行了比较。计算是针对能量为 $\sqrt{{s}_{NN}}…[Phys. Rev. C 113, 064906] 2026 年 6 月 17 日星期三发布</w:t>
      </w:r>
    </w:p>
    <w:p>
      <w:pPr>
        <w:spacing w:before="0" w:after="200" w:lineRule="auto" w:line="276"/>
      </w:pPr>
      <w:r>
        <w:rPr>
          <w:b/>
        </w:rPr>
        <w:t xml:space="preserve">Abstract (EN): </w:t>
      </w:r>
      <w:r>
        <w:t>Author(s): Yuri B. IvanovFour-volumes (${V}_{4}=$ spatial-3-volume$×$lifetime) are calculated within the model of three-fluid dynamics (3FD) and compared with those of the jet AA microscopic transport model (JAM). The calculations are performed for central $\mathrm{Au}+\mathrm{Au}$ collisions at energies of $\sqrt{{s}_{NN}}…[Phys. Rev. C 113, 064906] Published Wed Jun 17, 2026</w:t>
      </w:r>
    </w:p>
    <w:p>
      <w:pPr>
        <w:spacing w:before="120" w:after="120"/>
      </w:pPr>
      <w:r>
        <w:rPr>
          <w:sz w:val="18"/>
        </w:rPr>
        <w:t>——————————————————————————————————————————————————————————————————————</w:t>
      </w:r>
    </w:p>
    <w:p>
      <w:pPr>
        <w:spacing w:before="160" w:after="40" w:line="240" w:lineRule="auto"/>
      </w:pPr>
      <w:r>
        <w:rPr>
          <w:b/>
        </w:rPr>
        <w:t xml:space="preserve">[381] </w:t>
      </w:r>
      <w:hyperlink r:id="rId969">
        <w:r>
          <w:rPr>
            <w:color w:val="1155CC"/>
            <w:u w:val="single"/>
          </w:rPr>
          <w:t>研究 $\mathrm{Ω}phi$ 相互作用和相关函数</w:t>
        </w:r>
      </w:hyperlink>
    </w:p>
    <w:p>
      <w:pPr>
        <w:spacing w:before="0" w:after="80"/>
      </w:pPr>
      <w:r>
        <w:rPr>
          <w:i/>
          <w:sz w:val="20"/>
        </w:rPr>
        <w:t>EN: Investigating the $\mathrm{Ω}ϕ$ interaction and correlation functions</w:t>
      </w:r>
    </w:p>
    <w:p>
      <w:pPr>
        <w:spacing w:before="0" w:after="120"/>
      </w:pPr>
      <w:r>
        <w:rPr>
          <w:b/>
        </w:rPr>
        <w:t xml:space="preserve">Source: </w:t>
      </w:r>
      <w:r>
        <w:t>Recent Articles in Phys. Rev. C</w:t>
      </w:r>
      <w:r>
        <w:t xml:space="preserve">    </w:t>
      </w:r>
      <w:r>
        <w:rPr>
          <w:b/>
        </w:rPr>
        <w:t xml:space="preserve">Pub date: </w:t>
      </w:r>
      <w:r>
        <w:t>2026-06-17 10:00:00+00:00</w:t>
      </w:r>
      <w:r>
        <w:t xml:space="preserve">    </w:t>
      </w:r>
      <w:r>
        <w:rPr>
          <w:b/>
        </w:rPr>
        <w:t xml:space="preserve">DOI: </w:t>
      </w:r>
      <w:hyperlink r:id="rId970">
        <w:r>
          <w:rPr>
            <w:color w:val="1155CC"/>
            <w:u w:val="single"/>
          </w:rPr>
          <w:t>10.1103/3pq1-5j8l</w:t>
        </w:r>
      </w:hyperlink>
    </w:p>
    <w:p>
      <w:pPr>
        <w:spacing w:before="0" w:after="120"/>
      </w:pPr>
      <w:r>
        <w:rPr>
          <w:b/>
        </w:rPr>
        <w:t xml:space="preserve">Notes: </w:t>
      </w:r>
      <w:r>
        <w:t>abstract_source=rss_description</w:t>
      </w:r>
    </w:p>
    <w:p>
      <w:pPr>
        <w:spacing w:before="0" w:after="80" w:lineRule="auto" w:line="276"/>
      </w:pPr>
      <w:r>
        <w:rPr>
          <w:b/>
        </w:rPr>
        <w:t xml:space="preserve">摘要（ZH）: </w:t>
      </w:r>
      <w:r>
        <w:t>作者：颜晔、吴宇恒、谭悦、胡晓黄、黄奇、黄红霞、平家伦在这项工作中，我们在夸克离域色屏蔽模型的框架内研究了$\mathrm{Ω}$重子和$s\overline{s}$介子之间的相互作用。光谱计算表明，在任何考虑的通道中都没有形成束缚态，而散射表明……[Phys。 Rev. C 113, 065204] 2026 年 6 月 17 日星期三发布</w:t>
      </w:r>
    </w:p>
    <w:p>
      <w:pPr>
        <w:spacing w:before="0" w:after="200" w:lineRule="auto" w:line="276"/>
      </w:pPr>
      <w:r>
        <w:rPr>
          <w:b/>
        </w:rPr>
        <w:t xml:space="preserve">Abstract (EN): </w:t>
      </w:r>
      <w:r>
        <w:t>Author(s): Ye Yan, Yuheng Wu, Yue Tan, Xiaohuang Hu, Qi Huang, Hongxia Huang, and Jialun PingIn this work, we investigate the interaction between the $\mathrm{Ω}$ baryon and the $s\overline{s}$ meson within the framework of the quark delocalization color-screening model. The spectra calculations show that no bound state is formed in any of the considered channels, while the scattering indic…[Phys. Rev. C 113, 065204] Published Wed Jun 17, 2026</w:t>
      </w:r>
    </w:p>
    <w:p>
      <w:pPr>
        <w:spacing w:before="120" w:after="120"/>
      </w:pPr>
      <w:r>
        <w:rPr>
          <w:sz w:val="18"/>
        </w:rPr>
        <w:t>——————————————————————————————————————————————————————————————————————</w:t>
      </w:r>
    </w:p>
    <w:p>
      <w:pPr>
        <w:spacing w:before="160" w:after="40" w:line="240" w:lineRule="auto"/>
      </w:pPr>
      <w:r>
        <w:rPr>
          <w:b/>
        </w:rPr>
        <w:t xml:space="preserve">[382] </w:t>
      </w:r>
      <w:hyperlink r:id="rId971">
        <w:r>
          <w:rPr>
            <w:color w:val="1155CC"/>
            <w:u w:val="single"/>
          </w:rPr>
          <w:t>通过逆运动学测量 $^{22}\mathrm{Ne}$ 中的高能共振</w:t>
        </w:r>
      </w:hyperlink>
    </w:p>
    <w:p>
      <w:pPr>
        <w:spacing w:before="0" w:after="80"/>
      </w:pPr>
      <w:r>
        <w:rPr>
          <w:i/>
          <w:sz w:val="20"/>
        </w:rPr>
        <w:t>EN: Measurement of high-energy resonances in $^{22}\mathrm{Ne}$ through inverse kinematics</w:t>
      </w:r>
    </w:p>
    <w:p>
      <w:pPr>
        <w:spacing w:before="0" w:after="120"/>
      </w:pPr>
      <w:r>
        <w:rPr>
          <w:b/>
        </w:rPr>
        <w:t xml:space="preserve">Source: </w:t>
      </w:r>
      <w:r>
        <w:t>Recent Articles in Phys. Rev. C</w:t>
      </w:r>
      <w:r>
        <w:t xml:space="preserve">    </w:t>
      </w:r>
      <w:r>
        <w:rPr>
          <w:b/>
        </w:rPr>
        <w:t xml:space="preserve">Pub date: </w:t>
      </w:r>
      <w:r>
        <w:t>2026-06-17 10:00:00+00:00</w:t>
      </w:r>
      <w:r>
        <w:t xml:space="preserve">    </w:t>
      </w:r>
      <w:r>
        <w:rPr>
          <w:b/>
        </w:rPr>
        <w:t xml:space="preserve">DOI: </w:t>
      </w:r>
      <w:hyperlink r:id="rId972">
        <w:r>
          <w:rPr>
            <w:color w:val="1155CC"/>
            <w:u w:val="single"/>
          </w:rPr>
          <w:t>10.1103/h5h1-xrj2</w:t>
        </w:r>
      </w:hyperlink>
    </w:p>
    <w:p>
      <w:pPr>
        <w:spacing w:before="0" w:after="120"/>
      </w:pPr>
      <w:r>
        <w:rPr>
          <w:b/>
        </w:rPr>
        <w:t xml:space="preserve">Notes: </w:t>
      </w:r>
      <w:r>
        <w:t>abstract_source=rss_description</w:t>
      </w:r>
    </w:p>
    <w:p>
      <w:pPr>
        <w:spacing w:before="0" w:after="80" w:lineRule="auto" w:line="276"/>
      </w:pPr>
      <w:r>
        <w:rPr>
          <w:b/>
        </w:rPr>
        <w:t xml:space="preserve">摘要（ZH）: </w:t>
      </w:r>
      <w:r>
        <w:t>作者：B. Greaves 等人。 $^{22}\mathrm{Ne}(α,n)^{25}\mathrm{Mg}$ 反应在主 $s$ 过程和弱 $s$ 过程中充当 $s$ 过程中子源。通过将 $^{22}\mathrm{Ne}$ 激发到 9.7 MeV 以上的高能共振态，我们测量了这些难以接近的态的特性，这些特性与…[Phys. Rev. C 113, 065806] 2026 年 6 月 17 日星期三发布</w:t>
      </w:r>
    </w:p>
    <w:p>
      <w:pPr>
        <w:spacing w:before="0" w:after="200" w:lineRule="auto" w:line="276"/>
      </w:pPr>
      <w:r>
        <w:rPr>
          <w:b/>
        </w:rPr>
        <w:t xml:space="preserve">Abstract (EN): </w:t>
      </w:r>
      <w:r>
        <w:t>Author(s): B. Greaves et al.The $^{22}\mathrm{Ne}(α,n)^{25}\mathrm{Mg}$ reaction acts as an $s$-process neutron source in both the main and weak $s$ processes. By exciting $^{22}\mathrm{Ne}$ to highly energetic resonance states above 9.7 MeV, we measured the properties of these difficult-to-access states, which are relevant to…[Phys. Rev. C 113, 065806] Published Wed Jun 17, 2026</w:t>
      </w:r>
    </w:p>
    <w:p>
      <w:pPr>
        <w:spacing w:before="120" w:after="120"/>
      </w:pPr>
      <w:r>
        <w:rPr>
          <w:sz w:val="18"/>
        </w:rPr>
        <w:t>——————————————————————————————————————————————————————————————————————</w:t>
      </w:r>
    </w:p>
    <w:p>
      <w:pPr>
        <w:spacing w:before="160" w:after="40" w:line="240" w:lineRule="auto"/>
      </w:pPr>
      <w:r>
        <w:rPr>
          <w:b/>
        </w:rPr>
        <w:t xml:space="preserve">[383] </w:t>
      </w:r>
      <w:hyperlink r:id="rId973">
        <w:r>
          <w:rPr>
            <w:color w:val="1155CC"/>
            <w:u w:val="single"/>
          </w:rPr>
          <w:t>解码核心塌缩超新星的 $γ$ 射线特征：$^{28}\mathrm{Al}(p,α)^{25}\mathrm{Mg}$ 反应速率的第一个实验约束</w:t>
        </w:r>
      </w:hyperlink>
    </w:p>
    <w:p>
      <w:pPr>
        <w:spacing w:before="0" w:after="80"/>
      </w:pPr>
      <w:r>
        <w:rPr>
          <w:i/>
          <w:sz w:val="20"/>
        </w:rPr>
        <w:t>EN: Decoding $γ$-ray signatures from core-collapse supernovae: First experimental constraints on the $^{28}\mathrm{Al}(p,α)^{25}\mathrm{Mg}$ reaction rate</w:t>
      </w:r>
    </w:p>
    <w:p>
      <w:pPr>
        <w:spacing w:before="0" w:after="120"/>
      </w:pPr>
      <w:r>
        <w:rPr>
          <w:b/>
        </w:rPr>
        <w:t xml:space="preserve">Source: </w:t>
      </w:r>
      <w:r>
        <w:t>Recent Articles in Phys. Rev. C</w:t>
      </w:r>
      <w:r>
        <w:t xml:space="preserve">    </w:t>
      </w:r>
      <w:r>
        <w:rPr>
          <w:b/>
        </w:rPr>
        <w:t xml:space="preserve">Pub date: </w:t>
      </w:r>
      <w:r>
        <w:t>2026-06-17 10:00:00+00:00</w:t>
      </w:r>
      <w:r>
        <w:t xml:space="preserve">    </w:t>
      </w:r>
      <w:r>
        <w:rPr>
          <w:b/>
        </w:rPr>
        <w:t xml:space="preserve">DOI: </w:t>
      </w:r>
      <w:hyperlink r:id="rId974">
        <w:r>
          <w:rPr>
            <w:color w:val="1155CC"/>
            <w:u w:val="single"/>
          </w:rPr>
          <w:t>10.1103/mkh1-r885</w:t>
        </w:r>
      </w:hyperlink>
    </w:p>
    <w:p>
      <w:pPr>
        <w:spacing w:before="0" w:after="120"/>
      </w:pPr>
      <w:r>
        <w:rPr>
          <w:b/>
        </w:rPr>
        <w:t xml:space="preserve">Notes: </w:t>
      </w:r>
      <w:r>
        <w:t>abstract_source=rss_description</w:t>
      </w:r>
    </w:p>
    <w:p>
      <w:pPr>
        <w:spacing w:before="0" w:after="80" w:lineRule="auto" w:line="276"/>
      </w:pPr>
      <w:r>
        <w:rPr>
          <w:b/>
        </w:rPr>
        <w:t xml:space="preserve">摘要（ZH）: </w:t>
      </w:r>
      <w:r>
        <w:t>作者：M. Abubakar、J. S. Randhawa、S. R. Carmichael、P. D. O'Malley、D. W. Bardayan、J. J. Kolata、R. Longland、C. Dembski、W. S. Porter、W. W. von Seeger、M. Sorensen、T. Psaltis、R. Zite 和 M. A. Zubair核心塌陷超新星（CCSNe）爆炸性硅燃烧过程中产生的放射性同位素可以作为超新星爆炸能量学的探针。尤其重要的是三种同位素 $^{43}\mathrm{K}$、$^{47}\mathrm{Sc}$ 和 $^{59}\mathrm{Fe}$，因为它们可能是…[物理。修订版 C 113，L062802] 2026 年 6 月 17 日星期三发布</w:t>
      </w:r>
    </w:p>
    <w:p>
      <w:pPr>
        <w:spacing w:before="0" w:after="200" w:lineRule="auto" w:line="276"/>
      </w:pPr>
      <w:r>
        <w:rPr>
          <w:b/>
        </w:rPr>
        <w:t xml:space="preserve">Abstract (EN): </w:t>
      </w:r>
      <w:r>
        <w:t>Author(s): M. Abubakar, J. S. Randhawa, S. R. Carmichael, P. D. O'Malley, D. W. Bardayan, J. J. Kolata, R. Longland, C. Dembski, W. S. Porter, W. W. von Seeger, M. Sorensen, T. Psaltis, R. Zite, and M. A. ZubairThe $γ$-ray emitting radioisotopes produced during explosive Si-burning in core-collapse supernovae (CCSNe) could serve as a probe to supernovae explosion energetics. Especially important are the three isotopes $^{43}\mathrm{K}$, $^{47}\mathrm{Sc}$, and $^{59}\mathrm{Fe}$ as these are potentially de…[Phys. Rev. C 113, L062802] Published Wed Jun 17, 2026</w:t>
      </w:r>
    </w:p>
    <w:p>
      <w:pPr>
        <w:spacing w:before="120" w:after="120"/>
      </w:pPr>
      <w:r>
        <w:rPr>
          <w:sz w:val="18"/>
        </w:rPr>
        <w:t>——————————————————————————————————————————————————————————————————————</w:t>
      </w:r>
    </w:p>
    <w:p>
      <w:pPr>
        <w:spacing w:before="160" w:after="40" w:line="240" w:lineRule="auto"/>
      </w:pPr>
      <w:r>
        <w:rPr>
          <w:b/>
        </w:rPr>
        <w:t xml:space="preserve">[384] </w:t>
      </w:r>
      <w:hyperlink r:id="rId975">
        <w:r>
          <w:rPr>
            <w:color w:val="1155CC"/>
            <w:u w:val="single"/>
          </w:rPr>
          <w:t>$^{46}\mathrm{S}$ 和 $^{47}\mathrm{S}$ 中的低位激发态</w:t>
        </w:r>
      </w:hyperlink>
    </w:p>
    <w:p>
      <w:pPr>
        <w:spacing w:before="0" w:after="80"/>
      </w:pPr>
      <w:r>
        <w:rPr>
          <w:i/>
          <w:sz w:val="20"/>
        </w:rPr>
        <w:t>EN: Low-lying excited states in $^{46}\mathrm{S}$ and $^{47}\mathrm{S}$</w:t>
      </w:r>
    </w:p>
    <w:p>
      <w:pPr>
        <w:spacing w:before="0" w:after="120"/>
      </w:pPr>
      <w:r>
        <w:rPr>
          <w:b/>
        </w:rPr>
        <w:t xml:space="preserve">Source: </w:t>
      </w:r>
      <w:r>
        <w:t>Recent Articles in Phys. Rev. C</w:t>
      </w:r>
      <w:r>
        <w:t xml:space="preserve">    </w:t>
      </w:r>
      <w:r>
        <w:rPr>
          <w:b/>
        </w:rPr>
        <w:t xml:space="preserve">Pub date: </w:t>
      </w:r>
      <w:r>
        <w:t>2026-06-17 10:00:00+00:00</w:t>
      </w:r>
      <w:r>
        <w:t xml:space="preserve">    </w:t>
      </w:r>
      <w:r>
        <w:rPr>
          <w:b/>
        </w:rPr>
        <w:t xml:space="preserve">DOI: </w:t>
      </w:r>
      <w:hyperlink r:id="rId976">
        <w:r>
          <w:rPr>
            <w:color w:val="1155CC"/>
            <w:u w:val="single"/>
          </w:rPr>
          <w:t>10.1103/x8wp-cf8w</w:t>
        </w:r>
      </w:hyperlink>
    </w:p>
    <w:p>
      <w:pPr>
        <w:spacing w:before="0" w:after="120"/>
      </w:pPr>
      <w:r>
        <w:rPr>
          <w:b/>
        </w:rPr>
        <w:t xml:space="preserve">Notes: </w:t>
      </w:r>
      <w:r>
        <w:t>abstract_source=rss_description</w:t>
      </w:r>
    </w:p>
    <w:p>
      <w:pPr>
        <w:spacing w:before="0" w:after="80" w:lineRule="auto" w:line="276"/>
      </w:pPr>
      <w:r>
        <w:rPr>
          <w:b/>
        </w:rPr>
        <w:t xml:space="preserve">摘要（ZH）: </w:t>
      </w:r>
      <w:r>
        <w:t>作者：M. Begala 等人利用液氢靶上的敲除反应结合 $γ$ 射线光谱研究了 $^{46}\mathrm{S}$ 和 $^{47}\mathrm{S}$ 的低激发态。在 $^{46}\mathrm{S}$ 中观察到四个新的跃迁，并在 $^{47}\mathrm{S}$ 中识别出单个 $γ$ 射线。比较……[物理。 Rev. C 113, 064312] 2026 年 6 月 17 日星期三发布</w:t>
      </w:r>
    </w:p>
    <w:p>
      <w:pPr>
        <w:spacing w:before="0" w:after="200" w:lineRule="auto" w:line="276"/>
      </w:pPr>
      <w:r>
        <w:rPr>
          <w:b/>
        </w:rPr>
        <w:t xml:space="preserve">Abstract (EN): </w:t>
      </w:r>
      <w:r>
        <w:t>Author(s): M. Begala et al.The low-lying excited states of $^{46}\mathrm{S}$ and $^{47}\mathrm{S}$ were investigated using knockout reactions on a liquid hydrogen target combined with $γ$-ray spectroscopy. Four new transitions were observed in $^{46}\mathrm{S}$, and a single $γ$ ray was identified in $^{47}\mathrm{S}$. Compar…[Phys. Rev. C 113, 064312] Published Wed Jun 17, 2026</w:t>
      </w:r>
    </w:p>
    <w:p>
      <w:pPr>
        <w:spacing w:before="120" w:after="120"/>
      </w:pPr>
      <w:r>
        <w:rPr>
          <w:sz w:val="18"/>
        </w:rPr>
        <w:t>——————————————————————————————————————————————————————————————————————</w:t>
      </w:r>
    </w:p>
    <w:p>
      <w:pPr>
        <w:spacing w:before="160" w:after="40" w:line="240" w:lineRule="auto"/>
      </w:pPr>
      <w:r>
        <w:rPr>
          <w:b/>
        </w:rPr>
        <w:t xml:space="preserve">[385] </w:t>
      </w:r>
      <w:hyperlink r:id="rId977">
        <w:r>
          <w:rPr>
            <w:color w:val="1155CC"/>
            <w:u w:val="single"/>
          </w:rPr>
          <w:t>缺中子中的裂变动力学 $^{216}\mathrm{Th}$</w:t>
        </w:r>
      </w:hyperlink>
    </w:p>
    <w:p>
      <w:pPr>
        <w:spacing w:before="0" w:after="80"/>
      </w:pPr>
      <w:r>
        <w:rPr>
          <w:i/>
          <w:sz w:val="20"/>
        </w:rPr>
        <w:t>EN: Fission dynamics in neutron-deficient $^{216}\mathrm{Th}$</w:t>
      </w:r>
    </w:p>
    <w:p>
      <w:pPr>
        <w:spacing w:before="0" w:after="120"/>
      </w:pPr>
      <w:r>
        <w:rPr>
          <w:b/>
        </w:rPr>
        <w:t xml:space="preserve">Source: </w:t>
      </w:r>
      <w:r>
        <w:t>Recent Articles in Phys. Rev. C</w:t>
      </w:r>
      <w:r>
        <w:t xml:space="preserve">    </w:t>
      </w:r>
      <w:r>
        <w:rPr>
          <w:b/>
        </w:rPr>
        <w:t xml:space="preserve">Pub date: </w:t>
      </w:r>
      <w:r>
        <w:t>2026-06-17 10:00:00+00:00</w:t>
      </w:r>
      <w:r>
        <w:t xml:space="preserve">    </w:t>
      </w:r>
      <w:r>
        <w:rPr>
          <w:b/>
        </w:rPr>
        <w:t xml:space="preserve">DOI: </w:t>
      </w:r>
      <w:hyperlink r:id="rId978">
        <w:r>
          <w:rPr>
            <w:color w:val="1155CC"/>
            <w:u w:val="single"/>
          </w:rPr>
          <w:t>10.1103/43bc-8ypt</w:t>
        </w:r>
      </w:hyperlink>
    </w:p>
    <w:p>
      <w:pPr>
        <w:spacing w:before="0" w:after="120"/>
      </w:pPr>
      <w:r>
        <w:rPr>
          <w:b/>
        </w:rPr>
        <w:t xml:space="preserve">Notes: </w:t>
      </w:r>
      <w:r>
        <w:t>abstract_source=rss_description</w:t>
      </w:r>
    </w:p>
    <w:p>
      <w:pPr>
        <w:spacing w:before="0" w:after="80" w:lineRule="auto" w:line="276"/>
      </w:pPr>
      <w:r>
        <w:rPr>
          <w:b/>
        </w:rPr>
        <w:t xml:space="preserve">摘要（ZH）: </w:t>
      </w:r>
      <w:r>
        <w:t>作者：A. Sultana 等人背景：超重元素 (SHE) 的合成受两个主要竞争过程控制：准裂变 (QF) 和聚变裂变 (FF)。优化 SHE 生产需要对这些流程有广泛的了解。 QF 和 FF 的动力学正在全世界范围内进行实验研究……[Phys. Rev. C 113, 064614] 2026 年 6 月 17 日星期三发布</w:t>
      </w:r>
    </w:p>
    <w:p>
      <w:pPr>
        <w:spacing w:before="0" w:after="200" w:lineRule="auto" w:line="276"/>
      </w:pPr>
      <w:r>
        <w:rPr>
          <w:b/>
        </w:rPr>
        <w:t xml:space="preserve">Abstract (EN): </w:t>
      </w:r>
      <w:r>
        <w:t>Author(s): A. Sultana et al.Background: The synthesis of super heavy elements (SHE) is governed by two major competing processes: quasifission (QF) and fusion-fission (FF). Optimizing SHE production requires an extensive understanding of these processes. The dynamics of QF and FF are being studied experimentally worldwide, wit…[Phys. Rev. C 113, 064614] Published Wed Jun 17, 2026</w:t>
      </w:r>
    </w:p>
    <w:p>
      <w:pPr>
        <w:spacing w:before="120" w:after="120"/>
      </w:pPr>
      <w:r>
        <w:rPr>
          <w:sz w:val="18"/>
        </w:rPr>
        <w:t>——————————————————————————————————————————————————————————————————————</w:t>
      </w:r>
    </w:p>
    <w:p>
      <w:pPr>
        <w:spacing w:before="160" w:after="40" w:line="240" w:lineRule="auto"/>
      </w:pPr>
      <w:r>
        <w:rPr>
          <w:b/>
        </w:rPr>
        <w:t xml:space="preserve">[386] </w:t>
      </w:r>
      <w:hyperlink r:id="rId979">
        <w:r>
          <w:rPr>
            <w:color w:val="1155CC"/>
            <w:u w:val="single"/>
          </w:rPr>
          <w:t>$^{28}\mathrm{Si}+^{142,150}\mathrm{Nd}$反应中的聚变激发函数和势垒分布研究</w:t>
        </w:r>
      </w:hyperlink>
    </w:p>
    <w:p>
      <w:pPr>
        <w:spacing w:before="0" w:after="80"/>
      </w:pPr>
      <w:r>
        <w:rPr>
          <w:i/>
          <w:sz w:val="20"/>
        </w:rPr>
        <w:t>EN: Fusion excitation function and barrier distribution studies in $^{28}\mathrm{Si}+^{142,150}\mathrm{Nd}$ reactions</w:t>
      </w:r>
    </w:p>
    <w:p>
      <w:pPr>
        <w:spacing w:before="0" w:after="120"/>
      </w:pPr>
      <w:r>
        <w:rPr>
          <w:b/>
        </w:rPr>
        <w:t xml:space="preserve">Source: </w:t>
      </w:r>
      <w:r>
        <w:t>Recent Articles in Phys. Rev. C</w:t>
      </w:r>
      <w:r>
        <w:t xml:space="preserve">    </w:t>
      </w:r>
      <w:r>
        <w:rPr>
          <w:b/>
        </w:rPr>
        <w:t xml:space="preserve">Pub date: </w:t>
      </w:r>
      <w:r>
        <w:t>2026-06-17 10:00:00+00:00</w:t>
      </w:r>
      <w:r>
        <w:t xml:space="preserve">    </w:t>
      </w:r>
      <w:r>
        <w:rPr>
          <w:b/>
        </w:rPr>
        <w:t xml:space="preserve">DOI: </w:t>
      </w:r>
      <w:hyperlink r:id="rId980">
        <w:r>
          <w:rPr>
            <w:color w:val="1155CC"/>
            <w:u w:val="single"/>
          </w:rPr>
          <w:t>10.1103/pz7b-k8gd</w:t>
        </w:r>
      </w:hyperlink>
    </w:p>
    <w:p>
      <w:pPr>
        <w:spacing w:before="0" w:after="120"/>
      </w:pPr>
      <w:r>
        <w:rPr>
          <w:b/>
        </w:rPr>
        <w:t xml:space="preserve">Notes: </w:t>
      </w:r>
      <w:r>
        <w:t>abstract_source=rss_description</w:t>
      </w:r>
    </w:p>
    <w:p>
      <w:pPr>
        <w:spacing w:before="0" w:after="80" w:lineRule="auto" w:line="276"/>
      </w:pPr>
      <w:r>
        <w:rPr>
          <w:b/>
        </w:rPr>
        <w:t xml:space="preserve">摘要（ZH）: </w:t>
      </w:r>
      <w:r>
        <w:t>作者：Anjali Merin、S. Nath、J. Gehlot、Gonika、Chandra Kumar、B. Ashna、K. V. Varsha、P. P. Panchami、Shiva Prasad Nayak、Alankar Singh、Rishabh Kumar、A. M. Vinodkumar、K. V. Jinu、S. Appannababu、K. Prameela、S. Ramakrishna Reddy、Sunil Kalkal、Rayees Ahmad Yatoo、P. Manju 和 E. Prasad 背景：能量低于库仑势垒的重离子聚变反应受到相互作用核的不同内部自由度与相对运动自由度耦合的强烈影响。这些耦合导致融合势垒的分布，从而导致……[物理。 Rev. C 113, 064615] 2026 年 6 月 17 日星期三发布</w:t>
      </w:r>
    </w:p>
    <w:p>
      <w:pPr>
        <w:spacing w:before="0" w:after="200" w:lineRule="auto" w:line="276"/>
      </w:pPr>
      <w:r>
        <w:rPr>
          <w:b/>
        </w:rPr>
        <w:t xml:space="preserve">Abstract (EN): </w:t>
      </w:r>
      <w:r>
        <w:t>Author(s): Anjali Merin, S. Nath, J. Gehlot, Gonika, Chandra Kumar, B. Ashna, K. V. Varsha, P. P. Panchami, Shiva Prasad Nayak, Alankar Singh, Rishabh Kumar, A. M. Vinodkumar, K. V. Jinu, S. Appannababu, K. Prameela, S. Ramakrishna Reddy, Sunil Kalkal, Rayees Ahmad Yatoo, P. Manju, and E. PrasadBackground: Heavy-ion fusion reactions at energies below the Coulomb barrier are strongly influenced by the coupling of different internal degrees of freedom of the interacting nuclei with the relative motion degrees of freedom. These couplings leads to a distribution of fusion barriers which result…[Phys. Rev. C 113, 064615] Published Wed Jun 17, 2026</w:t>
      </w:r>
    </w:p>
    <w:p>
      <w:pPr>
        <w:spacing w:before="120" w:after="120"/>
      </w:pPr>
      <w:r>
        <w:rPr>
          <w:sz w:val="18"/>
        </w:rPr>
        <w:t>——————————————————————————————————————————————————————————————————————</w:t>
      </w:r>
    </w:p>
    <w:p>
      <w:pPr>
        <w:spacing w:before="160" w:after="40" w:line="240" w:lineRule="auto"/>
      </w:pPr>
      <w:r>
        <w:rPr>
          <w:b/>
        </w:rPr>
        <w:t xml:space="preserve">[387] </w:t>
      </w:r>
      <w:hyperlink r:id="rId981">
        <w:r>
          <w:rPr>
            <w:color w:val="1155CC"/>
            <w:u w:val="single"/>
          </w:rPr>
          <w:t>使用 PandaX-4T 探测标量中微子和标量暗物质相互作用</w:t>
        </w:r>
      </w:hyperlink>
    </w:p>
    <w:p>
      <w:pPr>
        <w:spacing w:before="0" w:after="80"/>
      </w:pPr>
      <w:r>
        <w:rPr>
          <w:i/>
          <w:sz w:val="20"/>
        </w:rPr>
        <w:t>EN: Probing Scalar-Neutrino and Scalar-Dark-Matter Interactions with PandaX-4T</w:t>
      </w:r>
    </w:p>
    <w:p>
      <w:pPr>
        <w:spacing w:before="0" w:after="120"/>
      </w:pPr>
      <w:r>
        <w:rPr>
          <w:b/>
        </w:rPr>
        <w:t xml:space="preserve">Source: </w:t>
      </w:r>
      <w:r>
        <w:t>Recent Articles in Phys. Rev. Lett.</w:t>
      </w:r>
      <w:r>
        <w:t xml:space="preserve">    </w:t>
      </w:r>
      <w:r>
        <w:rPr>
          <w:b/>
        </w:rPr>
        <w:t xml:space="preserve">Pub date: </w:t>
      </w:r>
      <w:r>
        <w:t>2026-06-17 10:00:00+00:00</w:t>
      </w:r>
      <w:r>
        <w:t xml:space="preserve">    </w:t>
      </w:r>
      <w:r>
        <w:rPr>
          <w:b/>
        </w:rPr>
        <w:t xml:space="preserve">DOI: </w:t>
      </w:r>
      <w:hyperlink r:id="rId982">
        <w:r>
          <w:rPr>
            <w:color w:val="1155CC"/>
            <w:u w:val="single"/>
          </w:rPr>
          <w:t>10.1103/pn9y-g5k7</w:t>
        </w:r>
      </w:hyperlink>
    </w:p>
    <w:p>
      <w:pPr>
        <w:spacing w:before="0" w:after="120"/>
      </w:pPr>
      <w:r>
        <w:rPr>
          <w:b/>
        </w:rPr>
        <w:t xml:space="preserve">Notes: </w:t>
      </w:r>
      <w:r>
        <w:t>abstract_source=rss_description</w:t>
      </w:r>
    </w:p>
    <w:p>
      <w:pPr>
        <w:spacing w:before="0" w:after="80" w:lineRule="auto" w:line="276"/>
      </w:pPr>
      <w:r>
        <w:rPr>
          <w:b/>
        </w:rPr>
        <w:t xml:space="preserve">摘要（ZH）: </w:t>
      </w:r>
      <w:r>
        <w:t>作者：李涛等(PandaX Collaboration)标量介导的相互作用可能存在于中微子、暗物质粒子之间或两者之间。双$β$衰变实验提供了一个强大的工具来探测这种奇异的相互作用。使用来自 PandaX-4T 的 $^{136}\mathrm{Xe}$ 双 $β$ 衰变数据，我们在…[Phys.莱特牧师。 136, 241802] 2026 年 6 月 17 日星期三发布</w:t>
      </w:r>
    </w:p>
    <w:p>
      <w:pPr>
        <w:spacing w:before="0" w:after="200" w:lineRule="auto" w:line="276"/>
      </w:pPr>
      <w:r>
        <w:rPr>
          <w:b/>
        </w:rPr>
        <w:t xml:space="preserve">Abstract (EN): </w:t>
      </w:r>
      <w:r>
        <w:t>Author(s): Tao Li et al. (PandaX Collaboration)Scalar-mediated interactions may exist among neutrinos, dark matter particles, or between the two. Double $β$-decay experiments provide a powerful tool to probe such exotic interactions. Using $^{136}\mathrm{Xe}$ double $β$-decay data from PandaX-4T, we perform the first direct spectral search in th…[Phys. Rev. Lett. 136, 241802] Published Wed Jun 17, 2026</w:t>
      </w:r>
    </w:p>
    <w:p>
      <w:pPr>
        <w:spacing w:before="120" w:after="120"/>
      </w:pPr>
      <w:r>
        <w:rPr>
          <w:sz w:val="18"/>
        </w:rPr>
        <w:t>——————————————————————————————————————————————————————————————————————</w:t>
      </w:r>
    </w:p>
    <w:p>
      <w:pPr>
        <w:spacing w:before="160" w:after="40" w:line="240" w:lineRule="auto"/>
      </w:pPr>
      <w:r>
        <w:rPr>
          <w:b/>
        </w:rPr>
        <w:t xml:space="preserve">[388] </w:t>
      </w:r>
      <w:hyperlink r:id="rId983">
        <w:r>
          <w:rPr>
            <w:color w:val="1155CC"/>
            <w:u w:val="single"/>
          </w:rPr>
          <w:t>全聚酰亚胺介导的气凝胶液态金属组装，用于透气且坚固的电子皮肤</w:t>
        </w:r>
      </w:hyperlink>
    </w:p>
    <w:p>
      <w:pPr>
        <w:spacing w:before="0" w:after="80"/>
      </w:pPr>
      <w:r>
        <w:rPr>
          <w:i/>
          <w:sz w:val="20"/>
        </w:rPr>
        <w:t>EN: All‐Polyimide‐Mediated Liquid Metal Assembly on Aerogels for Breathable and Robust Electronic Skins</w:t>
      </w:r>
    </w:p>
    <w:p>
      <w:pPr>
        <w:spacing w:before="0" w:after="120"/>
      </w:pPr>
      <w:r>
        <w:rPr>
          <w:b/>
        </w:rPr>
        <w:t xml:space="preserve">Source: </w:t>
      </w:r>
      <w:r>
        <w:t>Wiley: Advanced Materials: Table of Contents</w:t>
      </w:r>
      <w:r>
        <w:t xml:space="preserve">    </w:t>
      </w:r>
      <w:r>
        <w:rPr>
          <w:b/>
        </w:rPr>
        <w:t xml:space="preserve">Pub date: </w:t>
      </w:r>
      <w:r>
        <w:t>2026-06-17 11:20:11+00:00</w:t>
      </w:r>
      <w:r>
        <w:t xml:space="preserve">    </w:t>
      </w:r>
      <w:r>
        <w:rPr>
          <w:b/>
        </w:rPr>
        <w:t xml:space="preserve">DOI: </w:t>
      </w:r>
      <w:hyperlink r:id="rId984">
        <w:r>
          <w:rPr>
            <w:color w:val="1155CC"/>
            <w:u w:val="single"/>
          </w:rPr>
          <w:t>10.1002/adma.73751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在脆弱的多孔基材上建立坚固的导电网络很困难，构建保持高电气性能的透气电子皮肤（E-skins）仍然是一项艰巨的挑战。为了解决这个问题，一种基于超轻聚酰亚胺气凝胶的强大生物界面结合了高蒸气渗透性（1700 g m</w:t>
      </w:r>
      <w:r>
        <w:t xml:space="preserve"> </w:t>
      </w:r>
      <w:r>
        <w:t>-</w:t>
      </w:r>
      <w:r>
        <w:rPr>
          <w:vertAlign w:val="subscript"/>
        </w:rPr>
        <w:t>2</w:t>
      </w:r>
      <w:r>
        <w:t>日</w:t>
      </w:r>
      <w:r>
        <w:t xml:space="preserve"> </w:t>
      </w:r>
      <w:r>
        <w:t>-</w:t>
      </w:r>
      <w:r>
        <w:rPr>
          <w:vertAlign w:val="subscript"/>
        </w:rPr>
        <w:t>1</w:t>
      </w:r>
      <w:r>
        <w:t>）具有内在疏水性（&gt;123°）的发展。利用卓越的热稳定性（高达 460°C），由聚酰胺酸壳封装的液态金属颗粒油墨通过 140°C 的温和热处理被激活。由此产生的亚胺化引起的收缩产生压应力，使绝缘氧化层破裂并实现 8.17 × 10 的高电导率</w:t>
      </w:r>
      <w:r>
        <w:rPr>
          <w:vertAlign w:val="subscript"/>
        </w:rPr>
        <w:t>5</w:t>
      </w:r>
      <w:r>
        <w:t>小号</w:t>
      </w:r>
      <w:r>
        <w:t xml:space="preserve"> </w:t>
      </w:r>
      <w:r>
        <w:t>-</w:t>
      </w:r>
      <w:r>
        <w:rPr>
          <w:vertAlign w:val="subscript"/>
        </w:rPr>
        <w:t>1</w:t>
      </w:r>
      <w:r>
        <w:t>。该架构采用各向同性的开孔框架，将墨水限制在表面，同时保持横向气体传输的互连三维 (3D) 路径，从而确保持续的透气性，无论导电层覆盖如何。通过化学配位和机械互锁实现的强界面结合可在 200 000 次变形循环中实现可忽略不计的阻力变化以及可靠的水下功能。这些协同优势支持多种应用，包括共形焦耳热</w:t>
      </w:r>
    </w:p>
    <w:p>
      <w:pPr>
        <w:spacing w:before="0" w:after="200" w:lineRule="auto" w:line="276"/>
      </w:pPr>
      <w:r>
        <w:rPr>
          <w:b/>
        </w:rPr>
        <w:t xml:space="preserve">Abstract (EN): </w:t>
      </w:r>
      <w:r>
        <w:t>Constructing breathable electronic skins (E‐skins) that maintain high electrical performance remains a formidable challenge due to the difficulty of establishing robust conductive networks on fragile porous substrates. To address this issue, a robust bio‐interface based on an ultralight polyimide aerogel that combines high vapor permeability (1700 g m</w:t>
      </w:r>
      <w:r>
        <w:t xml:space="preserve"> </w:t>
      </w:r>
      <w:r>
        <w:t>−</w:t>
      </w:r>
      <w:r>
        <w:rPr>
          <w:vertAlign w:val="subscript"/>
        </w:rPr>
        <w:t>2</w:t>
      </w:r>
      <w:r>
        <w:t>day</w:t>
      </w:r>
      <w:r>
        <w:t xml:space="preserve"> </w:t>
      </w:r>
      <w:r>
        <w:t>−</w:t>
      </w:r>
      <w:r>
        <w:rPr>
          <w:vertAlign w:val="subscript"/>
        </w:rPr>
        <w:t>1</w:t>
      </w:r>
      <w:r>
        <w:t>) with intrinsic hydrophobicity (&amp;gt;123°) is developed. Leveraging the superior thermal stability (up to 460°C), a liquid metal particle ink encapsulated by polyamic acid shell is activated through mild thermal treatment at 140°C. The resulting imidization‐induced contraction generates compressive stress to rupture insulating oxide layers and achieve a high electrical conductivity of 8.17 × 10</w:t>
      </w:r>
      <w:r>
        <w:rPr>
          <w:vertAlign w:val="subscript"/>
        </w:rPr>
        <w:t>5</w:t>
      </w:r>
      <w:r>
        <w:t>S m</w:t>
      </w:r>
      <w:r>
        <w:t xml:space="preserve"> </w:t>
      </w:r>
      <w:r>
        <w:t>−</w:t>
      </w:r>
      <w:r>
        <w:rPr>
          <w:vertAlign w:val="subscript"/>
        </w:rPr>
        <w:t>1</w:t>
      </w:r>
      <w:r>
        <w:t>. This architecture employs an isotropic open‐cell framework that confines the ink to the surface while maintaining interconnected three‐dimensional (3D) pathways for lateral gas transport, thereby ensuring sustained breathability regardless of conductive layer coverage. Strong interfacial bonding through chemical coordination and mechanical interlocking enables negligible resistance variation over 200 000 deformation cycles and reliable underwater functionality. These synergistic advantages support diverse applications including conformal Joule heating, magnetic field sensing, and high‐fidelity electrophysiological monitoring during intense motion, establishing a versatile platform for next‐generation wearable healthcare.</w:t>
      </w:r>
    </w:p>
    <w:p>
      <w:pPr>
        <w:spacing w:before="120" w:after="120"/>
      </w:pPr>
      <w:r>
        <w:rPr>
          <w:sz w:val="18"/>
        </w:rPr>
        <w:t>——————————————————————————————————————————————————————————————————————</w:t>
      </w:r>
    </w:p>
    <w:p>
      <w:pPr>
        <w:spacing w:before="160" w:after="40" w:line="240" w:lineRule="auto"/>
      </w:pPr>
      <w:r>
        <w:rPr>
          <w:b/>
        </w:rPr>
        <w:t xml:space="preserve">[389] </w:t>
      </w:r>
      <w:hyperlink r:id="rId985">
        <w:r>
          <w:rPr>
            <w:color w:val="1155CC"/>
            <w:u w:val="single"/>
          </w:rPr>
          <w:t>高性能全色常温磷光聚合物微球及其应用</w:t>
        </w:r>
      </w:hyperlink>
    </w:p>
    <w:p>
      <w:pPr>
        <w:spacing w:before="0" w:after="80"/>
      </w:pPr>
      <w:r>
        <w:rPr>
          <w:i/>
          <w:sz w:val="20"/>
        </w:rPr>
        <w:t>EN: High Performance Full‐Color Room‐Temperature Phosphorescence Polymer Microspheres and Their Applications</w:t>
      </w:r>
    </w:p>
    <w:p>
      <w:pPr>
        <w:spacing w:before="0" w:after="120"/>
      </w:pPr>
      <w:r>
        <w:rPr>
          <w:b/>
        </w:rPr>
        <w:t xml:space="preserve">Source: </w:t>
      </w:r>
      <w:r>
        <w:t>Wiley: Advanced Materials: Table of Contents</w:t>
      </w:r>
      <w:r>
        <w:t xml:space="preserve">    </w:t>
      </w:r>
      <w:r>
        <w:rPr>
          <w:b/>
        </w:rPr>
        <w:t xml:space="preserve">Pub date: </w:t>
      </w:r>
      <w:r>
        <w:t>2026-06-17 11:50:40+00:00</w:t>
      </w:r>
      <w:r>
        <w:t xml:space="preserve">    </w:t>
      </w:r>
      <w:r>
        <w:rPr>
          <w:b/>
        </w:rPr>
        <w:t xml:space="preserve">DOI: </w:t>
      </w:r>
      <w:hyperlink r:id="rId986">
        <w:r>
          <w:rPr>
            <w:color w:val="1155CC"/>
            <w:u w:val="single"/>
          </w:rPr>
          <w:t>10.1002/adma.73729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室温磷光（RTP）聚合物材料以其独特的可改性性和易于制备而闻名，在柔性电子和信息加密领域具有广泛的应用潜力。然而，聚合物使其具有高量子产率（Φ</w:t>
      </w:r>
      <w:r>
        <w:t xml:space="preserve"> </w:t>
      </w:r>
      <w:r>
        <w:t>磷</w:t>
      </w:r>
      <w:r>
        <w:t xml:space="preserve"> </w:t>
      </w:r>
      <w:r>
        <w:t>）但磷光寿命短（τ</w:t>
      </w:r>
      <w:r>
        <w:t xml:space="preserve"> </w:t>
      </w:r>
      <w:r>
        <w:t>磷</w:t>
      </w:r>
      <w:r>
        <w:t xml:space="preserve"> </w:t>
      </w:r>
      <w:r>
        <w:t>)，或长 τ</w:t>
      </w:r>
      <w:r>
        <w:t xml:space="preserve"> </w:t>
      </w:r>
      <w:r>
        <w:t>磷</w:t>
      </w:r>
      <w:r>
        <w:t xml:space="preserve"> </w:t>
      </w:r>
      <w:r>
        <w:t>但 Φ 较低</w:t>
      </w:r>
      <w:r>
        <w:t xml:space="preserve"> </w:t>
      </w:r>
      <w:r>
        <w:t>磷</w:t>
      </w:r>
      <w:r>
        <w:t xml:space="preserve"> </w:t>
      </w:r>
      <w:r>
        <w:t>由于其灵活的结构。在此，我们提出了一种新颖的原位交联自组装策略，将柔性弱RTP聚合物组装成具有长τ的刚性聚合物微球</w:t>
      </w:r>
      <w:r>
        <w:t xml:space="preserve"> </w:t>
      </w:r>
      <w:r>
        <w:t>磷</w:t>
      </w:r>
      <w:r>
        <w:t xml:space="preserve"> </w:t>
      </w:r>
      <w:r>
        <w:t>, 高Φ</w:t>
      </w:r>
      <w:r>
        <w:t xml:space="preserve"> </w:t>
      </w:r>
      <w:r>
        <w:t>磷</w:t>
      </w:r>
      <w:r>
        <w:t xml:space="preserve"> </w:t>
      </w:r>
      <w:r>
        <w:t>和高亮度。最大τ</w:t>
      </w:r>
      <w:r>
        <w:t xml:space="preserve"> </w:t>
      </w:r>
      <w:r>
        <w:t>磷</w:t>
      </w:r>
      <w:r>
        <w:t xml:space="preserve"> </w:t>
      </w:r>
      <w:r>
        <w:t>和 Φ</w:t>
      </w:r>
      <w:r>
        <w:t xml:space="preserve"> </w:t>
      </w:r>
      <w:r>
        <w:t>磷</w:t>
      </w:r>
      <w:r>
        <w:t xml:space="preserve"> </w:t>
      </w:r>
      <w:r>
        <w:t>RTP微球（PM1）的发光效率高达2020 ms和34.1%，磷光亮度高达655.1 mcd/m</w:t>
      </w:r>
      <w:r>
        <w:rPr>
          <w:vertAlign w:val="subscript"/>
        </w:rPr>
        <w:t>2</w:t>
      </w:r>
      <w:r>
        <w:t>，分别比其柔性本征聚合物（P1）高6.4倍、5.3倍和10.2倍，并且也明显优于之前的本征聚合物RTP材料。此外，交联聚合物微球在强酸和强碱中表现出优异的稳定性，甚至在水中放置30天后也是如此。 RTP微球掺杂聚合物薄膜（PM1-PVA）对苯胺具有高选择性识别能力，检测灵敏度低至3.7</w:t>
      </w:r>
    </w:p>
    <w:p>
      <w:pPr>
        <w:spacing w:before="0" w:after="200" w:lineRule="auto" w:line="276"/>
      </w:pPr>
      <w:r>
        <w:rPr>
          <w:b/>
        </w:rPr>
        <w:t xml:space="preserve">Abstract (EN): </w:t>
      </w:r>
      <w:r>
        <w:t>Room temperature phosphorescence (RTP) polymer materials, known for their unique modifiability and ease of preparation, hold broad potential for applications in flexible electronics and information encryption. However, polymers make their RTP properties with high quantum yields (Φ</w:t>
      </w:r>
      <w:r>
        <w:t xml:space="preserve"> </w:t>
      </w:r>
      <w:r>
        <w:t>P</w:t>
      </w:r>
      <w:r>
        <w:t xml:space="preserve"> </w:t>
      </w:r>
      <w:r>
        <w:t>) but short phosphorescence lifetimes (τ</w:t>
      </w:r>
      <w:r>
        <w:t xml:space="preserve"> </w:t>
      </w:r>
      <w:r>
        <w:t>P</w:t>
      </w:r>
      <w:r>
        <w:t xml:space="preserve"> </w:t>
      </w:r>
      <w:r>
        <w:t>), or long τ</w:t>
      </w:r>
      <w:r>
        <w:t xml:space="preserve"> </w:t>
      </w:r>
      <w:r>
        <w:t>P</w:t>
      </w:r>
      <w:r>
        <w:t xml:space="preserve"> </w:t>
      </w:r>
      <w:r>
        <w:t>but low Φ</w:t>
      </w:r>
      <w:r>
        <w:t xml:space="preserve"> </w:t>
      </w:r>
      <w:r>
        <w:t>P</w:t>
      </w:r>
      <w:r>
        <w:t xml:space="preserve"> </w:t>
      </w:r>
      <w:r>
        <w:t>due to their flexible structure. Herein, we propose a novel in situ cross‐linked self‐assembly strategy of flexible weak RTP polymers into rigid polymer microspheres with long τ</w:t>
      </w:r>
      <w:r>
        <w:t xml:space="preserve"> </w:t>
      </w:r>
      <w:r>
        <w:t>P</w:t>
      </w:r>
      <w:r>
        <w:t xml:space="preserve"> </w:t>
      </w:r>
      <w:r>
        <w:t>, high Φ</w:t>
      </w:r>
      <w:r>
        <w:t xml:space="preserve"> </w:t>
      </w:r>
      <w:r>
        <w:t>P</w:t>
      </w:r>
      <w:r>
        <w:t xml:space="preserve"> </w:t>
      </w:r>
      <w:r>
        <w:t>and high brightness. The maximum τ</w:t>
      </w:r>
      <w:r>
        <w:t xml:space="preserve"> </w:t>
      </w:r>
      <w:r>
        <w:t>P</w:t>
      </w:r>
      <w:r>
        <w:t xml:space="preserve"> </w:t>
      </w:r>
      <w:r>
        <w:t>and Φ</w:t>
      </w:r>
      <w:r>
        <w:t xml:space="preserve"> </w:t>
      </w:r>
      <w:r>
        <w:t>P</w:t>
      </w:r>
      <w:r>
        <w:t xml:space="preserve"> </w:t>
      </w:r>
      <w:r>
        <w:t>of the RTP microsphere (PM1) reach as high as 2020 ms and 34.1%, with the phosphorescence brightness as high as 655.1 mcd/m</w:t>
      </w:r>
      <w:r>
        <w:rPr>
          <w:vertAlign w:val="subscript"/>
        </w:rPr>
        <w:t>2</w:t>
      </w:r>
      <w:r>
        <w:t>, which are 6.4‐, 5.3‐, and 10.2‐fold higher than those of its flexible intrinsic polymer (P1), respectively, and also considerably superior to those of the previously intrinsic polymer RTP materials. Moreover, the cross‐linked polymer microspheres exhibit excellent stability in strong acids and bases, and even after 30 days in water. The RTP microsphere‐doped polymer film (PM1‐PVA) presents highly selective recognition of aniline and a detection sensitivity as low as 3.7 × 10</w:t>
      </w:r>
      <w:r>
        <w:t xml:space="preserve"> </w:t>
      </w:r>
      <w:r>
        <w:t>−</w:t>
      </w:r>
      <w:r>
        <w:rPr>
          <w:vertAlign w:val="subscript"/>
        </w:rPr>
        <w:t>8</w:t>
      </w:r>
      <w:r>
        <w:t>m</w:t>
      </w:r>
      <w:r>
        <w:t xml:space="preserve"> </w:t>
      </w:r>
      <w:r>
        <w:t>.</w:t>
      </w:r>
    </w:p>
    <w:p>
      <w:pPr>
        <w:spacing w:before="120" w:after="120"/>
      </w:pPr>
      <w:r>
        <w:rPr>
          <w:sz w:val="18"/>
        </w:rPr>
        <w:t>——————————————————————————————————————————————————————————————————————</w:t>
      </w:r>
    </w:p>
    <w:p>
      <w:pPr>
        <w:spacing w:before="160" w:after="40" w:line="240" w:lineRule="auto"/>
      </w:pPr>
      <w:r>
        <w:rPr>
          <w:b/>
        </w:rPr>
        <w:t xml:space="preserve">[390] </w:t>
      </w:r>
      <w:hyperlink r:id="rId987">
        <w:r>
          <w:rPr>
            <w:color w:val="1155CC"/>
            <w:u w:val="single"/>
          </w:rPr>
          <w:t>空间应用钙钛矿太阳能电池中质子引起的非电离损伤的验证和减轻</w:t>
        </w:r>
      </w:hyperlink>
    </w:p>
    <w:p>
      <w:pPr>
        <w:spacing w:before="0" w:after="80"/>
      </w:pPr>
      <w:r>
        <w:rPr>
          <w:i/>
          <w:sz w:val="20"/>
        </w:rPr>
        <w:t>EN: Verification and Mitigation of Proton‐Induced Non‐Ionizing Damage in Perovskite Solar Cells for Space Applications</w:t>
      </w:r>
    </w:p>
    <w:p>
      <w:pPr>
        <w:spacing w:before="0" w:after="120"/>
      </w:pPr>
      <w:r>
        <w:rPr>
          <w:b/>
        </w:rPr>
        <w:t xml:space="preserve">Source: </w:t>
      </w:r>
      <w:r>
        <w:t>Wiley: Advanced Energy Materials: Table of Contents</w:t>
      </w:r>
      <w:r>
        <w:t xml:space="preserve">    </w:t>
      </w:r>
      <w:r>
        <w:rPr>
          <w:b/>
        </w:rPr>
        <w:t xml:space="preserve">Pub date: </w:t>
      </w:r>
      <w:r>
        <w:t>2026-06-17 11:57:24+00:00</w:t>
      </w:r>
      <w:r>
        <w:t xml:space="preserve">    </w:t>
      </w:r>
      <w:r>
        <w:rPr>
          <w:b/>
        </w:rPr>
        <w:t xml:space="preserve">DOI: </w:t>
      </w:r>
      <w:hyperlink r:id="rId988">
        <w:r>
          <w:rPr>
            <w:color w:val="1155CC"/>
            <w:u w:val="single"/>
          </w:rPr>
          <w:t>10.1002/aenm.71207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钙钛矿太阳能电池（PSC）为开发适合太空应用的轻质、高比功率光伏系统提供了一条引人注目的途径。然而，它们在富含质子的环境（典型的近地轨道）中的耐久性仍然是限制其部署的关键不确定性。在这项研究中，我们确定了质子能量和注量如何共同确定 PSC 的降解阈值，并表明非电离能量损失在不可恢复的降解中占主导地位。通过将受控质子暴露与离子输运模拟相结合，我们确定了能量依赖性机制，其中原子位移驱动 A/X 位点耗尽和晶格无序，导致性能崩溃超过临界累积剂量。在质子辐照下，观察到明显的机械指纹：表面金属 Pb</w:t>
      </w:r>
      <w:r>
        <w:rPr>
          <w:vertAlign w:val="subscript"/>
        </w:rPr>
        <w:t>0</w:t>
      </w:r>
      <w:r>
        <w:t>与 Pb 的积累相反，随着剂量的增加而减少</w:t>
      </w:r>
      <w:r>
        <w:rPr>
          <w:vertAlign w:val="subscript"/>
        </w:rPr>
        <w:t>0</w:t>
      </w:r>
      <w:r>
        <w:t>在光子照射下观察到。这一发现支持了位移主导的途径。最后，我们展示了可以减轻损坏的聚对二甲苯-C封装，并定义了一个实用的屏蔽标准：有效的保护需要聚合物厚度超过与给定任务的能谱相对应的质子穿透深度。这些结果为理解 PSC 中的质子与物质相互作用提供了一个统一的框架，并为制定抗辐射、轻质溶胶的可行设计规则提供了一个统一的框架。</w:t>
      </w:r>
    </w:p>
    <w:p>
      <w:pPr>
        <w:spacing w:before="0" w:after="200" w:lineRule="auto" w:line="276"/>
      </w:pPr>
      <w:r>
        <w:rPr>
          <w:b/>
        </w:rPr>
        <w:t xml:space="preserve">Abstract (EN): </w:t>
      </w:r>
      <w:r>
        <w:t>Perovskite solar cells (PSCs) offer a compelling route to developing lightweight, high‐specific‐power photovoltaic systems suitable for space applications. However, their durability in proton‐rich environments, typical of low‐Earth orbit, remains the key uncertainty that limits their deployment. In this study, we established how proton energy and fluence jointly determine the degradation thresholds in PSCs and showed that non‐ionizing energy loss dominates non‐recoverable degradation. By integrating controlled proton exposures with ion‐transport simulations, we identified energy‐dependent regimes in which atomic displacements drive A‐/X‐site depletion and lattice disorder, resulting in performance collapse beyond the critical accumulated dose. Under proton irradiation, a distinct mechanistic fingerprint was observed: the surface metallic Pb</w:t>
      </w:r>
      <w:r>
        <w:rPr>
          <w:vertAlign w:val="subscript"/>
        </w:rPr>
        <w:t>0</w:t>
      </w:r>
      <w:r>
        <w:t>diminished with increasing dose, in contrast to the accumulation of Pb</w:t>
      </w:r>
      <w:r>
        <w:rPr>
          <w:vertAlign w:val="subscript"/>
        </w:rPr>
        <w:t>0</w:t>
      </w:r>
      <w:r>
        <w:t>observed under photon irradiation. This finding supports a displacement‐dominated pathway. Finally, we demonstrated parylene‐C encapsulation that mitigates damage, and we defined a practical shielding criterion: effective protection requires a polymer thickness that exceeds the proton penetration depth corresponding to the energy spectrum of a given mission. These results provide both a unified framework for understanding proton–matter interactions in PSCs and for formulating actionable design rules for radiation‐hardened, lightweight solar modules capable of extended operation in space.</w:t>
      </w:r>
    </w:p>
    <w:p>
      <w:pPr>
        <w:spacing w:before="120" w:after="120"/>
      </w:pPr>
      <w:r>
        <w:rPr>
          <w:sz w:val="18"/>
        </w:rPr>
        <w:t>——————————————————————————————————————————————————————————————————————</w:t>
      </w:r>
    </w:p>
    <w:p>
      <w:pPr>
        <w:spacing w:before="160" w:after="40" w:line="240" w:lineRule="auto"/>
      </w:pPr>
      <w:r>
        <w:rPr>
          <w:b/>
        </w:rPr>
        <w:t xml:space="preserve">[391] </w:t>
      </w:r>
      <w:hyperlink r:id="rId989">
        <w:r>
          <w:rPr>
            <w:color w:val="1155CC"/>
            <w:u w:val="single"/>
          </w:rPr>
          <w:t>用于心血管疾病监测的可穿戴柔性传感器</w:t>
        </w:r>
      </w:hyperlink>
    </w:p>
    <w:p>
      <w:pPr>
        <w:spacing w:before="0" w:after="80"/>
      </w:pPr>
      <w:r>
        <w:rPr>
          <w:i/>
          <w:sz w:val="20"/>
        </w:rPr>
        <w:t>EN: Wearable Flexible Sensors for Cardiovascular Disease Monitoring</w:t>
      </w:r>
    </w:p>
    <w:p>
      <w:pPr>
        <w:spacing w:before="0" w:after="120"/>
      </w:pPr>
      <w:r>
        <w:rPr>
          <w:b/>
        </w:rPr>
        <w:t xml:space="preserve">Source: </w:t>
      </w:r>
      <w:r>
        <w:t>Wiley: Advanced Materials: Table of Contents</w:t>
      </w:r>
      <w:r>
        <w:t xml:space="preserve">    </w:t>
      </w:r>
      <w:r>
        <w:rPr>
          <w:b/>
        </w:rPr>
        <w:t xml:space="preserve">Pub date: </w:t>
      </w:r>
      <w:r>
        <w:t>2026-06-17 12:11:28+00:00</w:t>
      </w:r>
      <w:r>
        <w:t xml:space="preserve">    </w:t>
      </w:r>
      <w:r>
        <w:rPr>
          <w:b/>
        </w:rPr>
        <w:t xml:space="preserve">DOI: </w:t>
      </w:r>
      <w:hyperlink r:id="rId990">
        <w:r>
          <w:rPr>
            <w:color w:val="1155CC"/>
            <w:u w:val="single"/>
          </w:rPr>
          <w:t>10.1002/adma.202512939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可穿戴柔性传感器已成为下一代生物电子学的基石，能够对心血管疾病 (CVD) 进行皮肤适形、连续和高保真监测。这篇综述阐明了控制传感性能的结构-功能关系，强调了材料创新、结构工程和设备架构如何协同平衡灵敏度、机械鲁棒性和生物相容性。系统地总结了关键的心血管生理信号，包括电、机械、血流动力学和生化模式，并将其与压阻、电容、摩擦电、电化学和光传导等代表性传感机制相关联。进一步讨论了机器学习 (ML) 和数据驱动建模的集成，强调了其实现个性化诊断、多模态融合和心血管风险自适应预测的潜力。尽管取得了实质性进展，但在长期运行稳定性、可扩展制造、跨人群普遍适用性和临床验证方面仍然存在关键挑战。为了解决这些限制，提出了一种集成材料工程、多模态传感策略和算法智能的统一设计范式。本次审查旨在指导下一代可穿戴平台的开发，这些平台不仅具有机械合规性和功能鲁棒性，而且具有算法可解释性和临床可转化性，为智能、可靠和可穿戴设备奠定基础。</w:t>
      </w:r>
    </w:p>
    <w:p>
      <w:pPr>
        <w:spacing w:before="0" w:after="200" w:lineRule="auto" w:line="276"/>
      </w:pPr>
      <w:r>
        <w:rPr>
          <w:b/>
        </w:rPr>
        <w:t xml:space="preserve">Abstract (EN): </w:t>
      </w:r>
      <w:r>
        <w:t>Wearable flexible sensors have emerged as a cornerstone of next‐generation bioelectronics, enabling skin‐conformal, continuous, and high‐fidelity monitoring of cardiovascular diseases (CVDs). This review elucidates the structure‐function relationships that govern sensing performance, highlighting how material innovation, structure engineering, and device architectures synergistically balance sensitivity, mechanical robustness, and biocompatibility. Key cardiovascular physiological signals, including electrical, mechanical, hemodynamic, and biochemical modalities, are systematically summarized and correlated with representative sensing mechanisms such as piezoresistive, capacitive, triboelectric, electrochemical, and optical transduction. The integration of machine learning (ML) and data‐driven modeling is further discussed, highlighting its potential to enable personalized diagnostics, multimodal fusion, and adaptive prediction of cardiovascular risks. Despite substantial progress, critical challenges remain in long‐term operational stability, scalable manufacturing, cross‐population generalizability, and clinical validation. To address these limitations, a unified design paradigm integrating materials engineering, multimodal sensing strategies, and algorithmic intelligence is proposed. This review aims to guide the development of next‐generation wearable platforms that are not only mechanically compliant and functionally robust but also algorithmically interpretable and clinically translatable, laying the groundwork for intelligent, reliable, and precision‐oriented CVD monitoring systems.</w:t>
      </w:r>
    </w:p>
    <w:p>
      <w:pPr>
        <w:spacing w:before="120" w:after="120"/>
      </w:pPr>
      <w:r>
        <w:rPr>
          <w:sz w:val="18"/>
        </w:rPr>
        <w:t>——————————————————————————————————————————————————————————————————————</w:t>
      </w:r>
    </w:p>
    <w:p>
      <w:pPr>
        <w:spacing w:before="160" w:after="40" w:line="240" w:lineRule="auto"/>
      </w:pPr>
      <w:r>
        <w:rPr>
          <w:b/>
        </w:rPr>
        <w:t xml:space="preserve">[392] </w:t>
      </w:r>
      <w:hyperlink r:id="rId991">
        <w:r>
          <w:rPr>
            <w:color w:val="1155CC"/>
            <w:u w:val="single"/>
          </w:rPr>
          <w:t>基于摩擦纳米发电机的仿生超分辨率电化学​​发光成像用于电极-电解质界面分析</w:t>
        </w:r>
      </w:hyperlink>
    </w:p>
    <w:p>
      <w:pPr>
        <w:spacing w:before="0" w:after="80"/>
      </w:pPr>
      <w:r>
        <w:rPr>
          <w:i/>
          <w:sz w:val="20"/>
        </w:rPr>
        <w:t>EN: Bioinspired Super‐Resolution Electrochemiluminescence Imaging Based on Triboelectric Nanogenerator for Electrode‐Electrolyte Interface Analysis</w:t>
      </w:r>
    </w:p>
    <w:p>
      <w:pPr>
        <w:spacing w:before="0" w:after="120"/>
      </w:pPr>
      <w:r>
        <w:rPr>
          <w:b/>
        </w:rPr>
        <w:t xml:space="preserve">Source: </w:t>
      </w:r>
      <w:r>
        <w:t>Wiley: Advanced Materials: Table of Contents</w:t>
      </w:r>
      <w:r>
        <w:t xml:space="preserve">    </w:t>
      </w:r>
      <w:r>
        <w:rPr>
          <w:b/>
        </w:rPr>
        <w:t xml:space="preserve">Pub date: </w:t>
      </w:r>
      <w:r>
        <w:t>2026-06-17 12:31:22+00:00</w:t>
      </w:r>
      <w:r>
        <w:t xml:space="preserve">    </w:t>
      </w:r>
      <w:r>
        <w:rPr>
          <w:b/>
        </w:rPr>
        <w:t xml:space="preserve">DOI: </w:t>
      </w:r>
      <w:hyperlink r:id="rId992">
        <w:r>
          <w:rPr>
            <w:color w:val="1155CC"/>
            <w:u w:val="single"/>
          </w:rPr>
          <w:t>10.1002/adma.73752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了解电极-电解质界面的性质仍然是电化学领域长期追求的目标，因为它可以帮助解决当今时代的重大社会挑战，例如全球能源和环境危机。电化学发光（ECL）成像可以直接可视化电极-电解质界面，而不是从形态或表面化学推断活性位点。然而，ECL信号的信号衰减和有限的稳定性限制了其实际应用。在这里，通过利用摩擦纳米发电机 (TENG) 的高频脉冲输出，我们开发了一种基于 TENG 的电化学发光 (TECL) 成像，其灵感来自于心脏舒张-收缩周期。 TECL信号克服了传统ECL的局限性，并采用零样本反卷积网络（ZS-DeconvNet）来实现超分辨率TECL（ZSSR-TECL）成像。利用ZSSR-TECL成像，可以分析电极-电解质界面的催化区域，清楚地区分高活性、中活性和降解区域。此外，还建立了三种分析电极-电解质界面催化活性的方法，包括直接观察TECL图像、信号强度分布分析以及固定区域总信号强度的量化。 TECL 成像有潜力促进电极-电解质界面的研究，并为增强 ECL 成像提供了前景。</w:t>
      </w:r>
    </w:p>
    <w:p>
      <w:pPr>
        <w:spacing w:before="0" w:after="200" w:lineRule="auto" w:line="276"/>
      </w:pPr>
      <w:r>
        <w:rPr>
          <w:b/>
        </w:rPr>
        <w:t xml:space="preserve">Abstract (EN): </w:t>
      </w:r>
      <w:r>
        <w:t>Understanding the nature of electrode–electrolyte interface remains a long‐sought goal in electrochemistry, as it could help to address major societal challenges of our time, such as the global energy and environmental crisis. Electrochemiluminescence (ECL) imaging enables the direct visualization of the electrode–electrolyte interface, rather than inferring active sites from morphology or surface chemistry. However, the signal decay and limited stability of ECL signals restrict their practical application. Here, by utilizing the high‐frequency pulsed output of a triboelectric nanogenerator (TENG), we developed a TENG‐based electrochemiluminescence (TECL) imaging inspired by the cardiac diastole‐systole cycle. The TECL signal overcomes the limitations of traditional ECL and employs a zero‐shot deconvolution network (ZS‐DeconvNet) to achieve super‐resolution TECL (ZSSR‐TECL) imaging. Utilizing the ZSSR‐TECL imaging, the catalytic regions at the electrode‐electrolyte interface can be analyzed, with high‐activity, moderate‐activity, and degraded regions clearly distinguished. In addition, three methods have been established for analyzing the catalytic activity of the electrode‐electrolyte interface, including direct observation of TECL images, analysis of signal intensity profiles, and quantification of total signal intensity in fixed regions. The TECL imaging has the potential to enable the research of electrode‐electrolyte interfaces and offers a perspective for enhancing ECL imaging.</w:t>
      </w:r>
    </w:p>
    <w:p>
      <w:pPr>
        <w:spacing w:before="120" w:after="120"/>
      </w:pPr>
      <w:r>
        <w:rPr>
          <w:sz w:val="18"/>
        </w:rPr>
        <w:t>——————————————————————————————————————————————————————————————————————</w:t>
      </w:r>
    </w:p>
    <w:p>
      <w:pPr>
        <w:spacing w:before="160" w:after="40" w:line="240" w:lineRule="auto"/>
      </w:pPr>
      <w:r>
        <w:rPr>
          <w:b/>
        </w:rPr>
        <w:t xml:space="preserve">[393] </w:t>
      </w:r>
      <w:hyperlink r:id="rId993">
        <w:r>
          <w:rPr>
            <w:color w:val="1155CC"/>
            <w:u w:val="single"/>
          </w:rPr>
          <w:t>物理增强深度学习优化半透明有机光伏，用于建筑一体化可持续能源</w:t>
        </w:r>
      </w:hyperlink>
    </w:p>
    <w:p>
      <w:pPr>
        <w:spacing w:before="0" w:after="80"/>
      </w:pPr>
      <w:r>
        <w:rPr>
          <w:i/>
          <w:sz w:val="20"/>
        </w:rPr>
        <w:t>EN: Physics‐Enhanced Deep Learning Optimized Semitransparent Organic Photovoltaics for Building‐Integrated Sustainable Energy</w:t>
      </w:r>
    </w:p>
    <w:p>
      <w:pPr>
        <w:spacing w:before="0" w:after="120"/>
      </w:pPr>
      <w:r>
        <w:rPr>
          <w:b/>
        </w:rPr>
        <w:t xml:space="preserve">Source: </w:t>
      </w:r>
      <w:r>
        <w:t>Wiley: Advanced Materials: Table of Contents</w:t>
      </w:r>
      <w:r>
        <w:t xml:space="preserve">    </w:t>
      </w:r>
      <w:r>
        <w:rPr>
          <w:b/>
        </w:rPr>
        <w:t xml:space="preserve">Pub date: </w:t>
      </w:r>
      <w:r>
        <w:t>2026-06-17 12:37:05+00:00</w:t>
      </w:r>
      <w:r>
        <w:t xml:space="preserve">    </w:t>
      </w:r>
      <w:r>
        <w:rPr>
          <w:b/>
        </w:rPr>
        <w:t xml:space="preserve">DOI: </w:t>
      </w:r>
      <w:hyperlink r:id="rId994">
        <w:r>
          <w:rPr>
            <w:color w:val="1155CC"/>
            <w:u w:val="single"/>
          </w:rPr>
          <w:t>10.1002/adma.73762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全球能源挑战使建筑一体化光伏成为关键的脱碳前沿，其中半透明有机光伏（ST-OPV）代表了一种有前途的同步发电和日光传输技术。然而，它们的广泛应用受到复杂光子管理所控制的基本效率和透明度权衡的限制。在此，我们引入了一种物理增强深度学习（PDL）框架，该框架将光学物理先验嵌入到神经网络中，显着减少对大量实验数据集的依赖，同时提高预测准确性，超越传统模拟和纯数据驱动方法。基于新颖的卤素添加剂工程策略，我们的 PDL 引导的最佳光学设计可实现不透明器件的功率转换效率超过 20%，从而提供相应的 ST-OPV，其光利用率达到创纪录的 6.09%。当扩展到大面积制造模块时，多尺度建筑能源模型表明，在全国范围内部署此类 ST-OPV 可以满足中国能源需求总量的五分之一，突显了它们在推进可持续能源系统和支持全球碳中和目标方面的变革潜力。</w:t>
      </w:r>
    </w:p>
    <w:p>
      <w:pPr>
        <w:spacing w:before="0" w:after="200" w:lineRule="auto" w:line="276"/>
      </w:pPr>
      <w:r>
        <w:rPr>
          <w:b/>
        </w:rPr>
        <w:t xml:space="preserve">Abstract (EN): </w:t>
      </w:r>
      <w:r>
        <w:t>Global energy challenges establish building‐integrated photovoltaics as a pivotal decarbonization frontier, where semitransparent organic photovoltaics (ST‐OPVs) represent a promising technology for simultaneous power generation and daylight transmission. However, their widespread application is constrained by a fundamental efficiency and transparency trade‐off governed by complex photon management. Herein, we introduce a physics‐enhanced deep learning (PDL) framework that embeds optical physical priors into neural network, significantly reducing the reliance on extensive experimental datasets while enhancing predictive accuracy beyond conventional simulation and purely data driven methods. Building on a novel halogen‐additive engineering strategy, that enables opaque devices with a power conversion efficiency exceeding 20%, our PDL‐guided optimal optical design delivers corresponding ST‐OPVs with a record light utilization efficiency of 6.09%. When scaled to large‐area manufactured modules, multi‐scale building energy modeling demonstrates that the nationwide deployment of such ST‐OPVs could meet up to one‐fifth of China's total energy demand, highlighting their transformative potential in advancing sustainable energy systems and supporting global carbon neutrality goals.</w:t>
      </w:r>
    </w:p>
    <w:p>
      <w:pPr>
        <w:spacing w:before="120" w:after="120"/>
      </w:pPr>
      <w:r>
        <w:rPr>
          <w:sz w:val="18"/>
        </w:rPr>
        <w:t>——————————————————————————————————————————————————————————————————————</w:t>
      </w:r>
    </w:p>
    <w:p>
      <w:pPr>
        <w:spacing w:before="160" w:after="40" w:line="240" w:lineRule="auto"/>
      </w:pPr>
      <w:r>
        <w:rPr>
          <w:b/>
        </w:rPr>
        <w:t xml:space="preserve">[394] </w:t>
      </w:r>
      <w:hyperlink r:id="rId995">
        <w:r>
          <w:rPr>
            <w:color w:val="1155CC"/>
            <w:u w:val="single"/>
          </w:rPr>
          <w:t>为前沿应用定制聚酰亚胺分子结构</w:t>
        </w:r>
      </w:hyperlink>
    </w:p>
    <w:p>
      <w:pPr>
        <w:spacing w:before="0" w:after="80"/>
      </w:pPr>
      <w:r>
        <w:rPr>
          <w:i/>
          <w:sz w:val="20"/>
        </w:rPr>
        <w:t>EN: Tailoring Molecular Structures of Polyimides for Frontier Applications</w:t>
      </w:r>
    </w:p>
    <w:p>
      <w:pPr>
        <w:spacing w:before="0" w:after="120"/>
      </w:pPr>
      <w:r>
        <w:rPr>
          <w:b/>
        </w:rPr>
        <w:t xml:space="preserve">Source: </w:t>
      </w:r>
      <w:r>
        <w:t>Wiley: Advanced Materials: Table of Contents</w:t>
      </w:r>
      <w:r>
        <w:t xml:space="preserve">    </w:t>
      </w:r>
      <w:r>
        <w:rPr>
          <w:b/>
        </w:rPr>
        <w:t xml:space="preserve">Pub date: </w:t>
      </w:r>
      <w:r>
        <w:t>2026-06-17 14:09:14+00:00</w:t>
      </w:r>
      <w:r>
        <w:t xml:space="preserve">    </w:t>
      </w:r>
      <w:r>
        <w:rPr>
          <w:b/>
        </w:rPr>
        <w:t xml:space="preserve">DOI: </w:t>
      </w:r>
      <w:hyperlink r:id="rId996">
        <w:r>
          <w:rPr>
            <w:color w:val="1155CC"/>
            <w:u w:val="single"/>
          </w:rPr>
          <w:t>10.1002/adma.73720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聚酰亚胺 (PI) 广泛应用于前沿技术，因为它们结合了其他聚合物难以实现的性能，包括高热稳定性和可加工性、机械坚固性和尺寸稳定性以及电绝缘性和耐化学性。在新兴应用中，需要光学透明性、光敏性或隔热性等附加功能，同时又不影响长期可靠性。这种多功能性源于 PI 化学围绕酰亚胺主链的结构可调性。通过调整主链刚性、极性和自由体积、掺入氟化或脂环族单元、引入可交联端基以及采用有机-无机杂化图案，PI系统可以针对不同的加工路线和材料形式进行定制，包括用于复合材料的热固性树脂、工程塑料、多孔泡沫和气凝胶、高性能薄膜和涂料以及用于电子封装的光敏聚酰亚胺（PSPI）。在这些应用中，结构-加工-性能关系（其中分子设计定义了加工窗口，加工路线决定了主要性能目标）为定制 PI 材料（从航空航天组件到晶圆级封装）提供了通用框架。</w:t>
      </w:r>
    </w:p>
    <w:p>
      <w:pPr>
        <w:spacing w:before="0" w:after="200" w:lineRule="auto" w:line="276"/>
      </w:pPr>
      <w:r>
        <w:rPr>
          <w:b/>
        </w:rPr>
        <w:t xml:space="preserve">Abstract (EN): </w:t>
      </w:r>
      <w:r>
        <w:t>Polyimides (PIs) are widely used in frontier technologies because they combine properties that are difficult to achieve in other polymers, including high thermal stability with processability, mechanical robustness with dimensional stability, and electrical insulation with chemical resistance. In emerging applications, additional functions such as optical transparency, photosensitivity, or thermal insulation are required without compromising long‐term reliability. This versatility arises from the structural tunability of PI chemistry around the imide backbone. By adjusting backbone rigidity, polarity, and free volume, incorporating fluorinated or alicyclic units, introducing crosslinkable end‐groups, and adopting organic–inorganic hybrid motifs, PI systems can be tailored for diverse processing routes and material forms, including thermosetting resins for composites, engineering plastics, porous foams and aerogels, high‐performance films and coatings, and photosensitive polyimides (PSPIs) for electronic packaging. Across these applications, structure–processing–property relationships, where molecular design defines the processing window and the processing route determines the dominant performance targets, provide a common framework for tailoring PI materials from aerospace assemblies to wafer‐level packaging.</w:t>
      </w:r>
    </w:p>
    <w:p>
      <w:pPr>
        <w:spacing w:before="120" w:after="120"/>
      </w:pPr>
      <w:r>
        <w:rPr>
          <w:sz w:val="18"/>
        </w:rPr>
        <w:t>——————————————————————————————————————————————————————————————————————</w:t>
      </w:r>
    </w:p>
    <w:p>
      <w:pPr>
        <w:spacing w:before="160" w:after="40" w:line="240" w:lineRule="auto"/>
      </w:pPr>
      <w:r>
        <w:rPr>
          <w:b/>
        </w:rPr>
        <w:t xml:space="preserve">[395] </w:t>
      </w:r>
      <w:hyperlink r:id="rId997">
        <w:r>
          <w:rPr>
            <w:color w:val="1155CC"/>
            <w:u w:val="single"/>
          </w:rPr>
          <w:t>用于药物和 3D 球体封装和引导运输的柔软、可降解和磁性微载体</w:t>
        </w:r>
      </w:hyperlink>
    </w:p>
    <w:p>
      <w:pPr>
        <w:spacing w:before="0" w:after="80"/>
      </w:pPr>
      <w:r>
        <w:rPr>
          <w:i/>
          <w:sz w:val="20"/>
        </w:rPr>
        <w:t>EN: Soft, Degradable, and Magnetic Microcarriers for Encapsulation and Guided Transport of Drugs and 3D Spheroids</w:t>
      </w:r>
    </w:p>
    <w:p>
      <w:pPr>
        <w:spacing w:before="0" w:after="120"/>
      </w:pPr>
      <w:r>
        <w:rPr>
          <w:b/>
        </w:rPr>
        <w:t xml:space="preserve">Source: </w:t>
      </w:r>
      <w:r>
        <w:t>Wiley: Advanced Materials: Table of Contents</w:t>
      </w:r>
      <w:r>
        <w:t xml:space="preserve">    </w:t>
      </w:r>
      <w:r>
        <w:rPr>
          <w:b/>
        </w:rPr>
        <w:t xml:space="preserve">Pub date: </w:t>
      </w:r>
      <w:r>
        <w:t>2026-06-17 14:12:29+00:00</w:t>
      </w:r>
      <w:r>
        <w:t xml:space="preserve">    </w:t>
      </w:r>
      <w:r>
        <w:rPr>
          <w:b/>
        </w:rPr>
        <w:t xml:space="preserve">DOI: </w:t>
      </w:r>
      <w:hyperlink r:id="rId998">
        <w:r>
          <w:rPr>
            <w:color w:val="1155CC"/>
            <w:u w:val="single"/>
          </w:rPr>
          <w:t>10.1002/adma.73735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软微载体在生物医学应用方面具有巨大潜力，但其转化受到缺乏受控降解、治疗和细胞货物共封装能力有限、长期生物相容性和可扩展生产挑战的限制。在这里，我们引入了一种离散的、可降解的水凝胶微载体的新概念，它是通过基于液滴的微流体和紫外光聚合产生的，旨在整合这些特性。这些软微载体能够共封装多种物质，包括磁性颗粒、药物和活细胞球体，同时允许使用外部梯度磁场对复杂轨迹进行精确的运动控制。它们在生理条件下的可调降解确保了瞬时稳定性、受控导航和安全清除。这种方法提供了对货物运输和释放的时空控制，使微载体能够作为具有可控生命周期的系统发挥作用。这些多功能微载体代表了组织工程、微创治疗和诊断监测的多功能平台，并通过精确的原位导航选项得到增强。</w:t>
      </w:r>
    </w:p>
    <w:p>
      <w:pPr>
        <w:spacing w:before="0" w:after="200" w:lineRule="auto" w:line="276"/>
      </w:pPr>
      <w:r>
        <w:rPr>
          <w:b/>
        </w:rPr>
        <w:t xml:space="preserve">Abstract (EN): </w:t>
      </w:r>
      <w:r>
        <w:t>Soft microcarriers hold great potential for biomedical applications, yet their translation is limited by the lack of controlled degradation, restricted capacity for co‐encapsulation of therapeutic and cellular cargos, long‐term biocompatibility, and scalable production challenges. Here, we introduce a new concept of discrete, degradable hydrogel microcarriers, produced via droplet‐based microfluidics and UV photopolymerization, designed to integrate these properties. These soft microcarriers enable co‐encapsulation of multiple species, including magnetic particles, drugs, and living cell spheroids, while allowing precise motion control over complex trajectories using external gradient magnetic fields. Their tunable degradation under physiological conditions ensures transient stability, controlled navigation, and safe clearance. This approach provides spatiotemporal control over cargo transport and release, enabling the microcarriers to function as systems with a controllable lifecycle. These multifunctional microcarriers represent a versatile platform for tissue engineering, minimally invasive therapies, and diagnostic monitoring, enhanced by the precise in situ navigation option.</w:t>
      </w:r>
    </w:p>
    <w:p>
      <w:pPr>
        <w:spacing w:before="120" w:after="120"/>
      </w:pPr>
      <w:r>
        <w:rPr>
          <w:sz w:val="18"/>
        </w:rPr>
        <w:t>——————————————————————————————————————————————————————————————————————</w:t>
      </w:r>
    </w:p>
    <w:p>
      <w:pPr>
        <w:spacing w:before="160" w:after="40" w:line="240" w:lineRule="auto"/>
      </w:pPr>
      <w:r>
        <w:rPr>
          <w:b/>
        </w:rPr>
        <w:t xml:space="preserve">[396] </w:t>
      </w:r>
      <w:hyperlink r:id="rId999">
        <w:r>
          <w:rPr>
            <w:color w:val="1155CC"/>
            <w:u w:val="single"/>
          </w:rPr>
          <w:t>冷常压等离子体激活的脱细胞外基质凝胶作为术后癌症免疫治疗的肿瘤浸润免疫激活平台（Adv. Mater. 34/2026）</w:t>
        </w:r>
      </w:hyperlink>
    </w:p>
    <w:p>
      <w:pPr>
        <w:spacing w:before="0" w:after="80"/>
      </w:pPr>
      <w:r>
        <w:rPr>
          <w:i/>
          <w:sz w:val="20"/>
        </w:rPr>
        <w:t>EN: Cold Atmospheric Plasma‐Activated Decellularized Extracellular Matrix Gel as a Tumor‐Infiltrating Immunoactivation Platform for Post‐Surgical Cancer Immunotherapy (Adv. Mater. 34/2026)</w:t>
      </w:r>
    </w:p>
    <w:p>
      <w:pPr>
        <w:spacing w:before="0" w:after="120"/>
      </w:pPr>
      <w:r>
        <w:rPr>
          <w:b/>
        </w:rPr>
        <w:t xml:space="preserve">Source: </w:t>
      </w:r>
      <w:r>
        <w:t>Wiley: Advanced Materials: Table of Contents</w:t>
      </w:r>
      <w:r>
        <w:t xml:space="preserve">    </w:t>
      </w:r>
      <w:r>
        <w:rPr>
          <w:b/>
        </w:rPr>
        <w:t xml:space="preserve">Pub date: </w:t>
      </w:r>
      <w:r>
        <w:t>2026-06-17 15:07:02+00:00</w:t>
      </w:r>
      <w:r>
        <w:t xml:space="preserve">    </w:t>
      </w:r>
      <w:r>
        <w:rPr>
          <w:b/>
        </w:rPr>
        <w:t xml:space="preserve">DOI: </w:t>
      </w:r>
      <w:hyperlink r:id="rId1000">
        <w:r>
          <w:rPr>
            <w:color w:val="1155CC"/>
            <w:u w:val="single"/>
          </w:rPr>
          <w:t>10.1002/adma.73613</w:t>
        </w:r>
      </w:hyperlink>
    </w:p>
    <w:p>
      <w:pPr>
        <w:spacing w:before="0" w:after="120"/>
      </w:pPr>
      <w:r>
        <w:rPr>
          <w:b/>
        </w:rPr>
        <w:t xml:space="preserve">Notes: </w:t>
      </w:r>
      <w:r>
        <w:t>abstract_source=openalex</w:t>
      </w:r>
    </w:p>
    <w:p>
      <w:pPr>
        <w:spacing w:before="0" w:after="80" w:lineRule="auto" w:line="276"/>
      </w:pPr>
      <w:r>
        <w:rPr>
          <w:b/>
        </w:rPr>
        <w:t xml:space="preserve">摘要（ZH）: </w:t>
      </w:r>
      <w:r>
        <w:t>冷常压等离子体激活脱细胞肿瘤细胞外基质凝胶伪彩色扫描电子显微照片（原始数据）展示了可注射等离子体激活脱细胞肿瘤细胞外基质 (CAP-DECM) 水凝胶的复杂结构。该图像突出显示了水凝胶招募肿瘤细胞（以红色突出显示）的能力，将术后环境转变为旨在预防癌症复发的局部免疫激活生态位。更多详细信息，请参阅Guojun Chen 及其同事的研究文章（DOI：10.1002/adma.202515444）。</w:t>
      </w:r>
    </w:p>
    <w:p>
      <w:pPr>
        <w:spacing w:before="0" w:after="200" w:lineRule="auto" w:line="276"/>
      </w:pPr>
      <w:r>
        <w:rPr>
          <w:b/>
        </w:rPr>
        <w:t xml:space="preserve">Abstract (EN): </w:t>
      </w:r>
      <w:r>
        <w:t>Cold Atmospheric Plasma-Activated Decellularized Extracellular Matrix Gel A pseudo-colored scanning electron micrograph (original data) showcasing the intricate architecture of an injectable, plasma-activated decellularized tumor extracellular matrix (CAP-DECM) hydrogel. The image highlights the hydrogel's capacity to recruit tumor cells (highlighted in red), transforming the post-operative environment into a localized, immune-activating niche designed to prevent cancer recurrence. More details can be found in the Research Article by Guojun Chen and co-workers (DOI: 10.1002/adma.202515444).</w:t>
      </w:r>
    </w:p>
    <w:p>
      <w:pPr>
        <w:spacing w:before="120" w:after="120"/>
      </w:pPr>
      <w:r>
        <w:rPr>
          <w:sz w:val="18"/>
        </w:rPr>
        <w:t>——————————————————————————————————————————————————————————————————————</w:t>
      </w:r>
    </w:p>
    <w:p>
      <w:pPr>
        <w:spacing w:before="160" w:after="40" w:line="240" w:lineRule="auto"/>
      </w:pPr>
      <w:r>
        <w:rPr>
          <w:b/>
        </w:rPr>
        <w:t xml:space="preserve">[397] </w:t>
      </w:r>
      <w:hyperlink r:id="rId1001">
        <w:r>
          <w:rPr>
            <w:color w:val="1155CC"/>
            <w:u w:val="single"/>
          </w:rPr>
          <w:t>通过自由淹没超表面实现具有增强容量和加密信息的压力无关声涡流通信（Adv. Mater. 34/2026）</w:t>
        </w:r>
      </w:hyperlink>
    </w:p>
    <w:p>
      <w:pPr>
        <w:spacing w:before="0" w:after="80"/>
      </w:pPr>
      <w:r>
        <w:rPr>
          <w:i/>
          <w:sz w:val="20"/>
        </w:rPr>
        <w:t>EN: Pressure‐Independent Acoustic‐Vortex Communication With Enhanced‐Capacity and Cryptographic Information by Free‐Flooded Metasurfaces (Adv. Mater. 34/2026)</w:t>
      </w:r>
    </w:p>
    <w:p>
      <w:pPr>
        <w:spacing w:before="0" w:after="120"/>
      </w:pPr>
      <w:r>
        <w:rPr>
          <w:b/>
        </w:rPr>
        <w:t xml:space="preserve">Source: </w:t>
      </w:r>
      <w:r>
        <w:t>Wiley: Advanced Materials: Table of Contents</w:t>
      </w:r>
      <w:r>
        <w:t xml:space="preserve">    </w:t>
      </w:r>
      <w:r>
        <w:rPr>
          <w:b/>
        </w:rPr>
        <w:t xml:space="preserve">Pub date: </w:t>
      </w:r>
      <w:r>
        <w:t>2026-06-17 15:07:02+00:00</w:t>
      </w:r>
      <w:r>
        <w:t xml:space="preserve">    </w:t>
      </w:r>
      <w:r>
        <w:rPr>
          <w:b/>
        </w:rPr>
        <w:t xml:space="preserve">DOI: </w:t>
      </w:r>
      <w:hyperlink r:id="rId1002">
        <w:r>
          <w:rPr>
            <w:color w:val="1155CC"/>
            <w:u w:val="single"/>
          </w:rPr>
          <w:t>10.1002/adma.73615</w:t>
        </w:r>
      </w:hyperlink>
    </w:p>
    <w:p>
      <w:pPr>
        <w:spacing w:before="0" w:after="120"/>
      </w:pPr>
      <w:r>
        <w:rPr>
          <w:b/>
        </w:rPr>
        <w:t xml:space="preserve">Notes: </w:t>
      </w:r>
      <w:r>
        <w:t>abstract_source=openalex</w:t>
      </w:r>
    </w:p>
    <w:p>
      <w:pPr>
        <w:spacing w:before="0" w:after="80" w:lineRule="auto" w:line="276"/>
      </w:pPr>
      <w:r>
        <w:rPr>
          <w:b/>
        </w:rPr>
        <w:t xml:space="preserve">摘要（ZH）: </w:t>
      </w:r>
      <w:r>
        <w:t>不受静水压力的水声通信 在他们的研究文章（DOI：10.1002/adma.202521718）中，Hao-Wen Dong 及其同事提出了一种不受静水压力的水声通信，可以在深海中保持稳定的功能，不受极端静水压力的影响。采用定制的自由淹没超表面来调制和解调携带多路复用信息的同轴涡流，从而能够同时传输多个物理编码数据流。通过将物理波操纵与计算加密相结合，该系统提供了一种安全、高容量的通信范式，能够抵御窃听，在深海勘探和强大的海洋信息系统的开发方面具有广阔的应用前景。</w:t>
      </w:r>
    </w:p>
    <w:p>
      <w:pPr>
        <w:spacing w:before="0" w:after="200" w:lineRule="auto" w:line="276"/>
      </w:pPr>
      <w:r>
        <w:rPr>
          <w:b/>
        </w:rPr>
        <w:t xml:space="preserve">Abstract (EN): </w:t>
      </w:r>
      <w:r>
        <w:t>Hydrostatic-Pressure-Immune Underwater Acoustic Communication In their Research Article (DOI: 10.1002/adma.202521718), Hao-Wen Dong and co-workers present a hydrostatic-pressure-immune underwater acoustic communication that can maintain stable functionality in deep sea, unaffected by extreme hydrostatic pressure. Customized free-flooded metasurfaces are employed to modulate and demodulate coaxial vortices carrying multiplexed information, enabling the simultaneous transmission of multiple physical-encoding data streams. By integrating physical wave manipulation with computational encryption, this system offers a secure, high-capacity communication paradigm resilient to eavesdropping, with promising applications in deep-sea exploration and the development of robust marine information systems.</w:t>
      </w:r>
    </w:p>
    <w:p>
      <w:pPr>
        <w:spacing w:before="120" w:after="120"/>
      </w:pPr>
      <w:r>
        <w:rPr>
          <w:sz w:val="18"/>
        </w:rPr>
        <w:t>——————————————————————————————————————————————————————————————————————</w:t>
      </w:r>
    </w:p>
    <w:p>
      <w:pPr>
        <w:spacing w:before="160" w:after="40" w:line="240" w:lineRule="auto"/>
      </w:pPr>
      <w:r>
        <w:rPr>
          <w:b/>
        </w:rPr>
        <w:t xml:space="preserve">[398] </w:t>
      </w:r>
      <w:hyperlink r:id="rId1003">
        <w:r>
          <w:rPr>
            <w:color w:val="1155CC"/>
            <w:u w:val="single"/>
          </w:rPr>
          <w:t>从超过 16 000 个组合 DNA 环组装真正的“奥林匹克凝胶”（Adv. Mater. 34/2026）</w:t>
        </w:r>
      </w:hyperlink>
    </w:p>
    <w:p>
      <w:pPr>
        <w:spacing w:before="0" w:after="80"/>
      </w:pPr>
      <w:r>
        <w:rPr>
          <w:i/>
          <w:sz w:val="20"/>
        </w:rPr>
        <w:t>EN: Assembling a True “Olympic Gel” From over 16 000 Combinatorial DNA Rings (Adv. Mater. 34/2026)</w:t>
      </w:r>
    </w:p>
    <w:p>
      <w:pPr>
        <w:spacing w:before="0" w:after="120"/>
      </w:pPr>
      <w:r>
        <w:rPr>
          <w:b/>
        </w:rPr>
        <w:t xml:space="preserve">Source: </w:t>
      </w:r>
      <w:r>
        <w:t>Wiley: Advanced Materials: Table of Contents</w:t>
      </w:r>
      <w:r>
        <w:t xml:space="preserve">    </w:t>
      </w:r>
      <w:r>
        <w:rPr>
          <w:b/>
        </w:rPr>
        <w:t xml:space="preserve">Pub date: </w:t>
      </w:r>
      <w:r>
        <w:t>2026-06-17 15:07:02+00:00</w:t>
      </w:r>
      <w:r>
        <w:t xml:space="preserve">    </w:t>
      </w:r>
      <w:r>
        <w:rPr>
          <w:b/>
        </w:rPr>
        <w:t xml:space="preserve">DOI: </w:t>
      </w:r>
      <w:hyperlink r:id="rId1004">
        <w:r>
          <w:rPr>
            <w:color w:val="1155CC"/>
            <w:u w:val="single"/>
          </w:rPr>
          <w:t>10.1002/adma.73616</w:t>
        </w:r>
      </w:hyperlink>
    </w:p>
    <w:p>
      <w:pPr>
        <w:spacing w:before="0" w:after="120"/>
      </w:pPr>
      <w:r>
        <w:rPr>
          <w:b/>
        </w:rPr>
        <w:t xml:space="preserve">Notes: </w:t>
      </w:r>
      <w:r>
        <w:t>abstract_source=openalex</w:t>
      </w:r>
    </w:p>
    <w:p>
      <w:pPr>
        <w:spacing w:before="0" w:after="80" w:lineRule="auto" w:line="276"/>
      </w:pPr>
      <w:r>
        <w:rPr>
          <w:b/>
        </w:rPr>
        <w:t xml:space="preserve">摘要（ZH）: </w:t>
      </w:r>
      <w:r>
        <w:t>Olympic Gels 本封面展示了由机械连锁质粒组成的“Olympic gel”的分子结构。环形DNA分子可以通过多样化的锁和钥匙结构域可逆地打开和关闭，从而实现机械键的受控形成。研究表明，组合合成生物学可以产生成分复杂的软材料，具有奇异的拓扑结构和独特的物理特性。更多详细信息，请参阅 Michael Lang、Elisha Krieg 及其同事的研究文章 (DOI: 10.1002/adma.202520549)。</w:t>
      </w:r>
    </w:p>
    <w:p>
      <w:pPr>
        <w:spacing w:before="0" w:after="200" w:lineRule="auto" w:line="276"/>
      </w:pPr>
      <w:r>
        <w:rPr>
          <w:b/>
        </w:rPr>
        <w:t xml:space="preserve">Abstract (EN): </w:t>
      </w:r>
      <w:r>
        <w:t>Olympic Gels This cover illustrates the molecular structure of an “Olympic gel” composed of mechanically interlocked plasmids. The ring-shaped DNA molecules can reversibly open and close via diversified lock-and-key domains, enabling controlled formation of mechanical bonds. The study shows that combinatorial synthetic biology can yield compositionally complex soft materials with exotic topological architectures and unique physical characteristics. More details can be found in the Research Article by Michael Lang, Elisha Krieg, and co-workers (DOI: 10.1002/adma.202520549).</w:t>
      </w:r>
    </w:p>
    <w:p>
      <w:pPr>
        <w:spacing w:before="120" w:after="120"/>
      </w:pPr>
      <w:r>
        <w:rPr>
          <w:sz w:val="18"/>
        </w:rPr>
        <w:t>——————————————————————————————————————————————————————————————————————</w:t>
      </w:r>
    </w:p>
    <w:p>
      <w:pPr>
        <w:spacing w:before="160" w:after="40" w:line="240" w:lineRule="auto"/>
      </w:pPr>
      <w:r>
        <w:rPr>
          <w:b/>
        </w:rPr>
        <w:t xml:space="preserve">[399] </w:t>
      </w:r>
      <w:hyperlink r:id="rId1005">
        <w:r>
          <w:rPr>
            <w:color w:val="1155CC"/>
            <w:u w:val="single"/>
          </w:rPr>
          <w:t>通过摩擦诱导原位合成构建坚固且高导电性的液态金属复合薄膜</w:t>
        </w:r>
      </w:hyperlink>
    </w:p>
    <w:p>
      <w:pPr>
        <w:spacing w:before="0" w:after="80"/>
      </w:pPr>
      <w:r>
        <w:rPr>
          <w:i/>
          <w:sz w:val="20"/>
        </w:rPr>
        <w:t>EN: Strong yet highly conductive liquid metal composite film constructed via friction induced in-situ synthesis</w:t>
      </w:r>
    </w:p>
    <w:p>
      <w:pPr>
        <w:spacing w:before="0" w:after="120"/>
      </w:pPr>
      <w:r>
        <w:rPr>
          <w:b/>
        </w:rPr>
        <w:t xml:space="preserve">Source: </w:t>
      </w:r>
      <w:r>
        <w:t>Physical sciences : Nature Communications subject feeds</w:t>
      </w:r>
      <w:r>
        <w:t xml:space="preserve">    </w:t>
      </w:r>
      <w:r>
        <w:rPr>
          <w:b/>
        </w:rPr>
        <w:t xml:space="preserve">Pub date: </w:t>
      </w:r>
      <w:r>
        <w:t>2026-06-18 00:00:00+00:00</w:t>
      </w:r>
    </w:p>
    <w:p>
      <w:pPr>
        <w:spacing w:before="0" w:after="120"/>
      </w:pPr>
      <w:r>
        <w:rPr>
          <w:b/>
        </w:rPr>
        <w:t xml:space="preserve">Notes: </w:t>
      </w:r>
      <w:r>
        <w:t>abstract_source=nature_html</w:t>
      </w:r>
    </w:p>
    <w:p>
      <w:pPr>
        <w:spacing w:before="0" w:after="80" w:lineRule="auto" w:line="276"/>
      </w:pPr>
      <w:r>
        <w:rPr>
          <w:b/>
        </w:rPr>
        <w:t xml:space="preserve">摘要（ZH）: </w:t>
      </w:r>
      <w:r>
        <w:t>接触电阻是各种应用的关键瓶颈。液态金属及其复合材料由于具有高导电性和可变形性，可以降低界面的接触电阻，但在外力作用下其机械强度不足。在这里，我们通过摩擦诱导原位合成制备了可变形液态金属桥纳米颗粒复合材料，实现了低接触电阻以及1.5 GA/m2的高电流密度和2.6 GPa的高硬度。这种卓越的性能源于独特的结构：高比例（约 66 vol%）的纳米级导电陶瓷颗粒通过金属键通过高表面张力液态金属桥接，在摩擦过程中的机械化学刺激下原位形成。该策略提供了一种制造功能性液态金属复合材料的途径，为同时提高机械和电气性能提供了线索。</w:t>
      </w:r>
    </w:p>
    <w:p>
      <w:pPr>
        <w:spacing w:before="0" w:after="200" w:lineRule="auto" w:line="276"/>
      </w:pPr>
      <w:r>
        <w:rPr>
          <w:b/>
        </w:rPr>
        <w:t xml:space="preserve">Abstract (EN): </w:t>
      </w:r>
      <w:r>
        <w:t>Contact resistance is a crucial bottleneck for various applications. Liquid metal and its composites can reduce contact resistance of interfaces due to their high conductivity and deformability, yet their mechanical strength is insufficient under external forces. Here, we prepare a deformable liquid-metal-bridged nanogranular composite via friction induced in-situ synthesis, realizing low contact resistance alongside high current density of 1.5 GA/m2 and high hardness of 2.6 GPa. This remarkable performance originates from the unique structure: a high fraction ( ~ 66 vol%) of nano-sized conductive ceramic particles bridged by high-surface-tension liquid metal through metallic bonding, which is formed in situ under mechanochemical stimulation during friction. This strategy provides a route to fabricating functional liquid metal composites, shedding light into simultaneous improvement of the mechanical and electrical properties.</w:t>
      </w:r>
    </w:p>
    <w:p>
      <w:pPr>
        <w:spacing w:before="120" w:after="120"/>
      </w:pPr>
      <w:r>
        <w:rPr>
          <w:sz w:val="18"/>
        </w:rPr>
        <w:t>——————————————————————————————————————————————————————————————————————</w:t>
      </w:r>
    </w:p>
    <w:p>
      <w:pPr>
        <w:spacing w:before="160" w:after="40" w:line="240" w:lineRule="auto"/>
      </w:pPr>
      <w:r>
        <w:rPr>
          <w:b/>
        </w:rPr>
        <w:t xml:space="preserve">[400] </w:t>
      </w:r>
      <w:hyperlink r:id="rId1006">
        <w:r>
          <w:rPr>
            <w:color w:val="1155CC"/>
            <w:u w:val="single"/>
          </w:rPr>
          <w:t>过热金中的电子离子平衡</w:t>
        </w:r>
      </w:hyperlink>
    </w:p>
    <w:p>
      <w:pPr>
        <w:spacing w:before="0" w:after="80"/>
      </w:pPr>
      <w:r>
        <w:rPr>
          <w:i/>
          <w:sz w:val="20"/>
        </w:rPr>
        <w:t>EN: Electron-ion equilibration in superheated gold</w:t>
      </w:r>
    </w:p>
    <w:p>
      <w:pPr>
        <w:spacing w:before="0" w:after="120"/>
      </w:pPr>
      <w:r>
        <w:rPr>
          <w:b/>
        </w:rPr>
        <w:t xml:space="preserve">Source: </w:t>
      </w:r>
      <w:r>
        <w:t>Physical sciences : Nature Communications subject feeds</w:t>
      </w:r>
      <w:r>
        <w:t xml:space="preserve">    </w:t>
      </w:r>
      <w:r>
        <w:rPr>
          <w:b/>
        </w:rPr>
        <w:t xml:space="preserve">Pub date: </w:t>
      </w:r>
      <w:r>
        <w:t>2026-06-18 00:00:00+00:00</w:t>
      </w:r>
    </w:p>
    <w:p>
      <w:pPr>
        <w:spacing w:before="0" w:after="120"/>
      </w:pPr>
      <w:r>
        <w:rPr>
          <w:b/>
        </w:rPr>
        <w:t xml:space="preserve">Notes: </w:t>
      </w:r>
      <w:r>
        <w:t>abstract_source=nature_html</w:t>
      </w:r>
    </w:p>
    <w:p>
      <w:pPr>
        <w:spacing w:before="0" w:after="80" w:lineRule="auto" w:line="276"/>
      </w:pPr>
      <w:r>
        <w:rPr>
          <w:b/>
        </w:rPr>
        <w:t xml:space="preserve">摘要（ZH）: </w:t>
      </w:r>
      <w:r>
        <w:t>电子温度达到多电子伏特的过热状态的样品中的电子离子平衡动力学代表了非平衡物理学的基本过程。清晰地了解不断变化的离子温度对于理解电子-离子耦合的强度至关重要。然而，对激光照射样品中离子温度的直接、独立于模型的测量在实验上仍然难以实现。在金样品中使用具有 meV 分辨率的非弹性 X 射线散射，可以解析离子对热电子超快加热的响应，从而量化电子-离子平衡动力学。我们报告的测量结果表明，与弱激发金相比，能量转移率大大提高。此外，我们在高度升高的电子温度下获得了准恒定的电子-离子耦合。这些结果对热致密物质中的电子离子能量转移提出了新的限制，并为非平衡动力学模型的定量基准建立了一条道路。</w:t>
      </w:r>
    </w:p>
    <w:p>
      <w:pPr>
        <w:spacing w:before="0" w:after="200" w:lineRule="auto" w:line="276"/>
      </w:pPr>
      <w:r>
        <w:rPr>
          <w:b/>
        </w:rPr>
        <w:t xml:space="preserve">Abstract (EN): </w:t>
      </w:r>
      <w:r>
        <w:t>Electron-ion equilibration dynamics in samples driven into superheated states with multi-eV electron temperatures represent a fundamental process in nonequilibrium physics. A clear picture of the evolving ion temperature is essential for understanding the strength of the electron-ion coupling. However, direct, model-independent measurements of the ion temperature in laser-irradiated samples have remained experimentally elusive. Using inelastic X-ray scattering with meV-resolution in gold samples, the ion response to ultrafast heating by the hot electrons can be resolved, quantifying the electron-ion equilibration dynamics. We report measurements revealing a strongly enhanced energy transfer rate compared to that in weakly excited gold. Moreover, we obtain a quasi-constant electron-ion coupling at the highly elevated electron temperatures. These results place new constraints on electron-ion energy transfer in warm dense matter and establish a path toward quantitative benchmarking of models for nonequilibrium dynamics.</w:t>
      </w:r>
    </w:p>
    <w:p>
      <w:pPr>
        <w:spacing w:before="120" w:after="120"/>
      </w:pPr>
      <w:r>
        <w:rPr>
          <w:sz w:val="18"/>
        </w:rPr>
        <w:t>——————————————————————————————————————————————————————————————————————</w:t>
      </w:r>
    </w:p>
    <w:p>
      <w:pPr>
        <w:spacing w:before="160" w:after="40" w:line="240" w:lineRule="auto"/>
      </w:pPr>
      <w:r>
        <w:rPr>
          <w:b/>
        </w:rPr>
        <w:t xml:space="preserve">[401] </w:t>
      </w:r>
      <w:hyperlink r:id="rId1007">
        <w:r>
          <w:rPr>
            <w:color w:val="1155CC"/>
            <w:u w:val="single"/>
          </w:rPr>
          <w:t>通过抗衡离子选择控制分子盐的水合</w:t>
        </w:r>
      </w:hyperlink>
    </w:p>
    <w:p>
      <w:pPr>
        <w:spacing w:before="0" w:after="80"/>
      </w:pPr>
      <w:r>
        <w:rPr>
          <w:i/>
          <w:sz w:val="20"/>
        </w:rPr>
        <w:t>EN: Hydration control in molecular salts through counterion selection</w:t>
      </w:r>
    </w:p>
    <w:p>
      <w:pPr>
        <w:spacing w:before="0" w:after="120"/>
      </w:pPr>
      <w:r>
        <w:rPr>
          <w:b/>
        </w:rPr>
        <w:t xml:space="preserve">Source: </w:t>
      </w:r>
      <w:r>
        <w:t>Physical sciences : Nature Communications subject feeds</w:t>
      </w:r>
      <w:r>
        <w:t xml:space="preserve">    </w:t>
      </w:r>
      <w:r>
        <w:rPr>
          <w:b/>
        </w:rPr>
        <w:t xml:space="preserve">Pub date: </w:t>
      </w:r>
      <w:r>
        <w:t>2026-06-18 00:00:00+00:00</w:t>
      </w:r>
    </w:p>
    <w:p>
      <w:pPr>
        <w:spacing w:before="0" w:after="120"/>
      </w:pPr>
      <w:r>
        <w:rPr>
          <w:b/>
        </w:rPr>
        <w:t xml:space="preserve">Notes: </w:t>
      </w:r>
      <w:r>
        <w:t>abstract_source=nature_html</w:t>
      </w:r>
    </w:p>
    <w:p>
      <w:pPr>
        <w:spacing w:before="0" w:after="80" w:lineRule="auto" w:line="276"/>
      </w:pPr>
      <w:r>
        <w:rPr>
          <w:b/>
        </w:rPr>
        <w:t xml:space="preserve">摘要（ZH）: </w:t>
      </w:r>
      <w:r>
        <w:t>预测分子盐形成水合物的时间和原因仍然是固态化学中的一个重大问题，尽管它对工业相关材料的稳定性和性能有影响。在这里，我们将反离子电荷定位确定为分子盐中水合物形成的关键决定因素，为预测和控制固态水合提供了框架。通过分析 31,000 多个晶体结构并进行电子密度计算，我们发现离域反离子电荷抑制水合物形成，而局域电荷则促进水合物形成。这一原理使水合倾向变得更加可调（从~80％到Ka规则，我们通过实验证明了4-氨基乙酰苯胺盐中水合的合理控制。我们的结果建立了分子静电学和结晶结果之间的直接联系，提供了具有定制水合行为的分子盐的预测设计。</w:t>
      </w:r>
    </w:p>
    <w:p>
      <w:pPr>
        <w:spacing w:before="0" w:after="200" w:lineRule="auto" w:line="276"/>
      </w:pPr>
      <w:r>
        <w:rPr>
          <w:b/>
        </w:rPr>
        <w:t xml:space="preserve">Abstract (EN): </w:t>
      </w:r>
      <w:r>
        <w:t>Predicting when and why molecular salts form hydrates has remained a significant problem in solid-state chemistry, despite its impact on the stability and performance of industrially relevant materials. Here, we identify counterion charge localization as a key determinant of hydrate formation in molecular salts, providing a framework for predicting and controlling solid-state hydration. By analyzing over 31,000 crystal structures and performing electron density calculations, we show that delocalized counterion charge suppresses hydrate formation, while localized charge promotes it. This principle makes hydration propensity a more tuneable property (from ~80% to Ka rule, we experimentally demonstrate rational control of hydration in salts of 4-aminoacetanilide. Our results establish a direct link between molecular electrostatics and crystallization outcomes, affording predictive design of molecular salts with tailored hydration behavior.</w:t>
      </w:r>
    </w:p>
    <w:p>
      <w:pPr>
        <w:spacing w:before="120" w:after="120"/>
      </w:pPr>
      <w:r>
        <w:rPr>
          <w:sz w:val="18"/>
        </w:rPr>
        <w:t>——————————————————————————————————————————————————————————————————————</w:t>
      </w:r>
    </w:p>
    <w:p>
      <w:pPr>
        <w:spacing w:before="160" w:after="40" w:line="240" w:lineRule="auto"/>
      </w:pPr>
      <w:r>
        <w:rPr>
          <w:b/>
        </w:rPr>
        <w:t xml:space="preserve">[402] </w:t>
      </w:r>
      <w:hyperlink r:id="rId1008">
        <w:r>
          <w:rPr>
            <w:color w:val="1155CC"/>
            <w:u w:val="single"/>
          </w:rPr>
          <w:t>通过动态动力学拆分对映选择性构建多手性螺旋化合物</w:t>
        </w:r>
      </w:hyperlink>
    </w:p>
    <w:p>
      <w:pPr>
        <w:spacing w:before="0" w:after="80"/>
      </w:pPr>
      <w:r>
        <w:rPr>
          <w:i/>
          <w:sz w:val="20"/>
        </w:rPr>
        <w:t>EN: Enantioselective construction of polychiral helical compounds via dynamic kinetic resolution</w:t>
      </w:r>
    </w:p>
    <w:p>
      <w:pPr>
        <w:spacing w:before="0" w:after="120"/>
      </w:pPr>
      <w:r>
        <w:rPr>
          <w:b/>
        </w:rPr>
        <w:t xml:space="preserve">Source: </w:t>
      </w:r>
      <w:r>
        <w:t>Physical sciences : Nature Communications subject feeds</w:t>
      </w:r>
      <w:r>
        <w:t xml:space="preserve">    </w:t>
      </w:r>
      <w:r>
        <w:rPr>
          <w:b/>
        </w:rPr>
        <w:t xml:space="preserve">Pub date: </w:t>
      </w:r>
      <w:r>
        <w:t>2026-06-18 00:00:00+00:00</w:t>
      </w:r>
    </w:p>
    <w:p>
      <w:pPr>
        <w:spacing w:before="0" w:after="120"/>
      </w:pPr>
      <w:r>
        <w:rPr>
          <w:b/>
        </w:rPr>
        <w:t xml:space="preserve">Notes: </w:t>
      </w:r>
      <w:r>
        <w:t>abstract_source=nature_html</w:t>
      </w:r>
    </w:p>
    <w:p>
      <w:pPr>
        <w:spacing w:before="0" w:after="80" w:lineRule="auto" w:line="276"/>
      </w:pPr>
      <w:r>
        <w:rPr>
          <w:b/>
        </w:rPr>
        <w:t xml:space="preserve">摘要（ZH）: </w:t>
      </w:r>
      <w:r>
        <w:t>手性螺旋烯及其衍生物在不同的研究领域都很有价值，但螺旋手性的发展远远落后于点手性和轴向手性。由于起始材料有限且立体化学控制困难，多手性或含杂原子螺旋系统的合成仍然特别具有挑战性。在这里，我们通过计算设计了一种灵活的 oxa[4]helicenoid-ol 支架，具有最佳旋转势垒（ΔG‡ = 21.7 kcal mol−1）和对映选择性识别能力，能够在温和条件下实现动态动力学分辨率。该平台可以有效地获得具有双螺旋手性或组合螺旋和轴向手性的螺旋烯，并具有出色的对映体、非对映体和 E/Z 选择性。该策略结合了非芳香族氧杂环，打破了传统的环化模式并扩大了螺旋手性支架的结构多样性。密度泛函理论计算阐明了反应性和立体选择性的机械起源。所得的螺烯醌很容易衍生化，并显示出用于功能材料的有前途的光学特性。</w:t>
      </w:r>
    </w:p>
    <w:p>
      <w:pPr>
        <w:spacing w:before="0" w:after="200" w:lineRule="auto" w:line="276"/>
      </w:pPr>
      <w:r>
        <w:rPr>
          <w:b/>
        </w:rPr>
        <w:t xml:space="preserve">Abstract (EN): </w:t>
      </w:r>
      <w:r>
        <w:t>Chiral helicenes and their derivatives are valuable across diverse research fields, yet the development of helical chirality has lagged far behind that of point and axial chirality. The synthesis of polychiral or heteroatom-containing helical systems remains especially challenging because of limited starting materials and difficulties in stereochemical control. Here we computationally design a flexible oxa[4]helicenoid-ol scaffold with an optimal rotational barrier (ΔG‡ = 21.7 kcal mol−1) and enantioselective recognition ability, enabling dynamic kinetic resolution under mild conditions. This platform allows efficient access to helicenes bearing either dual helical chirality or combined helical and axial chirality, with excellent enantio-, diastereo- and E/Z selectivities. The strategy incorporates non-aromatic oxacycles, breaks conventional cyclization patterns and expands the structural diversity of helical chiral scaffolds. Density functional theory calculations elucidate the mechanistic origins of reactivity and stereoselectivity. The resulting helicenoid-quinones are readily derivatized and display promising optical properties for functional materials.</w:t>
      </w:r>
    </w:p>
    <w:p>
      <w:pPr>
        <w:spacing w:before="120" w:after="120"/>
      </w:pPr>
      <w:r>
        <w:rPr>
          <w:sz w:val="18"/>
        </w:rPr>
        <w:t>——————————————————————————————————————————————————————————————————————</w:t>
      </w:r>
    </w:p>
    <w:p>
      <w:pPr>
        <w:spacing w:before="160" w:after="40" w:line="240" w:lineRule="auto"/>
      </w:pPr>
      <w:r>
        <w:rPr>
          <w:b/>
        </w:rPr>
        <w:t xml:space="preserve">[403] </w:t>
      </w:r>
      <w:hyperlink r:id="rId1009">
        <w:r>
          <w:rPr>
            <w:color w:val="1155CC"/>
            <w:u w:val="single"/>
          </w:rPr>
          <w:t>通过分层微观结构实现延展性和可扩展的 3 GPa 钢</w:t>
        </w:r>
      </w:hyperlink>
    </w:p>
    <w:p>
      <w:pPr>
        <w:spacing w:before="0" w:after="80"/>
      </w:pPr>
      <w:r>
        <w:rPr>
          <w:i/>
          <w:sz w:val="20"/>
        </w:rPr>
        <w:t>EN: Ductile and scalable 3 GPa steel via a hierarchical microstructural architecture</w:t>
      </w:r>
    </w:p>
    <w:p>
      <w:pPr>
        <w:spacing w:before="0" w:after="120"/>
      </w:pPr>
      <w:r>
        <w:rPr>
          <w:b/>
        </w:rPr>
        <w:t xml:space="preserve">Source: </w:t>
      </w:r>
      <w:r>
        <w:t>Physical sciences : Nature Communications subject feeds</w:t>
      </w:r>
      <w:r>
        <w:t xml:space="preserve">    </w:t>
      </w:r>
      <w:r>
        <w:rPr>
          <w:b/>
        </w:rPr>
        <w:t xml:space="preserve">Pub date: </w:t>
      </w:r>
      <w:r>
        <w:t>2026-06-18 00:00:00+00:00</w:t>
      </w:r>
    </w:p>
    <w:p>
      <w:pPr>
        <w:spacing w:before="0" w:after="120"/>
      </w:pPr>
      <w:r>
        <w:rPr>
          <w:b/>
        </w:rPr>
        <w:t xml:space="preserve">Notes: </w:t>
      </w:r>
      <w:r>
        <w:t>abstract_source=nature_html</w:t>
      </w:r>
    </w:p>
    <w:p>
      <w:pPr>
        <w:spacing w:before="0" w:after="80" w:lineRule="auto" w:line="276"/>
      </w:pPr>
      <w:r>
        <w:rPr>
          <w:b/>
        </w:rPr>
        <w:t xml:space="preserve">摘要（ZH）: </w:t>
      </w:r>
      <w:r>
        <w:t>屈服强度超过 3 GPa 且具有显着延展性的超高强度钢代表了材料科学的变革前沿。然而，传统的强化方法，例如冷作硬化，不可避免地会以强度换取总伸长率，因此无法生产具有延展性的 3 GPa 钢材。在这里，我们提出了一种应用于设计的马氏体时效钢（Fe-16Ni-7Mo-1.6Ti-15Co-0.1Al，wt.%）的分层微观结构策略，该策略可协同定制沉淀与高温严重塑性变形。多重失配纳米共沉淀物、高但空间均匀的位错密度和超细等轴晶粒被编排成分层微观结构，使通常使超高强度材料脆化的应力集中离域，并将脆性解理断裂转化为延性凹坑。值得注意的是，该钢的屈服强度为3 GPa，断面收缩率为47.5%，拉伸伸长率为7.0%，断裂韧性（KIc）为26.0 ± 0.2 MPa·m1/2，远远超过现有的3 GPa钢。此外，由于它在环境温度下表现出 1.24 GPa 的出色疲劳强度，在 500 °C 下表现出 2 GPa 的屈服强度（这是在工业上可行的坯料中实现的），因此该策略为极端环境解锁了可扩展的耐损伤组件。</w:t>
      </w:r>
    </w:p>
    <w:p>
      <w:pPr>
        <w:spacing w:before="0" w:after="200" w:lineRule="auto" w:line="276"/>
      </w:pPr>
      <w:r>
        <w:rPr>
          <w:b/>
        </w:rPr>
        <w:t xml:space="preserve">Abstract (EN): </w:t>
      </w:r>
      <w:r>
        <w:t>Ultrahigh-strength steels with yield strengths exceeding 3 GPa and appreciable ductility represent a transformative frontier in materials science. Conventional strengthening approaches, such as cold-work hardening, however, inevitably trade strength for total elongation, and thus are unable to deliver ductile 3 GPa steel. Here, we present a hierarchical microstructural architecture strategy applied to a designed maraging steel (Fe-16Ni-7Mo-1.6Ti-15Co-0.1Al, wt.%) that synergizes tailored precipitations with high-temperature severe plastic deformation. The multi-misfit nano co-precipitates, a high but spatially uniform density of dislocations, and ultrafine equiaxed grains are orchestrated into a hierarchical microstructure that delocalizes stress concentrations that commonly embrittle ultrahigh-strength materials and converts brittle cleavage fracture to ductile dimpling. Remarkably, the steel demonstrates 3 GPa yield strength with 47.5% reduction in area, 7.0% tensile elongation, and fracture toughness (KIc) of 26.0 ± 0.2 MPa·m1/2, which far surpasses existing 3 GPa steels. Moreover, as it exhibits an excellent fatigue strength of 1.24 GPa at ambient temperature and a yield strength of 2 GPa at 500 °C, which is achieved in industrially viable billets, this strategy unlocks scalable damage-tolerant components for extreme environments.</w:t>
      </w:r>
    </w:p>
    <w:p>
      <w:pPr>
        <w:spacing w:before="120" w:after="120"/>
      </w:pPr>
      <w:r>
        <w:rPr>
          <w:sz w:val="18"/>
        </w:rPr>
        <w:t>——————————————————————————————————————————————————————————————————————</w:t>
      </w:r>
    </w:p>
    <w:p>
      <w:pPr>
        <w:spacing w:before="160" w:after="40" w:line="240" w:lineRule="auto"/>
      </w:pPr>
      <w:r>
        <w:rPr>
          <w:b/>
        </w:rPr>
        <w:t xml:space="preserve">[404] </w:t>
      </w:r>
      <w:hyperlink r:id="rId1010">
        <w:r>
          <w:rPr>
            <w:color w:val="1155CC"/>
            <w:u w:val="single"/>
          </w:rPr>
          <w:t>多重灾害暴露和脆弱性导致全球粮仓地区农业风险上升</w:t>
        </w:r>
      </w:hyperlink>
    </w:p>
    <w:p>
      <w:pPr>
        <w:spacing w:before="0" w:after="80"/>
      </w:pPr>
      <w:r>
        <w:rPr>
          <w:i/>
          <w:sz w:val="20"/>
        </w:rPr>
        <w:t>EN: Multi-hazard exposure and vulnerability drive rising agricultural risk in global breadbasket regions</w:t>
      </w:r>
    </w:p>
    <w:p>
      <w:pPr>
        <w:spacing w:before="0" w:after="120"/>
      </w:pPr>
      <w:r>
        <w:rPr>
          <w:b/>
        </w:rPr>
        <w:t xml:space="preserve">Source: </w:t>
      </w:r>
      <w:r>
        <w:t>Scientific community and society : Nature Communications subject feeds</w:t>
      </w:r>
      <w:r>
        <w:t xml:space="preserve">    </w:t>
      </w:r>
      <w:r>
        <w:rPr>
          <w:b/>
        </w:rPr>
        <w:t xml:space="preserve">Pub date: </w:t>
      </w:r>
      <w:r>
        <w:t>2026-06-18 00:00:00+00:00</w:t>
      </w:r>
    </w:p>
    <w:p>
      <w:pPr>
        <w:spacing w:before="0" w:after="120"/>
      </w:pPr>
      <w:r>
        <w:rPr>
          <w:b/>
        </w:rPr>
        <w:t xml:space="preserve">Notes: </w:t>
      </w:r>
      <w:r>
        <w:t>abstract_source=nature_html</w:t>
      </w:r>
    </w:p>
    <w:p>
      <w:pPr>
        <w:spacing w:before="0" w:after="80" w:lineRule="auto" w:line="276"/>
      </w:pPr>
      <w:r>
        <w:rPr>
          <w:b/>
        </w:rPr>
        <w:t xml:space="preserve">摘要（ZH）: </w:t>
      </w:r>
      <w:r>
        <w:t>极端气候日益威胁全球粮食生产，但综合考虑多种危害、作物暴露和社会经济脆弱性的全球多灾种农业风险评估仍然缺失。这一差距限制了我们识别气候对农田的冲击最有可能转化为高农业风险的能力。在此，我们提出了一项全球农业风险评估，该评估量化了农田和十个主要作物群体对热浪、干旱、洪水和复合干热事件的暴露程度，并将其与使用潜在因素模型根据社会经济和制度指标构建的脆弱性指数相结合。通过使用未来多种​​情景下的气候和水文模型集合，我们发现多种灾害的暴露程度普遍增加，其中南亚、撒哈拉以南非洲以及美国和欧洲主要粮仓的强化程度最强。脆弱性与农田暴露之间的显着关系在未来情景中出现，但在历史上并不存在，这表明脆弱性在塑造未来农业风险中的作用越来越大。这些结果表明，可靠地识别未来农业风险热点需要共同考虑多种灾害暴露和社会经济脆弱性，以便适应工作可以针对极端事件加剧且脆弱性较高的地区。</w:t>
      </w:r>
    </w:p>
    <w:p>
      <w:pPr>
        <w:spacing w:before="0" w:after="200" w:lineRule="auto" w:line="276"/>
      </w:pPr>
      <w:r>
        <w:rPr>
          <w:b/>
        </w:rPr>
        <w:t xml:space="preserve">Abstract (EN): </w:t>
      </w:r>
      <w:r>
        <w:t>Climate extremes increasingly threaten global food production, yet global multi-hazard agricultural risk assessments that jointly consider multiple hazards, crop exposure and socioeconomic vulnerability are still missing. This gap limits our ability to identify where climate shocks to croplands are most likely to translate into high agricultural risk. Here we present a global agricultural risk assessment that quantifies the exposure of croplands and ten major crop groups to heatwaves, droughts, floods and compound hot–dry events, and combines this with a vulnerability index constructed from socio-economic and institutional indicators using latent factor modelling. Using ensembles of climate and hydrological models under multiple future scenarios, we show widespread increases in multi-hazard exposure, with the strongest intensification across South Asia, Sub-Saharan Africa and major U.S. and European breadbaskets. A significant relationship between vulnerability and cropland exposure emerges in future scenarios but is absent historically, indicating a growing role for vulnerability in shaping future agricultural risk. These results demonstrate that reliably identifying future agricultural risk hotspots requires jointly accounting for multi-hazard exposure and socioeconomic vulnerability, so that adaptation efforts can be targeted to regions where intensifying extremes coincide with high vulnerability.</w:t>
      </w:r>
    </w:p>
    <w:p>
      <w:pPr>
        <w:spacing w:before="120" w:after="120"/>
      </w:pPr>
      <w:r>
        <w:rPr>
          <w:sz w:val="18"/>
        </w:rPr>
        <w:t>——————————————————————————————————————————————————————————————————————</w:t>
      </w:r>
    </w:p>
    <w:p>
      <w:pPr>
        <w:spacing w:before="160" w:after="40" w:line="240" w:lineRule="auto"/>
      </w:pPr>
      <w:r>
        <w:rPr>
          <w:b/>
        </w:rPr>
        <w:t xml:space="preserve">[405] </w:t>
      </w:r>
      <w:hyperlink r:id="rId1011">
        <w:r>
          <w:rPr>
            <w:color w:val="1155CC"/>
            <w:u w:val="single"/>
          </w:rPr>
          <w:t>随着发育，海马体沿纵轴在地形和功能上变得专门化</w:t>
        </w:r>
      </w:hyperlink>
    </w:p>
    <w:p>
      <w:pPr>
        <w:spacing w:before="0" w:after="80"/>
      </w:pPr>
      <w:r>
        <w:rPr>
          <w:i/>
          <w:sz w:val="20"/>
        </w:rPr>
        <w:t>EN: The hippocampus becomes topographically and functionally specialized along the longitudinal axis with development</w:t>
      </w:r>
    </w:p>
    <w:p>
      <w:pPr>
        <w:spacing w:before="0" w:after="120"/>
      </w:pPr>
      <w:r>
        <w:rPr>
          <w:b/>
        </w:rPr>
        <w:t xml:space="preserve">Source: </w:t>
      </w:r>
      <w:r>
        <w:t>Biological sciences : Nature Communications subject feeds</w:t>
      </w:r>
      <w:r>
        <w:t xml:space="preserve">    </w:t>
      </w:r>
      <w:r>
        <w:rPr>
          <w:b/>
        </w:rPr>
        <w:t xml:space="preserve">Pub date: </w:t>
      </w:r>
      <w:r>
        <w:t>2026-06-18 00:00:00+00:00</w:t>
      </w:r>
    </w:p>
    <w:p>
      <w:pPr>
        <w:spacing w:before="0" w:after="120"/>
      </w:pPr>
      <w:r>
        <w:rPr>
          <w:b/>
        </w:rPr>
        <w:t xml:space="preserve">Notes: </w:t>
      </w:r>
      <w:r>
        <w:t>abstract_source=nature_html</w:t>
      </w:r>
    </w:p>
    <w:p>
      <w:pPr>
        <w:spacing w:before="0" w:after="80" w:lineRule="auto" w:line="276"/>
      </w:pPr>
      <w:r>
        <w:rPr>
          <w:b/>
        </w:rPr>
        <w:t xml:space="preserve">摘要（ZH）: </w:t>
      </w:r>
      <w:r>
        <w:t>人类海马体沿其前后长轴表现出独特的遗传、细胞和连接特征，导致对视觉空间信息的敏感性不同。因此，长轴发育可能有助于视觉空间记忆能力的发育增加。为了测试这一点，我们开发并应用了一种精确的功能映射技术，使用 BOLD-fMRI（N = 471，年龄 5-21）识别单个受试者海马体的功能系统。我们发现海马长轴发生了相当大的发育性重塑，特别是后功能系统。随着年龄的增长，后系统的表面积（mm2）减少了 39.4%，而 BOLD 活动变得越来越独立，并与海马其他部分表现出更清晰的地形边界。值得注意的是，后系统显示出与内侧顶叶区域的强烈优先连接，这与年龄和年龄调整记忆评分相关。这些结果表明，海马长轴在地形和功能上随着发育而变得专门化，可能有助于记忆能力的发育增加。</w:t>
      </w:r>
    </w:p>
    <w:p>
      <w:pPr>
        <w:spacing w:before="0" w:after="200" w:lineRule="auto" w:line="276"/>
      </w:pPr>
      <w:r>
        <w:rPr>
          <w:b/>
        </w:rPr>
        <w:t xml:space="preserve">Abstract (EN): </w:t>
      </w:r>
      <w:r>
        <w:t>The human hippocampus exhibits distinct genetic, cellular, and connectivity profiles along its anterior–posterior long-axis, resulting in a differential sensitivity to visuospatial information. Long-axis development, therefore, may contribute to developmental increases in visuospatial memory capacity. To test this, we developed and applied a precision functional mapping technique to identify functional systems in the hippocampus of single subjects using BOLD-fMRI (N = 471, aged 5–21). We discovered considerable developmental remodeling of the hippocampal long-axis, particularly for the posterior functional system. With age, surface-area (mm2) of the posterior system decreased by 39.4%, while BOLD activity became increasingly independent and showed a sharper topographic boundary with the rest of the hippocampus. Notably, the posterior system showed strong preferential connectivity with medial-parietal regions which correlated with both age and age-adjusted memory scores. These results indicate the hippocampal long-axis becomes topographically and functionally specialized with development, potentially contributing to developmental increases in memory capacity.</w:t>
      </w:r>
    </w:p>
    <w:p>
      <w:pPr>
        <w:spacing w:before="120" w:after="120"/>
      </w:pPr>
      <w:r>
        <w:rPr>
          <w:sz w:val="18"/>
        </w:rPr>
        <w:t>——————————————————————————————————————————————————————————————————————</w:t>
      </w:r>
    </w:p>
    <w:p>
      <w:pPr>
        <w:spacing w:before="160" w:after="40" w:line="240" w:lineRule="auto"/>
      </w:pPr>
      <w:r>
        <w:rPr>
          <w:b/>
        </w:rPr>
        <w:t xml:space="preserve">[406] </w:t>
      </w:r>
      <w:hyperlink r:id="rId1012">
        <w:r>
          <w:rPr>
            <w:color w:val="1155CC"/>
            <w:u w:val="single"/>
          </w:rPr>
          <w:t>对 NADH 脱氢酶活性至关重要的芽孢杆菌特异性管状支架</w:t>
        </w:r>
      </w:hyperlink>
    </w:p>
    <w:p>
      <w:pPr>
        <w:spacing w:before="0" w:after="80"/>
      </w:pPr>
      <w:r>
        <w:rPr>
          <w:i/>
          <w:sz w:val="20"/>
        </w:rPr>
        <w:t>EN: A Bacillales-specific tubular scaffold essential for NADH dehydrogenase activity</w:t>
      </w:r>
    </w:p>
    <w:p>
      <w:pPr>
        <w:spacing w:before="0" w:after="120"/>
      </w:pPr>
      <w:r>
        <w:rPr>
          <w:b/>
        </w:rPr>
        <w:t xml:space="preserve">Source: </w:t>
      </w:r>
      <w:r>
        <w:t>Biological sciences : Nature Communications subject feeds</w:t>
      </w:r>
      <w:r>
        <w:t xml:space="preserve">    </w:t>
      </w:r>
      <w:r>
        <w:rPr>
          <w:b/>
        </w:rPr>
        <w:t xml:space="preserve">Pub date: </w:t>
      </w:r>
      <w:r>
        <w:t>2026-06-18 00:00:00+00:00</w:t>
      </w:r>
    </w:p>
    <w:p>
      <w:pPr>
        <w:spacing w:before="0" w:after="120"/>
      </w:pPr>
      <w:r>
        <w:rPr>
          <w:b/>
        </w:rPr>
        <w:t xml:space="preserve">Notes: </w:t>
      </w:r>
      <w:r>
        <w:t>abstract_source=nature_html</w:t>
      </w:r>
    </w:p>
    <w:p>
      <w:pPr>
        <w:spacing w:before="0" w:after="80" w:lineRule="auto" w:line="276"/>
      </w:pPr>
      <w:r>
        <w:rPr>
          <w:b/>
        </w:rPr>
        <w:t xml:space="preserve">摘要（ZH）: </w:t>
      </w:r>
      <w:r>
        <w:t>呼吸 II 型 NADH：醌氧化还原酶 (NDH-II) 通常是单位黄素蛋白，可直接与膜接触以进入醌库。在这里，我们发现在枯草芽孢杆菌中，一种称为 Ndh 的 NDH-II 与螺旋膜插件 (HMP) 蛋白 YjlC 组装并形成超分子纤维。遗传和生化分析表明 Ndh 和 YjlC 蛋白对于 NADH 氧化至关重要。冷冻电镜分析表明，YjlC 形成一个管状支架，多个 Ndh 亚基通过其 C 端结构域定期对接在其上，从其直接膜结合的经典作用中重新调整用途。这些纤维可以延伸至约 1000 Å，形成一个充满脂质和醌的连续疏水通道，从而模拟膜环境。比较基因组学揭示，这种伙伴关系仅在芽孢杆菌目中通过招募最初与硫化物：醌还原酶相关的祖先HMP而产生。总之，我们的研究结果揭示了一种谱系特异性的结构适应，其中 NDH-II 酶依赖于 HMP 支架，从而将其功能多样性扩展到经典的单位范式之外。</w:t>
      </w:r>
    </w:p>
    <w:p>
      <w:pPr>
        <w:spacing w:before="0" w:after="200" w:lineRule="auto" w:line="276"/>
      </w:pPr>
      <w:r>
        <w:rPr>
          <w:b/>
        </w:rPr>
        <w:t xml:space="preserve">Abstract (EN): </w:t>
      </w:r>
      <w:r>
        <w:t>Respiratory type II NADH:quinone oxidoreductases (NDH-II) are typically monotopic flavoproteins that make direct contact with the membrane to access the quinone pool. Here, we show that in Bacillus subtilis, one NDH-II, termed Ndh, assembles with the helical membrane plugin (HMP) protein YjlC and forms supramolecular fibers. Genetic and biochemical analyses demonstrate that Ndh and YjlC proteins are essential for NADH oxidation. Cryo-EM analysis reveals that YjlC forms a tubular scaffold onto which multiple Ndh subunits are regularly docked via their C-terminal domain, repurposed from its classical role in direct membrane binding. These fibers can extend up to ~1000 Å, creating a continuous hydrophobic tunnel filled with lipids and quinones, thereby mimicking the membrane environment. Comparative genomics unveils that this partnership arose exclusively within Bacillales through the recruitment of an ancestral HMP originally associated with sulfide:quinone reductases. Together, our findings uncover a lineage-specific structural adaptation in which NDH-II enzymes depend on an HMP scaffold, expanding their functional diversity beyond the classical monotopic paradigm.</w:t>
      </w:r>
    </w:p>
    <w:p>
      <w:pPr>
        <w:spacing w:before="120" w:after="120"/>
      </w:pPr>
      <w:r>
        <w:rPr>
          <w:sz w:val="18"/>
        </w:rPr>
        <w:t>——————————————————————————————————————————————————————————————————————</w:t>
      </w:r>
    </w:p>
    <w:p>
      <w:pPr>
        <w:spacing w:before="160" w:after="40" w:line="240" w:lineRule="auto"/>
      </w:pPr>
      <w:r>
        <w:rPr>
          <w:b/>
        </w:rPr>
        <w:t xml:space="preserve">[407] </w:t>
      </w:r>
      <w:hyperlink r:id="rId1013">
        <w:r>
          <w:rPr>
            <w:color w:val="1155CC"/>
            <w:u w:val="single"/>
          </w:rPr>
          <w:t>肺炎链球菌丝氨酸苏氨酸激酶StkP催化结构域的结构剖析</w:t>
        </w:r>
      </w:hyperlink>
    </w:p>
    <w:p>
      <w:pPr>
        <w:spacing w:before="0" w:after="80"/>
      </w:pPr>
      <w:r>
        <w:rPr>
          <w:i/>
          <w:sz w:val="20"/>
        </w:rPr>
        <w:t>EN: Structural dissection of the catalytic domain of the serine threonine kinase StkP of Streptococcus pneumoniae</w:t>
      </w:r>
    </w:p>
    <w:p>
      <w:pPr>
        <w:spacing w:before="0" w:after="120"/>
      </w:pPr>
      <w:r>
        <w:rPr>
          <w:b/>
        </w:rPr>
        <w:t xml:space="preserve">Source: </w:t>
      </w:r>
      <w:r>
        <w:t>Biological sciences : Nature Communications subject feeds</w:t>
      </w:r>
      <w:r>
        <w:t xml:space="preserve">    </w:t>
      </w:r>
      <w:r>
        <w:rPr>
          <w:b/>
        </w:rPr>
        <w:t xml:space="preserve">Pub date: </w:t>
      </w:r>
      <w:r>
        <w:t>2026-06-18 00:00:00+00:00</w:t>
      </w:r>
    </w:p>
    <w:p>
      <w:pPr>
        <w:spacing w:before="0" w:after="120"/>
      </w:pPr>
      <w:r>
        <w:rPr>
          <w:b/>
        </w:rPr>
        <w:t xml:space="preserve">Notes: </w:t>
      </w:r>
      <w:r>
        <w:t>abstract_source=nature_html</w:t>
      </w:r>
    </w:p>
    <w:p>
      <w:pPr>
        <w:spacing w:before="0" w:after="80" w:lineRule="auto" w:line="276"/>
      </w:pPr>
      <w:r>
        <w:rPr>
          <w:b/>
        </w:rPr>
        <w:t xml:space="preserve">摘要（ZH）: </w:t>
      </w:r>
      <w:r>
        <w:t>Hanks 家族的丝氨酸/苏氨酸激酶是细菌生理学的关键调节因子。其中，膜相关的 PASTA-Hanks 激酶控制细菌胞质分裂和形态发生，但其激活机制仍不清楚。在这里，我们报道了人类病原体肺炎链球菌 PASTA-Hanks 激酶 StkP 催化结构域的晶体结构，在其激活环中携带磷酸消融或拟磷突变。这些结构表明，两个苏氨酸残基的磷酸化可调节激活环的组织和动力学，并揭示催化结构域二聚化的另一种模式。分析超速离心、SAXS 和细胞成像可以提出一个模型，假设分裂隔膜处 StkP 的局部浓度会促进非活性二聚体状态，其中激活环阻碍底物结合。重组为活性二聚体将激活 StkP 并允许内源底物磷酸化。因此，这项工作为调节 PASTA Hanks 激酶调节细菌细胞分裂提供了一个机制框架。</w:t>
      </w:r>
    </w:p>
    <w:p>
      <w:pPr>
        <w:spacing w:before="0" w:after="200" w:lineRule="auto" w:line="276"/>
      </w:pPr>
      <w:r>
        <w:rPr>
          <w:b/>
        </w:rPr>
        <w:t xml:space="preserve">Abstract (EN): </w:t>
      </w:r>
      <w:r>
        <w:t>Serine/threonine kinases of the Hanks family are key regulators of bacterial physiology. Among them, membrane-associated PASTA-Hanks kinases govern bacterial cytokinesis and morphogenesis, yet their activation mechanism remains unclear. Here, we report crystal structures of the catalytic domain of the PASTA-Hanks kinase StkP of the human pathogen Streptococcus pneumoniae, carrying phosphoablative or phosphomimetic mutations in its activation loop. These structures demonstrate that phosphorylation of two threonine residues modulates the activation loop’s organization and dynamics and reveal an alternative mode of dimerization of the catalytic domain. Analytical ultracentrifugation, SAXS and cell imaging allow to propose a model postulating that the local concentration of StkP at the division septum promotes an inactive dimeric state in which the activation loop hampers substrate binding. The reorganization into active dimers would activate StkP and allow endogenous substrate phosphorylation. This work thus provides a mechanistic framework of the regulation of PASTA Hanks kinase for the regulation of bacterial cell division.</w:t>
      </w:r>
    </w:p>
    <w:p>
      <w:pPr>
        <w:spacing w:before="120" w:after="120"/>
      </w:pPr>
      <w:r>
        <w:rPr>
          <w:sz w:val="18"/>
        </w:rPr>
        <w:t>——————————————————————————————————————————————————————————————————————</w:t>
      </w:r>
    </w:p>
    <w:p>
      <w:pPr>
        <w:spacing w:before="160" w:after="40" w:line="240" w:lineRule="auto"/>
      </w:pPr>
      <w:r>
        <w:rPr>
          <w:b/>
        </w:rPr>
        <w:t xml:space="preserve">[408] </w:t>
      </w:r>
      <w:hyperlink r:id="rId1014">
        <w:r>
          <w:rPr>
            <w:color w:val="1155CC"/>
            <w:u w:val="single"/>
          </w:rPr>
          <w:t>枯草芽孢杆菌生物钟协调复杂的时空组织</w:t>
        </w:r>
      </w:hyperlink>
    </w:p>
    <w:p>
      <w:pPr>
        <w:spacing w:before="0" w:after="80"/>
      </w:pPr>
      <w:r>
        <w:rPr>
          <w:i/>
          <w:sz w:val="20"/>
        </w:rPr>
        <w:t>EN: The Bacillus subtilis circadian clock coordinates intricate spatiotemporal organisation</w:t>
      </w:r>
    </w:p>
    <w:p>
      <w:pPr>
        <w:spacing w:before="0" w:after="120"/>
      </w:pPr>
      <w:r>
        <w:rPr>
          <w:b/>
        </w:rPr>
        <w:t xml:space="preserve">Source: </w:t>
      </w:r>
      <w:r>
        <w:t>Biological sciences : Nature Communications subject feeds</w:t>
      </w:r>
      <w:r>
        <w:t xml:space="preserve">    </w:t>
      </w:r>
      <w:r>
        <w:rPr>
          <w:b/>
        </w:rPr>
        <w:t xml:space="preserve">Pub date: </w:t>
      </w:r>
      <w:r>
        <w:t>2026-06-18 00:00:00+00:00</w:t>
      </w:r>
    </w:p>
    <w:p>
      <w:pPr>
        <w:spacing w:before="0" w:after="120"/>
      </w:pPr>
      <w:r>
        <w:rPr>
          <w:b/>
        </w:rPr>
        <w:t xml:space="preserve">Notes: </w:t>
      </w:r>
      <w:r>
        <w:t>abstract_source=nature_html</w:t>
      </w:r>
    </w:p>
    <w:p>
      <w:pPr>
        <w:spacing w:before="0" w:after="80" w:lineRule="auto" w:line="276"/>
      </w:pPr>
      <w:r>
        <w:rPr>
          <w:b/>
        </w:rPr>
        <w:t xml:space="preserve">摘要（ZH）: </w:t>
      </w:r>
      <w:r>
        <w:t>许多生物体都有生物钟，可以预测可预测的 24 小时太阳周期的风险和益处。然而，人们对生物钟在非光合细菌中的潜在功能知之甚少。在这里，我们表明枯草芽孢杆菌生物钟调节菌落扩张，与其生命周期核心的关键发育和分化途径相一致。枯草芽孢杆菌时钟通过将不同过程计时到不同菌落区域内的特定阶段（一天中的时间）来协调扩展菌落内基因表达的时空组织。我们的结果支持这样的观点：枯草芽孢杆菌对空间、时间和菌落发育的昼夜节律调节类似于植物和哺乳动物等多细胞真核生物中某些过程的昼夜节律调节。</w:t>
      </w:r>
    </w:p>
    <w:p>
      <w:pPr>
        <w:spacing w:before="0" w:after="200" w:lineRule="auto" w:line="276"/>
      </w:pPr>
      <w:r>
        <w:rPr>
          <w:b/>
        </w:rPr>
        <w:t xml:space="preserve">Abstract (EN): </w:t>
      </w:r>
      <w:r>
        <w:t>Many organisms have circadian clocks that anticipate the risks and benefits of the predictable 24 h solar cycle. However, the potential functions of circadian clocks in non-photosynthetic bacteria are poorly understood. Here, we show that the Bacillus subtilis circadian clock regulates colony expansion, in concert with key developmental and differentiation pathways that are central to its life cycle. The B. subtilis clock coordinates the spatiotemporal organisation of gene expression within expanding colonies by timing various processes to specific phases (times of day) within distinct colony regions. Our results support the idea that circadian clock-regulation over space, time and colony development in B. subtilis is analogous to circadian regulation of some processes in multicellular eukaryotes such as plants and mammals.</w:t>
      </w:r>
    </w:p>
    <w:p>
      <w:pPr>
        <w:spacing w:before="120" w:after="120"/>
      </w:pPr>
      <w:r>
        <w:rPr>
          <w:sz w:val="18"/>
        </w:rPr>
        <w:t>——————————————————————————————————————————————————————————————————————</w:t>
      </w:r>
    </w:p>
    <w:p>
      <w:pPr>
        <w:spacing w:before="160" w:after="40" w:line="240" w:lineRule="auto"/>
      </w:pPr>
      <w:r>
        <w:rPr>
          <w:b/>
        </w:rPr>
        <w:t xml:space="preserve">[409] </w:t>
      </w:r>
      <w:hyperlink r:id="rId1015">
        <w:r>
          <w:rPr>
            <w:color w:val="1155CC"/>
            <w:u w:val="single"/>
          </w:rPr>
          <w:t>alx 基因家族赋予额鼻颅神经嵴细胞节段同一性</w:t>
        </w:r>
      </w:hyperlink>
    </w:p>
    <w:p>
      <w:pPr>
        <w:spacing w:before="0" w:after="80"/>
      </w:pPr>
      <w:r>
        <w:rPr>
          <w:i/>
          <w:sz w:val="20"/>
        </w:rPr>
        <w:t>EN: The alx gene family confers segmental identity to frontonasal cranial neural crest cells</w:t>
      </w:r>
    </w:p>
    <w:p>
      <w:pPr>
        <w:spacing w:before="0" w:after="120"/>
      </w:pPr>
      <w:r>
        <w:rPr>
          <w:b/>
        </w:rPr>
        <w:t xml:space="preserve">Source: </w:t>
      </w:r>
      <w:r>
        <w:t>Biological sciences : Nature Communications subject feeds</w:t>
      </w:r>
      <w:r>
        <w:t xml:space="preserve">    </w:t>
      </w:r>
      <w:r>
        <w:rPr>
          <w:b/>
        </w:rPr>
        <w:t xml:space="preserve">Pub date: </w:t>
      </w:r>
      <w:r>
        <w:t>2026-06-18 00:00:00+00:00</w:t>
      </w:r>
    </w:p>
    <w:p>
      <w:pPr>
        <w:spacing w:before="0" w:after="120"/>
      </w:pPr>
      <w:r>
        <w:rPr>
          <w:b/>
        </w:rPr>
        <w:t xml:space="preserve">Notes: </w:t>
      </w:r>
      <w:r>
        <w:t>abstract_source=nature_html</w:t>
      </w:r>
    </w:p>
    <w:p>
      <w:pPr>
        <w:spacing w:before="0" w:after="80" w:lineRule="auto" w:line="276"/>
      </w:pPr>
      <w:r>
        <w:rPr>
          <w:b/>
        </w:rPr>
        <w:t xml:space="preserve">摘要（ZH）: </w:t>
      </w:r>
      <w:r>
        <w:t>咽弓中的颅神经嵴细胞产生脊椎动物的头部骨骼结构。 Hox 基因赋予不同拱门片段同一性，Hox 突变导致镜像同源复制。额鼻颅神经嵴细胞位于第一咽弓前方，产生中面部骨骼，不被视为节段系列的一部分。在这里，我们证明alx基因赋予斑马鱼最前部群体的节段同一性； alx 突变导致镜像同源异型转化。我们定义了额鼻和弓种群之间的边界，并证明 Alx 表达仅限于斑马鱼和七鳃鳗的最前部颅神经嵴细胞，表明这些表达模式存在于脊椎动物谱系的早期。我们提出额鼻神经嵴细胞代表咽弓分叶系列的最前段，并且Alx基因作为同源选择基因发挥其节段身份。</w:t>
      </w:r>
    </w:p>
    <w:p>
      <w:pPr>
        <w:spacing w:before="0" w:after="200" w:lineRule="auto" w:line="276"/>
      </w:pPr>
      <w:r>
        <w:rPr>
          <w:b/>
        </w:rPr>
        <w:t xml:space="preserve">Abstract (EN): </w:t>
      </w:r>
      <w:r>
        <w:t>Cranial neural crest cells in the pharyngeal arches give rise to vertebrate head skeletal structures. Hox genes confer segmental identity to the different arches, and Hox mutations result in mirror-image homeotic duplications. Frontonasal cranial neural crest cells reside anterior to the first pharyngeal arch, give rise to the midface skeleton, and are not considered part of the segmental series. Here, we demonstrate that alx genes confer segmental identity to this anterior-most population in zebrafish; alx mutations result in mirror-image homeotic transformations. We define the boundary between the frontonasal and arch populations and demonstrate that Alx expression is restricted to the anterior-most cranial neural crest cells in zebrafish and lamprey, suggesting these expression patterns were present early in the vertebrate lineage. We propose that frontonasal neural crest cells represent the anterior-most segment of the pharyngeal arch meristic series, and that Alx genes function as homeotic selector genes conferring their segmental identity.</w:t>
      </w:r>
    </w:p>
    <w:p>
      <w:pPr>
        <w:spacing w:before="120" w:after="120"/>
      </w:pPr>
      <w:r>
        <w:rPr>
          <w:sz w:val="18"/>
        </w:rPr>
        <w:t>——————————————————————————————————————————————————————————————————————</w:t>
      </w:r>
    </w:p>
    <w:p>
      <w:pPr>
        <w:spacing w:before="160" w:after="40" w:line="240" w:lineRule="auto"/>
      </w:pPr>
      <w:r>
        <w:rPr>
          <w:b/>
        </w:rPr>
        <w:t xml:space="preserve">[410] </w:t>
      </w:r>
      <w:hyperlink r:id="rId1016">
        <w:r>
          <w:rPr>
            <w:color w:val="1155CC"/>
            <w:u w:val="single"/>
          </w:rPr>
          <w:t>深度学习引导的 SpuFz1 工程和 ωRNA 的合理小型化可实现高效的基因组编辑</w:t>
        </w:r>
      </w:hyperlink>
    </w:p>
    <w:p>
      <w:pPr>
        <w:spacing w:before="0" w:after="80"/>
      </w:pPr>
      <w:r>
        <w:rPr>
          <w:i/>
          <w:sz w:val="20"/>
        </w:rPr>
        <w:t>EN: Deep learning–guided engineering of SpuFz1 and rational miniaturization of ωRNA enables efficient genome editing</w:t>
      </w:r>
    </w:p>
    <w:p>
      <w:pPr>
        <w:spacing w:before="0" w:after="120"/>
      </w:pPr>
      <w:r>
        <w:rPr>
          <w:b/>
        </w:rPr>
        <w:t xml:space="preserve">Source: </w:t>
      </w:r>
      <w:r>
        <w:t>Biological sciences : Nature Communications subject feeds</w:t>
      </w:r>
      <w:r>
        <w:t xml:space="preserve">    </w:t>
      </w:r>
      <w:r>
        <w:rPr>
          <w:b/>
        </w:rPr>
        <w:t xml:space="preserve">Pub date: </w:t>
      </w:r>
      <w:r>
        <w:t>2026-06-18 00:00:00+00:00</w:t>
      </w:r>
    </w:p>
    <w:p>
      <w:pPr>
        <w:spacing w:before="0" w:after="120"/>
      </w:pPr>
      <w:r>
        <w:rPr>
          <w:b/>
        </w:rPr>
        <w:t xml:space="preserve">Notes: </w:t>
      </w:r>
      <w:r>
        <w:t>abstract_source=nature_html</w:t>
      </w:r>
    </w:p>
    <w:p>
      <w:pPr>
        <w:spacing w:before="0" w:after="80" w:lineRule="auto" w:line="276"/>
      </w:pPr>
      <w:r>
        <w:rPr>
          <w:b/>
        </w:rPr>
        <w:t xml:space="preserve">摘要（ZH）: </w:t>
      </w:r>
      <w:r>
        <w:t>提高可编程基因组编辑核酸酶的性能仍然是扩大其研究和治疗应用的关键挑战。在这里，我们引入了一个可扩展的深度学习引导的蛋白质工程框架，用于在不需要实验训练数据的情况下提高核酸酶活性。作为演示，我们将此策略应用于 SpuFz1（一种真核起源的紧凑型 Fanzor 核酸酶），识别和验证有益突变，产生编辑效率提高 11.6 倍的多突变体。与此同时，我们使用比较序列分析来设计并通过实验验证 75 nt 超短 ωRNA 支架，将引导 RNA 长度减少 79%，同时保持活性。这些优化组件的集成产生了 enFanzor，这是一种紧凑的基因组编辑系统，在哺乳动物细胞中实现高达 81.9% 的编辑效率，在人类造血干细胞和祖细胞 (HSPC) 以及小鼠胚胎中都具有强大的编辑性能。通过该策略开发的表现优异的变体还支持强劲的 CBE 和 ABE 活动。值得注意的是，缩短的ωRNA不仅提高了核酸酶编辑的特异性，而且还导致碱基编辑效率的大幅提高。总之，这项工作展示了人工智能引导的蛋白质优化与合理 RNA 设计相结合的力量，并建立了设计下一代基因组编辑工具的通用策略。</w:t>
      </w:r>
    </w:p>
    <w:p>
      <w:pPr>
        <w:spacing w:before="0" w:after="200" w:lineRule="auto" w:line="276"/>
      </w:pPr>
      <w:r>
        <w:rPr>
          <w:b/>
        </w:rPr>
        <w:t xml:space="preserve">Abstract (EN): </w:t>
      </w:r>
      <w:r>
        <w:t>Advancing the performance of programmable genome editing nucleases remains a key challenge in expanding their research and therapeutic applications. Here, we introduce a scalable deep learning–guided protein engineering framework for improving nuclease activity without requiring experimental training data. As a demonstration, we apply this strategy to SpuFz1, a compact Fanzor nuclease of eukaryotic origin, identifying and validating beneficial mutations that produces a multi-mutant variant with an 11.6-fold increase in editing efficiency. In parallel, we use comparative sequence analysis to design and experimentally validate a 75-nt ultrashort ωRNA scaffold, reducing guide RNA length by 79% while maintaining activity. Integration of these optimized components yields enFanzor, a compact genome editing system that achieves editing efficiencies up to 81.9% in mammalian cells, with strong editing performance in both human hematopoietic stem and progenitor cells (HSPCs) and mouse embryos. The outperforming variant developed through this strategy also supports robust CBE and ABE activity. Notably, the shortened ωRNA not only improves nuclease editing specificity but also leads to a substantial increase in base editing efficiency. Together, this work demonstrates the power of combining AI-guided protein optimization with rational RNA design, and establishes a generalizable strategy for engineering next-generation genome editing tools.</w:t>
      </w:r>
    </w:p>
    <w:p>
      <w:pPr>
        <w:spacing w:before="120" w:after="120"/>
      </w:pPr>
      <w:r>
        <w:rPr>
          <w:sz w:val="18"/>
        </w:rPr>
        <w:t>——————————————————————————————————————————————————————————————————————</w:t>
      </w:r>
    </w:p>
    <w:p>
      <w:pPr>
        <w:spacing w:before="160" w:after="40" w:line="240" w:lineRule="auto"/>
      </w:pPr>
      <w:r>
        <w:rPr>
          <w:b/>
        </w:rPr>
        <w:t xml:space="preserve">[411] </w:t>
      </w:r>
      <w:hyperlink r:id="rId1017">
        <w:r>
          <w:rPr>
            <w:color w:val="1155CC"/>
            <w:u w:val="single"/>
          </w:rPr>
          <w:t>SplitSeek-Pro：准确预测蛋白质结构上的可分裂位点</w:t>
        </w:r>
      </w:hyperlink>
    </w:p>
    <w:p>
      <w:pPr>
        <w:spacing w:before="0" w:after="80"/>
      </w:pPr>
      <w:r>
        <w:rPr>
          <w:i/>
          <w:sz w:val="20"/>
        </w:rPr>
        <w:t>EN: SplitSeek-Pro: accurate prediction of splittable sites on protein structures</w:t>
      </w:r>
    </w:p>
    <w:p>
      <w:pPr>
        <w:spacing w:before="0" w:after="120"/>
      </w:pPr>
      <w:r>
        <w:rPr>
          <w:b/>
        </w:rPr>
        <w:t xml:space="preserve">Source: </w:t>
      </w:r>
      <w:r>
        <w:t>Biological sciences : Nature Communications subject feeds</w:t>
      </w:r>
      <w:r>
        <w:t xml:space="preserve">    </w:t>
      </w:r>
      <w:r>
        <w:rPr>
          <w:b/>
        </w:rPr>
        <w:t xml:space="preserve">Pub date: </w:t>
      </w:r>
      <w:r>
        <w:t>2026-06-18 00:00:00+00:00</w:t>
      </w:r>
    </w:p>
    <w:p>
      <w:pPr>
        <w:spacing w:before="0" w:after="120"/>
      </w:pPr>
      <w:r>
        <w:rPr>
          <w:b/>
        </w:rPr>
        <w:t xml:space="preserve">Notes: </w:t>
      </w:r>
      <w:r>
        <w:t>abstract_source=nature_html</w:t>
      </w:r>
    </w:p>
    <w:p>
      <w:pPr>
        <w:spacing w:before="0" w:after="80" w:lineRule="auto" w:line="276"/>
      </w:pPr>
      <w:r>
        <w:rPr>
          <w:b/>
        </w:rPr>
        <w:t xml:space="preserve">摘要（ZH）: </w:t>
      </w:r>
      <w:r>
        <w:t>了解蛋白质结构并预测其对深度重塑的结构耐受性对于工程功能蛋白质至关重要。我们推出了 SplitSeek-Pro，这是一种深度学习模型，可评估折叠蛋白质中氨基酸水平的可分裂性，这是循环排列和分裂重构等蛋白质工程任务的关键特性。通过将初级序列与 3D 结构特征相结合，SplitSeek-Pro 通过两阶段训练过程实现残基分辨率预测：大规模预训练，然后是高质量微调。对三种不同蛋白质的实验验证证实了其优于现有方法的预测能力。值得注意的是，SplitSeek-Pro 识别出具有内聚性、完整片段的特征片段，类似于超二级结构基序。这些结果使 SplitSeek-Pro 成为合理蛋白质工程的强大工具，并为蛋白质折叠的基本结构构建模块提供了见解。为了方便社区访问，我们在 http://splitseek.topo.bio 上提供了一个自动化 Web 服务器。</w:t>
      </w:r>
    </w:p>
    <w:p>
      <w:pPr>
        <w:spacing w:before="0" w:after="200" w:lineRule="auto" w:line="276"/>
      </w:pPr>
      <w:r>
        <w:rPr>
          <w:b/>
        </w:rPr>
        <w:t xml:space="preserve">Abstract (EN): </w:t>
      </w:r>
      <w:r>
        <w:t>Understanding protein architecture and predicting its structural tolerance to profound remodeling is pivotal for engineering functional proteins. We present SplitSeek-Pro, a deep learning model that evaluates amino acid-level splittability in folded proteins, a property critical for protein engineering tasks such as circular permutation and split reconstitution. By integrating primary sequences with 3D structural features, SplitSeek-Pro achieves residue-resolution predictions through a two-stage training process: large-scale pre-training followed by high-quality fine-tuning. Experimental validation on three distinct proteins confirms its superior predictive power over existing methods. Notably, SplitSeek-Pro identifies characteristic segments that function as cohesive, integral fragments analogous to super-secondary structural motifs. These results establish SplitSeek-Pro as a robust tool for rational protein engineering and offer insights into the fundamental structural building blocks of protein folding. To facilitate community access, we provide an automated web server at http://splitseek.topo.bio.</w:t>
      </w:r>
    </w:p>
    <w:p>
      <w:pPr>
        <w:spacing w:before="120" w:after="120"/>
      </w:pPr>
      <w:r>
        <w:rPr>
          <w:sz w:val="18"/>
        </w:rPr>
        <w:t>——————————————————————————————————————————————————————————————————————</w:t>
      </w:r>
    </w:p>
    <w:p>
      <w:pPr>
        <w:spacing w:before="160" w:after="40" w:line="240" w:lineRule="auto"/>
      </w:pPr>
      <w:r>
        <w:rPr>
          <w:b/>
        </w:rPr>
        <w:t xml:space="preserve">[412] </w:t>
      </w:r>
      <w:hyperlink r:id="rId1018">
        <w:r>
          <w:rPr>
            <w:color w:val="1155CC"/>
            <w:u w:val="single"/>
          </w:rPr>
          <w:t>作者更正：通过三重态氮烯介导的扩环模块化非对映选择性合成受阻环丁烷氨基腈</w:t>
        </w:r>
      </w:hyperlink>
    </w:p>
    <w:p>
      <w:pPr>
        <w:spacing w:before="0" w:after="80"/>
      </w:pPr>
      <w:r>
        <w:rPr>
          <w:i/>
          <w:sz w:val="20"/>
        </w:rPr>
        <w:t>EN: Author Correction: Modular diastereoselective synthesis of hindered cyclobutane amino nitriles through triplet nitrene-mediated ring expansion</w:t>
      </w:r>
    </w:p>
    <w:p>
      <w:pPr>
        <w:spacing w:before="0" w:after="120"/>
      </w:pPr>
      <w:r>
        <w:rPr>
          <w:b/>
        </w:rPr>
        <w:t xml:space="preserve">Source: </w:t>
      </w:r>
      <w:r>
        <w:t>Nature Chemistry</w:t>
      </w:r>
      <w:r>
        <w:t xml:space="preserve">    </w:t>
      </w:r>
      <w:r>
        <w:rPr>
          <w:b/>
        </w:rPr>
        <w:t xml:space="preserve">Pub date: </w:t>
      </w:r>
      <w:r>
        <w:t>2026-06-18 00:00:00+00:00</w:t>
      </w:r>
      <w:r>
        <w:t xml:space="preserve">    </w:t>
      </w:r>
      <w:r>
        <w:rPr>
          <w:b/>
        </w:rPr>
        <w:t xml:space="preserve">DOI: </w:t>
      </w:r>
      <w:hyperlink r:id="rId1019">
        <w:r>
          <w:rPr>
            <w:color w:val="1155CC"/>
            <w:u w:val="single"/>
          </w:rPr>
          <w:t>10.1038/s41557-026-02202-w</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[413] </w:t>
      </w:r>
      <w:hyperlink r:id="rId1020">
        <w:r>
          <w:rPr>
            <w:color w:val="1155CC"/>
            <w:u w:val="single"/>
          </w:rPr>
          <w:t>放大肿瘤内捕获的树突状细胞的肿瘤抗原呈递</w:t>
        </w:r>
      </w:hyperlink>
    </w:p>
    <w:p>
      <w:pPr>
        <w:spacing w:before="0" w:after="80"/>
      </w:pPr>
      <w:r>
        <w:rPr>
          <w:i/>
          <w:sz w:val="20"/>
        </w:rPr>
        <w:t>EN: Amplifying tumour antigen presentations from intratumourally entrapped dendritic cells</w:t>
      </w:r>
    </w:p>
    <w:p>
      <w:pPr>
        <w:spacing w:before="0" w:after="120"/>
      </w:pPr>
      <w:r>
        <w:rPr>
          <w:b/>
        </w:rPr>
        <w:t xml:space="preserve">Source: </w:t>
      </w:r>
      <w:r>
        <w:t>Nature Nanotechnology</w:t>
      </w:r>
      <w:r>
        <w:t xml:space="preserve">    </w:t>
      </w:r>
      <w:r>
        <w:rPr>
          <w:b/>
        </w:rPr>
        <w:t xml:space="preserve">Pub date: </w:t>
      </w:r>
      <w:r>
        <w:t>2026-06-18 00:00:00+00:00</w:t>
      </w:r>
      <w:r>
        <w:t xml:space="preserve">    </w:t>
      </w:r>
      <w:r>
        <w:rPr>
          <w:b/>
        </w:rPr>
        <w:t xml:space="preserve">DOI: </w:t>
      </w:r>
      <w:hyperlink r:id="rId1021">
        <w:r>
          <w:rPr>
            <w:color w:val="1155CC"/>
            <w:u w:val="single"/>
          </w:rPr>
          <w:t>10.1038/s41565-026-02204-2</w:t>
        </w:r>
      </w:hyperlink>
    </w:p>
    <w:p>
      <w:pPr>
        <w:spacing w:before="0" w:after="120"/>
      </w:pPr>
      <w:r>
        <w:rPr>
          <w:b/>
        </w:rPr>
        <w:t xml:space="preserve">Notes: </w:t>
      </w:r>
      <w:r>
        <w:t>abstract_source=nature_html</w:t>
      </w:r>
    </w:p>
    <w:p>
      <w:pPr>
        <w:spacing w:before="0" w:after="80" w:lineRule="auto" w:line="276"/>
      </w:pPr>
      <w:r>
        <w:rPr>
          <w:b/>
        </w:rPr>
        <w:t xml:space="preserve">摘要（ZH）: </w:t>
      </w:r>
      <w:r>
        <w:t>实体瘤内的抗原呈递对全身免疫激活提出了重大的临床挑战。尽管放疗或化疗可以通过破坏肿瘤细胞来产生肿瘤抗原，但实体瘤内树突状细胞数量不足和功能受损会影响抗原的有效呈递。在这里，我们提出了涂有纳米羟基磷灰石的植物源纳米颗粒，可通过调节细胞内免疫转化和钙信号传导，促进树突状细胞活化并在体内放大树突状细胞衍生的抗原呈递囊泡的产生。该技术被称为肿瘤暴露后在肿瘤内生成免疫呈递囊泡，能够显着增强淋巴结内的抗原呈递，从而增强全身免疫反应，与放疗结合时在多种实体瘤模型中表现出卓越的抗肿瘤功效。这种在体内放大免疫反应性纳米囊泡产生的策略可能作为一个有前途的免疫增强平台，推进各种癌症治疗。</w:t>
      </w:r>
    </w:p>
    <w:p>
      <w:pPr>
        <w:spacing w:before="0" w:after="200" w:lineRule="auto" w:line="276"/>
      </w:pPr>
      <w:r>
        <w:rPr>
          <w:b/>
        </w:rPr>
        <w:t xml:space="preserve">Abstract (EN): </w:t>
      </w:r>
      <w:r>
        <w:t>Antigen presentation within solid tumours presents a significant clinical challenge for systemic immune activation. Although radiotherapy or chemotherapy can generate tumour antigens by destroying tumour cells, the insufficient number and impaired function of dendritic cells within solid tumours compromises effective antigen presentation. Here we present plant-derived nanoparticles coated with nanohydroxyapatite that promote dendritic cell activation and amplify the production of dendritic-cell-derived antigen-presenting vesicles in vivo through the modulation of intracellular immune conversion and calcium signalling. The technology, termed the intratumoural generation of immunopresentation vesicles after tumour exposure, enabled a dramatic enhancement in antigen presentation within lymph nodes and, consequently, boosted systemic immune response, exhibiting superior antitumour efficacy in multiple solid tumour models when combined with radiotherapy. This strategy of amplifying immunoreactive nanovesicle production in vivo may serve as a promising immunopotentiating platform, advancing various cancer treatments.</w:t>
      </w:r>
    </w:p>
    <w:p>
      <w:pPr>
        <w:spacing w:before="120" w:after="120"/>
      </w:pPr>
      <w:r>
        <w:rPr>
          <w:sz w:val="18"/>
        </w:rPr>
        <w:t>——————————————————————————————————————————————————————————————————————</w:t>
      </w:r>
    </w:p>
    <w:p>
      <w:pPr>
        <w:spacing w:before="160" w:after="40" w:line="240" w:lineRule="auto"/>
      </w:pPr>
      <w:r>
        <w:rPr>
          <w:b/>
        </w:rPr>
        <w:t xml:space="preserve">[414] </w:t>
      </w:r>
      <w:hyperlink r:id="rId1022">
        <w:r>
          <w:rPr>
            <w:color w:val="1155CC"/>
            <w:u w:val="single"/>
          </w:rPr>
          <w:t>英国脱欧撕裂了欧洲科学——现在研究分歧正在弥合</w:t>
        </w:r>
      </w:hyperlink>
    </w:p>
    <w:p>
      <w:pPr>
        <w:spacing w:before="0" w:after="80"/>
      </w:pPr>
      <w:r>
        <w:rPr>
          <w:i/>
          <w:sz w:val="20"/>
        </w:rPr>
        <w:t>EN: Brexit tore apart European science — now the research rifts are healing</w:t>
      </w:r>
    </w:p>
    <w:p>
      <w:pPr>
        <w:spacing w:before="0" w:after="120"/>
      </w:pPr>
      <w:r>
        <w:rPr>
          <w:b/>
        </w:rPr>
        <w:t xml:space="preserve">Source: </w:t>
      </w:r>
      <w:r>
        <w:t>Nature</w:t>
      </w:r>
      <w:r>
        <w:t xml:space="preserve">    </w:t>
      </w:r>
      <w:r>
        <w:rPr>
          <w:b/>
        </w:rPr>
        <w:t xml:space="preserve">Pub date: </w:t>
      </w:r>
      <w:r>
        <w:t>2026-06-18 00:00:00+00:00</w:t>
      </w:r>
      <w:r>
        <w:t xml:space="preserve">    </w:t>
      </w:r>
      <w:r>
        <w:rPr>
          <w:b/>
        </w:rPr>
        <w:t xml:space="preserve">DOI: </w:t>
      </w:r>
      <w:hyperlink r:id="rId1023">
        <w:r>
          <w:rPr>
            <w:color w:val="1155CC"/>
            <w:u w:val="single"/>
          </w:rPr>
          <w:t>10.1038/d41586-026-01841-w</w:t>
        </w:r>
      </w:hyperlink>
    </w:p>
    <w:p>
      <w:pPr>
        <w:spacing w:before="0" w:after="120"/>
      </w:pPr>
      <w:r>
        <w:rPr>
          <w:b/>
        </w:rPr>
        <w:t xml:space="preserve">Notes: </w:t>
      </w:r>
      <w:r>
        <w:t>abstract_source=nature_html</w:t>
      </w:r>
    </w:p>
    <w:p>
      <w:pPr>
        <w:spacing w:before="0" w:after="80" w:lineRule="auto" w:line="276"/>
      </w:pPr>
      <w:r>
        <w:rPr>
          <w:b/>
        </w:rPr>
        <w:t xml:space="preserve">摘要（ZH）: </w:t>
      </w:r>
      <w:r>
        <w:t>英国在欧盟研究经费中所占的份额正在攀升，但失去的网络将更难恢复。英国在欧盟研究经费中所占的份额正在攀升，但失去的网络将更难恢复。</w:t>
      </w:r>
    </w:p>
    <w:p>
      <w:pPr>
        <w:spacing w:before="0" w:after="200" w:lineRule="auto" w:line="276"/>
      </w:pPr>
      <w:r>
        <w:rPr>
          <w:b/>
        </w:rPr>
        <w:t xml:space="preserve">Abstract (EN): </w:t>
      </w:r>
      <w:r>
        <w:t>The UK’s share of EU research funding is climbing, but lost networks will be harder to recover. The UK’s share of EU research funding is climbing, but lost networks will be harder to recover.</w:t>
      </w:r>
    </w:p>
    <w:p>
      <w:pPr>
        <w:spacing w:before="120" w:after="120"/>
      </w:pPr>
      <w:r>
        <w:rPr>
          <w:sz w:val="18"/>
        </w:rPr>
        <w:t>——————————————————————————————————————————————————————————————————————</w:t>
      </w:r>
    </w:p>
    <w:p>
      <w:pPr>
        <w:spacing w:before="160" w:after="40" w:line="240" w:lineRule="auto"/>
      </w:pPr>
      <w:r>
        <w:rPr>
          <w:b/>
        </w:rPr>
        <w:t xml:space="preserve">[415] </w:t>
      </w:r>
      <w:hyperlink r:id="rId1024">
        <w:r>
          <w:rPr>
            <w:color w:val="1155CC"/>
            <w:u w:val="single"/>
          </w:rPr>
          <w:t>它切片！它切丁了！ Sashimi-Bot 轻松处理海鲜</w:t>
        </w:r>
      </w:hyperlink>
    </w:p>
    <w:p>
      <w:pPr>
        <w:spacing w:before="0" w:after="80"/>
      </w:pPr>
      <w:r>
        <w:rPr>
          <w:i/>
          <w:sz w:val="20"/>
        </w:rPr>
        <w:t>EN: It slices! It dices! Sashimi-Bot handles seafood with ease</w:t>
      </w:r>
    </w:p>
    <w:p>
      <w:pPr>
        <w:spacing w:before="0" w:after="120"/>
      </w:pPr>
      <w:r>
        <w:rPr>
          <w:b/>
        </w:rPr>
        <w:t xml:space="preserve">Source: </w:t>
      </w:r>
      <w:r>
        <w:t>Nature</w:t>
      </w:r>
      <w:r>
        <w:t xml:space="preserve">    </w:t>
      </w:r>
      <w:r>
        <w:rPr>
          <w:b/>
        </w:rPr>
        <w:t xml:space="preserve">Pub date: </w:t>
      </w:r>
      <w:r>
        <w:t>2026-06-18 00:00:00+00:00</w:t>
      </w:r>
      <w:r>
        <w:t xml:space="preserve">    </w:t>
      </w:r>
      <w:r>
        <w:rPr>
          <w:b/>
        </w:rPr>
        <w:t xml:space="preserve">DOI: </w:t>
      </w:r>
      <w:hyperlink r:id="rId1025">
        <w:r>
          <w:rPr>
            <w:color w:val="1155CC"/>
            <w:u w:val="single"/>
          </w:rPr>
          <w:t>10.1038/d41586-026-01871-4</w:t>
        </w:r>
      </w:hyperlink>
    </w:p>
    <w:p>
      <w:pPr>
        <w:spacing w:before="0" w:after="120"/>
      </w:pPr>
      <w:r>
        <w:rPr>
          <w:b/>
        </w:rPr>
        <w:t xml:space="preserve">Notes: </w:t>
      </w:r>
      <w:r>
        <w:t>abstract_source=nature_html</w:t>
      </w:r>
    </w:p>
    <w:p>
      <w:pPr>
        <w:spacing w:before="0" w:after="80" w:lineRule="auto" w:line="276"/>
      </w:pPr>
      <w:r>
        <w:rPr>
          <w:b/>
        </w:rPr>
        <w:t xml:space="preserve">摘要（ZH）: </w:t>
      </w:r>
      <w:r>
        <w:t>生鱼片形状不规则，质地松软，但三臂机器人已经学会了如何操作鲑鱼腰肉。生鱼片形状不规则，质地松软，但三臂机器人已经学会了如何操作鲑鱼腰肉。</w:t>
      </w:r>
    </w:p>
    <w:p>
      <w:pPr>
        <w:spacing w:before="0" w:after="200" w:lineRule="auto" w:line="276"/>
      </w:pPr>
      <w:r>
        <w:rPr>
          <w:b/>
        </w:rPr>
        <w:t xml:space="preserve">Abstract (EN): </w:t>
      </w:r>
      <w:r>
        <w:t>Fillets of raw fish are irregular in shape and floppy in texture, but a robot with three arms has learnt how to manipulate a salmon loin. Fillets of raw fish are irregular in shape and floppy in texture, but a robot with three arms has learnt how to manipulate a salmon loin.</w:t>
      </w:r>
    </w:p>
    <w:p>
      <w:pPr>
        <w:spacing w:before="120" w:after="120"/>
      </w:pPr>
      <w:r>
        <w:rPr>
          <w:sz w:val="18"/>
        </w:rPr>
        <w:t>——————————————————————————————————————————————————————————————————————</w:t>
      </w:r>
    </w:p>
    <w:p>
      <w:pPr>
        <w:spacing w:before="160" w:after="40" w:line="240" w:lineRule="auto"/>
      </w:pPr>
      <w:r>
        <w:rPr>
          <w:b/>
        </w:rPr>
        <w:t xml:space="preserve">[416] </w:t>
      </w:r>
      <w:hyperlink r:id="rId1026">
        <w:r>
          <w:rPr>
            <w:color w:val="1155CC"/>
            <w:u w:val="single"/>
          </w:rPr>
          <w:t>在树懒基因组中发现树懒的线索</w:t>
        </w:r>
      </w:hyperlink>
    </w:p>
    <w:p>
      <w:pPr>
        <w:spacing w:before="0" w:after="80"/>
      </w:pPr>
      <w:r>
        <w:rPr>
          <w:i/>
          <w:sz w:val="20"/>
        </w:rPr>
        <w:t>EN: Clues to the sloth’s sloth found in its genome</w:t>
      </w:r>
    </w:p>
    <w:p>
      <w:pPr>
        <w:spacing w:before="0" w:after="120"/>
      </w:pPr>
      <w:r>
        <w:rPr>
          <w:b/>
        </w:rPr>
        <w:t xml:space="preserve">Source: </w:t>
      </w:r>
      <w:r>
        <w:t>Nature</w:t>
      </w:r>
      <w:r>
        <w:t xml:space="preserve">    </w:t>
      </w:r>
      <w:r>
        <w:rPr>
          <w:b/>
        </w:rPr>
        <w:t xml:space="preserve">Pub date: </w:t>
      </w:r>
      <w:r>
        <w:t>2026-06-18 00:00:00+00:00</w:t>
      </w:r>
      <w:r>
        <w:t xml:space="preserve">    </w:t>
      </w:r>
      <w:r>
        <w:rPr>
          <w:b/>
        </w:rPr>
        <w:t xml:space="preserve">DOI: </w:t>
      </w:r>
      <w:hyperlink r:id="rId1027">
        <w:r>
          <w:rPr>
            <w:color w:val="1155CC"/>
            <w:u w:val="single"/>
          </w:rPr>
          <w:t>10.1038/d41586-026-01869-y</w:t>
        </w:r>
      </w:hyperlink>
    </w:p>
    <w:p>
      <w:pPr>
        <w:spacing w:before="0" w:after="120"/>
      </w:pPr>
      <w:r>
        <w:rPr>
          <w:b/>
        </w:rPr>
        <w:t xml:space="preserve">Notes: </w:t>
      </w:r>
      <w:r>
        <w:t>abstract_source=nature_html</w:t>
      </w:r>
    </w:p>
    <w:p>
      <w:pPr>
        <w:spacing w:before="0" w:after="80" w:lineRule="auto" w:line="276"/>
      </w:pPr>
      <w:r>
        <w:rPr>
          <w:b/>
        </w:rPr>
        <w:t xml:space="preserve">摘要（ZH）: </w:t>
      </w:r>
      <w:r>
        <w:t>测序显示影响线粒体（为细胞提供能量的细胞器）的基因重复。测序显示影响线粒体（为细胞提供能量的细胞器）的基因重复。</w:t>
      </w:r>
    </w:p>
    <w:p>
      <w:pPr>
        <w:spacing w:before="0" w:after="200" w:lineRule="auto" w:line="276"/>
      </w:pPr>
      <w:r>
        <w:rPr>
          <w:b/>
        </w:rPr>
        <w:t xml:space="preserve">Abstract (EN): </w:t>
      </w:r>
      <w:r>
        <w:t>Sequencing shows duplication of genes that affect mitochondria, the organelles that provide energy for cells. Sequencing shows duplication of genes that affect mitochondria, the organelles that provide energy for cells.</w:t>
      </w:r>
    </w:p>
    <w:p>
      <w:pPr>
        <w:spacing w:before="120" w:after="120"/>
      </w:pPr>
      <w:r>
        <w:rPr>
          <w:sz w:val="18"/>
        </w:rPr>
        <w:t>——————————————————————————————————————————————————————————————————————</w:t>
      </w:r>
    </w:p>
    <w:p>
      <w:pPr>
        <w:spacing w:before="160" w:after="40" w:line="240" w:lineRule="auto"/>
      </w:pPr>
      <w:r>
        <w:rPr>
          <w:b/>
        </w:rPr>
        <w:t xml:space="preserve">[417] </w:t>
      </w:r>
      <w:hyperlink r:id="rId1028">
        <w:r>
          <w:rPr>
            <w:color w:val="1155CC"/>
            <w:u w:val="single"/>
          </w:rPr>
          <w:t>生命树上的细胞移植暗示了动物是如何出现的</w:t>
        </w:r>
      </w:hyperlink>
    </w:p>
    <w:p>
      <w:pPr>
        <w:spacing w:before="0" w:after="80"/>
      </w:pPr>
      <w:r>
        <w:rPr>
          <w:i/>
          <w:sz w:val="20"/>
        </w:rPr>
        <w:t>EN: Cell transplant across the tree of life hints at how animals emerged</w:t>
      </w:r>
    </w:p>
    <w:p>
      <w:pPr>
        <w:spacing w:before="0" w:after="120"/>
      </w:pPr>
      <w:r>
        <w:rPr>
          <w:b/>
        </w:rPr>
        <w:t xml:space="preserve">Source: </w:t>
      </w:r>
      <w:r>
        <w:t>Nature</w:t>
      </w:r>
      <w:r>
        <w:t xml:space="preserve">    </w:t>
      </w:r>
      <w:r>
        <w:rPr>
          <w:b/>
        </w:rPr>
        <w:t xml:space="preserve">Pub date: </w:t>
      </w:r>
      <w:r>
        <w:t>2026-06-18 00:00:00+00:00</w:t>
      </w:r>
      <w:r>
        <w:t xml:space="preserve">    </w:t>
      </w:r>
      <w:r>
        <w:rPr>
          <w:b/>
        </w:rPr>
        <w:t xml:space="preserve">DOI: </w:t>
      </w:r>
      <w:hyperlink r:id="rId1029">
        <w:r>
          <w:rPr>
            <w:color w:val="1155CC"/>
            <w:u w:val="single"/>
          </w:rPr>
          <w:t>10.1038/d41586-026-01910-0</w:t>
        </w:r>
      </w:hyperlink>
    </w:p>
    <w:p>
      <w:pPr>
        <w:spacing w:before="0" w:after="120"/>
      </w:pPr>
      <w:r>
        <w:rPr>
          <w:b/>
        </w:rPr>
        <w:t xml:space="preserve">Notes: </w:t>
      </w:r>
      <w:r>
        <w:t>abstract_source=nature_html</w:t>
      </w:r>
    </w:p>
    <w:p>
      <w:pPr>
        <w:spacing w:before="0" w:after="80" w:lineRule="auto" w:line="276"/>
      </w:pPr>
      <w:r>
        <w:rPr>
          <w:b/>
        </w:rPr>
        <w:t xml:space="preserve">摘要（ZH）: </w:t>
      </w:r>
      <w:r>
        <w:t>胚胎“组织细胞”可以告诉各个门的胚胎要构建什么样的身体。胚胎“组织细胞”可以告诉各个门的胚胎要构建什么样的身体。</w:t>
      </w:r>
    </w:p>
    <w:p>
      <w:pPr>
        <w:spacing w:before="0" w:after="200" w:lineRule="auto" w:line="276"/>
      </w:pPr>
      <w:r>
        <w:rPr>
          <w:b/>
        </w:rPr>
        <w:t xml:space="preserve">Abstract (EN): </w:t>
      </w:r>
      <w:r>
        <w:t>Embryonic ‘organizer cells’ can tell embryos of various phyla what kind of body to build. Embryonic ‘organizer cells’ can tell embryos of various phyla what kind of body to build.</w:t>
      </w:r>
    </w:p>
    <w:p>
      <w:pPr>
        <w:spacing w:before="120" w:after="120"/>
      </w:pPr>
      <w:r>
        <w:rPr>
          <w:sz w:val="18"/>
        </w:rPr>
        <w:t>——————————————————————————————————————————————————————————————————————</w:t>
      </w:r>
    </w:p>
    <w:p>
      <w:pPr>
        <w:spacing w:before="160" w:after="40" w:line="240" w:lineRule="auto"/>
      </w:pPr>
      <w:r>
        <w:rPr>
          <w:b/>
        </w:rPr>
        <w:t xml:space="preserve">[418] </w:t>
      </w:r>
      <w:hyperlink r:id="rId1030">
        <w:r>
          <w:rPr>
            <w:color w:val="1155CC"/>
            <w:u w:val="single"/>
          </w:rPr>
          <w:t>每日简报：大脑逐个神经元构建句子</w:t>
        </w:r>
      </w:hyperlink>
    </w:p>
    <w:p>
      <w:pPr>
        <w:spacing w:before="0" w:after="80"/>
      </w:pPr>
      <w:r>
        <w:rPr>
          <w:i/>
          <w:sz w:val="20"/>
        </w:rPr>
        <w:t>EN: Daily briefing: The brain builds a sentence neuron by neuron</w:t>
      </w:r>
    </w:p>
    <w:p>
      <w:pPr>
        <w:spacing w:before="0" w:after="120"/>
      </w:pPr>
      <w:r>
        <w:rPr>
          <w:b/>
        </w:rPr>
        <w:t xml:space="preserve">Source: </w:t>
      </w:r>
      <w:r>
        <w:t>Nature</w:t>
      </w:r>
      <w:r>
        <w:t xml:space="preserve">    </w:t>
      </w:r>
      <w:r>
        <w:rPr>
          <w:b/>
        </w:rPr>
        <w:t xml:space="preserve">Pub date: </w:t>
      </w:r>
      <w:r>
        <w:t>2026-06-18 00:00:00+00:00</w:t>
      </w:r>
      <w:r>
        <w:t xml:space="preserve">    </w:t>
      </w:r>
      <w:r>
        <w:rPr>
          <w:b/>
        </w:rPr>
        <w:t xml:space="preserve">DOI: </w:t>
      </w:r>
      <w:hyperlink r:id="rId1031">
        <w:r>
          <w:rPr>
            <w:color w:val="1155CC"/>
            <w:u w:val="single"/>
          </w:rPr>
          <w:t>10.1038/d41586-026-01967-x</w:t>
        </w:r>
      </w:hyperlink>
    </w:p>
    <w:p>
      <w:pPr>
        <w:spacing w:before="0" w:after="120"/>
      </w:pPr>
      <w:r>
        <w:rPr>
          <w:b/>
        </w:rPr>
        <w:t xml:space="preserve">Notes: </w:t>
      </w:r>
      <w:r>
        <w:t>abstract_source=nature_html</w:t>
      </w:r>
    </w:p>
    <w:p>
      <w:pPr>
        <w:spacing w:before="0" w:after="80" w:lineRule="auto" w:line="276"/>
      </w:pPr>
      <w:r>
        <w:rPr>
          <w:b/>
        </w:rPr>
        <w:t xml:space="preserve">摘要（ZH）: </w:t>
      </w:r>
      <w:r>
        <w:t>研究人员实时追踪了对话过程中单个脑细胞的电活动。另外，GPS 的历史和跨物种移植可以揭示有关动物起源的线索。研究人员实时追踪了对话过程中单个脑细胞的电活动。另外，GPS 的历史和跨物种移植可以揭示有关动物起源的线索。</w:t>
      </w:r>
    </w:p>
    <w:p>
      <w:pPr>
        <w:spacing w:before="0" w:after="200" w:lineRule="auto" w:line="276"/>
      </w:pPr>
      <w:r>
        <w:rPr>
          <w:b/>
        </w:rPr>
        <w:t xml:space="preserve">Abstract (EN): </w:t>
      </w:r>
      <w:r>
        <w:t>Researchers have tracked the electrical activity of individual brain cells during conversation in real time. Plus, the history of GPS and a cross-species transplant that could reveal clues about the origin of animals. Researchers have tracked the electrical activity of individual brain cells during conversation in real time. Plus, the history of GPS and a cross-species transplant that could reveal clues about the origin of animals.</w:t>
      </w:r>
    </w:p>
    <w:p>
      <w:pPr>
        <w:spacing w:before="120" w:after="120"/>
      </w:pPr>
      <w:r>
        <w:rPr>
          <w:sz w:val="18"/>
        </w:rPr>
        <w:t>——————————————————————————————————————————————————————————————————————</w:t>
      </w:r>
    </w:p>
    <w:p>
      <w:pPr>
        <w:spacing w:before="160" w:after="40" w:line="240" w:lineRule="auto"/>
      </w:pPr>
      <w:r>
        <w:rPr>
          <w:b/>
        </w:rPr>
        <w:t xml:space="preserve">[419] </w:t>
      </w:r>
      <w:hyperlink r:id="rId1032">
        <w:r>
          <w:rPr>
            <w:color w:val="1155CC"/>
            <w:u w:val="single"/>
          </w:rPr>
          <w:t>揭示光催化中光生空穴从电荷分离到界面转移的演变</w:t>
        </w:r>
      </w:hyperlink>
    </w:p>
    <w:p>
      <w:pPr>
        <w:spacing w:before="0" w:after="80"/>
      </w:pPr>
      <w:r>
        <w:rPr>
          <w:i/>
          <w:sz w:val="20"/>
        </w:rPr>
        <w:t>EN: Unraveling the evolution of photogenerated holes from charge separation to interfacial transfer in photocatalysis</w:t>
      </w:r>
    </w:p>
    <w:p>
      <w:pPr>
        <w:spacing w:before="0" w:after="120"/>
      </w:pPr>
      <w:r>
        <w:rPr>
          <w:b/>
        </w:rPr>
        <w:t xml:space="preserve">Source: </w:t>
      </w:r>
      <w:r>
        <w:t>National Science Review Advance Access</w:t>
      </w:r>
      <w:r>
        <w:t xml:space="preserve">    </w:t>
      </w:r>
      <w:r>
        <w:rPr>
          <w:b/>
        </w:rPr>
        <w:t xml:space="preserve">Pub date: </w:t>
      </w:r>
      <w:r>
        <w:t>2026-06-18 00:00:00+00:00</w:t>
      </w:r>
      <w:r>
        <w:t xml:space="preserve">    </w:t>
      </w:r>
      <w:r>
        <w:rPr>
          <w:b/>
        </w:rPr>
        <w:t xml:space="preserve">DOI: </w:t>
      </w:r>
      <w:hyperlink r:id="rId1033">
        <w:r>
          <w:rPr>
            <w:color w:val="1155CC"/>
            <w:u w:val="single"/>
          </w:rPr>
          <w:t>10.1093/nsr/nwag379</w:t>
        </w:r>
      </w:hyperlink>
    </w:p>
    <w:p>
      <w:pPr>
        <w:spacing w:before="0" w:after="120"/>
      </w:pPr>
      <w:r>
        <w:rPr>
          <w:b/>
        </w:rPr>
        <w:t xml:space="preserve">Notes: </w:t>
      </w:r>
      <w:r>
        <w:t>abstract_source=rss_oup</w:t>
      </w:r>
    </w:p>
    <w:p>
      <w:pPr>
        <w:spacing w:before="0" w:after="80" w:lineRule="auto" w:line="276"/>
      </w:pPr>
      <w:r>
        <w:rPr>
          <w:b/>
        </w:rPr>
        <w:t xml:space="preserve">摘要（ZH）: </w:t>
      </w:r>
      <w:r>
        <w:t>光催化过程涉及纳米级界面上发生的复杂光物理和光化学事件的复杂集成，并在飞秒到秒尺度上演化。然而，在反应条件下直接跟踪单个光催化剂晶体的纳米级载流子动力学是必要的，但仍然具有挑战性。在这里，我们采用原位瞬态反射显微镜来解析面工程钒酸铋（BiVO4）光催化剂中光生载流子的演化。研究表明，光生空穴经历三个连续的步骤：初始超快电荷分离（~5 ps）、空穴捕获（~1.5 ns）和陷阱态介导的界面转移到表面上预吸附的 H2O（~19 ps）。至关重要的是，与氧晶格位点相关的陷阱态充当纳米级中继位点，能够将空穴快速注入预吸附的水中，而直接的价带空穴注入可以忽略不计。这些发现提供了整个光催化过程中光生载流子动力学的全面机制图，将纳米结构与界面化学直接联系起来，并揭示了陷阱态作为有效界面电荷转移的关键介质。</w:t>
      </w:r>
    </w:p>
    <w:p>
      <w:pPr>
        <w:spacing w:before="0" w:after="200" w:lineRule="auto" w:line="276"/>
      </w:pPr>
      <w:r>
        <w:rPr>
          <w:b/>
        </w:rPr>
        <w:t xml:space="preserve">Abstract (EN): </w:t>
      </w:r>
      <w:r>
        <w:t>A photocatalytic process involves the intricate integration of complex photophysical and photochemical events that occur at nanoscale interfaces and evolve over femtoseconds to second scales. However, directly tracking the nanoscale carrier dynamics of a single photocatalyst crystal under the reaction conditions is essential but remains challenging. Here, we employed in-situ transient reflection microscopy to spatiotemporally resolve the evolution of photogenerated carriers in facet-engineered bismuth vanadate (BiVO4) photocatalyst. It is revealed that photogenerated holes undergo three sequential steps: initial ultrafast charge separation (~5 ps), hole trapping (~1.5 ns), and trap states‐mediated interfacial transfer to pre-adsorbed H2O on the surface (~19 ps). Crucially, trap states associated with oxygen lattice sites act as nanoscale relay sites that enable rapid hole injection into pre-adsorbed H2O, whereas direct valence-band hole injection is negligible. These findings provide a comprehensive mechanistic picture of photogenerated carrier dynamics across the entire photocatalytic process, directly linking nanostructure to interfacial chemistry and revealing trap states as critical mediators of efficient interfacial charge transfer.</w:t>
      </w:r>
    </w:p>
    <w:p>
      <w:pPr>
        <w:spacing w:before="120" w:after="120"/>
      </w:pPr>
      <w:r>
        <w:rPr>
          <w:sz w:val="18"/>
        </w:rPr>
        <w:t>——————————————————————————————————————————————————————————————————————</w:t>
      </w:r>
    </w:p>
    <w:p>
      <w:pPr>
        <w:spacing w:before="160" w:after="40" w:line="240" w:lineRule="auto"/>
      </w:pPr>
      <w:r>
        <w:rPr>
          <w:b/>
        </w:rPr>
        <w:t xml:space="preserve">[420] </w:t>
      </w:r>
      <w:hyperlink r:id="rId1034">
        <w:r>
          <w:rPr>
            <w:color w:val="1155CC"/>
            <w:u w:val="single"/>
          </w:rPr>
          <w:t>人工智能正在毁掉我们的技能吗？早期结果已经出来——但并不好</w:t>
        </w:r>
      </w:hyperlink>
    </w:p>
    <w:p>
      <w:pPr>
        <w:spacing w:before="0" w:after="80"/>
      </w:pPr>
      <w:r>
        <w:rPr>
          <w:i/>
          <w:sz w:val="20"/>
        </w:rPr>
        <w:t>EN: Is AI ruining our skills? Early results are in — and they’re not good</w:t>
      </w:r>
    </w:p>
    <w:p>
      <w:pPr>
        <w:spacing w:before="0" w:after="120"/>
      </w:pPr>
      <w:r>
        <w:rPr>
          <w:b/>
        </w:rPr>
        <w:t xml:space="preserve">Source: </w:t>
      </w:r>
      <w:r>
        <w:t>Nature</w:t>
      </w:r>
      <w:r>
        <w:t xml:space="preserve">    </w:t>
      </w:r>
      <w:r>
        <w:rPr>
          <w:b/>
        </w:rPr>
        <w:t xml:space="preserve">Pub date: </w:t>
      </w:r>
      <w:r>
        <w:t>2026-06-18 00:00:00+00:00</w:t>
      </w:r>
      <w:r>
        <w:t xml:space="preserve">    </w:t>
      </w:r>
      <w:r>
        <w:rPr>
          <w:b/>
        </w:rPr>
        <w:t xml:space="preserve">DOI: </w:t>
      </w:r>
      <w:hyperlink r:id="rId1035">
        <w:r>
          <w:rPr>
            <w:color w:val="1155CC"/>
            <w:u w:val="single"/>
          </w:rPr>
          <w:t>10.1038/d41586-026-01947-1</w:t>
        </w:r>
      </w:hyperlink>
    </w:p>
    <w:p>
      <w:pPr>
        <w:spacing w:before="0" w:after="120"/>
      </w:pPr>
      <w:r>
        <w:rPr>
          <w:b/>
        </w:rPr>
        <w:t xml:space="preserve">Notes: </w:t>
      </w:r>
      <w:r>
        <w:t>abstract_source=nature_html</w:t>
      </w:r>
    </w:p>
    <w:p>
      <w:pPr>
        <w:spacing w:before="0" w:after="80" w:lineRule="auto" w:line="276"/>
      </w:pPr>
      <w:r>
        <w:rPr>
          <w:b/>
        </w:rPr>
        <w:t xml:space="preserve">摘要（ZH）: </w:t>
      </w:r>
      <w:r>
        <w:t>研究表明，对人工智能工具的依赖会降低医生和软件工程师的能力。研究表明，对人工智能工具的依赖会降低医生和软件工程师的能力。</w:t>
      </w:r>
    </w:p>
    <w:p>
      <w:pPr>
        <w:spacing w:before="0" w:after="200" w:lineRule="auto" w:line="276"/>
      </w:pPr>
      <w:r>
        <w:rPr>
          <w:b/>
        </w:rPr>
        <w:t xml:space="preserve">Abstract (EN): </w:t>
      </w:r>
      <w:r>
        <w:t>Reliance on artificial-intelligence tools degrades the abilities of physicians and software engineers, studies show. Reliance on artificial-intelligence tools degrades the abilities of physicians and software engineers, studies show.</w:t>
      </w:r>
    </w:p>
    <w:p>
      <w:pPr>
        <w:spacing w:before="120" w:after="120"/>
      </w:pPr>
      <w:r>
        <w:rPr>
          <w:sz w:val="18"/>
        </w:rPr>
        <w:t>——————————————————————————————————————————————————————————————————————</w:t>
      </w:r>
    </w:p>
    <w:p>
      <w:pPr>
        <w:spacing w:before="160" w:after="40" w:line="240" w:lineRule="auto"/>
      </w:pPr>
      <w:r>
        <w:rPr>
          <w:b/>
        </w:rPr>
        <w:t xml:space="preserve">[421] </w:t>
      </w:r>
      <w:hyperlink r:id="rId1036">
        <w:r>
          <w:rPr>
            <w:color w:val="1155CC"/>
            <w:u w:val="single"/>
          </w:rPr>
          <w:t>纳米技术介导的 mRNA 精确递送</w:t>
        </w:r>
      </w:hyperlink>
    </w:p>
    <w:p>
      <w:pPr>
        <w:spacing w:before="0" w:after="80"/>
      </w:pPr>
      <w:r>
        <w:rPr>
          <w:i/>
          <w:sz w:val="20"/>
        </w:rPr>
        <w:t>EN: Nanotechnology-mediated precision delivery of mRNA</w:t>
      </w:r>
    </w:p>
    <w:p>
      <w:pPr>
        <w:spacing w:before="0" w:after="120"/>
      </w:pPr>
      <w:r>
        <w:rPr>
          <w:b/>
        </w:rPr>
        <w:t xml:space="preserve">Source: </w:t>
      </w:r>
      <w:r>
        <w:t>Nature Materials</w:t>
      </w:r>
      <w:r>
        <w:t xml:space="preserve">    </w:t>
      </w:r>
      <w:r>
        <w:rPr>
          <w:b/>
        </w:rPr>
        <w:t xml:space="preserve">Pub date: </w:t>
      </w:r>
      <w:r>
        <w:t>2026-06-18 00:00:00+00:00</w:t>
      </w:r>
      <w:r>
        <w:t xml:space="preserve">    </w:t>
      </w:r>
      <w:r>
        <w:rPr>
          <w:b/>
        </w:rPr>
        <w:t xml:space="preserve">DOI: </w:t>
      </w:r>
      <w:hyperlink r:id="rId1037">
        <w:r>
          <w:rPr>
            <w:color w:val="1155CC"/>
            <w:u w:val="single"/>
          </w:rPr>
          <w:t>10.1038/s41563-026-02623-5</w:t>
        </w:r>
      </w:hyperlink>
    </w:p>
    <w:p>
      <w:pPr>
        <w:spacing w:before="0" w:after="120"/>
      </w:pPr>
      <w:r>
        <w:rPr>
          <w:b/>
        </w:rPr>
        <w:t xml:space="preserve">Notes: </w:t>
      </w:r>
      <w:r>
        <w:t>abstract_source=nature_html</w:t>
      </w:r>
    </w:p>
    <w:p>
      <w:pPr>
        <w:spacing w:before="0" w:after="80" w:lineRule="auto" w:line="276"/>
      </w:pPr>
      <w:r>
        <w:rPr>
          <w:b/>
        </w:rPr>
        <w:t xml:space="preserve">摘要（ZH）: </w:t>
      </w:r>
      <w:r>
        <w:t>基于信使RNA的疗法已成功预防和治疗多种疾病。尽管如此，这些疗法在实现对器官、组织和细胞的特异性递送方面仍然面临困难，而克服多级生物屏障和本质上复杂的生理疾病特征的需要加剧了这些困难。正在开发几种方法来克服这些挑战，包括优化给药途径、增强靶向能力和促进响应释放。这些量身定制的设计策略已应用于 mRNA 疫苗、蛋白质替代和基因编辑等领域，以增强精准治疗。本综述讨论了 mRNA 递送的各种异质障碍和纳米载体介导的 mRNA 精确递送策略，并重点介绍了它们在生物医学应用中的用途。此外，我们还讨论了当前的局限性和未来的前景，以加速精准 mRNA 递送的发展，以满足当前的临床需求。</w:t>
      </w:r>
    </w:p>
    <w:p>
      <w:pPr>
        <w:spacing w:before="0" w:after="200" w:lineRule="auto" w:line="276"/>
      </w:pPr>
      <w:r>
        <w:rPr>
          <w:b/>
        </w:rPr>
        <w:t xml:space="preserve">Abstract (EN): </w:t>
      </w:r>
      <w:r>
        <w:t>Messenger RNA-based therapeutics have been successful in preventing and treating various diseases. Nonetheless, these therapies still face difficulties in achieving specific delivery to organs, tissues and cells, which are exacerbated by the need to overcome multilevel biological barriers and intrinsically complex physiological disease characteristics. Several approaches are being developed to overcome these challenges, including optimizing administration routes, enhancing targeting abilities and facilitating responsive release. These tailored design strategies have been utilized in applications including mRNA vaccines, protein replacement and gene editing for enhanced precision therapies. This Review discusses various heterogeneous barriers for mRNA delivery and nanocarrier-mediated mRNA precision-delivery strategies, and highlights their uses in biomedical applications. Moreover, we discuss current limitations and future perspectives to accelerate the development of precision mRNA delivery to address current clinical needs.</w:t>
      </w:r>
    </w:p>
    <w:p>
      <w:pPr>
        <w:spacing w:before="120" w:after="120"/>
      </w:pPr>
      <w:r>
        <w:rPr>
          <w:sz w:val="18"/>
        </w:rPr>
        <w:t>——————————————————————————————————————————————————————————————————————</w:t>
      </w:r>
    </w:p>
    <w:p>
      <w:pPr>
        <w:spacing w:before="160" w:after="40" w:line="240" w:lineRule="auto"/>
      </w:pPr>
      <w:r>
        <w:rPr>
          <w:b/>
        </w:rPr>
        <w:t xml:space="preserve">[422] </w:t>
      </w:r>
      <w:hyperlink r:id="rId1038">
        <w:r>
          <w:rPr>
            <w:color w:val="1155CC"/>
            <w:u w:val="single"/>
          </w:rPr>
          <w:t>通过配体聚集进行范德华金属有机框架的编程堆叠顺序</w:t>
        </w:r>
      </w:hyperlink>
    </w:p>
    <w:p>
      <w:pPr>
        <w:spacing w:before="0" w:after="80"/>
      </w:pPr>
      <w:r>
        <w:rPr>
          <w:i/>
          <w:sz w:val="20"/>
        </w:rPr>
        <w:t>EN: Programming stacking order in conducting van der Waals metal–organic frameworks through ligand aggregation</w:t>
      </w:r>
    </w:p>
    <w:p>
      <w:pPr>
        <w:spacing w:before="0" w:after="120"/>
      </w:pPr>
      <w:r>
        <w:rPr>
          <w:b/>
        </w:rPr>
        <w:t xml:space="preserve">Source: </w:t>
      </w:r>
      <w:r>
        <w:t>Nature Chemistry</w:t>
      </w:r>
      <w:r>
        <w:t xml:space="preserve">    </w:t>
      </w:r>
      <w:r>
        <w:rPr>
          <w:b/>
        </w:rPr>
        <w:t xml:space="preserve">Pub date: </w:t>
      </w:r>
      <w:r>
        <w:t>2026-06-18 00:00:00+00:00</w:t>
      </w:r>
      <w:r>
        <w:t xml:space="preserve">    </w:t>
      </w:r>
      <w:r>
        <w:rPr>
          <w:b/>
        </w:rPr>
        <w:t xml:space="preserve">DOI: </w:t>
      </w:r>
      <w:hyperlink r:id="rId1039">
        <w:r>
          <w:rPr>
            <w:color w:val="1155CC"/>
            <w:u w:val="single"/>
          </w:rPr>
          <w:t>10.1038/s41557-026-02180-z</w:t>
        </w:r>
      </w:hyperlink>
    </w:p>
    <w:p>
      <w:pPr>
        <w:spacing w:before="0" w:after="120"/>
      </w:pPr>
      <w:r>
        <w:rPr>
          <w:b/>
        </w:rPr>
        <w:t xml:space="preserve">Notes: </w:t>
      </w:r>
      <w:r>
        <w:t>abstract_source=nature_html</w:t>
      </w:r>
    </w:p>
    <w:p>
      <w:pPr>
        <w:spacing w:before="0" w:after="80" w:lineRule="auto" w:line="276"/>
      </w:pPr>
      <w:r>
        <w:rPr>
          <w:b/>
        </w:rPr>
        <w:t xml:space="preserve">摘要（ZH）: </w:t>
      </w:r>
      <w:r>
        <w:t>范德华材料的物理性质高度依赖于它们的堆叠顺序。然而，构建具有特定成分和所需堆叠的层状材料具有挑战性。在这里，我们展示了溶剂导向策略能够在范德华金属有机框架（一类新兴的范德华材料）中进行定向堆叠。通过通过各种溶剂利用共轭配体的可调亚稳态，并通过金属配体配位稳定这些状态，我们能够继承从配体到范德华金属有机框架的堆叠模式。值得注意的是，该策略能够在二维和三维范德华金属有机框架单晶中控制堆叠序列和发散电荷传输机制，产生 1,792 S cm−1 的电导率。这些结果为设计具有可编程堆叠和定制电子特性的分层材料提供了一种通用方法。该图像的替代文本可能是使用人工智能生成的。</w:t>
      </w:r>
    </w:p>
    <w:p>
      <w:pPr>
        <w:spacing w:before="0" w:after="200" w:lineRule="auto" w:line="276"/>
      </w:pPr>
      <w:r>
        <w:rPr>
          <w:b/>
        </w:rPr>
        <w:t xml:space="preserve">Abstract (EN): </w:t>
      </w:r>
      <w:r>
        <w:t>The physical properties of van der Waals materials are highly dependent on their stacking sequences. However, constructing layered materials with specific compositions and desired stackings is challenging. Here we show that a solvent-directed strategy enables targeted stacking in van der Waals metal–organic frameworks, an emerging class of van der Waals materials. By leveraging the tunable metastable states of conjugated ligands through various solvents, and stabilizing these states via metal–ligand coordination, we enable the inheritance of stacking patterns from ligands to van der Waals metal–organic frameworks. Notably, this strategy enables the controlled manipulation of stacking sequences and divergent charge transport regimes in two-dimensional and three-dimensional van der Waals metal–organic framework single crystals, yielding an electrical conductivity of 1,792 S cm−1. These results provide a versatile approach for designing layered materials with programmable stackings and tailored electronic properties.The alternative text for this image may have been generated using AI.</w:t>
      </w:r>
    </w:p>
    <w:p>
      <w:pPr>
        <w:spacing w:before="120" w:after="120"/>
      </w:pPr>
      <w:r>
        <w:rPr>
          <w:sz w:val="18"/>
        </w:rPr>
        <w:t>——————————————————————————————————————————————————————————————————————</w:t>
      </w:r>
    </w:p>
    <w:p>
      <w:pPr>
        <w:spacing w:before="160" w:after="40" w:line="240" w:lineRule="auto"/>
      </w:pPr>
      <w:r>
        <w:rPr>
          <w:b/>
        </w:rPr>
        <w:t xml:space="preserve">[423] </w:t>
      </w:r>
      <w:hyperlink r:id="rId1040">
        <w:r>
          <w:rPr>
            <w:color w:val="1155CC"/>
            <w:u w:val="single"/>
          </w:rPr>
          <w:t>铜催化的动态不对称烯丙基化能够实现空间拥挤的三芳基叔醇的对映选择性组装</w:t>
        </w:r>
      </w:hyperlink>
    </w:p>
    <w:p>
      <w:pPr>
        <w:spacing w:before="0" w:after="80"/>
      </w:pPr>
      <w:r>
        <w:rPr>
          <w:i/>
          <w:sz w:val="20"/>
        </w:rPr>
        <w:t>EN: Cu-Catalyzed dynamic kinetic asymmetric allylation enabled enantioselective assembly of sterically congested triaryl tertiary alcohols</w:t>
      </w:r>
    </w:p>
    <w:p>
      <w:pPr>
        <w:spacing w:before="0" w:after="120"/>
      </w:pPr>
      <w:r>
        <w:rPr>
          <w:b/>
        </w:rPr>
        <w:t xml:space="preserve">Source: </w:t>
      </w:r>
      <w:r>
        <w:t>Physical sciences : Nature Communications subject feeds</w:t>
      </w:r>
      <w:r>
        <w:t xml:space="preserve">    </w:t>
      </w:r>
      <w:r>
        <w:rPr>
          <w:b/>
        </w:rPr>
        <w:t xml:space="preserve">Pub date: </w:t>
      </w:r>
      <w:r>
        <w:t>2026-06-18 00:00:00+00:00</w:t>
      </w:r>
    </w:p>
    <w:p>
      <w:pPr>
        <w:spacing w:before="0" w:after="120"/>
      </w:pPr>
      <w:r>
        <w:rPr>
          <w:b/>
        </w:rPr>
        <w:t xml:space="preserve">Notes: </w:t>
      </w:r>
      <w:r>
        <w:t>abstract_source=nature_html</w:t>
      </w:r>
    </w:p>
    <w:p>
      <w:pPr>
        <w:spacing w:before="0" w:after="80" w:lineRule="auto" w:line="276"/>
      </w:pPr>
      <w:r>
        <w:rPr>
          <w:b/>
        </w:rPr>
        <w:t xml:space="preserve">摘要（ZH）: </w:t>
      </w:r>
      <w:r>
        <w:t>手性 α,β,β-三芳基叔醇代表了在药物和生物活性分子中广泛应用的重要结构基序。它们的独特之处在于其独特的三维结构，有利于与生物目标的相互作用，从而使它们特别值得关注。然而，在这些空间拥挤的支架内相邻手性中心的立体控制组装仍然是一个艰巨的挑战。在此，我们提出了外消旋α,β,β-三芳基乙醇的铜催化动态动力学不对称烯丙基化，提供了有效获得各种手性α,β,β-三芳基叔醇的方法，并具有强大的对映选择性和非对映选择性。与后续转化相结合，该方法为抗结核药物 (S,S)-TBAJ-587 和贝达喹啉立体异构体的合成建立了高度灵活的平台。包括控制实验、密度泛函理论计算和相互作用区域指示剂分析在内的机理研究表明，配体的空间特征和弱分子间相互作用协同降低了反应能垒，增强了反应活性和立体控制。</w:t>
      </w:r>
    </w:p>
    <w:p>
      <w:pPr>
        <w:spacing w:before="0" w:after="200" w:lineRule="auto" w:line="276"/>
      </w:pPr>
      <w:r>
        <w:rPr>
          <w:b/>
        </w:rPr>
        <w:t xml:space="preserve">Abstract (EN): </w:t>
      </w:r>
      <w:r>
        <w:t>Chiral α,β,β-triaryl tertiary alcohols represent significant structural motifs that find extensive applications in pharmaceuticals and bioactive molecules. Their distinctiveness lies in their unique three-dimensional architectures, which are conducive to interactions with biological targets, thus making them particularly worthy of attention. However, the stereocontrolled assembly of adjacent chiral centers within these sterically congested scaffolds has remained a formidable challenge. Herein, we present a Cu-catalyzed dynamic kinetic asymmetric allylation of racemic α,β,β-triarylethanones, providing efficient access to a diverse range of chiral α,β,β-triaryl tertiary alcohols with robust enantioselectivity and diastereoselectivity. When combined with subsequent transformations, this method establishes a highly flexible platform for the synthesis of antitubercular agent (S,S)-TBAJ-587 and bedaquiline stereoisomers. Mechanistic investigations, including control experiments, density functional theory calculations, and interaction region indicator analyses, indicate that the steric characteristics of the ligand and weak intermolecular interactions synergistically lower the reaction energy barrier and enhance both reaction activity and stereocontrol.</w:t>
      </w:r>
    </w:p>
    <w:p>
      <w:pPr>
        <w:spacing w:before="120" w:after="120"/>
      </w:pPr>
      <w:r>
        <w:rPr>
          <w:sz w:val="18"/>
        </w:rPr>
        <w:t>——————————————————————————————————————————————————————————————————————</w:t>
      </w:r>
    </w:p>
    <w:p>
      <w:pPr>
        <w:spacing w:before="160" w:after="40" w:line="240" w:lineRule="auto"/>
      </w:pPr>
      <w:r>
        <w:rPr>
          <w:b/>
        </w:rPr>
        <w:t xml:space="preserve">[424] </w:t>
      </w:r>
      <w:hyperlink r:id="rId1041">
        <w:r>
          <w:rPr>
            <w:color w:val="1155CC"/>
            <w:u w:val="single"/>
          </w:rPr>
          <w:t>Cs(PbMgZnCd)Br3 纳米晶中自旋偏振激发态的光学获取</w:t>
        </w:r>
      </w:hyperlink>
    </w:p>
    <w:p>
      <w:pPr>
        <w:spacing w:before="0" w:after="80"/>
      </w:pPr>
      <w:r>
        <w:rPr>
          <w:i/>
          <w:sz w:val="20"/>
        </w:rPr>
        <w:t>EN: Optical access of spin-polarized excited states in Cs(PbMgZnCd)Br3 nanocrystals</w:t>
      </w:r>
    </w:p>
    <w:p>
      <w:pPr>
        <w:spacing w:before="0" w:after="120"/>
      </w:pPr>
      <w:r>
        <w:rPr>
          <w:b/>
        </w:rPr>
        <w:t xml:space="preserve">Source: </w:t>
      </w:r>
      <w:r>
        <w:t>Physical sciences : Nature Communications subject feeds</w:t>
      </w:r>
      <w:r>
        <w:t xml:space="preserve">    </w:t>
      </w:r>
      <w:r>
        <w:rPr>
          <w:b/>
        </w:rPr>
        <w:t xml:space="preserve">Pub date: </w:t>
      </w:r>
      <w:r>
        <w:t>2026-06-18 00:00:00+00:00</w:t>
      </w:r>
    </w:p>
    <w:p>
      <w:pPr>
        <w:spacing w:before="0" w:after="120"/>
      </w:pPr>
      <w:r>
        <w:rPr>
          <w:b/>
        </w:rPr>
        <w:t xml:space="preserve">Notes: </w:t>
      </w:r>
      <w:r>
        <w:t>abstract_source=nature_html</w:t>
      </w:r>
    </w:p>
    <w:p>
      <w:pPr>
        <w:spacing w:before="0" w:after="80" w:lineRule="auto" w:line="276"/>
      </w:pPr>
      <w:r>
        <w:rPr>
          <w:b/>
        </w:rPr>
        <w:t xml:space="preserve">摘要（ZH）: </w:t>
      </w:r>
      <w:r>
        <w:t>慢速自旋弛豫（长τS）和快速辐射复合（短τR）的相互作用对于利用卤化铅钙钛矿中的自旋极化激发态实现自旋电子学和量子光学技术至关重要。在此，我们报告了在高熵钙钛矿 Cs(PbMgZnCd)Br3 的胶体纳米晶体中同时观察到长 τS (59.8 ps) 和短 τR (3.4 ns)，这使得在室温下能够实现激发态的光学访问和自旋操纵。非Pb金属的掺入在空间上将[PbBr6]4−框架分成激子玻尔半径以下的更小的域，并且尺寸限制导致短寿命光激发物质的蓝移明亮光致发光。此外，[PbBr6]4− 晶格的畸变在高熵结构中显着增强，这扩大了 Rashba 自旋分裂，从而将 τS 延长了一个数量级。通过圆偏振光对自旋态进行光学写入和读出，可实现 Cs(PbMgZnCd)Br3 的光致发光和放大自发发射。光学汉勒效应得到证明，并允许在垂直磁场下进行非常有效的自旋操纵（正/负极化~25.8%），显示出高熵钙钛矿在光自旋电子应用中的巨大潜力。</w:t>
      </w:r>
    </w:p>
    <w:p>
      <w:pPr>
        <w:spacing w:before="0" w:after="200" w:lineRule="auto" w:line="276"/>
      </w:pPr>
      <w:r>
        <w:rPr>
          <w:b/>
        </w:rPr>
        <w:t xml:space="preserve">Abstract (EN): </w:t>
      </w:r>
      <w:r>
        <w:t>The interplay of slow spin relaxation (long τS) and fast radiative recombination (short τR) is essential for using spin-polarized excited states in lead halide perovskites towards spintronics and quantum-optics technologies. Herein, we report on the observation of simultaneously long τS (59.8 ps) and short τR (3.4 ns) in the colloidal nanocrystals of high-entropy perovskites, Cs(PbMgZnCd)Br3, which enables the optical access and spin manipulation of excited states at room temperature. The incorporation of non-Pb metals spatially separates the [PbBr6]4− framework into smaller domains below the Bohr radius of excitons, and the size confinement leads to blue-shifted bright photoluminescence from short-lived photoexcitation species. Moreover, the distortion of [PbBr6]4− lattice is significantly enhanced in high-entropy structures, which enlarges the Rashba spin splitting and consequently prolongs τS over an order of magnitude. Optical write-in and read-out of spin states via circularly polarized light are achieved for both photoluminescence and amplified spontaneous emission from Cs(PbMgZnCd)Br3. Optical Hanle effect is demonstrated and allows for very efficient spin manipulation (positive/negative polarizations ~25.8%) under a perpendicular magnetic field, showing the great potential of high-entropy perovskites for opto-spintronic applications.</w:t>
      </w:r>
    </w:p>
    <w:p>
      <w:pPr>
        <w:spacing w:before="120" w:after="120"/>
      </w:pPr>
      <w:r>
        <w:rPr>
          <w:sz w:val="18"/>
        </w:rPr>
        <w:t>——————————————————————————————————————————————————————————————————————</w:t>
      </w:r>
    </w:p>
    <w:p>
      <w:pPr>
        <w:spacing w:before="160" w:after="40" w:line="240" w:lineRule="auto"/>
      </w:pPr>
      <w:r>
        <w:rPr>
          <w:b/>
        </w:rPr>
        <w:t xml:space="preserve">[425] </w:t>
      </w:r>
      <w:hyperlink r:id="rId1042">
        <w:r>
          <w:rPr>
            <w:color w:val="1155CC"/>
            <w:u w:val="single"/>
          </w:rPr>
          <w:t>氟化氧化物壳可实现柔性电子产品的免烧结导电液态金属复合材料</w:t>
        </w:r>
      </w:hyperlink>
    </w:p>
    <w:p>
      <w:pPr>
        <w:spacing w:before="0" w:after="80"/>
      </w:pPr>
      <w:r>
        <w:rPr>
          <w:i/>
          <w:sz w:val="20"/>
        </w:rPr>
        <w:t>EN: Fluorinated oxide shells enable sintering-free conductive liquid metal composites for flexible electronics</w:t>
      </w:r>
    </w:p>
    <w:p>
      <w:pPr>
        <w:spacing w:before="0" w:after="120"/>
      </w:pPr>
      <w:r>
        <w:rPr>
          <w:b/>
        </w:rPr>
        <w:t xml:space="preserve">Source: </w:t>
      </w:r>
      <w:r>
        <w:t>Matter</w:t>
      </w:r>
      <w:r>
        <w:t xml:space="preserve">    </w:t>
      </w:r>
      <w:r>
        <w:rPr>
          <w:b/>
        </w:rPr>
        <w:t xml:space="preserve">Pub date: </w:t>
      </w:r>
      <w:r>
        <w:t>2026-06-18 00:00:00+00:00</w:t>
      </w:r>
      <w:r>
        <w:t xml:space="preserve">    </w:t>
      </w:r>
      <w:r>
        <w:rPr>
          <w:b/>
        </w:rPr>
        <w:t xml:space="preserve">DOI: </w:t>
      </w:r>
      <w:hyperlink r:id="rId1043">
        <w:r>
          <w:rPr>
            <w:color w:val="1155CC"/>
            <w:u w:val="single"/>
          </w:rPr>
          <w:t>10.1016/j.matt.2026.102879</w:t>
        </w:r>
      </w:hyperlink>
    </w:p>
    <w:p>
      <w:pPr>
        <w:spacing w:before="0" w:after="120"/>
      </w:pPr>
      <w:r>
        <w:rPr>
          <w:b/>
        </w:rPr>
        <w:t xml:space="preserve">Notes: </w:t>
      </w:r>
      <w:r>
        <w:t>abstract_source=rss_cell</w:t>
      </w:r>
    </w:p>
    <w:p>
      <w:pPr>
        <w:spacing w:before="0" w:after="80" w:lineRule="auto" w:line="276"/>
      </w:pPr>
      <w:r>
        <w:rPr>
          <w:b/>
        </w:rPr>
        <w:t xml:space="preserve">摘要（ZH）: </w:t>
      </w:r>
      <w:r>
        <w:t>液态金属复合材料对于软电子产品很有吸引力，但它们的原生氧化物壳通常会阻碍导电，除非发生机械破裂。这项工作表明，氟化聚合物可以化学掺杂这种氧化物，将其转化为电子半导体界面。由此产生的免烧结 Janus 薄膜结合了高导电性、灵活性和多功能性，将液态金属氧化物壳从电势垒重新构建为下一代软材料的可调谐半导体组件。</w:t>
      </w:r>
    </w:p>
    <w:p>
      <w:pPr>
        <w:spacing w:before="0" w:after="200" w:lineRule="auto" w:line="276"/>
      </w:pPr>
      <w:r>
        <w:rPr>
          <w:b/>
        </w:rPr>
        <w:t xml:space="preserve">Abstract (EN): </w:t>
      </w:r>
      <w:r>
        <w:t>Liquid-metal composites are attractive for soft electronics, but their native oxide shells usually block electrical conduction unless mechanically ruptured. This work shows that a fluorinated polymer can chemically dope this oxide, converting it into an electronically semiconducting interface. The resulting sintering-free Janus films combine high conductivity, flexibility, and multifunctionality, reframing the liquid-metal oxide shell from an electrical barrier into a tunable semiconducting component for next-generation soft materials.</w:t>
      </w:r>
    </w:p>
    <w:p>
      <w:pPr>
        <w:spacing w:before="120" w:after="120"/>
      </w:pPr>
      <w:r>
        <w:rPr>
          <w:sz w:val="18"/>
        </w:rPr>
        <w:t>——————————————————————————————————————————————————————————————————————</w:t>
      </w:r>
    </w:p>
    <w:p>
      <w:pPr>
        <w:spacing w:before="160" w:after="40" w:line="240" w:lineRule="auto"/>
      </w:pPr>
      <w:r>
        <w:rPr>
          <w:b/>
        </w:rPr>
        <w:t xml:space="preserve">[426] </w:t>
      </w:r>
      <w:hyperlink r:id="rId1044">
        <w:r>
          <w:rPr>
            <w:color w:val="1155CC"/>
            <w:u w:val="single"/>
          </w:rPr>
          <w:t>通过约瑟夫森超材料实现可编程微波簇状态</w:t>
        </w:r>
      </w:hyperlink>
    </w:p>
    <w:p>
      <w:pPr>
        <w:spacing w:before="0" w:after="80"/>
      </w:pPr>
      <w:r>
        <w:rPr>
          <w:i/>
          <w:sz w:val="20"/>
        </w:rPr>
        <w:t>EN: Programmable microwave cluster states via Josephson metamaterials</w:t>
      </w:r>
    </w:p>
    <w:p>
      <w:pPr>
        <w:spacing w:before="0" w:after="120"/>
      </w:pPr>
      <w:r>
        <w:rPr>
          <w:b/>
        </w:rPr>
        <w:t xml:space="preserve">Source: </w:t>
      </w:r>
      <w:r>
        <w:t>Physical sciences : Nature Communications subject feeds</w:t>
      </w:r>
      <w:r>
        <w:t xml:space="preserve">    </w:t>
      </w:r>
      <w:r>
        <w:rPr>
          <w:b/>
        </w:rPr>
        <w:t xml:space="preserve">Pub date: </w:t>
      </w:r>
      <w:r>
        <w:t>2026-06-18 00:00:00+00:00</w:t>
      </w:r>
    </w:p>
    <w:p>
      <w:pPr>
        <w:spacing w:before="0" w:after="120"/>
      </w:pPr>
      <w:r>
        <w:rPr>
          <w:b/>
        </w:rPr>
        <w:t xml:space="preserve">Notes: </w:t>
      </w:r>
      <w:r>
        <w:t>abstract_source=nature_html</w:t>
      </w:r>
    </w:p>
    <w:p>
      <w:pPr>
        <w:spacing w:before="0" w:after="80" w:lineRule="auto" w:line="276"/>
      </w:pPr>
      <w:r>
        <w:rPr>
          <w:b/>
        </w:rPr>
        <w:t xml:space="preserve">摘要（ZH）: </w:t>
      </w:r>
      <w:r>
        <w:t>簇状态是连续变量量子计算的基本资源，使基于测量的协议能够超越基于量子位的架构的限制。在这里，我们演示了使用在三波混频状态下运行的可编程约瑟夫森行波参量放大器（JTWPA）按需生成多模纠缠微波簇状态。通过任意波形发生器注入一组定制的、非等距的泵浦音，我们设计了多个频率模式之间的特定频率的非线性耦合。通过正交抵消器的频率分辨外差检测来验证纠缠结构，确认簇状态的目标图拓扑。我们的方法允许通过泵频谱进行重新配置，并通过利用 JTWPA 的宽带宽和空间均匀性来支持可扩展性。该平台为微波领域基于测量的可扩展量子信息处理开辟了新途径，与超导电路架构兼容。</w:t>
      </w:r>
    </w:p>
    <w:p>
      <w:pPr>
        <w:spacing w:before="0" w:after="200" w:lineRule="auto" w:line="276"/>
      </w:pPr>
      <w:r>
        <w:rPr>
          <w:b/>
        </w:rPr>
        <w:t xml:space="preserve">Abstract (EN): </w:t>
      </w:r>
      <w:r>
        <w:t>Cluster states are a fundamental resource for continuous-variable quantum computing, enabling measurement-based protocols that can scale beyond the limitations of qubit-based architectures. Here, we demonstrate on-demand generation of multimode entangled microwave cluster states using a programmable Josephson Traveling-Wave Parametric Amplifier (JTWPA) operated in the three-wave mixing regime. By injecting a tailored, non-equidistant set of pump tones via an arbitrary waveform generator, we engineer frequency-specific nonlinear couplings between multiple frequency modes. The entanglement structure is verified via frequency-resolved heterodyne detection of quadrature nullifiers, confirming the target graph topology of the cluster state. Our approach allows reconfigurability through the pumps spectrum and supports scalability by leveraging the wide bandwidth and spatial homogeneity of the JTWPA. This platform opens new avenues for scalable measurement-based quantum information processing in the microwave domain, compatible with superconducting circuit architectures.</w:t>
      </w:r>
    </w:p>
    <w:p>
      <w:pPr>
        <w:spacing w:before="120" w:after="120"/>
      </w:pPr>
      <w:r>
        <w:rPr>
          <w:sz w:val="18"/>
        </w:rPr>
        <w:t>——————————————————————————————————————————————————————————————————————</w:t>
      </w:r>
    </w:p>
    <w:p>
      <w:pPr>
        <w:spacing w:before="160" w:after="40" w:line="240" w:lineRule="auto"/>
      </w:pPr>
      <w:r>
        <w:rPr>
          <w:b/>
        </w:rPr>
        <w:t xml:space="preserve">[427] </w:t>
      </w:r>
      <w:hyperlink r:id="rId1045">
        <w:r>
          <w:rPr>
            <w:color w:val="1155CC"/>
            <w:u w:val="single"/>
          </w:rPr>
          <w:t>英国孟加拉国人和巴基斯坦人癌症风险的遗传和健康决定因素</w:t>
        </w:r>
      </w:hyperlink>
    </w:p>
    <w:p>
      <w:pPr>
        <w:spacing w:before="0" w:after="80"/>
      </w:pPr>
      <w:r>
        <w:rPr>
          <w:i/>
          <w:sz w:val="20"/>
        </w:rPr>
        <w:t>EN: Genetic and health determinants of cancer risk in Bangladeshi and Pakistani individuals in the UK</w:t>
      </w:r>
    </w:p>
    <w:p>
      <w:pPr>
        <w:spacing w:before="0" w:after="120"/>
      </w:pPr>
      <w:r>
        <w:rPr>
          <w:b/>
        </w:rPr>
        <w:t xml:space="preserve">Source: </w:t>
      </w:r>
      <w:r>
        <w:t>Biological sciences : Nature Communications subject feeds</w:t>
      </w:r>
      <w:r>
        <w:t xml:space="preserve">    </w:t>
      </w:r>
      <w:r>
        <w:rPr>
          <w:b/>
        </w:rPr>
        <w:t xml:space="preserve">Pub date: </w:t>
      </w:r>
      <w:r>
        <w:t>2026-06-18 00:00:00+00:00</w:t>
      </w:r>
    </w:p>
    <w:p>
      <w:pPr>
        <w:spacing w:before="0" w:after="120"/>
      </w:pPr>
      <w:r>
        <w:rPr>
          <w:b/>
        </w:rPr>
        <w:t xml:space="preserve">Notes: </w:t>
      </w:r>
      <w:r>
        <w:t>abstract_source=nature_html</w:t>
      </w:r>
    </w:p>
    <w:p>
      <w:pPr>
        <w:spacing w:before="0" w:after="80" w:lineRule="auto" w:line="276"/>
      </w:pPr>
      <w:r>
        <w:rPr>
          <w:b/>
        </w:rPr>
        <w:t xml:space="preserve">摘要（ZH）: </w:t>
      </w:r>
      <w:r>
        <w:t>尽管某些恶性肿瘤的风险较高且临床特征不同，但南亚人群在癌症基因组学中的代表性仍然不足。对于英国的孟加拉国人和巴基斯坦人来说，这种差距尤其明显。我们分析了来自英国基因与健康队列中 57,416 名孟加拉国和巴基斯坦血统个体的数据，整合了电子健康记录、癌症登记数据和全外显子组测序 (n = 43,462)。其中，2,782 人（4.8%）患有癌症，与国家基准相比，多种类型的发病时间较早。一项全表组病例对照分析确定了 132 种显着的癌症 - 合并症关联，对于拓扑一致的癌症 - 合并症对观察到更大的效应量，并且与肥胖和高血压等全身性疾病更强的关联。全外显子组分析揭示了 39 个变异水平和 31 个基因水平关联，其中超过 60% 的关联在主要基因组数据库中不存在，这些数据库经过评估并丰富了超罕见的编码变异。值得注意的基因座包括 ARHGAP45、CBR1、FKBP6、NF1 和 ZNF155，具有多个祖先特异性关联。这些发现凸显了南亚亚人群独特的癌症风险结构，强调需要针对人群定制的风险模型和筛查策略。</w:t>
      </w:r>
    </w:p>
    <w:p>
      <w:pPr>
        <w:spacing w:before="0" w:after="200" w:lineRule="auto" w:line="276"/>
      </w:pPr>
      <w:r>
        <w:rPr>
          <w:b/>
        </w:rPr>
        <w:t xml:space="preserve">Abstract (EN): </w:t>
      </w:r>
      <w:r>
        <w:t>South Asian populations remain underrepresented in cancer genomics, despite elevated risk for certain malignancies and distinct clinical profiles. This gap is especially pronounced for British Bangladeshi and Pakistani communities. We analyse data from 57,416 individuals of Bangladeshi and Pakistani ancestry in the UK-based Genes &amp; Health cohort, integrating electronic health records, cancer registry data, and whole-exome sequencing (n = 43,462). Among them, 2,782 (4.8%) has cancer, with earlier onset across multiple types compared to national benchmarks. A phenome-wide case–control analysis identifies 132 significant cancer–comorbidity associations, with larger effect sizes observed for topographically concordant cancer-comorbidity pairs, and stronger associations for systemic disorders such as obesity and hypertension. Exome-wide analyses reveal 39 variant-level and 31 gene-level associations, over 60% absent from major genomic databases assessed and enriched for ultra-rare coding variations. Notable loci included ARHGAP45, CBR1, FKBP6, NF1, and ZNF155, with several ancestry-specific associations. These findings highlight distinct cancer risk architectures in this South Asian subpopulation, emphasising the need for population-tailored risk models and screening strategies.</w:t>
      </w:r>
    </w:p>
    <w:p>
      <w:pPr>
        <w:spacing w:before="120" w:after="120"/>
      </w:pPr>
      <w:r>
        <w:rPr>
          <w:sz w:val="18"/>
        </w:rPr>
        <w:t>——————————————————————————————————————————————————————————————————————</w:t>
      </w:r>
    </w:p>
    <w:p>
      <w:pPr>
        <w:spacing w:before="160" w:after="40" w:line="240" w:lineRule="auto"/>
      </w:pPr>
      <w:r>
        <w:rPr>
          <w:b/>
        </w:rPr>
        <w:t xml:space="preserve">[428] </w:t>
      </w:r>
      <w:hyperlink r:id="rId1046">
        <w:r>
          <w:rPr>
            <w:color w:val="1155CC"/>
            <w:u w:val="single"/>
          </w:rPr>
          <w:t>用于保护受管理传粉媒介的广谱杀虫剂解毒</w:t>
        </w:r>
      </w:hyperlink>
    </w:p>
    <w:p>
      <w:pPr>
        <w:spacing w:before="0" w:after="80"/>
      </w:pPr>
      <w:r>
        <w:rPr>
          <w:i/>
          <w:sz w:val="20"/>
        </w:rPr>
        <w:t>EN: Broad-spectrum insecticide detoxification for the protection of managed pollinators</w:t>
      </w:r>
    </w:p>
    <w:p>
      <w:pPr>
        <w:spacing w:before="0" w:after="120"/>
      </w:pPr>
      <w:r>
        <w:rPr>
          <w:b/>
        </w:rPr>
        <w:t xml:space="preserve">Source: </w:t>
      </w:r>
      <w:r>
        <w:t>Nature Sustainability</w:t>
      </w:r>
      <w:r>
        <w:t xml:space="preserve">    </w:t>
      </w:r>
      <w:r>
        <w:rPr>
          <w:b/>
        </w:rPr>
        <w:t xml:space="preserve">Pub date: </w:t>
      </w:r>
      <w:r>
        <w:t>2026-06-18 00:00:00+00:00</w:t>
      </w:r>
      <w:r>
        <w:t xml:space="preserve">    </w:t>
      </w:r>
      <w:r>
        <w:rPr>
          <w:b/>
        </w:rPr>
        <w:t xml:space="preserve">DOI: </w:t>
      </w:r>
      <w:hyperlink r:id="rId1047">
        <w:r>
          <w:rPr>
            <w:color w:val="1155CC"/>
            <w:u w:val="single"/>
          </w:rPr>
          <w:t>10.1038/s41893-026-01867-y</w:t>
        </w:r>
      </w:hyperlink>
    </w:p>
    <w:p>
      <w:pPr>
        <w:spacing w:before="0" w:after="120"/>
      </w:pPr>
      <w:r>
        <w:rPr>
          <w:b/>
        </w:rPr>
        <w:t xml:space="preserve">Notes: </w:t>
      </w:r>
      <w:r>
        <w:t>abstract_source=nature_html</w:t>
      </w:r>
    </w:p>
    <w:p>
      <w:pPr>
        <w:spacing w:before="0" w:after="80" w:lineRule="auto" w:line="276"/>
      </w:pPr>
      <w:r>
        <w:rPr>
          <w:b/>
        </w:rPr>
        <w:t xml:space="preserve">摘要（ZH）: </w:t>
      </w:r>
      <w:r>
        <w:t>可持续农业在很大程度上依赖于支持全球约 75% 粮食作物的生产和多样性的各种授粉媒介。然而，授粉媒介数量急剧下降，很大程度上是由于作物授粉期间接触杀虫剂以及缺乏有效的保护干预措施。在这里，我们报道了一种仿生解毒系统——涂有蝗虫细胞膜和单宁酸的介孔二氧化硅微粒（MTSM）——可以保护熊蜂免受杀虫剂的侵害。通过利用 π-π 堆积和特定酶相互作用，MTSM 对有机磷、拟除虫菊酯和新烟碱类化合物表现出高去除效率，同时保持对主要存在于蜜蜂胃肠系统中的有利酶的最小非特异性清除。 MTSM除了对有机磷和新烟碱类杀虫剂具有剂量依赖性的解毒能力外，还可以在熊蜂胃肠道中滞留超过12小时，以促进杀虫剂的清除，并且可以在48小时内大部分被蜜蜂排出体外，即使在50 mg ml−1的高浓度下也不会导致蜜蜂死亡。环境安全评估表明，MTSM 对其他昆虫的生存能力（例如 Teleogryllus mitratus 和 Teleogryllus emma）和豆科植物形态建成没有表现出明显的抑制作用，这表明它们与农业应用具有潜在的兼容性。总体而言，MTSM 有潜力为保护受管理的传粉媒介提供高效的广谱杀虫剂解毒作用。</w:t>
      </w:r>
    </w:p>
    <w:p>
      <w:pPr>
        <w:spacing w:before="0" w:after="200" w:lineRule="auto" w:line="276"/>
      </w:pPr>
      <w:r>
        <w:rPr>
          <w:b/>
        </w:rPr>
        <w:t xml:space="preserve">Abstract (EN): </w:t>
      </w:r>
      <w:r>
        <w:t>Sustainable agriculture relies heavily on various pollinators that support the production and diversity of approximately 75% of global food crops. However, pollinator populations are in sharp decline largely due to insecticide exposure during crop pollination and a lack of effective protective interventions. Here we report a biomimetic detoxification system—mesoporous silica microparticles (MTSMs) coated with locust cell membrane and tannic acid—to protect bumblebees against insecticides. By leveraging π–π stacking and specific enzyme interactions, MTSMs presented high removal efficiency across organophosphate, pyrethroid and neonicotinoid classes, while maintaining minimum non-specific clearance of favourable enzymes predominantly present in the gastrointestinal system of bees. In addition to revealing dose-dependent detoxification capacity towards organophosphate and neonicotinoid insecticides, MTSMs exhibited over 12-h residency in the gastrointestinal tract of bumblebees to facilitate insecticide scavenging, and could be mostly excreted by bees within 48 h, causing no death of bees even at a high concentration of 50 mg ml−1. Environmental safety assessments indicate that MTSMs exhibit no observable inhibition effects on other insect viability (for example, Teleogryllus mitratus and Teleogryllus emma) and leguminous plant morphogenesis, suggesting their potential compatibility with agricultural applications. Overall, MTSMs have the potential to provide efficient broad-spectrum insecticide detoxification for the protection of managed pollinators.</w:t>
      </w:r>
    </w:p>
    <w:p>
      <w:pPr>
        <w:spacing w:before="120" w:after="120"/>
      </w:pPr>
      <w:r>
        <w:rPr>
          <w:sz w:val="18"/>
        </w:rPr>
        <w:t>——————————————————————————————————————————————————————————————————————</w:t>
      </w:r>
    </w:p>
    <w:p>
      <w:pPr>
        <w:spacing w:before="160" w:after="40" w:line="240" w:lineRule="auto"/>
      </w:pPr>
      <w:r>
        <w:rPr>
          <w:b/>
        </w:rPr>
        <w:t xml:space="preserve">[429] </w:t>
      </w:r>
      <w:hyperlink r:id="rId1048">
        <w:r>
          <w:rPr>
            <w:color w:val="1155CC"/>
            <w:u w:val="single"/>
          </w:rPr>
          <w:t>L1CAM 信号通过平面细胞极性驱动 SOX2 表达和肺腺癌转移</w:t>
        </w:r>
      </w:hyperlink>
    </w:p>
    <w:p>
      <w:pPr>
        <w:spacing w:before="0" w:after="80"/>
      </w:pPr>
      <w:r>
        <w:rPr>
          <w:i/>
          <w:sz w:val="20"/>
        </w:rPr>
        <w:t>EN: L1CAM signaling through planar cell polarity drives SOX2 expression and lung adenocarcinoma metastasis</w:t>
      </w:r>
    </w:p>
    <w:p>
      <w:pPr>
        <w:spacing w:before="0" w:after="120"/>
      </w:pPr>
      <w:r>
        <w:rPr>
          <w:b/>
        </w:rPr>
        <w:t xml:space="preserve">Source: </w:t>
      </w:r>
      <w:r>
        <w:t>Biological sciences : Nature Communications subject feeds</w:t>
      </w:r>
      <w:r>
        <w:t xml:space="preserve">    </w:t>
      </w:r>
      <w:r>
        <w:rPr>
          <w:b/>
        </w:rPr>
        <w:t xml:space="preserve">Pub date: </w:t>
      </w:r>
      <w:r>
        <w:t>2026-06-18 00:00:00+00:00</w:t>
      </w:r>
    </w:p>
    <w:p>
      <w:pPr>
        <w:spacing w:before="0" w:after="120"/>
      </w:pPr>
      <w:r>
        <w:rPr>
          <w:b/>
        </w:rPr>
        <w:t xml:space="preserve">Notes: </w:t>
      </w:r>
      <w:r>
        <w:t>abstract_source=nature_html</w:t>
      </w:r>
    </w:p>
    <w:p>
      <w:pPr>
        <w:spacing w:before="0" w:after="80" w:lineRule="auto" w:line="276"/>
      </w:pPr>
      <w:r>
        <w:rPr>
          <w:b/>
        </w:rPr>
        <w:t xml:space="preserve">摘要（ZH）: </w:t>
      </w:r>
      <w:r>
        <w:t>癌症进展过程中的可塑性转变产生具有转移能力的胎儿样祖细胞状态。这些祖细胞在肿瘤进展过程中如何出现并持续存在仍不清楚。在这里，我们阐明了驱动肺腺癌 (LUAD) 中 SOX2+ 转移祖细胞出现的过程。肿瘤侵袭前沿和远处转移的 LUAD 细胞表达细胞粘附分子 L1CAM，这是再生上皮祖细胞的标记物，也是细胞基底膜和细胞间相互作用以及外渗微转移细胞增殖的介质。我们现在确定了 L1CAM 作为 SOX2+ LUAD 祖细胞状态的启动子的独特且更广泛的作用。我们发现细胞-细胞界面上的 L1CAM 促进转移性 LUAD 祖细胞中平面细胞极性 (PCP) 复合物的组装。 L1CAM 依赖性 PCP 通过非经典 WNT 信号传导激活 c-Jun，后者与染色质重塑因子 CHD1 配合驱动 SOX2 表达和转移活性。该轴维持 LUAD 祖细胞的肿瘤起始和再生能力。通过阐明 L1CAM 和 PCP 信号在 SOX2+ LUAD 祖细胞生成中的作用，我们的研究结果确定了治疗转移性癌症的潜在新靶点。</w:t>
      </w:r>
    </w:p>
    <w:p>
      <w:pPr>
        <w:spacing w:before="0" w:after="200" w:lineRule="auto" w:line="276"/>
      </w:pPr>
      <w:r>
        <w:rPr>
          <w:b/>
        </w:rPr>
        <w:t xml:space="preserve">Abstract (EN): </w:t>
      </w:r>
      <w:r>
        <w:t>Plasticity transitions during carcinoma progression generate fetal-like progenitor states with metastatic capacity. How these progenitors emerge and persist during tumor progression remains unclear. Here, we elucidate a process that drives the emergence of SOX2+ metastatic progenitors in lung adenocarcinomas (LUAD). LUAD cells at the tumor invasive front and distant metastases express the cell adhesion molecule L1CAM, a marker of regenerative epithelial progenitors and a mediator of cell-basement membrane and cell-cell interactions, as well as the proliferation of extravasated micrometastatic cells. We now identify a distinct and broader role of L1CAM as promoter of the SOX2+ LUAD progenitor state. We show that L1CAM at cell-cell interfaces promotes the assembly of the planar cell polarity (PCP) complex in metastatic LUAD progenitors. L1CAM-dependent PCP acting through a non-canonical WNT signaling activates c-Jun, which cooperates with the chromatin remodeling factor CHD1 to drive SOX2 expression and metastatic activity. This axis sustains the tumor-initiating and regenerative capacity of LUAD progenitor cells. By illuminating the role of L1CAM and PCP signaling in the generation of SOX2+ LUAD progenitors, our findings identify potential new targets to treat metastatic cancer.</w:t>
      </w:r>
    </w:p>
    <w:p>
      <w:pPr>
        <w:spacing w:before="120" w:after="120"/>
      </w:pPr>
      <w:r>
        <w:rPr>
          <w:sz w:val="18"/>
        </w:rPr>
        <w:t>——————————————————————————————————————————————————————————————————————</w:t>
      </w:r>
    </w:p>
    <w:p>
      <w:pPr>
        <w:spacing w:before="160" w:after="40" w:line="240" w:lineRule="auto"/>
      </w:pPr>
      <w:r>
        <w:rPr>
          <w:b/>
        </w:rPr>
        <w:t xml:space="preserve">[430] </w:t>
      </w:r>
      <w:hyperlink r:id="rId1049">
        <w:r>
          <w:rPr>
            <w:color w:val="1155CC"/>
            <w:u w:val="single"/>
          </w:rPr>
          <w:t>区域疗养院网络中居民皮肤上微生物病原体的菌株共享和持久性</w:t>
        </w:r>
      </w:hyperlink>
    </w:p>
    <w:p>
      <w:pPr>
        <w:spacing w:before="0" w:after="80"/>
      </w:pPr>
      <w:r>
        <w:rPr>
          <w:i/>
          <w:sz w:val="20"/>
        </w:rPr>
        <w:t>EN: Strain sharing and persistence of microbial pathogens colonizing the skin of residents in a regional nursing home network</w:t>
      </w:r>
    </w:p>
    <w:p>
      <w:pPr>
        <w:spacing w:before="0" w:after="120"/>
      </w:pPr>
      <w:r>
        <w:rPr>
          <w:b/>
        </w:rPr>
        <w:t xml:space="preserve">Source: </w:t>
      </w:r>
      <w:r>
        <w:t>Biological sciences : Nature Communications subject feeds</w:t>
      </w:r>
      <w:r>
        <w:t xml:space="preserve">    </w:t>
      </w:r>
      <w:r>
        <w:rPr>
          <w:b/>
        </w:rPr>
        <w:t xml:space="preserve">Pub date: </w:t>
      </w:r>
      <w:r>
        <w:t>2026-06-18 00:00:00+00:00</w:t>
      </w:r>
    </w:p>
    <w:p>
      <w:pPr>
        <w:spacing w:before="0" w:after="120"/>
      </w:pPr>
      <w:r>
        <w:rPr>
          <w:b/>
        </w:rPr>
        <w:t xml:space="preserve">Notes: </w:t>
      </w:r>
      <w:r>
        <w:t>abstract_source=nature_html</w:t>
      </w:r>
    </w:p>
    <w:p>
      <w:pPr>
        <w:spacing w:before="0" w:after="80" w:lineRule="auto" w:line="276"/>
      </w:pPr>
      <w:r>
        <w:rPr>
          <w:b/>
        </w:rPr>
        <w:t xml:space="preserve">摘要（ZH）: </w:t>
      </w:r>
      <w:r>
        <w:t>抗菌素耐药性 (AMR) 是一种健康威胁，对疗养院 (NH) 居民的影响尤为严重。 NH 中的监测和感染控制仅限于鼻孔或直肠周围培养，忽略了选择性培养基未回收的皮肤定植和多重耐药微生物 (MDRO)。在 PROTECT 试验 NCT03118232 中，我们表明，新罕布什尔州居民的皮肤是可传播多重耐药菌的储存库。我们利用宏基因组学、培养和基因组测序分析了来自 15 个加州新罕布什尔州 38 名居民的 207 份腹股沟和腋窝拭子。 38 名居民中有 10 名 (26.3%) 进行培养检测出 MDRO，其中 4 名 (10.5%) 为产 ESBL 大肠杆菌序列型 (ST)131/ST648，7 名 (18.4%) 为耐甲氧西林金黄色葡萄球菌。通过宏基因组组装基因组进行的皮肤微生物组分析发现了更广泛的 MDRO 定植，包括 27 例（71.1%）大肠杆菌 ST93、14 例（36.8%）表皮葡萄球菌 ST2、16 例（42.1%）奇异变形杆菌、7 例（18.4%）斯氏普罗维登斯菌、7 例（18.4%）肠球菌粪肠球菌，5 例（13.2%）铜绿假单胞菌。沐浴后定植持续存在。克隆性大肠杆菌 ST93 由 9 个设施的 27 名居民共享，5 对居民携带 ≥ 2 个 MDRO 物种的克隆相关菌株，表明存在多种微生物传播。我们确认皮肤是 MDRO 的储存库，利用宏基因组学来检测定植和传播途径，支持长期护理中的 AMR 监测。</w:t>
      </w:r>
    </w:p>
    <w:p>
      <w:pPr>
        <w:spacing w:before="0" w:after="200" w:lineRule="auto" w:line="276"/>
      </w:pPr>
      <w:r>
        <w:rPr>
          <w:b/>
        </w:rPr>
        <w:t xml:space="preserve">Abstract (EN): </w:t>
      </w:r>
      <w:r>
        <w:t>Antimicrobial resistance (AMR) is a health threat disproportionately affecting nursing home (NH) residents. Surveillance and infection control in NHs are restricted to nares or perirectal cultures, overlooking skin colonization and multidrug-resistant organisms (MDROs) not recovered by selective media. Here, within the PROTECT trial NCT03118232, we show, that NH residents’ skin serves as a reservoir of transmissible MDROs. We analyzed 207 groin and axilla swabs from 38 residents across 15 California NHs using metagenomics, culturing, and genome sequencing. Culture detected MDROs in 10 of 38 residents (26.3%), including 4 (10.5%) with ESBL-producing Escherichia coli sequence type (ST)131/ST648 and 7 (18.4%) with methicillin-resistant Staphylococcus aureus. Skin microbiome analysis by metagenome-assembled genomes identified broader MDRO colonization, including 27 (71.1%) with E. coli ST93, 14 (36.8%) with Staphylococcus epidermidis ST2, 16 (42.1%) with Proteus mirabilis, 7 (18.4%) with Providencia stuartii, 7 (18.4%) with Enterococcus faecalis, and 5 (13.2%) with Pseudomonas aeruginosa. Colonization persisted after bathing. Clonal E. coli ST93 was shared by 27 residents across 9 facilities, and 5 resident pairs carried clonally related strains of ≥2 MDRO species, suggesting polymicrobial transmission. We confirmed skin as a reservoir of MDROs, utilizing metagenomics to detect colonization and transmission pathways, supporting AMR surveillance in long-term care.</w:t>
      </w:r>
    </w:p>
    <w:p>
      <w:pPr>
        <w:spacing w:before="120" w:after="120"/>
      </w:pPr>
      <w:r>
        <w:rPr>
          <w:sz w:val="18"/>
        </w:rPr>
        <w:t>——————————————————————————————————————————————————————————————————————</w:t>
      </w:r>
    </w:p>
    <w:p>
      <w:pPr>
        <w:spacing w:before="160" w:after="40" w:line="240" w:lineRule="auto"/>
      </w:pPr>
      <w:r>
        <w:rPr>
          <w:b/>
        </w:rPr>
        <w:t xml:space="preserve">[431] </w:t>
      </w:r>
      <w:hyperlink r:id="rId1050">
        <w:r>
          <w:rPr>
            <w:color w:val="1155CC"/>
            <w:u w:val="single"/>
          </w:rPr>
          <w:t>噬菌体 N4 喷射蛋白和巨型病毒体相关 RNA 聚合酶的结构编排</w:t>
        </w:r>
      </w:hyperlink>
    </w:p>
    <w:p>
      <w:pPr>
        <w:spacing w:before="0" w:after="80"/>
      </w:pPr>
      <w:r>
        <w:rPr>
          <w:i/>
          <w:sz w:val="20"/>
        </w:rPr>
        <w:t>EN: Structural choreography of bacteriophage N4 ejection proteins and the giant virion-associated RNA polymerase</w:t>
      </w:r>
    </w:p>
    <w:p>
      <w:pPr>
        <w:spacing w:before="0" w:after="120"/>
      </w:pPr>
      <w:r>
        <w:rPr>
          <w:b/>
        </w:rPr>
        <w:t xml:space="preserve">Source: </w:t>
      </w:r>
      <w:r>
        <w:t>Biological sciences : Nature Communications subject feeds</w:t>
      </w:r>
      <w:r>
        <w:t xml:space="preserve">    </w:t>
      </w:r>
      <w:r>
        <w:rPr>
          <w:b/>
        </w:rPr>
        <w:t xml:space="preserve">Pub date: </w:t>
      </w:r>
      <w:r>
        <w:t>2026-06-18 00:00:00+00:00</w:t>
      </w:r>
    </w:p>
    <w:p>
      <w:pPr>
        <w:spacing w:before="0" w:after="120"/>
      </w:pPr>
      <w:r>
        <w:rPr>
          <w:b/>
        </w:rPr>
        <w:t xml:space="preserve">Notes: </w:t>
      </w:r>
      <w:r>
        <w:t>abstract_source=nature_html</w:t>
      </w:r>
    </w:p>
    <w:p>
      <w:pPr>
        <w:spacing w:before="0" w:after="80" w:lineRule="auto" w:line="276"/>
      </w:pPr>
      <w:r>
        <w:rPr>
          <w:b/>
        </w:rPr>
        <w:t xml:space="preserve">摘要（ZH）: </w:t>
      </w:r>
      <w:r>
        <w:t>裂殖病毒是广泛分布的原核病毒，其包裹着巨大的（约 3500 个残基）病毒体相关 RNA 聚合酶 (vRNAP)。在感染过程中，vRNAP 与两种额外的喷射蛋白一起被排出到革兰氏阴性细菌中，以组装出具有转录活性的瞬时 DNA 喷射体，从而启动病毒复制。在这里，我们对大肠杆菌噬菌体 N4 vRNAP (gp50) 进行了综合结构分析。我们发现这种 383 kDa 的酶是一种多结构域、单链 RNA 聚合酶，在结构上不同于紧凑的单链 RNAP 和大型多亚基全酶。 vRNAP 由松散连接的结构域组成，并通过其 C 端结构域表现出分子内变构调节模式。对完整病毒体和基因组释放病毒体的比较分析确定了形成外膜复合体的 gp51 和组装周质隧道的 gp52。这些蛋白质产生异质孔，促进 vRNAP 的释放。我们进一步发现了噬菌体尾部的信号中枢，由受体结合​​蛋白、尾管和尾塞组成，可检测受体的结合并协调喷射蛋白的释放。我们提出，vRNAP 的串珠结构能够使兆道尔顿规模的蛋白质复合物通过尾部和喷射蛋白形成的约 35 Å 通道进行易位。这些发现将 N4 确立为通过生物通道进行蛋白质易位的独特模型。</w:t>
      </w:r>
    </w:p>
    <w:p>
      <w:pPr>
        <w:spacing w:before="0" w:after="200" w:lineRule="auto" w:line="276"/>
      </w:pPr>
      <w:r>
        <w:rPr>
          <w:b/>
        </w:rPr>
        <w:t xml:space="preserve">Abstract (EN): </w:t>
      </w:r>
      <w:r>
        <w:t>Schitoviruses are widespread prokaryotic viruses that encapsidate a giant ( ~ 3500-residue) virion-associated RNA polymerase (vRNAP). During infection, vRNAP is expelled into Gram-negative bacteria, along with two additional ejection proteins, to assemble a transient DNA-ejectosome that becomes transcriptionally active, initiating viral replication. Here, we present an integrative structural analysis of the coliphage N4 vRNAP (gp50). We find that this 383 kDa enzyme is a multi-domain, single-chain RNA polymerase, structurally distinct from both compact single-chain RNAPs and large multi-subunit holoenzymes. vRNAP is composed of loosely connected domains and exhibits an intramolecular mode of allosteric regulation through its C-terminal domain. Comparative analysis of intact and genome-released virions identified gp51, which forms an outer-membrane complex, and gp52, which assembles a periplasmic tunnel. These proteins generate heterogeneous pores that facilitate the release of vRNAP. We further uncover a signaling hub in the phage tail, composed of the receptor-binding protein, tail tube, and tail plug, that detects receptor engagement and orchestrates the release of ejection proteins. We propose that the beads-on-a-string architecture of vRNAP enables the translocation of megadalton-scale protein complexes through the ~35 Å channel formed by the tail and ejection proteins. These findings establish N4 as a distinctive model for protein translocation through biological channels.</w:t>
      </w:r>
    </w:p>
    <w:p>
      <w:pPr>
        <w:spacing w:before="120" w:after="120"/>
      </w:pPr>
      <w:r>
        <w:rPr>
          <w:sz w:val="18"/>
        </w:rPr>
        <w:t>——————————————————————————————————————————————————————————————————————</w:t>
      </w:r>
    </w:p>
    <w:p>
      <w:pPr>
        <w:spacing w:before="160" w:after="40" w:line="240" w:lineRule="auto"/>
      </w:pPr>
      <w:r>
        <w:rPr>
          <w:b/>
        </w:rPr>
        <w:t xml:space="preserve">[432] </w:t>
      </w:r>
      <w:hyperlink r:id="rId1051">
        <w:r>
          <w:rPr>
            <w:color w:val="1155CC"/>
            <w:u w:val="single"/>
          </w:rPr>
          <w:t>欧盟国家能源安全动态的数据驱动评估</w:t>
        </w:r>
      </w:hyperlink>
    </w:p>
    <w:p>
      <w:pPr>
        <w:spacing w:before="0" w:after="80"/>
      </w:pPr>
      <w:r>
        <w:rPr>
          <w:i/>
          <w:sz w:val="20"/>
        </w:rPr>
        <w:t>EN: Data-driven assessment of energy security dynamics in European Union countries</w:t>
      </w:r>
    </w:p>
    <w:p>
      <w:pPr>
        <w:spacing w:before="0" w:after="120"/>
      </w:pPr>
      <w:r>
        <w:rPr>
          <w:b/>
        </w:rPr>
        <w:t xml:space="preserve">Source: </w:t>
      </w:r>
      <w:r>
        <w:t>ScienceDirect Publication: Energy Policy</w:t>
      </w:r>
      <w:r>
        <w:t xml:space="preserve">    </w:t>
      </w:r>
      <w:r>
        <w:rPr>
          <w:b/>
        </w:rPr>
        <w:t xml:space="preserve">Pub date: </w:t>
      </w:r>
      <w:r>
        <w:t>2026-06-18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[433] </w:t>
      </w:r>
      <w:hyperlink r:id="rId1052">
        <w:r>
          <w:rPr>
            <w:color w:val="1155CC"/>
            <w:u w:val="single"/>
          </w:rPr>
          <w:t>SAMJ：通过分段任何模型在 ImageJ/Fiji 上进行快速图像注释</w:t>
        </w:r>
      </w:hyperlink>
    </w:p>
    <w:p>
      <w:pPr>
        <w:spacing w:before="0" w:after="80"/>
      </w:pPr>
      <w:r>
        <w:rPr>
          <w:i/>
          <w:sz w:val="20"/>
        </w:rPr>
        <w:t>EN: SAMJ: fast image annotation on ImageJ/Fiji via segment anything model</w:t>
      </w:r>
    </w:p>
    <w:p>
      <w:pPr>
        <w:spacing w:before="0" w:after="120"/>
      </w:pPr>
      <w:r>
        <w:rPr>
          <w:b/>
        </w:rPr>
        <w:t xml:space="preserve">Source: </w:t>
      </w:r>
      <w:r>
        <w:t>Biological sciences : Nature Communications subject feeds</w:t>
      </w:r>
      <w:r>
        <w:t xml:space="preserve">    </w:t>
      </w:r>
      <w:r>
        <w:rPr>
          <w:b/>
        </w:rPr>
        <w:t xml:space="preserve">Pub date: </w:t>
      </w:r>
      <w:r>
        <w:t>2026-06-18 00:00:00+00:00</w:t>
      </w:r>
    </w:p>
    <w:p>
      <w:pPr>
        <w:spacing w:before="0" w:after="120"/>
      </w:pPr>
      <w:r>
        <w:rPr>
          <w:b/>
        </w:rPr>
        <w:t xml:space="preserve">Notes: </w:t>
      </w:r>
      <w:r>
        <w:t>abstract_source=nature_html</w:t>
      </w:r>
    </w:p>
    <w:p>
      <w:pPr>
        <w:spacing w:before="0" w:after="80" w:lineRule="auto" w:line="276"/>
      </w:pPr>
      <w:r>
        <w:rPr>
          <w:b/>
        </w:rPr>
        <w:t xml:space="preserve">摘要（ZH）: </w:t>
      </w:r>
      <w:r>
        <w:t>准确的图像注释对于在生物医学图像分析中训练人工智能 (AI) 系统至关重要，从而实现细胞检测、组织定量和疾病表征等任务。然而，创建像素级注释是一个耗时且费力的过程，需要专家的输入，限制了人工智能方法的开发和采用。基础模型的最新进展，例如分段任意模型 (SAM)，可以通过简单的用户提示实现交互式对象分割，但它们与广泛使用的生物图像分析平台的集成仍然有限，并且通常需要技术专业知识。在这里，我们展示了 SAMJ，一个 ImageJ/Fiji 的用户友好插件，可以在标准计算机上实现快速、交互式和准确的图像注释，而无需编程技能或专用硬件。 SAMJ 将高效的 SAM 变体集成到熟悉的图形界面中，允许用户使用简单的单击或边界框实时描绘大型科学图像中的对象。这种方法显着减少了注释工作，加速了数据集创建，并扩大了生物医学研究社区对先进人工智能辅助注释工具的访问范围。</w:t>
      </w:r>
    </w:p>
    <w:p>
      <w:pPr>
        <w:spacing w:before="0" w:after="200" w:lineRule="auto" w:line="276"/>
      </w:pPr>
      <w:r>
        <w:rPr>
          <w:b/>
        </w:rPr>
        <w:t xml:space="preserve">Abstract (EN): </w:t>
      </w:r>
      <w:r>
        <w:t>Accurate image annotation is essential for training artificial intelligence (AI) systems in biomedical image analysis, enabling tasks such as cell detection, tissue quantification, and disease characterization. However, creating pixel-level annotations is a time-consuming and labor-intensive process that requires expert input, limiting the development and adoption of AI methods. Recent advances in foundation models, such as the Segment Anything Model (SAM), enable interactive object segmentation from simple user prompts, but their integration into widely used bioimage analysis platforms remains limited and often requires technical expertise. Here we show that SAMJ, a user-friendly plugin for ImageJ/Fiji, enables fast, interactive, and accurate image annotation on standard computers without requiring programming skills or specialized hardware. SAMJ integrates efficient SAM variants into a familiar graphical interface, allowing users to delineate objects in large scientific images in real time using simple clicks or bounding boxes. This approach significantly reduces annotation effort, accelerates dataset creation, and broadens access to advanced AI-assisted annotation tools for the biomedical research community.</w:t>
      </w:r>
    </w:p>
    <w:p>
      <w:pPr>
        <w:spacing w:before="120" w:after="120"/>
      </w:pPr>
      <w:r>
        <w:rPr>
          <w:sz w:val="18"/>
        </w:rPr>
        <w:t>——————————————————————————————————————————————————————————————————————</w:t>
      </w:r>
    </w:p>
    <w:p>
      <w:pPr>
        <w:spacing w:before="160" w:after="40" w:line="240" w:lineRule="auto"/>
      </w:pPr>
      <w:r>
        <w:rPr>
          <w:b/>
        </w:rPr>
        <w:t xml:space="preserve">[434] </w:t>
      </w:r>
      <w:hyperlink r:id="rId1053">
        <w:r>
          <w:rPr>
            <w:color w:val="1155CC"/>
            <w:u w:val="single"/>
          </w:rPr>
          <w:t>地缘政治风险、绿色金融和环境技术动态如何塑造金砖国家经济体的能源三难困境？</w:t>
        </w:r>
      </w:hyperlink>
    </w:p>
    <w:p>
      <w:pPr>
        <w:spacing w:before="0" w:after="80"/>
      </w:pPr>
      <w:r>
        <w:rPr>
          <w:i/>
          <w:sz w:val="20"/>
        </w:rPr>
        <w:t>EN: How geopolitical risks, green finance, and environmental technologies dynamics shape energy trilemma in BRICS economies?</w:t>
      </w:r>
    </w:p>
    <w:p>
      <w:pPr>
        <w:spacing w:before="0" w:after="120"/>
      </w:pPr>
      <w:r>
        <w:rPr>
          <w:b/>
        </w:rPr>
        <w:t xml:space="preserve">Source: </w:t>
      </w:r>
      <w:r>
        <w:t>ScienceDirect Publication: Energy Policy</w:t>
      </w:r>
      <w:r>
        <w:t xml:space="preserve">    </w:t>
      </w:r>
      <w:r>
        <w:rPr>
          <w:b/>
        </w:rPr>
        <w:t xml:space="preserve">Pub date: </w:t>
      </w:r>
      <w:r>
        <w:t>2026-06-18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[435] </w:t>
      </w:r>
      <w:hyperlink r:id="rId1054">
        <w:r>
          <w:rPr>
            <w:color w:val="1155CC"/>
            <w:u w:val="single"/>
          </w:rPr>
          <w:t>对婴儿肠道病毒组的荟萃分析揭示了生命前三年噬菌体群落组装和功能能力的整体模式</w:t>
        </w:r>
      </w:hyperlink>
    </w:p>
    <w:p>
      <w:pPr>
        <w:spacing w:before="0" w:after="80"/>
      </w:pPr>
      <w:r>
        <w:rPr>
          <w:i/>
          <w:sz w:val="20"/>
        </w:rPr>
        <w:t>EN: A meta-analysis of infant gut viromes reveals global patterns in bacteriophage community assembly and functional capacity over the first three years of life</w:t>
      </w:r>
    </w:p>
    <w:p>
      <w:pPr>
        <w:spacing w:before="0" w:after="120"/>
      </w:pPr>
      <w:r>
        <w:rPr>
          <w:b/>
        </w:rPr>
        <w:t xml:space="preserve">Source: </w:t>
      </w:r>
      <w:r>
        <w:t>Biological sciences : Nature Communications subject feeds</w:t>
      </w:r>
      <w:r>
        <w:t xml:space="preserve">    </w:t>
      </w:r>
      <w:r>
        <w:rPr>
          <w:b/>
        </w:rPr>
        <w:t xml:space="preserve">Pub date: </w:t>
      </w:r>
      <w:r>
        <w:t>2026-06-18 00:00:00+00:00</w:t>
      </w:r>
    </w:p>
    <w:p>
      <w:pPr>
        <w:spacing w:before="0" w:after="120"/>
      </w:pPr>
      <w:r>
        <w:rPr>
          <w:b/>
        </w:rPr>
        <w:t xml:space="preserve">Notes: </w:t>
      </w:r>
      <w:r>
        <w:t>abstract_source=nature_html</w:t>
      </w:r>
    </w:p>
    <w:p>
      <w:pPr>
        <w:spacing w:before="0" w:after="80" w:lineRule="auto" w:line="276"/>
      </w:pPr>
      <w:r>
        <w:rPr>
          <w:b/>
        </w:rPr>
        <w:t xml:space="preserve">摘要（ZH）: </w:t>
      </w:r>
      <w:r>
        <w:t>婴儿期肠道微生物群的组装是一个重要的健康决定因素，但病毒成分（病毒组）的描述仍然很少。在这里，我们对 8 个国家的 12 个婴儿队列进行了荟萃分析，以模拟生命前三年的肠道病毒组发育。我们的结果揭示了明显的多样性模式，其中病毒丰富度在生命的前八个月内显着增加，同时群落均匀性丧失。我们定义病毒组发育速度，即连续样本之间的变化率，随着时间的推移显着下降。这反映在社区范围内的趋同上，因为婴儿病毒组随着年龄的增长变得更加相似。从功能上讲，向稳定状态的转变涉及细胞外温带噬菌体的显着减少和噬菌体编码的辅助代谢基因的变化，这些基因可以调节宿主的代谢。我们的工作提供了肠道病毒组发育的基线特征，以保守的演替轨迹为标志，为识别与疾病相关的扰动提供了框架。</w:t>
      </w:r>
    </w:p>
    <w:p>
      <w:pPr>
        <w:spacing w:before="0" w:after="200" w:lineRule="auto" w:line="276"/>
      </w:pPr>
      <w:r>
        <w:rPr>
          <w:b/>
        </w:rPr>
        <w:t xml:space="preserve">Abstract (EN): </w:t>
      </w:r>
      <w:r>
        <w:t>Assembly of the gut microbiota in infancy is an important health determinant, yet the viral component, the virome, remains poorly described. Here, we conduct a meta-analysis of 12 infant cohorts across 8 countries to model gut virome development over the first three years of life. Our results revealed distinct diversity patterns, where viral richness increased significantly over the first eight months of life alongside a loss of community evenness. We define virome developmental velocity, the rate of change between sequential samples, which significantly decreased over time. This was mirrored by community-wide convergence, as infant viromes became more similar with age. Functionally, the transition to a stable state involved a significant decrease in extracellular temperate phages and shifts in phage-encoded auxiliary metabolic genes, which can modulate host metabolism. Our work provides a baseline characterization of gut virome development, marked by a conserved successional trajectory, providing a framework to identify disease-associated perturbations.</w:t>
      </w:r>
    </w:p>
    <w:p>
      <w:pPr>
        <w:spacing w:before="120" w:after="120"/>
      </w:pPr>
      <w:r>
        <w:rPr>
          <w:sz w:val="18"/>
        </w:rPr>
        <w:t>——————————————————————————————————————————————————————————————————————</w:t>
      </w:r>
    </w:p>
    <w:p>
      <w:pPr>
        <w:spacing w:before="160" w:after="40" w:line="240" w:lineRule="auto"/>
      </w:pPr>
      <w:r>
        <w:rPr>
          <w:b/>
        </w:rPr>
        <w:t xml:space="preserve">[436] </w:t>
      </w:r>
      <w:hyperlink r:id="rId1055">
        <w:r>
          <w:rPr>
            <w:color w:val="1155CC"/>
            <w:u w:val="single"/>
          </w:rPr>
          <w:t>具有领导者驱动的梦想优化算法的电动汽车充电站动态定价的随机模拟框架</w:t>
        </w:r>
      </w:hyperlink>
    </w:p>
    <w:p>
      <w:pPr>
        <w:spacing w:before="0" w:after="80"/>
      </w:pPr>
      <w:r>
        <w:rPr>
          <w:i/>
          <w:sz w:val="20"/>
        </w:rPr>
        <w:t>EN: A stochastic simulation framework for EV charging station dynamic pricing with leader-driven dream optimization algorithm</w:t>
      </w:r>
    </w:p>
    <w:p>
      <w:pPr>
        <w:spacing w:before="0" w:after="120"/>
      </w:pPr>
      <w:r>
        <w:rPr>
          <w:b/>
        </w:rPr>
        <w:t xml:space="preserve">Source: </w:t>
      </w:r>
      <w:r>
        <w:t>ScienceDirect Publication: Applied Energy</w:t>
      </w:r>
      <w:r>
        <w:t xml:space="preserve">    </w:t>
      </w:r>
      <w:r>
        <w:rPr>
          <w:b/>
        </w:rPr>
        <w:t xml:space="preserve">Pub date: </w:t>
      </w:r>
      <w:r>
        <w:t>2026-06-18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[437] </w:t>
      </w:r>
      <w:hyperlink r:id="rId1056">
        <w:r>
          <w:rPr>
            <w:color w:val="1155CC"/>
            <w:u w:val="single"/>
          </w:rPr>
          <w:t>TRIM21 介导的 PARP1 泛素化（受 PI3K/AKT-STAT5A 轴调节）可抑制小细胞肺癌</w:t>
        </w:r>
      </w:hyperlink>
    </w:p>
    <w:p>
      <w:pPr>
        <w:spacing w:before="0" w:after="80"/>
      </w:pPr>
      <w:r>
        <w:rPr>
          <w:i/>
          <w:sz w:val="20"/>
        </w:rPr>
        <w:t>EN: TRIM21-mediated ubiquitination of PARP1 regulated by the PI3K/AKT-STAT5A axis suppresses small cell lung cancer</w:t>
      </w:r>
    </w:p>
    <w:p>
      <w:pPr>
        <w:spacing w:before="0" w:after="120"/>
      </w:pPr>
      <w:r>
        <w:rPr>
          <w:b/>
        </w:rPr>
        <w:t xml:space="preserve">Source: </w:t>
      </w:r>
      <w:r>
        <w:t>Biological sciences : Nature Communications subject feeds</w:t>
      </w:r>
      <w:r>
        <w:t xml:space="preserve">    </w:t>
      </w:r>
      <w:r>
        <w:rPr>
          <w:b/>
        </w:rPr>
        <w:t xml:space="preserve">Pub date: </w:t>
      </w:r>
      <w:r>
        <w:t>2026-06-18 00:00:00+00:00</w:t>
      </w:r>
    </w:p>
    <w:p>
      <w:pPr>
        <w:spacing w:before="0" w:after="120"/>
      </w:pPr>
      <w:r>
        <w:rPr>
          <w:b/>
        </w:rPr>
        <w:t xml:space="preserve">Notes: </w:t>
      </w:r>
      <w:r>
        <w:t>abstract_source=nature_html</w:t>
      </w:r>
    </w:p>
    <w:p>
      <w:pPr>
        <w:spacing w:before="0" w:after="80" w:lineRule="auto" w:line="276"/>
      </w:pPr>
      <w:r>
        <w:rPr>
          <w:b/>
        </w:rPr>
        <w:t xml:space="preserve">摘要（ZH）: </w:t>
      </w:r>
      <w:r>
        <w:t>聚（ADP-核糖）聚合酶 1 (PARP1) 的异常积累会促进癌症进展，但其稳定机制仍不清楚。在这里，我们鉴定出含有 E3 泛素连接酶三联基序 21 (TRIM21) 作为 PARP1 结合伴侣。 PARP1 通过其 662-908 结构域直接与 TRIM21 相互作用，而 TRIM21 的 PRY-SPRY 结构域对于这种结合至关重要。 TRIM21 促进 PARP1 在残基 K654 处多泛素化，导致其降解。在小细胞肺癌 (SCLC) 中，TRIM21 显着下调，其肿瘤抑制功能部分是通过 PARP1 的降解介导的，支持基因组稳定性。此外，PI3K/AKT 通路通过转录因子 STAT5A 转录抑制 TRIM21，从而稳定 PARP1。重要的是，将 PI3K/AKT 抑制剂 PKI-587 与 PARP 抑制剂 BMN673 组合可协同抑制多种 SCLC 模型中的肿瘤生长，包括细胞系、患者来源的类器官和异种移植模型。总的来说，我们的研究结果定义了对 SCLC 进展至关重要的“PI3K/AKT-STAT5A-TRIM21-PARP1”轴，并提出其双重抑制作为一种有前途的治疗策略。</w:t>
      </w:r>
    </w:p>
    <w:p>
      <w:pPr>
        <w:spacing w:before="0" w:after="200" w:lineRule="auto" w:line="276"/>
      </w:pPr>
      <w:r>
        <w:rPr>
          <w:b/>
        </w:rPr>
        <w:t xml:space="preserve">Abstract (EN): </w:t>
      </w:r>
      <w:r>
        <w:t>Abnormal accumulation of Poly(ADP-ribose) polymerase 1 (PARP1) promotes cancer progression, yet its stabilization mechanisms remain unclear. Here, we identify E3 ubiquitin ligase tripartite motif-containing 21 (TRIM21) as a PARP1-binding partner. PARP1 interacts directly with TRIM21 via its 662-908 domain, while the PRY-SPRY domain of TRIM21 is essential for this binding. TRIM21 facilitates PARP1 polyubiquitination at residue K654, leading to its degradation. In small cell lung cancer (SCLC), TRIM21 is significantly downregulated, and its tumor-suppressive function is partly mediated through the degradation of PARP1, supporting genomic stability. Additionally, the PI3K/AKT pathway transcriptionally suppresses TRIM21 via transcription factor STAT5A, thereby stabilizing PARP1. Importantly, combining the PI3K/AKT inhibitor PKI-587 with the PARP inhibitor BMN673 synergistically inhibits tumor growth across multiple SCLC models, including cell lines, patient-derived organoids, and xenograft models. Collectively, our findings define a “PI3K/AKT-STAT5A-TRIM21-PARP1” axis critical for SCLC progression and propose its dual inhibition as a promising therapeutic strategy.</w:t>
      </w:r>
    </w:p>
    <w:p>
      <w:pPr>
        <w:spacing w:before="120" w:after="120"/>
      </w:pPr>
      <w:r>
        <w:rPr>
          <w:sz w:val="18"/>
        </w:rPr>
        <w:t>——————————————————————————————————————————————————————————————————————</w:t>
      </w:r>
    </w:p>
    <w:p>
      <w:pPr>
        <w:spacing w:before="160" w:after="40" w:line="240" w:lineRule="auto"/>
      </w:pPr>
      <w:r>
        <w:rPr>
          <w:b/>
        </w:rPr>
        <w:t xml:space="preserve">[438] </w:t>
      </w:r>
      <w:hyperlink r:id="rId1057">
        <w:r>
          <w:rPr>
            <w:color w:val="1155CC"/>
            <w:u w:val="single"/>
          </w:rPr>
          <w:t>具有深度代表性的风电预测：一项调查</w:t>
        </w:r>
      </w:hyperlink>
    </w:p>
    <w:p>
      <w:pPr>
        <w:spacing w:before="0" w:after="80"/>
      </w:pPr>
      <w:r>
        <w:rPr>
          <w:i/>
          <w:sz w:val="20"/>
        </w:rPr>
        <w:t>EN: Wind power forecasting with deep representation: A survey</w:t>
      </w:r>
    </w:p>
    <w:p>
      <w:pPr>
        <w:spacing w:before="0" w:after="120"/>
      </w:pPr>
      <w:r>
        <w:rPr>
          <w:b/>
        </w:rPr>
        <w:t xml:space="preserve">Source: </w:t>
      </w:r>
      <w:r>
        <w:t>ScienceDirect Publication: Applied Energy</w:t>
      </w:r>
      <w:r>
        <w:t xml:space="preserve">    </w:t>
      </w:r>
      <w:r>
        <w:rPr>
          <w:b/>
        </w:rPr>
        <w:t xml:space="preserve">Pub date: </w:t>
      </w:r>
      <w:r>
        <w:t>2026-06-18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[439] </w:t>
      </w:r>
      <w:hyperlink r:id="rId1058">
        <w:r>
          <w:rPr>
            <w:color w:val="1155CC"/>
            <w:u w:val="single"/>
          </w:rPr>
          <w:t>碲纳米结构的原位液相TEM电沉积</w:t>
        </w:r>
      </w:hyperlink>
    </w:p>
    <w:p>
      <w:pPr>
        <w:spacing w:before="0" w:after="80"/>
      </w:pPr>
      <w:r>
        <w:rPr>
          <w:i/>
          <w:sz w:val="20"/>
        </w:rPr>
        <w:t>EN: In situ liquid-phase TEM electrodeposition of tellurium nanostructures</w:t>
      </w:r>
    </w:p>
    <w:p>
      <w:pPr>
        <w:spacing w:before="0" w:after="120"/>
      </w:pPr>
      <w:r>
        <w:rPr>
          <w:b/>
        </w:rPr>
        <w:t xml:space="preserve">Source: </w:t>
      </w:r>
      <w:r>
        <w:t>Matter</w:t>
      </w:r>
      <w:r>
        <w:t xml:space="preserve">    </w:t>
      </w:r>
      <w:r>
        <w:rPr>
          <w:b/>
        </w:rPr>
        <w:t xml:space="preserve">Pub date: </w:t>
      </w:r>
      <w:r>
        <w:t>2026-06-18 00:00:00+00:00</w:t>
      </w:r>
      <w:r>
        <w:t xml:space="preserve">    </w:t>
      </w:r>
      <w:r>
        <w:rPr>
          <w:b/>
        </w:rPr>
        <w:t xml:space="preserve">DOI: </w:t>
      </w:r>
      <w:hyperlink r:id="rId1059">
        <w:r>
          <w:rPr>
            <w:color w:val="1155CC"/>
            <w:u w:val="single"/>
          </w:rPr>
          <w:t>10.1016/j.matt.2026.102876</w:t>
        </w:r>
      </w:hyperlink>
    </w:p>
    <w:p>
      <w:pPr>
        <w:spacing w:before="0" w:after="120"/>
      </w:pPr>
      <w:r>
        <w:rPr>
          <w:b/>
        </w:rPr>
        <w:t xml:space="preserve">Notes: </w:t>
      </w:r>
      <w:r>
        <w:t>abstract_source=rss_cell</w:t>
      </w:r>
    </w:p>
    <w:p>
      <w:pPr>
        <w:spacing w:before="0" w:after="80" w:lineRule="auto" w:line="276"/>
      </w:pPr>
      <w:r>
        <w:rPr>
          <w:b/>
        </w:rPr>
        <w:t xml:space="preserve">摘要（ZH）: </w:t>
      </w:r>
      <w:r>
        <w:t>微小的半导体线如何在液体中生长？这项研究直接实时观察碲纳米结构的形成，揭示了初始粒子如何演化成电线和复杂的分支形状。它显示了生长如何取决于局部化学以及添加铋晶种如何显着增强形成。这些见解转化为改进的大规模合成，突出了先进的显微镜如何指导电子和能源应用纳米材料的设计。</w:t>
      </w:r>
    </w:p>
    <w:p>
      <w:pPr>
        <w:spacing w:before="0" w:after="200" w:lineRule="auto" w:line="276"/>
      </w:pPr>
      <w:r>
        <w:rPr>
          <w:b/>
        </w:rPr>
        <w:t xml:space="preserve">Abstract (EN): </w:t>
      </w:r>
      <w:r>
        <w:t>How do tiny semiconductor wires grow in liquids? This study directly watches tellurium nanostructures form in real time, revealing how initial particles evolve into wires and complex branched shapes. It shows how growth depends on local chemistry and how adding bismuth seeds dramatically enhances formation. These insights translate into improved large-scale synthesis, highlighting how advanced microscopy can guide the design of nanomaterials for electronics and energy applications.</w:t>
      </w:r>
    </w:p>
    <w:p>
      <w:pPr>
        <w:spacing w:before="120" w:after="120"/>
      </w:pPr>
      <w:r>
        <w:rPr>
          <w:sz w:val="18"/>
        </w:rPr>
        <w:t>——————————————————————————————————————————————————————————————————————</w:t>
      </w:r>
    </w:p>
    <w:p>
      <w:pPr>
        <w:spacing w:before="160" w:after="40" w:line="240" w:lineRule="auto"/>
      </w:pPr>
      <w:r>
        <w:rPr>
          <w:b/>
        </w:rPr>
        <w:t xml:space="preserve">[440] </w:t>
      </w:r>
      <w:hyperlink r:id="rId1060">
        <w:r>
          <w:rPr>
            <w:color w:val="1155CC"/>
            <w:u w:val="single"/>
          </w:rPr>
          <w:t>单羧酸转运蛋白 2 通过少突胶质细胞调节髓磷脂和轴突完整性的维持</w:t>
        </w:r>
      </w:hyperlink>
    </w:p>
    <w:p>
      <w:pPr>
        <w:spacing w:before="0" w:after="80"/>
      </w:pPr>
      <w:r>
        <w:rPr>
          <w:i/>
          <w:sz w:val="20"/>
        </w:rPr>
        <w:t>EN: Monocarboxylate transporter 2 regulates maintenance of myelin and axonal integrity by oligodendrocytes</w:t>
      </w:r>
    </w:p>
    <w:p>
      <w:pPr>
        <w:spacing w:before="0" w:after="120"/>
      </w:pPr>
      <w:r>
        <w:rPr>
          <w:b/>
        </w:rPr>
        <w:t xml:space="preserve">Source: </w:t>
      </w:r>
      <w:r>
        <w:t>Biological sciences : Nature Communications subject feeds</w:t>
      </w:r>
      <w:r>
        <w:t xml:space="preserve">    </w:t>
      </w:r>
      <w:r>
        <w:rPr>
          <w:b/>
        </w:rPr>
        <w:t xml:space="preserve">Pub date: </w:t>
      </w:r>
      <w:r>
        <w:t>2026-06-18 00:00:00+00:00</w:t>
      </w:r>
    </w:p>
    <w:p>
      <w:pPr>
        <w:spacing w:before="0" w:after="120"/>
      </w:pPr>
      <w:r>
        <w:rPr>
          <w:b/>
        </w:rPr>
        <w:t xml:space="preserve">Notes: </w:t>
      </w:r>
      <w:r>
        <w:t>abstract_source=nature_html</w:t>
      </w:r>
    </w:p>
    <w:p>
      <w:pPr>
        <w:spacing w:before="0" w:after="80" w:lineRule="auto" w:line="276"/>
      </w:pPr>
      <w:r>
        <w:rPr>
          <w:b/>
        </w:rPr>
        <w:t xml:space="preserve">摘要（ZH）: </w:t>
      </w:r>
      <w:r>
        <w:t>髓磷脂改变与轴突变性密切相关，在包括多发性硬化症 (MS) 在内的神经退行性疾病中很常见。然而，维持白质完整性的代谢机制仍然难以捉摸。单羧酸盐是重要的能量燃料，但它们在髓鞘化少突胶质细胞功能中的作用仍不清楚。在这里，我们发现髓鞘少突胶质细胞表达高亲和力单羧酸转运蛋白 2 (MCT2)，该蛋白在进行性多发性硬化症中表达下调。虽然使用少突胶质细胞 AAV 注射删除小鼠脊髓白质中的 MCT2 不会影响少突胶质细胞的存活，但它会下调脂质合成相关酶并增加炎症，导致髓磷脂维持失败。这些变化在仅表现出轻度炎症的 AAV 对照小鼠中没有得到证实，但伴随着轴突乳酸脱氢酶 A 的上调和损伤，生酮饮食可以减轻这些影响。因此，我们的研究结果表明，少突胶质细胞 MCT2 在轻度炎症下调节髓磷脂维持和轴突支持。这在进行性多发性硬化症中似乎被破坏，但可以通过特定的代谢疗法来补偿，以保持白质的完整性。</w:t>
      </w:r>
    </w:p>
    <w:p>
      <w:pPr>
        <w:spacing w:before="0" w:after="200" w:lineRule="auto" w:line="276"/>
      </w:pPr>
      <w:r>
        <w:rPr>
          <w:b/>
        </w:rPr>
        <w:t xml:space="preserve">Abstract (EN): </w:t>
      </w:r>
      <w:r>
        <w:t>Myelin alterations, tightly linked to axonal degeneration, are common in neurodegenerative diseases, including multiple sclerosis (MS). However, the metabolic mechanisms that sustain white matter integrity remain elusive. Monocarboxylates are important energy fuels, but their role in myelinating oligodendrocyte function remains unclear. Here, we show that myelinating oligodendrocytes express high affinity monocarboxylate transporter 2 (MCT2), which is downregulated in progressive MS. While deletion of MCT2 in the mouse spinal white matter using oligodendrotropic AAV injection does not affect oligodendrocyte survival, it downregulates lipid synthesis-associated enzymes and increases inflammation, leading to a failure of myelin maintenance. These changes, not evidenced in AAV-control mice that only show mild inflammation, are accompanied by axonal upregulation of lactate dehydrogenase A and injury, effects alleviated by ketogenic diet. Therefore, our findings show that oligodendroglial MCT2 regulates myelin maintenance and axonal support under mild inflammation. This appears disrupted in progressive MS but might be compensated for by specific metabolic therapies to preserve white matter integrity.</w:t>
      </w:r>
    </w:p>
    <w:p>
      <w:pPr>
        <w:spacing w:before="120" w:after="120"/>
      </w:pPr>
      <w:r>
        <w:rPr>
          <w:sz w:val="18"/>
        </w:rPr>
        <w:t>——————————————————————————————————————————————————————————————————————</w:t>
      </w:r>
    </w:p>
    <w:p>
      <w:pPr>
        <w:spacing w:before="160" w:after="40" w:line="240" w:lineRule="auto"/>
      </w:pPr>
      <w:r>
        <w:rPr>
          <w:b/>
        </w:rPr>
        <w:t xml:space="preserve">[441] </w:t>
      </w:r>
      <w:hyperlink r:id="rId1061">
        <w:r>
          <w:rPr>
            <w:color w:val="1155CC"/>
            <w:u w:val="single"/>
          </w:rPr>
          <w:t>二甲基磺基丙酸代谢塑造了南大洋海冰和海水中冬季的微生物生态和生理适应</w:t>
        </w:r>
      </w:hyperlink>
    </w:p>
    <w:p>
      <w:pPr>
        <w:spacing w:before="0" w:after="80"/>
      </w:pPr>
      <w:r>
        <w:rPr>
          <w:i/>
          <w:sz w:val="20"/>
        </w:rPr>
        <w:t>EN: Dimethylsulfoniopropionate metabolism shapes microbial ecology and physiological adaptation during the austral winter in Southern Ocean sea ice and seawater</w:t>
      </w:r>
    </w:p>
    <w:p>
      <w:pPr>
        <w:spacing w:before="0" w:after="120"/>
      </w:pPr>
      <w:r>
        <w:rPr>
          <w:b/>
        </w:rPr>
        <w:t xml:space="preserve">Source: </w:t>
      </w:r>
      <w:r>
        <w:t>Biological sciences : Nature Communications subject feeds</w:t>
      </w:r>
      <w:r>
        <w:t xml:space="preserve">    </w:t>
      </w:r>
      <w:r>
        <w:rPr>
          <w:b/>
        </w:rPr>
        <w:t xml:space="preserve">Pub date: </w:t>
      </w:r>
      <w:r>
        <w:t>2026-06-18 00:00:00+00:00</w:t>
      </w:r>
    </w:p>
    <w:p>
      <w:pPr>
        <w:spacing w:before="0" w:after="120"/>
      </w:pPr>
      <w:r>
        <w:rPr>
          <w:b/>
        </w:rPr>
        <w:t xml:space="preserve">Notes: </w:t>
      </w:r>
      <w:r>
        <w:t>abstract_source=nature_html</w:t>
      </w:r>
    </w:p>
    <w:p>
      <w:pPr>
        <w:spacing w:before="0" w:after="80" w:lineRule="auto" w:line="276"/>
      </w:pPr>
      <w:r>
        <w:rPr>
          <w:b/>
        </w:rPr>
        <w:t xml:space="preserve">摘要（ZH）: </w:t>
      </w:r>
      <w:r>
        <w:t>二甲基磺基丙酸酯 (DMSP) 是一种含量丰富的海洋有机硫化合物，在应激保护和气候冷却气体生产中发挥着重要作用。极地地区，特别是海水和海冰界面，是至关重要但尚未得到充分研究的 DMSP 循环热点。在这里，我们发现南大洋海冰中的 DMSP 浓度比海水高出 38 倍，确定海冰是 DMSP 的浓缩库，对微生物胁迫耐受性和硫回收具有影响。预计携带 DSYB 和 DSYE 基因的真核藻类将主导 DMSP 的生产，但也检测到了多种先前未识别的细菌生产者。藻类生物合成基因丰度的增加可能是海冰中 DMSP 浓度较高的基础。值得注意的是，DMSP 分解代谢，特别是 dmdA 脱甲基酶、dddD 和 dddK 裂解酶基因，比生物合成基因更丰富。总而言之，这些发现揭示了 DMSP 循环的广泛代谢，并强调了影响极地气候冷却硫通量的动态储存库和转化中心。</w:t>
      </w:r>
    </w:p>
    <w:p>
      <w:pPr>
        <w:spacing w:before="0" w:after="200" w:lineRule="auto" w:line="276"/>
      </w:pPr>
      <w:r>
        <w:rPr>
          <w:b/>
        </w:rPr>
        <w:t xml:space="preserve">Abstract (EN): </w:t>
      </w:r>
      <w:r>
        <w:t>Dimethylsulfoniopropionate (DMSP) is a highly abundant marine organosulfur compound, with important roles in stress protection and climate-cooling gases production. Polar regions, particularly seawater and sea ice interfaces, are critical yet understudied DMSP cycling hotspots. Here, we reveal up to 38-fold higher DMSP concentrations in Southern Ocean sea ice versus seawaters, identifying sea ice as a concentrated reservoir of DMSP with implications for microbial stress tolerance and sulfur recycling. Eukaryotic algae harboring DSYB and DSYE genes were predicted to dominate DMSP production, but diverse and previously unidentified bacterial producers were also detected. This elevated abundance of algal biosynthetic genes likely underpins the higher DMSP concentrations in sea ice. Notably, DMSP catabolism, particularly the dmdA demethylase and dddD and dddK lyase genes, were more abundant than biosynthesis genes. Taken together, these findings reveal the widespread metabolism for DMSP cycling and underscore a dynamic reservoir and transformation hub influencing polar climate-cooling sulfur fluxes.</w:t>
      </w:r>
    </w:p>
    <w:p>
      <w:pPr>
        <w:spacing w:before="120" w:after="120"/>
      </w:pPr>
      <w:r>
        <w:rPr>
          <w:sz w:val="18"/>
        </w:rPr>
        <w:t>——————————————————————————————————————————————————————————————————————</w:t>
      </w:r>
    </w:p>
    <w:p>
      <w:pPr>
        <w:spacing w:before="160" w:after="40" w:line="240" w:lineRule="auto"/>
      </w:pPr>
      <w:r>
        <w:rPr>
          <w:b/>
        </w:rPr>
        <w:t xml:space="preserve">[442] </w:t>
      </w:r>
      <w:hyperlink r:id="rId1062">
        <w:r>
          <w:rPr>
            <w:color w:val="1155CC"/>
            <w:u w:val="single"/>
          </w:rPr>
          <w:t>诱导性 T-bet 缺失揭示了 NKp46+ ILC 免疫生物学和对鼠巨细胞病毒反应的组织特异性要求</w:t>
        </w:r>
      </w:hyperlink>
    </w:p>
    <w:p>
      <w:pPr>
        <w:spacing w:before="0" w:after="80"/>
      </w:pPr>
      <w:r>
        <w:rPr>
          <w:i/>
          <w:sz w:val="20"/>
        </w:rPr>
        <w:t>EN: Inducible T-bet deletion reveals tissue-specific requirements in NKp46+ ILC immunobiology and response to murine cytomegalovirus</w:t>
      </w:r>
    </w:p>
    <w:p>
      <w:pPr>
        <w:spacing w:before="0" w:after="120"/>
      </w:pPr>
      <w:r>
        <w:rPr>
          <w:b/>
        </w:rPr>
        <w:t xml:space="preserve">Source: </w:t>
      </w:r>
      <w:r>
        <w:t>Biological sciences : Nature Communications subject feeds</w:t>
      </w:r>
      <w:r>
        <w:t xml:space="preserve">    </w:t>
      </w:r>
      <w:r>
        <w:rPr>
          <w:b/>
        </w:rPr>
        <w:t xml:space="preserve">Pub date: </w:t>
      </w:r>
      <w:r>
        <w:t>2026-06-18 00:00:00+00:00</w:t>
      </w:r>
    </w:p>
    <w:p>
      <w:pPr>
        <w:spacing w:before="0" w:after="120"/>
      </w:pPr>
      <w:r>
        <w:rPr>
          <w:b/>
        </w:rPr>
        <w:t xml:space="preserve">Notes: </w:t>
      </w:r>
      <w:r>
        <w:t>abstract_source=nature_html</w:t>
      </w:r>
    </w:p>
    <w:p>
      <w:pPr>
        <w:spacing w:before="0" w:after="80" w:lineRule="auto" w:line="276"/>
      </w:pPr>
      <w:r>
        <w:rPr>
          <w:b/>
        </w:rPr>
        <w:t xml:space="preserve">摘要（ZH）: </w:t>
      </w:r>
      <w:r>
        <w:t>先天性淋巴细胞 (ILC) 发育后对 T-box 转录因子 (TF) T-bet 和 Eomes 的需求尚不清楚。在这里，我们生成了可诱导的 NKp46 特异性 T-bet 敲除 (KO) 模型，并将其与相应的 Eomes KO 和组合 T-bet Eomes 双 KO 小鼠进行比较，以确定成熟 NK 细胞和其他 NKp46+ ILC 的稳态和功能中的 T-box TF 需求。诱导性 T-bet 缺失减少了脾脏和组织中 IV 期 NK 细胞的数量，同时保留了骨髓和淋巴结中的 NK 细胞。肝脏 ILC1 和小肠固有层 NKp46+ ILC3 在 T-bet 缺失后也会丢失，表明这些 ILC 类型需要连续的 T-bet 表达。 T-bet 和 Eomes KO 联合使用会导致 NK 细胞快速损失，明显多于单独的 T-bet 或 Eomes KO。诱导型 T-bet 和 Eomes KO 模型的直接比较表明，Eomes 对于宿主针对鼠巨细胞病毒的保护至关重要，而 T-bet 是可有可无的，尽管 ILC1 丢失。这些发现确立了 T-box TF 在 NKp46+ ILC 稳态和病毒感染反应中的组织特异性和非冗余作用。</w:t>
      </w:r>
    </w:p>
    <w:p>
      <w:pPr>
        <w:spacing w:before="0" w:after="200" w:lineRule="auto" w:line="276"/>
      </w:pPr>
      <w:r>
        <w:rPr>
          <w:b/>
        </w:rPr>
        <w:t xml:space="preserve">Abstract (EN): </w:t>
      </w:r>
      <w:r>
        <w:t>The requirement for the T-box transcription factors (TF) T-bet and Eomes in innate lymphoid cells (ILCs) beyond their development is not well understood. Here, we generate an inducible, NKp46-specific T-bet knock-out (KO) model and compare it to corresponding Eomes KO and combined T-bet Eomes double KO mice to define T-box TFs requirement in the homeostasis and function of mature NK cell and other NKp46+ ILC. Inducible T-bet deletion reduces stage IV NK cell numbers in the spleen and tissues, while preserving NK cells in the bone marrow and lymph nodes. Liver ILC1 and small intestine lamina propria NKp46+ ILC3 are also lost upon T-bet deletion, indicating the requirement for continuous T-bet expression in these ILC types. Combined T-bet and Eomes KO leads to a rapid loss of NK cells, markedly greater than with individual T-bet or Eomes KO. Direct comparison of inducible T-bet and Eomes KO models reveals that Eomes is critical for host protection against murine cytomegalovirus, whereas T-bet is dispensable, despite loss of ILC1. These findings establish the tissue-specific and non-redundant roles for T-box TFs in NKp46+ ILCs homeostasis and response to viral infection.</w:t>
      </w:r>
    </w:p>
    <w:p>
      <w:pPr>
        <w:spacing w:before="120" w:after="120"/>
      </w:pPr>
      <w:r>
        <w:rPr>
          <w:sz w:val="18"/>
        </w:rPr>
        <w:t>——————————————————————————————————————————————————————————————————————</w:t>
      </w:r>
    </w:p>
    <w:p>
      <w:pPr>
        <w:spacing w:before="160" w:after="40" w:line="240" w:lineRule="auto"/>
      </w:pPr>
      <w:r>
        <w:rPr>
          <w:b/>
        </w:rPr>
        <w:t xml:space="preserve">[443] </w:t>
      </w:r>
      <w:hyperlink r:id="rId1063">
        <w:r>
          <w:rPr>
            <w:color w:val="1155CC"/>
            <w:u w:val="single"/>
          </w:rPr>
          <w:t>设计双抗原 mRNA 疫苗以恢复慢性乙型肝炎的免疫控制</w:t>
        </w:r>
      </w:hyperlink>
    </w:p>
    <w:p>
      <w:pPr>
        <w:spacing w:before="0" w:after="80"/>
      </w:pPr>
      <w:r>
        <w:rPr>
          <w:i/>
          <w:sz w:val="20"/>
        </w:rPr>
        <w:t>EN: Engineering a dual-antigen mRNA vaccine to restore immune control in chronic hepatitis B</w:t>
      </w:r>
    </w:p>
    <w:p>
      <w:pPr>
        <w:spacing w:before="0" w:after="120"/>
      </w:pPr>
      <w:r>
        <w:rPr>
          <w:b/>
        </w:rPr>
        <w:t xml:space="preserve">Source: </w:t>
      </w:r>
      <w:r>
        <w:t>Biological sciences : Nature Communications subject feeds</w:t>
      </w:r>
      <w:r>
        <w:t xml:space="preserve">    </w:t>
      </w:r>
      <w:r>
        <w:rPr>
          <w:b/>
        </w:rPr>
        <w:t xml:space="preserve">Pub date: </w:t>
      </w:r>
      <w:r>
        <w:t>2026-06-18 00:00:00+00:00</w:t>
      </w:r>
    </w:p>
    <w:p>
      <w:pPr>
        <w:spacing w:before="0" w:after="120"/>
      </w:pPr>
      <w:r>
        <w:rPr>
          <w:b/>
        </w:rPr>
        <w:t xml:space="preserve">Notes: </w:t>
      </w:r>
      <w:r>
        <w:t>abstract_source=nature_html</w:t>
      </w:r>
    </w:p>
    <w:p>
      <w:pPr>
        <w:spacing w:before="0" w:after="80" w:lineRule="auto" w:line="276"/>
      </w:pPr>
      <w:r>
        <w:rPr>
          <w:b/>
        </w:rPr>
        <w:t xml:space="preserve">摘要（ZH）: </w:t>
      </w:r>
      <w:r>
        <w:t>慢性乙型肝炎 (CHB) 的治疗性疫苗接种仍然具有挑战性，因为对乙型肝炎表面抗原 (HBsAg) 的持续免疫耐受会阻碍抗 HBsAg 血清转化。在这里，我们表明筛选包含 HBsAg 的抗原组合将 preS1-HBsAg 识别为最佳配对。由此产生的双抗原 mRNA 疫苗在慢性 HBV 小鼠模型中引发强烈的乙型肝炎病毒 (HBV) 特异性免疫反应，导致病毒基因组接近完全清除、多种 HBV 抗原显着减少和血清学转化。机制分析表明，preS1 是 HBV 特异性 T 细胞反应的主要驱动因素，而 HBsAg 有助于抗 HBsAg 血清转化和内在佐剂活性。具体来说，当以 mRNA 形式传递时，HBsAg 会促进抗原呈递细胞 (APC) 激活，增强抗原呈递，并放大 preS1 特异性 CD8+ T 细胞反应。此外，将 preS1-HBsAg 疫苗与干扰素-α (IFN-α) 结合可增强抗病毒功效和免疫记忆，同时保持良好的安全性。这些发现确立了 preS1-HBsAg mRNA 疫苗接种作为慢性乙型肝炎功能性治愈的一种有前途且可转化的治疗策略。</w:t>
      </w:r>
    </w:p>
    <w:p>
      <w:pPr>
        <w:spacing w:before="0" w:after="200" w:lineRule="auto" w:line="276"/>
      </w:pPr>
      <w:r>
        <w:rPr>
          <w:b/>
        </w:rPr>
        <w:t xml:space="preserve">Abstract (EN): </w:t>
      </w:r>
      <w:r>
        <w:t>Therapeutic vaccination for chronic hepatitis B (CHB) remains challenging, as persistent immune tolerance to hepatitis B surface antigen (HBsAg) impedes anti-HBsAg seroconversion. Here we show that screening antigen combinations incorporating HBsAg identifies preS1-HBsAg as the optimal pairing. The resulting dual-antigen mRNA vaccine elicits robust hepatitis B virus (HBV)-specific immune responses in chronic HBV mouse models, leading to near-complete viral genome clearance, marked reduction of multiple HBV antigens, and serological conversion. Mechanistic analyses reveal that preS1 serves as the primary driver of HBV-specific T cell responses, while HBsAg contributes to both anti-HBsAg seroconversion and intrinsic adjuvant activity. Specifically, when delivered in mRNA form, HBsAg promotes antigen-presenting cell (APC) activation, enhances antigen presentation, and amplifies preS1-specific CD8⁺ T cell responses. Furthermore, combining the preS1-HBsAg vaccine with interferon-α (IFN-α) enhances antiviral efficacy and immune memory while maintaining a favorable safety profile. These findings establish preS1-HBsAg mRNA vaccination as a promising and translatable therapeutic strategy for functional cure of CHB.</w:t>
      </w:r>
    </w:p>
    <w:p>
      <w:pPr>
        <w:spacing w:before="120" w:after="120"/>
      </w:pPr>
      <w:r>
        <w:rPr>
          <w:sz w:val="18"/>
        </w:rPr>
        <w:t>——————————————————————————————————————————————————————————————————————</w:t>
      </w:r>
    </w:p>
    <w:p>
      <w:pPr>
        <w:spacing w:before="160" w:after="40" w:line="240" w:lineRule="auto"/>
      </w:pPr>
      <w:r>
        <w:rPr>
          <w:b/>
        </w:rPr>
        <w:t xml:space="preserve">[444] </w:t>
      </w:r>
      <w:hyperlink r:id="rId1064">
        <w:r>
          <w:rPr>
            <w:color w:val="1155CC"/>
            <w:u w:val="single"/>
          </w:rPr>
          <w:t>一种通用深度学习框架，通过增强时间信号来增强纳米孔识别能力</w:t>
        </w:r>
      </w:hyperlink>
    </w:p>
    <w:p>
      <w:pPr>
        <w:spacing w:before="0" w:after="80"/>
      </w:pPr>
      <w:r>
        <w:rPr>
          <w:i/>
          <w:sz w:val="20"/>
        </w:rPr>
        <w:t>EN: A universal deep learning framework for empowering nanopore identification by reinforcing temporal signals</w:t>
      </w:r>
    </w:p>
    <w:p>
      <w:pPr>
        <w:spacing w:before="0" w:after="120"/>
      </w:pPr>
      <w:r>
        <w:rPr>
          <w:b/>
        </w:rPr>
        <w:t xml:space="preserve">Source: </w:t>
      </w:r>
      <w:r>
        <w:t>Biological sciences : Nature Communications subject feeds</w:t>
      </w:r>
      <w:r>
        <w:t xml:space="preserve">    </w:t>
      </w:r>
      <w:r>
        <w:rPr>
          <w:b/>
        </w:rPr>
        <w:t xml:space="preserve">Pub date: </w:t>
      </w:r>
      <w:r>
        <w:t>2026-06-18 00:00:00+00:00</w:t>
      </w:r>
    </w:p>
    <w:p>
      <w:pPr>
        <w:spacing w:before="0" w:after="120"/>
      </w:pPr>
      <w:r>
        <w:rPr>
          <w:b/>
        </w:rPr>
        <w:t xml:space="preserve">Notes: </w:t>
      </w:r>
      <w:r>
        <w:t>abstract_source=nature_html</w:t>
      </w:r>
    </w:p>
    <w:p>
      <w:pPr>
        <w:spacing w:before="0" w:after="80" w:lineRule="auto" w:line="276"/>
      </w:pPr>
      <w:r>
        <w:rPr>
          <w:b/>
        </w:rPr>
        <w:t xml:space="preserve">摘要（ZH）: </w:t>
      </w:r>
      <w:r>
        <w:t>纳米孔传感具有彻底改变蛋白质和聚糖测序的变革潜力。然而，由于处理大量高度相似的纳米孔离子电流数据的挑战，将这种潜力转化为实际的高保真识别受到严重瓶颈，从而迫切需要强大的、人工智能驱动的解决方案。流行的深度学习方法存在两个局限性：它们通常无法捕获区分结构相似的分析物所必需的细粒度时间动态，并且它们的通用训练策略不能充分提取弱判别性特征，从而限制了分类精度。在这里，我们提出了 SEDA-Former（信号增强和动态注意力变换器），这是一种专为高分辨率纳米孔单分子识别而设计的深度时间学习框架。 SEDA-Former 结合了用于特征增强的多窗口滑动标准差方法、用于挖掘时间动态中的弱特征的多通道时间卷积网络，以及基于学习难度动态重新加权样本损失的渐进自适应注意力训练策略。在一系列具有挑战性的基准数据集（包括 15 种糖苷、24 种人参皂苷、8 种 DNA 分子和 17 种胆酸缀合物的纳米孔信号）中，跨越不同水平的信号复杂性，SEDA-Former 始终实现了比最先进的方法更高的分类精度，并展示了强大的跨数据集可转移性。 SEDA-Former 提供了一种多功能且可扩展的解决方案</w:t>
      </w:r>
    </w:p>
    <w:p>
      <w:pPr>
        <w:spacing w:before="0" w:after="200" w:lineRule="auto" w:line="276"/>
      </w:pPr>
      <w:r>
        <w:rPr>
          <w:b/>
        </w:rPr>
        <w:t xml:space="preserve">Abstract (EN): </w:t>
      </w:r>
      <w:r>
        <w:t>Nanopore sensing holds transformative potential for revolutionizing protein and glycan sequencing. However, translating this potential into practical, high-fidelity identification is severely bottlenecked by the challenge of processing massive amounts of highly similar nanopore ionic-current data, spurring an urgent need for robust, AI-driven solutions. Prevailing deep learning methods suffer from two limitations: they often fail to capture the fine-grained temporal dynamics essential for distinguishing structurally similar analytes, and their generic training strategies inadequately extract weak discriminative features, thus limiting classification precision. Here, we present SEDA-Former (Signal Enhancement and Dynamic Attention Transformer), a deep temporal learning framework designed for high-resolution nanopore single-molecule identification. SEDA-Former incorporates a multi-window sliding standard-deviation method for feature enhancement, a multi-channel temporal convolutional network to mine weak features in temporal dynamics, and a progressive adaptive attention training strategy that dynamically reweights sample losses based on learning difficulty. Across a diverse set of challenging benchmark datasets, including nanopore signals of 15 glycosides, 24 ginsenosides, 8 DNA molecules, and 17 cholic acid conjugates, spanning varying levels of signal complexity, SEDA-Former consistently achieves substantially higher classification accuracy than state-of-the-art methods and demonstrates robust cross-dataset transferability. SEDA-Former provides a versatile and scalable solution to facilitate single-molecule identification in nanopore sensing.</w:t>
      </w:r>
    </w:p>
    <w:p>
      <w:pPr>
        <w:spacing w:before="120" w:after="120"/>
      </w:pPr>
      <w:r>
        <w:rPr>
          <w:sz w:val="18"/>
        </w:rPr>
        <w:t>——————————————————————————————————————————————————————————————————————</w:t>
      </w:r>
    </w:p>
    <w:p>
      <w:pPr>
        <w:spacing w:before="160" w:after="40" w:line="240" w:lineRule="auto"/>
      </w:pPr>
      <w:r>
        <w:rPr>
          <w:b/>
        </w:rPr>
        <w:t xml:space="preserve">[445] </w:t>
      </w:r>
      <w:hyperlink r:id="rId1065">
        <w:r>
          <w:rPr>
            <w:color w:val="1155CC"/>
            <w:u w:val="single"/>
          </w:rPr>
          <w:t>用于风力涡轮机尾流预测的物理信息神经网络：不同数据密度下的约束层次结构</w:t>
        </w:r>
      </w:hyperlink>
    </w:p>
    <w:p>
      <w:pPr>
        <w:spacing w:before="0" w:after="80"/>
      </w:pPr>
      <w:r>
        <w:rPr>
          <w:i/>
          <w:sz w:val="20"/>
        </w:rPr>
        <w:t>EN: Physics-informed neural networks for wind turbine wake prediction: Constraint hierarchy under varying data density</w:t>
      </w:r>
    </w:p>
    <w:p>
      <w:pPr>
        <w:spacing w:before="0" w:after="120"/>
      </w:pPr>
      <w:r>
        <w:rPr>
          <w:b/>
        </w:rPr>
        <w:t xml:space="preserve">Source: </w:t>
      </w:r>
      <w:r>
        <w:t>ScienceDirect Publication: Applied Energy</w:t>
      </w:r>
      <w:r>
        <w:t xml:space="preserve">    </w:t>
      </w:r>
      <w:r>
        <w:rPr>
          <w:b/>
        </w:rPr>
        <w:t xml:space="preserve">Pub date: </w:t>
      </w:r>
      <w:r>
        <w:t>2026-06-18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[446] </w:t>
      </w:r>
      <w:hyperlink r:id="rId1066">
        <w:r>
          <w:rPr>
            <w:color w:val="1155CC"/>
            <w:u w:val="single"/>
          </w:rPr>
          <w:t>通过溶液处理的 MoS2 实现亚飞秒品质因数毫米波开关，用于 6G 射频前端</w:t>
        </w:r>
      </w:hyperlink>
    </w:p>
    <w:p>
      <w:pPr>
        <w:spacing w:before="0" w:after="80"/>
      </w:pPr>
      <w:r>
        <w:rPr>
          <w:i/>
          <w:sz w:val="20"/>
        </w:rPr>
        <w:t>EN: Sub-femtosecond figure-of-merit millimeter-wave switches via solution-processed MoS2 for 6G radio-frequency front-ends</w:t>
      </w:r>
    </w:p>
    <w:p>
      <w:pPr>
        <w:spacing w:before="0" w:after="120"/>
      </w:pPr>
      <w:r>
        <w:rPr>
          <w:b/>
        </w:rPr>
        <w:t xml:space="preserve">Source: </w:t>
      </w:r>
      <w:r>
        <w:t>Physical sciences : Nature Communications subject feeds</w:t>
      </w:r>
      <w:r>
        <w:t xml:space="preserve">    </w:t>
      </w:r>
      <w:r>
        <w:rPr>
          <w:b/>
        </w:rPr>
        <w:t xml:space="preserve">Pub date: </w:t>
      </w:r>
      <w:r>
        <w:t>2026-06-18 00:00:00+00:00</w:t>
      </w:r>
    </w:p>
    <w:p>
      <w:pPr>
        <w:spacing w:before="0" w:after="120"/>
      </w:pPr>
      <w:r>
        <w:rPr>
          <w:b/>
        </w:rPr>
        <w:t xml:space="preserve">Notes: </w:t>
      </w:r>
      <w:r>
        <w:t>abstract_source=nature_html</w:t>
      </w:r>
    </w:p>
    <w:p>
      <w:pPr>
        <w:spacing w:before="0" w:after="80" w:lineRule="auto" w:line="276"/>
      </w:pPr>
      <w:r>
        <w:rPr>
          <w:b/>
        </w:rPr>
        <w:t xml:space="preserve">摘要（ZH）: </w:t>
      </w:r>
      <w:r>
        <w:t>下一代 6G 通信需要能够在 100 GHz 以上运行且具有低损耗、高隔离度和零静态功耗的射频组件，这些要求对互补金属氧化物半导体 (CMOS) 和微机电系统 (MEMS) 技术提出了挑战。在这里，我们报告了基于溶液处理的 MoS2 的无转移、大面积毫米波 (mmWave) 开关。虽然由于缺陷密度高，溶液处理的二维材料通常被认为不如晶体材料，但我们证明，它们的边缘丰富的形态实际上是性能的推动者。这些边缘缺陷充当限制铜丝路径的内在模板，能够实现超过 2000 次循环的快速 (76 ns) 和低能量切换 (1.57 nJ) 以及均匀的零静态功率操作，这一点已被开尔文探针力显微镜、导电原子力显微镜和低温研究所证实。由此产生的开关在 67 GHz 下实现了低插入损耗 (35 dB)。值得注意的是，它们的开关品质因数 (RON·COFF) 约为 0.8 fs (fco ~ 187 THz)，超过了之前报道的 2D 开关。重要的是，通过在 SHUNT 架构中采用反状态操作方案，我们减轻了自切换并实现了改进的功率处理 (P0.1dB &gt; 10 dBm) 和线性度 (IIP3 &gt; 42.1 dBm)。最后，我们通过将开关集成到针对 30 GHz 毫米波应用的真正延时和混合耦合移相器中，展示了该平台的电路级可行性。</w:t>
      </w:r>
    </w:p>
    <w:p>
      <w:pPr>
        <w:spacing w:before="0" w:after="200" w:lineRule="auto" w:line="276"/>
      </w:pPr>
      <w:r>
        <w:rPr>
          <w:b/>
        </w:rPr>
        <w:t xml:space="preserve">Abstract (EN): </w:t>
      </w:r>
      <w:r>
        <w:t>Next-generation 6G communication requires radio-frequency components capable of operating above 100 GHz with low loss, high isolation, and zero static power—requirements that challenge complementary metal-oxide-semiconductor (CMOS) and microelectromechanical systems (MEMS) technologies. Here, we report transfer-free, large-area millimeter-wave (mmWave) switches based on solution-processed MoS2. While solution-processed 2D materials are often viewed as inferior to their crystalline counterparts due to high defect densities, we demonstrate that their edge-rich morphology is, in fact, a performance enabler. These edge defects act as intrinsic templates that confine Cu-filament pathways, enabling rapid (76 ns) and low-energy switching (1.57 nJ) with &gt; 2000 cycles and uniform zero static-power operation, as corroborated by Kelvin probe force microscopy, conductive atomic force microscopy and low-temperature studies. The resulting switches achieve an low insertion loss ( 35 dB) at 67 GHz. Notably, they exhibit a switching figure-of-merit (RON·COFF) of ~ 0.8 fs (fco ~ 187 THz), surpassing previously reported 2D switches. Importantly, by adopting an inverse-state operational scheme in a SHUNT architecture, we mitigate self-switching and achieve improved power handling (P0.1dB &gt; 10 dBm) and linearity (IIP3 &gt; 42.1 dBm). Finally, we demonstrate the platform’s circuit-level viability by integrating the switches into a true-time-delay and hybrid-coupled phase shifters targeting 30 GHz mmWave applications.</w:t>
      </w:r>
    </w:p>
    <w:p>
      <w:pPr>
        <w:spacing w:before="120" w:after="120"/>
      </w:pPr>
      <w:r>
        <w:rPr>
          <w:sz w:val="18"/>
        </w:rPr>
        <w:t>——————————————————————————————————————————————————————————————————————</w:t>
      </w:r>
    </w:p>
    <w:p>
      <w:pPr>
        <w:spacing w:before="160" w:after="40" w:line="240" w:lineRule="auto"/>
      </w:pPr>
      <w:r>
        <w:rPr>
          <w:b/>
        </w:rPr>
        <w:t xml:space="preserve">[447] </w:t>
      </w:r>
      <w:hyperlink r:id="rId1067">
        <w:r>
          <w:rPr>
            <w:color w:val="1155CC"/>
            <w:u w:val="single"/>
          </w:rPr>
          <w:t>磺酰基-PYBOX/ErCl3 络合物能够高度对映选择性合成 α,α-二烷基和 α-烷基-α-芳基肼腈</w:t>
        </w:r>
      </w:hyperlink>
    </w:p>
    <w:p>
      <w:pPr>
        <w:spacing w:before="0" w:after="80"/>
      </w:pPr>
      <w:r>
        <w:rPr>
          <w:i/>
          <w:sz w:val="20"/>
        </w:rPr>
        <w:t>EN: Sulfonyl-PYBOX/ErCl3 complex enable highly enantioselective synthesis of α,α-dialkyl and α-alkyl-α-aryl hydrazinonitriles</w:t>
      </w:r>
    </w:p>
    <w:p>
      <w:pPr>
        <w:spacing w:before="0" w:after="120"/>
      </w:pPr>
      <w:r>
        <w:rPr>
          <w:b/>
        </w:rPr>
        <w:t xml:space="preserve">Source: </w:t>
      </w:r>
      <w:r>
        <w:t>Physical sciences : Nature Communications subject feeds</w:t>
      </w:r>
      <w:r>
        <w:t xml:space="preserve">    </w:t>
      </w:r>
      <w:r>
        <w:rPr>
          <w:b/>
        </w:rPr>
        <w:t xml:space="preserve">Pub date: </w:t>
      </w:r>
      <w:r>
        <w:t>2026-06-18 00:00:00+00:00</w:t>
      </w:r>
    </w:p>
    <w:p>
      <w:pPr>
        <w:spacing w:before="0" w:after="120"/>
      </w:pPr>
      <w:r>
        <w:rPr>
          <w:b/>
        </w:rPr>
        <w:t xml:space="preserve">Notes: </w:t>
      </w:r>
      <w:r>
        <w:t>abstract_source=nature_html</w:t>
      </w:r>
    </w:p>
    <w:p>
      <w:pPr>
        <w:spacing w:before="0" w:after="80" w:lineRule="auto" w:line="276"/>
      </w:pPr>
      <w:r>
        <w:rPr>
          <w:b/>
        </w:rPr>
        <w:t xml:space="preserve">摘要（ZH）: </w:t>
      </w:r>
      <w:r>
        <w:t>我们报道了简单酮衍生腙的高度对映选择性亲核加成反应。因此，通过使用在吡啶C4位上具有磺酰基的空间限制的吡啶双恶唑啉（PYBOX）配体，实现了ErCl3催化的脂肪族和芳基酮腙的氰化，以容易地获得高达96％ee的Cα-四取代的α-肼腈。该方法能够以最短的时间催化对映选择性全合成 L-卡比多巴（一种治疗帕金森病症状的药物），四步总产率为 82%。这些加合物是各种 α-叔肼和相关氮杂环的有价值的合成子，是医学研究和农药研究的有趣目标。根据我们的生物学分析，鉴定出一种手性 α-肼基腈，对棉蚜 (Aphis gossypii) 具有良好的杀虫活性 (LC50 = 15.11 mg∙L–1)，可与商业杀虫剂相媲美。</w:t>
      </w:r>
    </w:p>
    <w:p>
      <w:pPr>
        <w:spacing w:before="0" w:after="200" w:lineRule="auto" w:line="276"/>
      </w:pPr>
      <w:r>
        <w:rPr>
          <w:b/>
        </w:rPr>
        <w:t xml:space="preserve">Abstract (EN): </w:t>
      </w:r>
      <w:r>
        <w:t>We report the highly enantioselective nucleophilic addition reaction of simple ketone-derived hydrazones. Accordingly, a ErCl₃-catalyzed cyanation of both aliphatic and aryl ketone hydrazones is achieved for the facile access of Cα-tetrasubstituted α-hydrazino nitriles in up to 96% ee, by using the sterically confined pyridinebisoxazoline (PYBOX) ligand featuring a sulfonyl group at the pyridine C4 position. This method enables the shortest catalytic enantioselective total synthesis of L-carbidopa, a drug that could treat the symptoms of Parkinson’s disease, with 82% overall yield in four steps. These adducts are valuable synthons to various α-tertiary hydrazines and related azacycles that are interesting targets for medicinal studies and pesticide research. From our biological analysis, a chiral α-hydrazino nitrile with good insecticidal activity against Aphis gossypii (LC50 = 15.11 mg∙L–1) was identified, rivaling commercial insecticides.</w:t>
      </w:r>
    </w:p>
    <w:p>
      <w:pPr>
        <w:spacing w:before="120" w:after="120"/>
      </w:pPr>
      <w:r>
        <w:rPr>
          <w:sz w:val="18"/>
        </w:rPr>
        <w:t>——————————————————————————————————————————————————————————————————————</w:t>
      </w:r>
    </w:p>
    <w:p>
      <w:pPr>
        <w:spacing w:before="160" w:after="40" w:line="240" w:lineRule="auto"/>
      </w:pPr>
      <w:r>
        <w:rPr>
          <w:b/>
        </w:rPr>
        <w:t xml:space="preserve">[448] </w:t>
      </w:r>
      <w:hyperlink r:id="rId1068">
        <w:r>
          <w:rPr>
            <w:color w:val="1155CC"/>
            <w:u w:val="single"/>
          </w:rPr>
          <w:t>用于高效烷烃至芳烃转化的工艺分离级联催化</w:t>
        </w:r>
      </w:hyperlink>
    </w:p>
    <w:p>
      <w:pPr>
        <w:spacing w:before="0" w:after="80"/>
      </w:pPr>
      <w:r>
        <w:rPr>
          <w:i/>
          <w:sz w:val="20"/>
        </w:rPr>
        <w:t>EN: Process-separated cascade catalysis for highly efficient alkane-to-aromatic conversion</w:t>
      </w:r>
    </w:p>
    <w:p>
      <w:pPr>
        <w:spacing w:before="0" w:after="120"/>
      </w:pPr>
      <w:r>
        <w:rPr>
          <w:b/>
        </w:rPr>
        <w:t xml:space="preserve">Source: </w:t>
      </w:r>
      <w:r>
        <w:t>Physical sciences : Nature Communications subject feeds</w:t>
      </w:r>
      <w:r>
        <w:t xml:space="preserve">    </w:t>
      </w:r>
      <w:r>
        <w:rPr>
          <w:b/>
        </w:rPr>
        <w:t xml:space="preserve">Pub date: </w:t>
      </w:r>
      <w:r>
        <w:t>2026-06-18 00:00:00+00:00</w:t>
      </w:r>
    </w:p>
    <w:p>
      <w:pPr>
        <w:spacing w:before="0" w:after="120"/>
      </w:pPr>
      <w:r>
        <w:rPr>
          <w:b/>
        </w:rPr>
        <w:t xml:space="preserve">Notes: </w:t>
      </w:r>
      <w:r>
        <w:t>abstract_source=nature_html</w:t>
      </w:r>
    </w:p>
    <w:p>
      <w:pPr>
        <w:spacing w:before="0" w:after="80" w:lineRule="auto" w:line="276"/>
      </w:pPr>
      <w:r>
        <w:rPr>
          <w:b/>
        </w:rPr>
        <w:t xml:space="preserve">摘要（ZH）: </w:t>
      </w:r>
      <w:r>
        <w:t>双功能催化对于工业多相催化过程至关重要，但其性能受到不同基本步骤之间的动力学缠结的限制。在将轻质烷烃转化为芳烃的过程中，这是一种很有前景的非石脑油生产苯、甲苯和二甲苯 (BTX) 的路线，这就是这一挑战的例子，本文描述了一种用于高效 BTX 合成的过程分离级联催化 (PSCC)，优先考虑双功能系统中活性位点的动力学解耦而不是空间亲密度。我们采用空间解耦金属沸石催化剂，在连续反应再生循环过程中，在 550 °C 下实现了 &gt;95% 的丙烷转化率和 82.3% 的芳烃选择性，并几乎完全形成了 BTX。原位光谱和动力学分析表明，PSCC 在第一阶段解耦了烷烃脱氢生成烯烃中间体（乙烯、丙烯）的动力学，并使该过程与第二阶段的低聚和芳构化反应同步。这种同步提供了两级的速率匹配，从而最大限度地减少了裂解副产物并大幅提高了 BTX 产量。结合高催化稳定性和技术经济评估，该 PSCC 策略代表了烷烃 (C2–C4) 至 BTX 转化以及双功能催化过程之外的稳健途径。</w:t>
      </w:r>
    </w:p>
    <w:p>
      <w:pPr>
        <w:spacing w:before="0" w:after="200" w:lineRule="auto" w:line="276"/>
      </w:pPr>
      <w:r>
        <w:rPr>
          <w:b/>
        </w:rPr>
        <w:t xml:space="preserve">Abstract (EN): </w:t>
      </w:r>
      <w:r>
        <w:t>Bifunctional catalysis is pivotal to industrial heterogeneous catalytic processes, yet its performance is limited by the kinetic entanglement among different elementary steps. In the conversion of light alkanes to aromatics, a promising non-naphtha route to produce benzene, toluene and xylene (BTX) that examples this challenging, this paper describes a process-separated cascade catalysis (PSCC) for efficient BTX synthesis, prioritizing kinetic decoupling over spatial intimacy of active sites in bifunctional systems. We employ a spatially decoupled metal-zeolite catalyst, achieving &gt;95% propane conversion and 82.3% aromatic selectivity with near-exclusive BTX formation at 550 °C during continuous reaction-regeneration cycles. In situ spectroscopies and kinetics analysis reveal that PSCC decouples kinetics of alkane dehydrogenation to olefine intermediates (ethene, propene) in the first stage and synchronizes this process with oligomerization and aromatization reactions in the second stage. This synchronization affords the rate matching of two stage, thus minimizes cracking by-products and enhances BTX production substantially. Combined with high catalytic stability and technoeconomic assessment, this PSCC strategy represents a robust pathway in alkane (C2–C4)-to-BTX conversion and beyond bifunctional catalysis processes.</w:t>
      </w:r>
    </w:p>
    <w:p>
      <w:pPr>
        <w:spacing w:before="120" w:after="120"/>
      </w:pPr>
      <w:r>
        <w:rPr>
          <w:sz w:val="18"/>
        </w:rPr>
        <w:t>——————————————————————————————————————————————————————————————————————</w:t>
      </w:r>
    </w:p>
    <w:p>
      <w:pPr>
        <w:spacing w:before="160" w:after="40" w:line="240" w:lineRule="auto"/>
      </w:pPr>
      <w:r>
        <w:rPr>
          <w:b/>
        </w:rPr>
        <w:t xml:space="preserve">[449] </w:t>
      </w:r>
      <w:hyperlink r:id="rId1069">
        <w:r>
          <w:rPr>
            <w:color w:val="1155CC"/>
            <w:u w:val="single"/>
          </w:rPr>
          <w:t>原子级精确的 Au8Pd1(DPPF)42+ 催化剂协调过氧化氢的合成和利用</w:t>
        </w:r>
      </w:hyperlink>
    </w:p>
    <w:p>
      <w:pPr>
        <w:spacing w:before="0" w:after="80"/>
      </w:pPr>
      <w:r>
        <w:rPr>
          <w:i/>
          <w:sz w:val="20"/>
        </w:rPr>
        <w:t>EN: Atomically precise Au8Pd1(DPPF)42+ catalyst orchestrates the synthesis and utilization of hydrogen peroxide</w:t>
      </w:r>
    </w:p>
    <w:p>
      <w:pPr>
        <w:spacing w:before="0" w:after="120"/>
      </w:pPr>
      <w:r>
        <w:rPr>
          <w:b/>
        </w:rPr>
        <w:t xml:space="preserve">Source: </w:t>
      </w:r>
      <w:r>
        <w:t>Physical sciences : Nature Communications subject feeds</w:t>
      </w:r>
      <w:r>
        <w:t xml:space="preserve">    </w:t>
      </w:r>
      <w:r>
        <w:rPr>
          <w:b/>
        </w:rPr>
        <w:t xml:space="preserve">Pub date: </w:t>
      </w:r>
      <w:r>
        <w:t>2026-06-18 00:00:00+00:00</w:t>
      </w:r>
    </w:p>
    <w:p>
      <w:pPr>
        <w:spacing w:before="0" w:after="120"/>
      </w:pPr>
      <w:r>
        <w:rPr>
          <w:b/>
        </w:rPr>
        <w:t xml:space="preserve">Notes: </w:t>
      </w:r>
      <w:r>
        <w:t>abstract_source=nature_html</w:t>
      </w:r>
    </w:p>
    <w:p>
      <w:pPr>
        <w:spacing w:before="0" w:after="80" w:lineRule="auto" w:line="276"/>
      </w:pPr>
      <w:r>
        <w:rPr>
          <w:b/>
        </w:rPr>
        <w:t xml:space="preserve">摘要（ZH）: </w:t>
      </w:r>
      <w:r>
        <w:t>融合结构清晰度、功能模块化和可调空间可编程性的原子精确金属簇在过去十年中获得了发展势头。在这里，我们报道了原子级精确的 Au8Pd1(DPPF)42+ (DPPF = 1,1'-双(二苯基膦)二茂铁)簇在过氧化氢的合成和利用中的催化作用。该簇在整个催化过程中表现出金属核和表面配体的协奏曲般的协同作用，其中金属核催化甲酸和氧反应生成H2O2，随后DPPF配体与核共同作用，驱动H2O2转化为羟基自由基。值得注意的是，在计算流体动力学模拟的帮助下，将 Au8Pd1(DPPF)42+ 团簇组装成介孔 Al2O3 整体的多相催化剂能够在固定床反应器中连续生成和利用 H2O2。这项工作为H2O2合成和应用的高效升级提供了一条替代途径。</w:t>
      </w:r>
    </w:p>
    <w:p>
      <w:pPr>
        <w:spacing w:before="0" w:after="200" w:lineRule="auto" w:line="276"/>
      </w:pPr>
      <w:r>
        <w:rPr>
          <w:b/>
        </w:rPr>
        <w:t xml:space="preserve">Abstract (EN): </w:t>
      </w:r>
      <w:r>
        <w:t>Atomically precise metal clusters that merge structural clarity, functional modularity, and tunable spatial programmability have gained momentum over the past decade. Here, we report the catalysis of an atomically precise Au8Pd1(DPPF)42+ (DPPF = 1,1’-bis(diphenylphosphino)ferrocene) cluster in the synthesis and utilization of hydrogen peroxide. The cluster shows a concerto-like synergy of metal core and surface ligand in the entire catalytic process, in which the metal core catalyzes the reaction of formic acid and oxygen to produce H2O2, and subsequently DPPF ligands work with the core to drive the conversion of H2O2 into hydroxyl radicals. Notably, with the computational fluid dynamics simulation assistance, the heterogeneous catalyst from the assembly of Au8Pd1(DPPF)42+ clusters into mesoporous Al2O3 monolith enables continuous generation and utilization of H2O2 performed in the fixed-bed reactor. This work offers an alternative route for the efficient upgrading of H2O2 synthesis and application.</w:t>
      </w:r>
    </w:p>
    <w:p>
      <w:pPr>
        <w:spacing w:before="120" w:after="120"/>
      </w:pPr>
      <w:r>
        <w:rPr>
          <w:sz w:val="18"/>
        </w:rPr>
        <w:t>——————————————————————————————————————————————————————————————————————</w:t>
      </w:r>
    </w:p>
    <w:p>
      <w:pPr>
        <w:spacing w:before="160" w:after="40" w:line="240" w:lineRule="auto"/>
      </w:pPr>
      <w:r>
        <w:rPr>
          <w:b/>
        </w:rPr>
        <w:t xml:space="preserve">[450] </w:t>
      </w:r>
      <w:hyperlink r:id="rId1070">
        <w:r>
          <w:rPr>
            <w:color w:val="1155CC"/>
            <w:u w:val="single"/>
          </w:rPr>
          <w:t>HIV疫苗蓝图</w:t>
        </w:r>
      </w:hyperlink>
    </w:p>
    <w:p>
      <w:pPr>
        <w:spacing w:before="0" w:after="80"/>
      </w:pPr>
      <w:r>
        <w:rPr>
          <w:i/>
          <w:sz w:val="20"/>
        </w:rPr>
        <w:t>EN: An HIV vaccine blueprint</w:t>
      </w:r>
    </w:p>
    <w:p>
      <w:pPr>
        <w:spacing w:before="0" w:after="120"/>
      </w:pPr>
      <w:r>
        <w:rPr>
          <w:b/>
        </w:rPr>
        <w:t xml:space="preserve">Source: </w:t>
      </w:r>
      <w:r>
        <w:t>AAAS: Science: Table of Contents</w:t>
      </w:r>
      <w:r>
        <w:t xml:space="preserve">    </w:t>
      </w:r>
      <w:r>
        <w:rPr>
          <w:b/>
        </w:rPr>
        <w:t xml:space="preserve">Pub date: </w:t>
      </w:r>
      <w:r>
        <w:t>2026-06-18 06:00:17+00:00</w:t>
      </w:r>
      <w:r>
        <w:t xml:space="preserve">    </w:t>
      </w:r>
      <w:r>
        <w:rPr>
          <w:b/>
        </w:rPr>
        <w:t xml:space="preserve">DOI: </w:t>
      </w:r>
      <w:hyperlink r:id="rId1071">
        <w:r>
          <w:rPr>
            <w:color w:val="1155CC"/>
            <w:u w:val="single"/>
          </w:rPr>
          <w:t>10.1126/science.aei3106</w:t>
        </w:r>
      </w:hyperlink>
    </w:p>
    <w:p>
      <w:pPr>
        <w:spacing w:before="0" w:after="120"/>
      </w:pPr>
      <w:r>
        <w:rPr>
          <w:b/>
        </w:rPr>
        <w:t xml:space="preserve">Notes: </w:t>
      </w:r>
      <w:r>
        <w:t>abstract_source=crossref</w:t>
      </w:r>
    </w:p>
    <w:p>
      <w:pPr>
        <w:spacing w:before="0" w:after="80" w:lineRule="auto" w:line="276"/>
      </w:pPr>
      <w:r>
        <w:rPr>
          <w:b/>
        </w:rPr>
        <w:t xml:space="preserve">摘要（ZH）: </w:t>
      </w:r>
      <w:r>
        <w:t>恒河猴感染嵌合病毒揭示了广泛中和抗体的方法</w:t>
      </w:r>
    </w:p>
    <w:p>
      <w:pPr>
        <w:spacing w:before="0" w:after="200" w:lineRule="auto" w:line="276"/>
      </w:pPr>
      <w:r>
        <w:rPr>
          <w:b/>
        </w:rPr>
        <w:t xml:space="preserve">Abstract (EN): </w:t>
      </w:r>
      <w:r>
        <w:t>The infection of rhesus macaques with a chimeric virus uncovers a recipe for broadly neutralizing antibodies</w:t>
      </w:r>
    </w:p>
    <w:p>
      <w:pPr>
        <w:spacing w:before="120" w:after="120"/>
      </w:pPr>
      <w:r>
        <w:rPr>
          <w:sz w:val="18"/>
        </w:rPr>
        <w:t>——————————————————————————————————————————————————————————————————————</w:t>
      </w:r>
    </w:p>
    <w:p>
      <w:pPr>
        <w:spacing w:before="160" w:after="40" w:line="240" w:lineRule="auto"/>
      </w:pPr>
      <w:r>
        <w:rPr>
          <w:b/>
        </w:rPr>
        <w:t xml:space="preserve">[451] </w:t>
      </w:r>
      <w:hyperlink r:id="rId1072">
        <w:r>
          <w:rPr>
            <w:color w:val="1155CC"/>
            <w:u w:val="single"/>
          </w:rPr>
          <w:t>人工智能可能会提高标准并细化管道</w:t>
        </w:r>
      </w:hyperlink>
    </w:p>
    <w:p>
      <w:pPr>
        <w:spacing w:before="0" w:after="80"/>
      </w:pPr>
      <w:r>
        <w:rPr>
          <w:i/>
          <w:sz w:val="20"/>
        </w:rPr>
        <w:t>EN: AI may raise the bar and thin the pipeline</w:t>
      </w:r>
    </w:p>
    <w:p>
      <w:pPr>
        <w:spacing w:before="0" w:after="120"/>
      </w:pPr>
      <w:r>
        <w:rPr>
          <w:b/>
        </w:rPr>
        <w:t xml:space="preserve">Source: </w:t>
      </w:r>
      <w:r>
        <w:t>AAAS: Science: Table of Contents</w:t>
      </w:r>
      <w:r>
        <w:t xml:space="preserve">    </w:t>
      </w:r>
      <w:r>
        <w:rPr>
          <w:b/>
        </w:rPr>
        <w:t xml:space="preserve">Pub date: </w:t>
      </w:r>
      <w:r>
        <w:t>2026-06-18 06:00:17+00:00</w:t>
      </w:r>
      <w:r>
        <w:t xml:space="preserve">    </w:t>
      </w:r>
      <w:r>
        <w:rPr>
          <w:b/>
        </w:rPr>
        <w:t xml:space="preserve">DOI: </w:t>
      </w:r>
      <w:hyperlink r:id="rId1073">
        <w:r>
          <w:rPr>
            <w:color w:val="1155CC"/>
            <w:u w:val="single"/>
          </w:rPr>
          <w:t>10.1126/science.aeh4940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[452] </w:t>
      </w:r>
      <w:hyperlink r:id="rId1074">
        <w:r>
          <w:rPr>
            <w:color w:val="1155CC"/>
            <w:u w:val="single"/>
          </w:rPr>
          <w:t>保护 EEOC 数据收集</w:t>
        </w:r>
      </w:hyperlink>
    </w:p>
    <w:p>
      <w:pPr>
        <w:spacing w:before="0" w:after="80"/>
      </w:pPr>
      <w:r>
        <w:rPr>
          <w:i/>
          <w:sz w:val="20"/>
        </w:rPr>
        <w:t>EN: Preserve EEOC data collection</w:t>
      </w:r>
    </w:p>
    <w:p>
      <w:pPr>
        <w:spacing w:before="0" w:after="120"/>
      </w:pPr>
      <w:r>
        <w:rPr>
          <w:b/>
        </w:rPr>
        <w:t xml:space="preserve">Source: </w:t>
      </w:r>
      <w:r>
        <w:t>AAAS: Science: Table of Contents</w:t>
      </w:r>
      <w:r>
        <w:t xml:space="preserve">    </w:t>
      </w:r>
      <w:r>
        <w:rPr>
          <w:b/>
        </w:rPr>
        <w:t xml:space="preserve">Pub date: </w:t>
      </w:r>
      <w:r>
        <w:t>2026-06-18 06:00:17+00:00</w:t>
      </w:r>
      <w:r>
        <w:t xml:space="preserve">    </w:t>
      </w:r>
      <w:r>
        <w:rPr>
          <w:b/>
        </w:rPr>
        <w:t xml:space="preserve">DOI: </w:t>
      </w:r>
      <w:hyperlink r:id="rId1075">
        <w:r>
          <w:rPr>
            <w:color w:val="1155CC"/>
            <w:u w:val="single"/>
          </w:rPr>
          <w:t>10.1126/science.aei1236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[453] </w:t>
      </w:r>
      <w:hyperlink r:id="rId1076">
        <w:r>
          <w:rPr>
            <w:color w:val="1155CC"/>
            <w:u w:val="single"/>
          </w:rPr>
          <w:t>在其他期刊中</w:t>
        </w:r>
      </w:hyperlink>
    </w:p>
    <w:p>
      <w:pPr>
        <w:spacing w:before="0" w:after="80"/>
      </w:pPr>
      <w:r>
        <w:rPr>
          <w:i/>
          <w:sz w:val="20"/>
        </w:rPr>
        <w:t>EN: In Other Journals</w:t>
      </w:r>
    </w:p>
    <w:p>
      <w:pPr>
        <w:spacing w:before="0" w:after="120"/>
      </w:pPr>
      <w:r>
        <w:rPr>
          <w:b/>
        </w:rPr>
        <w:t xml:space="preserve">Source: </w:t>
      </w:r>
      <w:r>
        <w:t>AAAS: Science: Table of Contents</w:t>
      </w:r>
      <w:r>
        <w:t xml:space="preserve">    </w:t>
      </w:r>
      <w:r>
        <w:rPr>
          <w:b/>
        </w:rPr>
        <w:t xml:space="preserve">Pub date: </w:t>
      </w:r>
      <w:r>
        <w:t>2026-06-18 06:00:17+00:00</w:t>
      </w:r>
      <w:r>
        <w:t xml:space="preserve">    </w:t>
      </w:r>
      <w:r>
        <w:rPr>
          <w:b/>
        </w:rPr>
        <w:t xml:space="preserve">DOI: </w:t>
      </w:r>
      <w:hyperlink r:id="rId1077">
        <w:r>
          <w:rPr>
            <w:color w:val="1155CC"/>
            <w:u w:val="single"/>
          </w:rPr>
          <w:t>10.1126/science.aej7459</w:t>
        </w:r>
      </w:hyperlink>
    </w:p>
    <w:p>
      <w:pPr>
        <w:spacing w:before="0" w:after="120"/>
      </w:pPr>
      <w:r>
        <w:rPr>
          <w:b/>
        </w:rPr>
        <w:t xml:space="preserve">Notes: </w:t>
      </w:r>
      <w:r>
        <w:t>abstract_source=crossref</w:t>
      </w:r>
    </w:p>
    <w:p>
      <w:pPr>
        <w:spacing w:before="0" w:after="80" w:lineRule="auto" w:line="276"/>
      </w:pPr>
      <w:r>
        <w:rPr>
          <w:b/>
        </w:rPr>
        <w:t xml:space="preserve">摘要（ZH）: </w:t>
      </w:r>
      <w:r>
        <w:t>编辑精选当前科学文献</w:t>
      </w:r>
    </w:p>
    <w:p>
      <w:pPr>
        <w:spacing w:before="0" w:after="200" w:lineRule="auto" w:line="276"/>
      </w:pPr>
      <w:r>
        <w:rPr>
          <w:b/>
        </w:rPr>
        <w:t xml:space="preserve">Abstract (EN): </w:t>
      </w:r>
      <w:r>
        <w:t>Editors’ selections from the current scientific literature</w:t>
      </w:r>
    </w:p>
    <w:p>
      <w:pPr>
        <w:spacing w:before="120" w:after="120"/>
      </w:pPr>
      <w:r>
        <w:rPr>
          <w:sz w:val="18"/>
        </w:rPr>
        <w:t>——————————————————————————————————————————————————————————————————————</w:t>
      </w:r>
    </w:p>
    <w:p>
      <w:pPr>
        <w:spacing w:before="160" w:after="40" w:line="240" w:lineRule="auto"/>
      </w:pPr>
      <w:r>
        <w:rPr>
          <w:b/>
        </w:rPr>
        <w:t xml:space="preserve">[454] </w:t>
      </w:r>
      <w:hyperlink r:id="rId1078">
        <w:r>
          <w:rPr>
            <w:color w:val="1155CC"/>
            <w:u w:val="single"/>
          </w:rPr>
          <w:t>思考的爪子</w:t>
        </w:r>
      </w:hyperlink>
    </w:p>
    <w:p>
      <w:pPr>
        <w:spacing w:before="0" w:after="80"/>
      </w:pPr>
      <w:r>
        <w:rPr>
          <w:i/>
          <w:sz w:val="20"/>
        </w:rPr>
        <w:t>EN: Paws for thought</w:t>
      </w:r>
    </w:p>
    <w:p>
      <w:pPr>
        <w:spacing w:before="0" w:after="120"/>
      </w:pPr>
      <w:r>
        <w:rPr>
          <w:b/>
        </w:rPr>
        <w:t xml:space="preserve">Source: </w:t>
      </w:r>
      <w:r>
        <w:t>AAAS: Science: Table of Contents</w:t>
      </w:r>
      <w:r>
        <w:t xml:space="preserve">    </w:t>
      </w:r>
      <w:r>
        <w:rPr>
          <w:b/>
        </w:rPr>
        <w:t xml:space="preserve">Pub date: </w:t>
      </w:r>
      <w:r>
        <w:t>2026-06-18 06:00:17+00:00</w:t>
      </w:r>
      <w:r>
        <w:t xml:space="preserve">    </w:t>
      </w:r>
      <w:r>
        <w:rPr>
          <w:b/>
        </w:rPr>
        <w:t xml:space="preserve">DOI: </w:t>
      </w:r>
      <w:hyperlink r:id="rId1079">
        <w:r>
          <w:rPr>
            <w:color w:val="1155CC"/>
            <w:u w:val="single"/>
          </w:rPr>
          <w:t>10.1126/science.aej7460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[455] </w:t>
      </w:r>
      <w:hyperlink r:id="rId1080">
        <w:r>
          <w:rPr>
            <w:color w:val="1155CC"/>
            <w:u w:val="single"/>
          </w:rPr>
          <w:t>狼的时刻</w:t>
        </w:r>
      </w:hyperlink>
    </w:p>
    <w:p>
      <w:pPr>
        <w:spacing w:before="0" w:after="80"/>
      </w:pPr>
      <w:r>
        <w:rPr>
          <w:i/>
          <w:sz w:val="20"/>
        </w:rPr>
        <w:t>EN: Hour of the wolf</w:t>
      </w:r>
    </w:p>
    <w:p>
      <w:pPr>
        <w:spacing w:before="0" w:after="120"/>
      </w:pPr>
      <w:r>
        <w:rPr>
          <w:b/>
        </w:rPr>
        <w:t xml:space="preserve">Source: </w:t>
      </w:r>
      <w:r>
        <w:t>AAAS: Science: Table of Contents</w:t>
      </w:r>
      <w:r>
        <w:t xml:space="preserve">    </w:t>
      </w:r>
      <w:r>
        <w:rPr>
          <w:b/>
        </w:rPr>
        <w:t xml:space="preserve">Pub date: </w:t>
      </w:r>
      <w:r>
        <w:t>2026-06-18 06:00:17+00:00</w:t>
      </w:r>
      <w:r>
        <w:t xml:space="preserve">    </w:t>
      </w:r>
      <w:r>
        <w:rPr>
          <w:b/>
        </w:rPr>
        <w:t xml:space="preserve">DOI: </w:t>
      </w:r>
      <w:hyperlink r:id="rId1081">
        <w:r>
          <w:rPr>
            <w:color w:val="1155CC"/>
            <w:u w:val="single"/>
          </w:rPr>
          <w:t>10.1126/science.aej7910</w:t>
        </w:r>
      </w:hyperlink>
    </w:p>
    <w:p>
      <w:pPr>
        <w:spacing w:before="0" w:after="120"/>
      </w:pPr>
      <w:r>
        <w:rPr>
          <w:b/>
        </w:rPr>
        <w:t xml:space="preserve">Notes: </w:t>
      </w:r>
      <w:r>
        <w:t>abstract_source=crossref</w:t>
      </w:r>
    </w:p>
    <w:p>
      <w:pPr>
        <w:spacing w:before="0" w:after="80" w:lineRule="auto" w:line="276"/>
      </w:pPr>
      <w:r>
        <w:rPr>
          <w:b/>
        </w:rPr>
        <w:t xml:space="preserve">摘要（ZH）: </w:t>
      </w:r>
      <w:r>
        <w:t>狼队在欧洲取得了惊人的逆转。但对牲畜和人类的袭击引发了关于共存极限的激烈争论</w:t>
      </w:r>
    </w:p>
    <w:p>
      <w:pPr>
        <w:spacing w:before="0" w:after="200" w:lineRule="auto" w:line="276"/>
      </w:pPr>
      <w:r>
        <w:rPr>
          <w:b/>
        </w:rPr>
        <w:t xml:space="preserve">Abstract (EN): </w:t>
      </w:r>
      <w:r>
        <w:t>Wolves have made a spectacular comeback in Europe. But attacks on livestock and humans have caused a heated debate about the limits of coexistence</w:t>
      </w:r>
    </w:p>
    <w:p>
      <w:pPr>
        <w:spacing w:before="120" w:after="120"/>
      </w:pPr>
      <w:r>
        <w:rPr>
          <w:sz w:val="18"/>
        </w:rPr>
        <w:t>——————————————————————————————————————————————————————————————————————</w:t>
      </w:r>
    </w:p>
    <w:p>
      <w:pPr>
        <w:spacing w:before="160" w:after="40" w:line="240" w:lineRule="auto"/>
      </w:pPr>
      <w:r>
        <w:rPr>
          <w:b/>
        </w:rPr>
        <w:t xml:space="preserve">[456] </w:t>
      </w:r>
      <w:hyperlink r:id="rId1082">
        <w:r>
          <w:rPr>
            <w:color w:val="1155CC"/>
            <w:u w:val="single"/>
          </w:rPr>
          <w:t>追踪人畜共患病的根源</w:t>
        </w:r>
      </w:hyperlink>
    </w:p>
    <w:p>
      <w:pPr>
        <w:spacing w:before="0" w:after="80"/>
      </w:pPr>
      <w:r>
        <w:rPr>
          <w:i/>
          <w:sz w:val="20"/>
        </w:rPr>
        <w:t>EN: Tracking the roots of zoonoses</w:t>
      </w:r>
    </w:p>
    <w:p>
      <w:pPr>
        <w:spacing w:before="0" w:after="120"/>
      </w:pPr>
      <w:r>
        <w:rPr>
          <w:b/>
        </w:rPr>
        <w:t xml:space="preserve">Source: </w:t>
      </w:r>
      <w:r>
        <w:t>AAAS: Science: Table of Contents</w:t>
      </w:r>
      <w:r>
        <w:t xml:space="preserve">    </w:t>
      </w:r>
      <w:r>
        <w:rPr>
          <w:b/>
        </w:rPr>
        <w:t xml:space="preserve">Pub date: </w:t>
      </w:r>
      <w:r>
        <w:t>2026-06-18 06:00:17+00:00</w:t>
      </w:r>
      <w:r>
        <w:t xml:space="preserve">    </w:t>
      </w:r>
      <w:r>
        <w:rPr>
          <w:b/>
        </w:rPr>
        <w:t xml:space="preserve">DOI: </w:t>
      </w:r>
      <w:hyperlink r:id="rId1083">
        <w:r>
          <w:rPr>
            <w:color w:val="1155CC"/>
            <w:u w:val="single"/>
          </w:rPr>
          <w:t>10.1126/science.aef0941</w:t>
        </w:r>
      </w:hyperlink>
    </w:p>
    <w:p>
      <w:pPr>
        <w:spacing w:before="0" w:after="120"/>
      </w:pPr>
      <w:r>
        <w:rPr>
          <w:b/>
        </w:rPr>
        <w:t xml:space="preserve">Notes: </w:t>
      </w:r>
      <w:r>
        <w:t>abstract_source=crossref</w:t>
      </w:r>
    </w:p>
    <w:p>
      <w:pPr>
        <w:spacing w:before="0" w:after="80" w:lineRule="auto" w:line="276"/>
      </w:pPr>
      <w:r>
        <w:rPr>
          <w:b/>
        </w:rPr>
        <w:t xml:space="preserve">摘要（ZH）: </w:t>
      </w:r>
      <w:r>
        <w:t>来自动物的古代病原体DNA阐明了传染病的起源和进化</w:t>
      </w:r>
    </w:p>
    <w:p>
      <w:pPr>
        <w:spacing w:before="0" w:after="200" w:lineRule="auto" w:line="276"/>
      </w:pPr>
      <w:r>
        <w:rPr>
          <w:b/>
        </w:rPr>
        <w:t xml:space="preserve">Abstract (EN): </w:t>
      </w:r>
      <w:r>
        <w:t>Ancient pathogen DNA from animals elucidates the origin and evolution of infectious diseases</w:t>
      </w:r>
    </w:p>
    <w:p>
      <w:pPr>
        <w:spacing w:before="120" w:after="120"/>
      </w:pPr>
      <w:r>
        <w:rPr>
          <w:sz w:val="18"/>
        </w:rPr>
        <w:t>——————————————————————————————————————————————————————————————————————</w:t>
      </w:r>
    </w:p>
    <w:p>
      <w:pPr>
        <w:spacing w:before="160" w:after="40" w:line="240" w:lineRule="auto"/>
      </w:pPr>
      <w:r>
        <w:rPr>
          <w:b/>
        </w:rPr>
        <w:t xml:space="preserve">[457] </w:t>
      </w:r>
      <w:hyperlink r:id="rId1084">
        <w:r>
          <w:rPr>
            <w:color w:val="1155CC"/>
            <w:u w:val="single"/>
          </w:rPr>
          <w:t>埃博拉大爆发使研究焦点集中在鲜为人知的病毒上</w:t>
        </w:r>
      </w:hyperlink>
    </w:p>
    <w:p>
      <w:pPr>
        <w:spacing w:before="0" w:after="80"/>
      </w:pPr>
      <w:r>
        <w:rPr>
          <w:i/>
          <w:sz w:val="20"/>
        </w:rPr>
        <w:t>EN: Big Ebola outbreak puts research spotlight on little-known virus</w:t>
      </w:r>
    </w:p>
    <w:p>
      <w:pPr>
        <w:spacing w:before="0" w:after="120"/>
      </w:pPr>
      <w:r>
        <w:rPr>
          <w:b/>
        </w:rPr>
        <w:t xml:space="preserve">Source: </w:t>
      </w:r>
      <w:r>
        <w:t>AAAS: Science: Table of Contents</w:t>
      </w:r>
      <w:r>
        <w:t xml:space="preserve">    </w:t>
      </w:r>
      <w:r>
        <w:rPr>
          <w:b/>
        </w:rPr>
        <w:t xml:space="preserve">Pub date: </w:t>
      </w:r>
      <w:r>
        <w:t>2026-06-18 06:00:17+00:00</w:t>
      </w:r>
      <w:r>
        <w:t xml:space="preserve">    </w:t>
      </w:r>
      <w:r>
        <w:rPr>
          <w:b/>
        </w:rPr>
        <w:t xml:space="preserve">DOI: </w:t>
      </w:r>
      <w:hyperlink r:id="rId1085">
        <w:r>
          <w:rPr>
            <w:color w:val="1155CC"/>
            <w:u w:val="single"/>
          </w:rPr>
          <w:t>10.1126/science.aej7944</w:t>
        </w:r>
      </w:hyperlink>
    </w:p>
    <w:p>
      <w:pPr>
        <w:spacing w:before="0" w:after="120"/>
      </w:pPr>
      <w:r>
        <w:rPr>
          <w:b/>
        </w:rPr>
        <w:t xml:space="preserve">Notes: </w:t>
      </w:r>
      <w:r>
        <w:t>abstract_source=crossref</w:t>
      </w:r>
    </w:p>
    <w:p>
      <w:pPr>
        <w:spacing w:before="0" w:after="80" w:lineRule="auto" w:line="276"/>
      </w:pPr>
      <w:r>
        <w:rPr>
          <w:b/>
        </w:rPr>
        <w:t xml:space="preserve">摘要（ZH）: </w:t>
      </w:r>
      <w:r>
        <w:t>本迪布焦病毒之前只出现过两次。现在，科学家们看到了更好地了解它的机会</w:t>
      </w:r>
    </w:p>
    <w:p>
      <w:pPr>
        <w:spacing w:before="0" w:after="200" w:lineRule="auto" w:line="276"/>
      </w:pPr>
      <w:r>
        <w:rPr>
          <w:b/>
        </w:rPr>
        <w:t xml:space="preserve">Abstract (EN): </w:t>
      </w:r>
      <w:r>
        <w:t>The Bundibugyo virus only emerged twice before. Now, scientists see a chance to get to know it better</w:t>
      </w:r>
    </w:p>
    <w:p>
      <w:pPr>
        <w:spacing w:before="120" w:after="120"/>
      </w:pPr>
      <w:r>
        <w:rPr>
          <w:sz w:val="18"/>
        </w:rPr>
        <w:t>——————————————————————————————————————————————————————————————————————</w:t>
      </w:r>
    </w:p>
    <w:p>
      <w:pPr>
        <w:spacing w:before="160" w:after="40" w:line="240" w:lineRule="auto"/>
      </w:pPr>
      <w:r>
        <w:rPr>
          <w:b/>
        </w:rPr>
        <w:t xml:space="preserve">[458] </w:t>
      </w:r>
      <w:hyperlink r:id="rId1086">
        <w:r>
          <w:rPr>
            <w:color w:val="1155CC"/>
            <w:u w:val="single"/>
          </w:rPr>
          <w:t>科学机构的新政治工作清单被称为“怪异且反复无常”</w:t>
        </w:r>
      </w:hyperlink>
    </w:p>
    <w:p>
      <w:pPr>
        <w:spacing w:before="0" w:after="80"/>
      </w:pPr>
      <w:r>
        <w:rPr>
          <w:i/>
          <w:sz w:val="20"/>
        </w:rPr>
        <w:t>EN: New list of political jobs at science agencies called ‘weird and capricious’</w:t>
      </w:r>
    </w:p>
    <w:p>
      <w:pPr>
        <w:spacing w:before="0" w:after="120"/>
      </w:pPr>
      <w:r>
        <w:rPr>
          <w:b/>
        </w:rPr>
        <w:t xml:space="preserve">Source: </w:t>
      </w:r>
      <w:r>
        <w:t>AAAS: Science: Table of Contents</w:t>
      </w:r>
      <w:r>
        <w:t xml:space="preserve">    </w:t>
      </w:r>
      <w:r>
        <w:rPr>
          <w:b/>
        </w:rPr>
        <w:t xml:space="preserve">Pub date: </w:t>
      </w:r>
      <w:r>
        <w:t>2026-06-18 06:00:17+00:00</w:t>
      </w:r>
      <w:r>
        <w:t xml:space="preserve">    </w:t>
      </w:r>
      <w:r>
        <w:rPr>
          <w:b/>
        </w:rPr>
        <w:t xml:space="preserve">DOI: </w:t>
      </w:r>
      <w:hyperlink r:id="rId1087">
        <w:r>
          <w:rPr>
            <w:color w:val="1155CC"/>
            <w:u w:val="single"/>
          </w:rPr>
          <w:t>10.1126/science.aej7945</w:t>
        </w:r>
      </w:hyperlink>
    </w:p>
    <w:p>
      <w:pPr>
        <w:spacing w:before="0" w:after="120"/>
      </w:pPr>
      <w:r>
        <w:rPr>
          <w:b/>
        </w:rPr>
        <w:t xml:space="preserve">Notes: </w:t>
      </w:r>
      <w:r>
        <w:t>abstract_source=crossref</w:t>
      </w:r>
    </w:p>
    <w:p>
      <w:pPr>
        <w:spacing w:before="0" w:after="80" w:lineRule="auto" w:line="276"/>
      </w:pPr>
      <w:r>
        <w:rPr>
          <w:b/>
        </w:rPr>
        <w:t xml:space="preserve">摘要（ZH）: </w:t>
      </w:r>
      <w:r>
        <w:t>NIH 的项目和领导层受到重创；其他科学机构几乎没有被提及</w:t>
      </w:r>
    </w:p>
    <w:p>
      <w:pPr>
        <w:spacing w:before="0" w:after="200" w:lineRule="auto" w:line="276"/>
      </w:pPr>
      <w:r>
        <w:rPr>
          <w:b/>
        </w:rPr>
        <w:t xml:space="preserve">Abstract (EN): </w:t>
      </w:r>
      <w:r>
        <w:t>NIH programs and leadership are hit hard; other science agencies are barely mentioned</w:t>
      </w:r>
    </w:p>
    <w:p>
      <w:pPr>
        <w:spacing w:before="120" w:after="120"/>
      </w:pPr>
      <w:r>
        <w:rPr>
          <w:sz w:val="18"/>
        </w:rPr>
        <w:t>——————————————————————————————————————————————————————————————————————</w:t>
      </w:r>
    </w:p>
    <w:p>
      <w:pPr>
        <w:spacing w:before="160" w:after="40" w:line="240" w:lineRule="auto"/>
      </w:pPr>
      <w:r>
        <w:rPr>
          <w:b/>
        </w:rPr>
        <w:t xml:space="preserve">[459] </w:t>
      </w:r>
      <w:hyperlink r:id="rId1088">
        <w:r>
          <w:rPr>
            <w:color w:val="1155CC"/>
            <w:u w:val="single"/>
          </w:rPr>
          <w:t>一架太空望远镜正在坠落到地球上。 NASA正在竞相营救它</w:t>
        </w:r>
      </w:hyperlink>
    </w:p>
    <w:p>
      <w:pPr>
        <w:spacing w:before="0" w:after="80"/>
      </w:pPr>
      <w:r>
        <w:rPr>
          <w:i/>
          <w:sz w:val="20"/>
        </w:rPr>
        <w:t>EN: A space telescope is falling to Earth. NASA is racing to rescue it</w:t>
      </w:r>
    </w:p>
    <w:p>
      <w:pPr>
        <w:spacing w:before="0" w:after="120"/>
      </w:pPr>
      <w:r>
        <w:rPr>
          <w:b/>
        </w:rPr>
        <w:t xml:space="preserve">Source: </w:t>
      </w:r>
      <w:r>
        <w:t>AAAS: Science: Table of Contents</w:t>
      </w:r>
      <w:r>
        <w:t xml:space="preserve">    </w:t>
      </w:r>
      <w:r>
        <w:rPr>
          <w:b/>
        </w:rPr>
        <w:t xml:space="preserve">Pub date: </w:t>
      </w:r>
      <w:r>
        <w:t>2026-06-18 06:00:17+00:00</w:t>
      </w:r>
      <w:r>
        <w:t xml:space="preserve">    </w:t>
      </w:r>
      <w:r>
        <w:rPr>
          <w:b/>
        </w:rPr>
        <w:t xml:space="preserve">DOI: </w:t>
      </w:r>
      <w:hyperlink r:id="rId1089">
        <w:r>
          <w:rPr>
            <w:color w:val="1155CC"/>
            <w:u w:val="single"/>
          </w:rPr>
          <w:t>10.1126/science.aej7947</w:t>
        </w:r>
      </w:hyperlink>
    </w:p>
    <w:p>
      <w:pPr>
        <w:spacing w:before="0" w:after="120"/>
      </w:pPr>
      <w:r>
        <w:rPr>
          <w:b/>
        </w:rPr>
        <w:t xml:space="preserve">Notes: </w:t>
      </w:r>
      <w:r>
        <w:t>abstract_source=crossref</w:t>
      </w:r>
    </w:p>
    <w:p>
      <w:pPr>
        <w:spacing w:before="0" w:after="80" w:lineRule="auto" w:line="276"/>
      </w:pPr>
      <w:r>
        <w:rPr>
          <w:b/>
        </w:rPr>
        <w:t xml:space="preserve">摘要（ZH）: </w:t>
      </w:r>
      <w:r>
        <w:t>飞行器将尝试执行大胆的捕获和助推任务，以延长雨燕天文台的寿命</w:t>
      </w:r>
    </w:p>
    <w:p>
      <w:pPr>
        <w:spacing w:before="0" w:after="200" w:lineRule="auto" w:line="276"/>
      </w:pPr>
      <w:r>
        <w:rPr>
          <w:b/>
        </w:rPr>
        <w:t xml:space="preserve">Abstract (EN): </w:t>
      </w:r>
      <w:r>
        <w:t>Vehicle will attempt a daring capture-and-boost mission to extend the life of the Swift observatory</w:t>
      </w:r>
    </w:p>
    <w:p>
      <w:pPr>
        <w:spacing w:before="120" w:after="120"/>
      </w:pPr>
      <w:r>
        <w:rPr>
          <w:sz w:val="18"/>
        </w:rPr>
        <w:t>——————————————————————————————————————————————————————————————————————</w:t>
      </w:r>
    </w:p>
    <w:p>
      <w:pPr>
        <w:spacing w:before="160" w:after="40" w:line="240" w:lineRule="auto"/>
      </w:pPr>
      <w:r>
        <w:rPr>
          <w:b/>
        </w:rPr>
        <w:t xml:space="preserve">[460] </w:t>
      </w:r>
      <w:hyperlink r:id="rId1090">
        <w:r>
          <w:rPr>
            <w:color w:val="1155CC"/>
            <w:u w:val="single"/>
          </w:rPr>
          <w:t>厄尔尼诺现象来了。可能是本世纪最强</w:t>
        </w:r>
      </w:hyperlink>
    </w:p>
    <w:p>
      <w:pPr>
        <w:spacing w:before="0" w:after="80"/>
      </w:pPr>
      <w:r>
        <w:rPr>
          <w:i/>
          <w:sz w:val="20"/>
        </w:rPr>
        <w:t>EN: El Niño is here. It may be the strongest this century</w:t>
      </w:r>
    </w:p>
    <w:p>
      <w:pPr>
        <w:spacing w:before="0" w:after="120"/>
      </w:pPr>
      <w:r>
        <w:rPr>
          <w:b/>
        </w:rPr>
        <w:t xml:space="preserve">Source: </w:t>
      </w:r>
      <w:r>
        <w:t>AAAS: Science: Table of Contents</w:t>
      </w:r>
      <w:r>
        <w:t xml:space="preserve">    </w:t>
      </w:r>
      <w:r>
        <w:rPr>
          <w:b/>
        </w:rPr>
        <w:t xml:space="preserve">Pub date: </w:t>
      </w:r>
      <w:r>
        <w:t>2026-06-18 06:00:17+00:00</w:t>
      </w:r>
      <w:r>
        <w:t xml:space="preserve">    </w:t>
      </w:r>
      <w:r>
        <w:rPr>
          <w:b/>
        </w:rPr>
        <w:t xml:space="preserve">DOI: </w:t>
      </w:r>
      <w:hyperlink r:id="rId1091">
        <w:r>
          <w:rPr>
            <w:color w:val="1155CC"/>
            <w:u w:val="single"/>
          </w:rPr>
          <w:t>10.1126/science.aej7946</w:t>
        </w:r>
      </w:hyperlink>
    </w:p>
    <w:p>
      <w:pPr>
        <w:spacing w:before="0" w:after="120"/>
      </w:pPr>
      <w:r>
        <w:rPr>
          <w:b/>
        </w:rPr>
        <w:t xml:space="preserve">Notes: </w:t>
      </w:r>
      <w:r>
        <w:t>abstract_source=crossref</w:t>
      </w:r>
    </w:p>
    <w:p>
      <w:pPr>
        <w:spacing w:before="0" w:after="80" w:lineRule="auto" w:line="276"/>
      </w:pPr>
      <w:r>
        <w:rPr>
          <w:b/>
        </w:rPr>
        <w:t xml:space="preserve">摘要（ZH）: </w:t>
      </w:r>
      <w:r>
        <w:t>在清除了春季预报障碍后，科学家们发现，发生可能扰乱全球天气的强烈气候事件的可能性越来越大</w:t>
      </w:r>
    </w:p>
    <w:p>
      <w:pPr>
        <w:spacing w:before="0" w:after="200" w:lineRule="auto" w:line="276"/>
      </w:pPr>
      <w:r>
        <w:rPr>
          <w:b/>
        </w:rPr>
        <w:t xml:space="preserve">Abstract (EN): </w:t>
      </w:r>
      <w:r>
        <w:t>After clearing a spring forecasting hurdle, scientists see growing odds of a powerful climate event that could disrupt weather worldwide</w:t>
      </w:r>
    </w:p>
    <w:p>
      <w:pPr>
        <w:spacing w:before="120" w:after="120"/>
      </w:pPr>
      <w:r>
        <w:rPr>
          <w:sz w:val="18"/>
        </w:rPr>
        <w:t>——————————————————————————————————————————————————————————————————————</w:t>
      </w:r>
    </w:p>
    <w:p>
      <w:pPr>
        <w:spacing w:before="160" w:after="40" w:line="240" w:lineRule="auto"/>
      </w:pPr>
      <w:r>
        <w:rPr>
          <w:b/>
        </w:rPr>
        <w:t xml:space="preserve">[461] </w:t>
      </w:r>
      <w:hyperlink r:id="rId1092">
        <w:r>
          <w:rPr>
            <w:color w:val="1155CC"/>
            <w:u w:val="single"/>
          </w:rPr>
          <w:t>即使没有被询问，人工智能也会发现法律漏洞</w:t>
        </w:r>
      </w:hyperlink>
    </w:p>
    <w:p>
      <w:pPr>
        <w:spacing w:before="0" w:after="80"/>
      </w:pPr>
      <w:r>
        <w:rPr>
          <w:i/>
          <w:sz w:val="20"/>
        </w:rPr>
        <w:t>EN: AI finds legal loopholes, even when not asked</w:t>
      </w:r>
    </w:p>
    <w:p>
      <w:pPr>
        <w:spacing w:before="0" w:after="120"/>
      </w:pPr>
      <w:r>
        <w:rPr>
          <w:b/>
        </w:rPr>
        <w:t xml:space="preserve">Source: </w:t>
      </w:r>
      <w:r>
        <w:t>AAAS: Science: Table of Contents</w:t>
      </w:r>
      <w:r>
        <w:t xml:space="preserve">    </w:t>
      </w:r>
      <w:r>
        <w:rPr>
          <w:b/>
        </w:rPr>
        <w:t xml:space="preserve">Pub date: </w:t>
      </w:r>
      <w:r>
        <w:t>2026-06-18 06:00:17+00:00</w:t>
      </w:r>
      <w:r>
        <w:t xml:space="preserve">    </w:t>
      </w:r>
      <w:r>
        <w:rPr>
          <w:b/>
        </w:rPr>
        <w:t xml:space="preserve">DOI: </w:t>
      </w:r>
      <w:hyperlink r:id="rId1093">
        <w:r>
          <w:rPr>
            <w:color w:val="1155CC"/>
            <w:u w:val="single"/>
          </w:rPr>
          <w:t>10.1126/science.aej7948</w:t>
        </w:r>
      </w:hyperlink>
    </w:p>
    <w:p>
      <w:pPr>
        <w:spacing w:before="0" w:after="120"/>
      </w:pPr>
      <w:r>
        <w:rPr>
          <w:b/>
        </w:rPr>
        <w:t xml:space="preserve">Notes: </w:t>
      </w:r>
      <w:r>
        <w:t>abstract_source=crossref</w:t>
      </w:r>
    </w:p>
    <w:p>
      <w:pPr>
        <w:spacing w:before="0" w:after="80" w:lineRule="auto" w:line="276"/>
      </w:pPr>
      <w:r>
        <w:rPr>
          <w:b/>
        </w:rPr>
        <w:t xml:space="preserve">摘要（ZH）: </w:t>
      </w:r>
      <w:r>
        <w:t>模型不断发现利用法规的方法，而当前的保障措施基本上未能阻止它们</w:t>
      </w:r>
    </w:p>
    <w:p>
      <w:pPr>
        <w:spacing w:before="0" w:after="200" w:lineRule="auto" w:line="276"/>
      </w:pPr>
      <w:r>
        <w:rPr>
          <w:b/>
        </w:rPr>
        <w:t xml:space="preserve">Abstract (EN): </w:t>
      </w:r>
      <w:r>
        <w:t>Models repeatedly discovered ways to exploit regulations, and current safeguards largely failed to stop them</w:t>
      </w:r>
    </w:p>
    <w:p>
      <w:pPr>
        <w:spacing w:before="120" w:after="120"/>
      </w:pPr>
      <w:r>
        <w:rPr>
          <w:sz w:val="18"/>
        </w:rPr>
        <w:t>——————————————————————————————————————————————————————————————————————</w:t>
      </w:r>
    </w:p>
    <w:p>
      <w:pPr>
        <w:spacing w:before="160" w:after="40" w:line="240" w:lineRule="auto"/>
      </w:pPr>
      <w:r>
        <w:rPr>
          <w:b/>
        </w:rPr>
        <w:t xml:space="preserve">[462] </w:t>
      </w:r>
      <w:hyperlink r:id="rId1094">
        <w:r>
          <w:rPr>
            <w:color w:val="1155CC"/>
            <w:u w:val="single"/>
          </w:rPr>
          <w:t>2011 年 MW 9.0 Tohoku-Oki 地震后 ScS 触发的巨型逆冲断层界面上的滑移</w:t>
        </w:r>
      </w:hyperlink>
    </w:p>
    <w:p>
      <w:pPr>
        <w:spacing w:before="0" w:after="80"/>
      </w:pPr>
      <w:r>
        <w:rPr>
          <w:i/>
          <w:sz w:val="20"/>
        </w:rPr>
        <w:t>EN: ScS-triggered slip on megathrust interfaces after the 2011 MW 9.0 Tohoku-Oki earthquake</w:t>
      </w:r>
    </w:p>
    <w:p>
      <w:pPr>
        <w:spacing w:before="0" w:after="120"/>
      </w:pPr>
      <w:r>
        <w:rPr>
          <w:b/>
        </w:rPr>
        <w:t xml:space="preserve">Source: </w:t>
      </w:r>
      <w:r>
        <w:t>AAAS: Science: Table of Contents</w:t>
      </w:r>
      <w:r>
        <w:t xml:space="preserve">    </w:t>
      </w:r>
      <w:r>
        <w:rPr>
          <w:b/>
        </w:rPr>
        <w:t xml:space="preserve">Pub date: </w:t>
      </w:r>
      <w:r>
        <w:t>2026-06-18 06:00:17+00:00</w:t>
      </w:r>
      <w:r>
        <w:t xml:space="preserve">    </w:t>
      </w:r>
      <w:r>
        <w:rPr>
          <w:b/>
        </w:rPr>
        <w:t xml:space="preserve">DOI: </w:t>
      </w:r>
      <w:hyperlink r:id="rId1095">
        <w:r>
          <w:rPr>
            <w:color w:val="1155CC"/>
            <w:u w:val="single"/>
          </w:rPr>
          <w:t>10.1126/science.aec4190</w:t>
        </w:r>
      </w:hyperlink>
    </w:p>
    <w:p>
      <w:pPr>
        <w:spacing w:before="0" w:after="120"/>
      </w:pPr>
      <w:r>
        <w:rPr>
          <w:b/>
        </w:rPr>
        <w:t xml:space="preserve">Notes: </w:t>
      </w:r>
      <w:r>
        <w:t>abstract_source=crossref</w:t>
      </w:r>
    </w:p>
    <w:p>
      <w:pPr>
        <w:spacing w:before="0" w:after="80" w:lineRule="auto" w:line="276"/>
      </w:pPr>
      <w:r>
        <w:rPr>
          <w:b/>
        </w:rPr>
        <w:t xml:space="preserve">摘要（ZH）: </w:t>
      </w:r>
      <w:r>
        <w:t>我们报告了在瞬间震级（</w:t>
      </w:r>
      <w:r>
        <w:t xml:space="preserve"> </w:t>
      </w:r>
      <w:r>
        <w:t>中号</w:t>
      </w:r>
      <w:r>
        <w:t xml:space="preserve"> </w:t>
      </w:r>
      <w:r>
        <w:t>瓦</w:t>
      </w:r>
      <w:r>
        <w:t xml:space="preserve"> </w:t>
      </w:r>
      <w:r>
        <w:t>) 9.0 2011 年东北冲地震归因于剪切波传播至地心并返回而引发的多板块界面滑移事件。这次特大逆冲地震在日本产生了峰峰值超过1厘米的强烈ScS震相。叠加在该波形上，日本各地的全球导航卫星系统 (GNSS) 数据记录了高达 5 至 6 毫米的向东阶梯状位移。这可能是由于 ScS 波几乎同时到达日本而引发的巨型逆冲断层界面上的滑动。这种 SCS 触发是以前未被认识到的地震危险源，它可能（重新）激活主震区域和更广泛的周围巨型逆冲界面。</w:t>
      </w:r>
    </w:p>
    <w:p>
      <w:pPr>
        <w:spacing w:before="0" w:after="200" w:lineRule="auto" w:line="276"/>
      </w:pPr>
      <w:r>
        <w:rPr>
          <w:b/>
        </w:rPr>
        <w:t xml:space="preserve">Abstract (EN): </w:t>
      </w:r>
      <w:r>
        <w:t>We report an extraordinary observation of ground motion in Japan after the moment magnitude (</w:t>
      </w:r>
      <w:r>
        <w:t xml:space="preserve"> </w:t>
      </w:r>
      <w:r>
        <w:t>M</w:t>
      </w:r>
      <w:r>
        <w:t xml:space="preserve"> </w:t>
      </w:r>
      <w:r>
        <w:t>W</w:t>
      </w:r>
      <w:r>
        <w:t xml:space="preserve"> </w:t>
      </w:r>
      <w:r>
        <w:t>) 9.0 2011 Tohoku-Oki earthquake attributed to a multiplate-interface slip event triggered by shear wave that traveled to the Earth’s core and back. The megathrust earthquake generated a strong ScS phase with a peak-to-peak amplitude exceeding 1 centimeter in Japan. Superposed on this waveform, an eastward steplike displacement of up to 5 to 6 millimeters was recorded in Global Navigation Satellite System (GNSS) data throughout Japan. This likely originated from slip on the megathrust interfaces triggered by the nearly simultaneous arrival of the ScS wave across Japan. Such an ScS triggering is a previously unrecognized source of seismic hazard, which can potentially (re)activate the mainshock area and the broader surrounding megathrust interfaces.</w:t>
      </w:r>
    </w:p>
    <w:p>
      <w:pPr>
        <w:spacing w:before="120" w:after="120"/>
      </w:pPr>
      <w:r>
        <w:rPr>
          <w:sz w:val="18"/>
        </w:rPr>
        <w:t>——————————————————————————————————————————————————————————————————————</w:t>
      </w:r>
    </w:p>
    <w:p>
      <w:pPr>
        <w:spacing w:before="160" w:after="40" w:line="240" w:lineRule="auto"/>
      </w:pPr>
      <w:r>
        <w:rPr>
          <w:b/>
        </w:rPr>
        <w:t xml:space="preserve">[463] </w:t>
      </w:r>
      <w:hyperlink r:id="rId1096">
        <w:r>
          <w:rPr>
            <w:color w:val="1155CC"/>
            <w:u w:val="single"/>
          </w:rPr>
          <w:t>俄罗斯计划深入探索“无尽的石油”</w:t>
        </w:r>
      </w:hyperlink>
    </w:p>
    <w:p>
      <w:pPr>
        <w:spacing w:before="0" w:after="80"/>
      </w:pPr>
      <w:r>
        <w:rPr>
          <w:i/>
          <w:sz w:val="20"/>
        </w:rPr>
        <w:t>EN: Russia plans deep quest for ‘endless oil’</w:t>
      </w:r>
    </w:p>
    <w:p>
      <w:pPr>
        <w:spacing w:before="0" w:after="120"/>
      </w:pPr>
      <w:r>
        <w:rPr>
          <w:b/>
        </w:rPr>
        <w:t xml:space="preserve">Source: </w:t>
      </w:r>
      <w:r>
        <w:t>AAAS: Science: Table of Contents</w:t>
      </w:r>
      <w:r>
        <w:t xml:space="preserve">    </w:t>
      </w:r>
      <w:r>
        <w:rPr>
          <w:b/>
        </w:rPr>
        <w:t xml:space="preserve">Pub date: </w:t>
      </w:r>
      <w:r>
        <w:t>2026-06-18 06:00:17+00:00</w:t>
      </w:r>
      <w:r>
        <w:t xml:space="preserve">    </w:t>
      </w:r>
      <w:r>
        <w:rPr>
          <w:b/>
        </w:rPr>
        <w:t xml:space="preserve">DOI: </w:t>
      </w:r>
      <w:hyperlink r:id="rId1097">
        <w:r>
          <w:rPr>
            <w:color w:val="1155CC"/>
            <w:u w:val="single"/>
          </w:rPr>
          <w:t>10.1126/science.aej7952</w:t>
        </w:r>
      </w:hyperlink>
    </w:p>
    <w:p>
      <w:pPr>
        <w:spacing w:before="0" w:after="120"/>
      </w:pPr>
      <w:r>
        <w:rPr>
          <w:b/>
        </w:rPr>
        <w:t xml:space="preserve">Notes: </w:t>
      </w:r>
      <w:r>
        <w:t>abstract_source=crossref</w:t>
      </w:r>
    </w:p>
    <w:p>
      <w:pPr>
        <w:spacing w:before="0" w:after="80" w:lineRule="auto" w:line="276"/>
      </w:pPr>
      <w:r>
        <w:rPr>
          <w:b/>
        </w:rPr>
        <w:t xml:space="preserve">摘要（ZH）: </w:t>
      </w:r>
      <w:r>
        <w:t>普京前竞选经理吹捧的苏联时代理论声称石油矿床无需有机物即可形成</w:t>
      </w:r>
    </w:p>
    <w:p>
      <w:pPr>
        <w:spacing w:before="0" w:after="200" w:lineRule="auto" w:line="276"/>
      </w:pPr>
      <w:r>
        <w:rPr>
          <w:b/>
        </w:rPr>
        <w:t xml:space="preserve">Abstract (EN): </w:t>
      </w:r>
      <w:r>
        <w:t>Soviet-era theory touted by Putin’s former campaign manager claims oil deposits can form without organic matter</w:t>
      </w:r>
    </w:p>
    <w:p>
      <w:pPr>
        <w:spacing w:before="120" w:after="120"/>
      </w:pPr>
      <w:r>
        <w:rPr>
          <w:sz w:val="18"/>
        </w:rPr>
        <w:t>——————————————————————————————————————————————————————————————————————</w:t>
      </w:r>
    </w:p>
    <w:p>
      <w:pPr>
        <w:spacing w:before="160" w:after="40" w:line="240" w:lineRule="auto"/>
      </w:pPr>
      <w:r>
        <w:rPr>
          <w:b/>
        </w:rPr>
        <w:t xml:space="preserve">[464] </w:t>
      </w:r>
      <w:hyperlink r:id="rId1098">
        <w:r>
          <w:rPr>
            <w:color w:val="1155CC"/>
            <w:u w:val="single"/>
          </w:rPr>
          <w:t>亚稳态固溶体转变为复杂的纳米结构</w:t>
        </w:r>
      </w:hyperlink>
    </w:p>
    <w:p>
      <w:pPr>
        <w:spacing w:before="0" w:after="80"/>
      </w:pPr>
      <w:r>
        <w:rPr>
          <w:i/>
          <w:sz w:val="20"/>
        </w:rPr>
        <w:t>EN: A metastable solid solution transforms into complex nanostructures</w:t>
      </w:r>
    </w:p>
    <w:p>
      <w:pPr>
        <w:spacing w:before="0" w:after="120"/>
      </w:pPr>
      <w:r>
        <w:rPr>
          <w:b/>
        </w:rPr>
        <w:t xml:space="preserve">Source: </w:t>
      </w:r>
      <w:r>
        <w:t>AAAS: Science: Table of Contents</w:t>
      </w:r>
      <w:r>
        <w:t xml:space="preserve">    </w:t>
      </w:r>
      <w:r>
        <w:rPr>
          <w:b/>
        </w:rPr>
        <w:t xml:space="preserve">Pub date: </w:t>
      </w:r>
      <w:r>
        <w:t>2026-06-18 06:00:17+00:00</w:t>
      </w:r>
      <w:r>
        <w:t xml:space="preserve">    </w:t>
      </w:r>
      <w:r>
        <w:rPr>
          <w:b/>
        </w:rPr>
        <w:t xml:space="preserve">DOI: </w:t>
      </w:r>
      <w:hyperlink r:id="rId1099">
        <w:r>
          <w:rPr>
            <w:color w:val="1155CC"/>
            <w:u w:val="single"/>
          </w:rPr>
          <w:t>10.1126/science.aei4111</w:t>
        </w:r>
      </w:hyperlink>
    </w:p>
    <w:p>
      <w:pPr>
        <w:spacing w:before="0" w:after="120"/>
      </w:pPr>
      <w:r>
        <w:rPr>
          <w:b/>
        </w:rPr>
        <w:t xml:space="preserve">Notes: </w:t>
      </w:r>
      <w:r>
        <w:t>abstract_source=crossref</w:t>
      </w:r>
    </w:p>
    <w:p>
      <w:pPr>
        <w:spacing w:before="0" w:after="80" w:lineRule="auto" w:line="276"/>
      </w:pPr>
      <w:r>
        <w:rPr>
          <w:b/>
        </w:rPr>
        <w:t xml:space="preserve">摘要（ZH）: </w:t>
      </w:r>
      <w:r>
        <w:t>高熵合金的不稳定性会导致结构变化，从而强化合金</w:t>
      </w:r>
    </w:p>
    <w:p>
      <w:pPr>
        <w:spacing w:before="0" w:after="200" w:lineRule="auto" w:line="276"/>
      </w:pPr>
      <w:r>
        <w:rPr>
          <w:b/>
        </w:rPr>
        <w:t xml:space="preserve">Abstract (EN): </w:t>
      </w:r>
      <w:r>
        <w:t>Instability in a high-entropy alloy drives structural changes that strengthen the alloy</w:t>
      </w:r>
    </w:p>
    <w:p>
      <w:pPr>
        <w:spacing w:before="120" w:after="120"/>
      </w:pPr>
      <w:r>
        <w:rPr>
          <w:sz w:val="18"/>
        </w:rPr>
        <w:t>——————————————————————————————————————————————————————————————————————</w:t>
      </w:r>
    </w:p>
    <w:p>
      <w:pPr>
        <w:spacing w:before="160" w:after="40" w:line="240" w:lineRule="auto"/>
      </w:pPr>
      <w:r>
        <w:rPr>
          <w:b/>
        </w:rPr>
        <w:t xml:space="preserve">[465] </w:t>
      </w:r>
      <w:hyperlink r:id="rId1100">
        <w:r>
          <w:rPr>
            <w:color w:val="1155CC"/>
            <w:u w:val="single"/>
          </w:rPr>
          <w:t>人工智能世界中的科学计算</w:t>
        </w:r>
      </w:hyperlink>
    </w:p>
    <w:p>
      <w:pPr>
        <w:spacing w:before="0" w:after="80"/>
      </w:pPr>
      <w:r>
        <w:rPr>
          <w:i/>
          <w:sz w:val="20"/>
        </w:rPr>
        <w:t>EN: Scientific computing in an AI world</w:t>
      </w:r>
    </w:p>
    <w:p>
      <w:pPr>
        <w:spacing w:before="0" w:after="120"/>
      </w:pPr>
      <w:r>
        <w:rPr>
          <w:b/>
        </w:rPr>
        <w:t xml:space="preserve">Source: </w:t>
      </w:r>
      <w:r>
        <w:t>AAAS: Science: Table of Contents</w:t>
      </w:r>
      <w:r>
        <w:t xml:space="preserve">    </w:t>
      </w:r>
      <w:r>
        <w:rPr>
          <w:b/>
        </w:rPr>
        <w:t xml:space="preserve">Pub date: </w:t>
      </w:r>
      <w:r>
        <w:t>2026-06-18 06:00:17+00:00</w:t>
      </w:r>
      <w:r>
        <w:t xml:space="preserve">    </w:t>
      </w:r>
      <w:r>
        <w:rPr>
          <w:b/>
        </w:rPr>
        <w:t xml:space="preserve">DOI: </w:t>
      </w:r>
      <w:hyperlink r:id="rId1101">
        <w:r>
          <w:rPr>
            <w:color w:val="1155CC"/>
            <w:u w:val="single"/>
          </w:rPr>
          <w:t>10.1126/science.aef4214</w:t>
        </w:r>
      </w:hyperlink>
    </w:p>
    <w:p>
      <w:pPr>
        <w:spacing w:before="0" w:after="120"/>
      </w:pPr>
      <w:r>
        <w:rPr>
          <w:b/>
        </w:rPr>
        <w:t xml:space="preserve">Notes: </w:t>
      </w:r>
      <w:r>
        <w:t>abstract_source=crossref</w:t>
      </w:r>
    </w:p>
    <w:p>
      <w:pPr>
        <w:spacing w:before="0" w:after="80" w:lineRule="auto" w:line="276"/>
      </w:pPr>
      <w:r>
        <w:rPr>
          <w:b/>
        </w:rPr>
        <w:t xml:space="preserve">摘要（ZH）: </w:t>
      </w:r>
      <w:r>
        <w:t>科学计算必须将人工智能与模拟相结合，重点关注节能方法和系统</w:t>
      </w:r>
    </w:p>
    <w:p>
      <w:pPr>
        <w:spacing w:before="0" w:after="200" w:lineRule="auto" w:line="276"/>
      </w:pPr>
      <w:r>
        <w:rPr>
          <w:b/>
        </w:rPr>
        <w:t xml:space="preserve">Abstract (EN): </w:t>
      </w:r>
      <w:r>
        <w:t>Scientific computing must integrate AI with simulation and focus on energy-efficient methods and systems</w:t>
      </w:r>
    </w:p>
    <w:p>
      <w:pPr>
        <w:spacing w:before="120" w:after="120"/>
      </w:pPr>
      <w:r>
        <w:rPr>
          <w:sz w:val="18"/>
        </w:rPr>
        <w:t>——————————————————————————————————————————————————————————————————————</w:t>
      </w:r>
    </w:p>
    <w:p>
      <w:pPr>
        <w:spacing w:before="160" w:after="40" w:line="240" w:lineRule="auto"/>
      </w:pPr>
      <w:r>
        <w:rPr>
          <w:b/>
        </w:rPr>
        <w:t xml:space="preserve">[466] </w:t>
      </w:r>
      <w:hyperlink r:id="rId1102">
        <w:r>
          <w:rPr>
            <w:color w:val="1155CC"/>
            <w:u w:val="single"/>
          </w:rPr>
          <w:t>在科学期刊中</w:t>
        </w:r>
      </w:hyperlink>
    </w:p>
    <w:p>
      <w:pPr>
        <w:spacing w:before="0" w:after="80"/>
      </w:pPr>
      <w:r>
        <w:rPr>
          <w:i/>
          <w:sz w:val="20"/>
        </w:rPr>
        <w:t>EN: In Science Journals</w:t>
      </w:r>
    </w:p>
    <w:p>
      <w:pPr>
        <w:spacing w:before="0" w:after="120"/>
      </w:pPr>
      <w:r>
        <w:rPr>
          <w:b/>
        </w:rPr>
        <w:t xml:space="preserve">Source: </w:t>
      </w:r>
      <w:r>
        <w:t>AAAS: Science: Table of Contents</w:t>
      </w:r>
      <w:r>
        <w:t xml:space="preserve">    </w:t>
      </w:r>
      <w:r>
        <w:rPr>
          <w:b/>
        </w:rPr>
        <w:t xml:space="preserve">Pub date: </w:t>
      </w:r>
      <w:r>
        <w:t>2026-06-18 06:00:17+00:00</w:t>
      </w:r>
      <w:r>
        <w:t xml:space="preserve">    </w:t>
      </w:r>
      <w:r>
        <w:rPr>
          <w:b/>
        </w:rPr>
        <w:t xml:space="preserve">DOI: </w:t>
      </w:r>
      <w:hyperlink r:id="rId1103">
        <w:r>
          <w:rPr>
            <w:color w:val="1155CC"/>
            <w:u w:val="single"/>
          </w:rPr>
          <w:t>10.1126/science.aej7458</w:t>
        </w:r>
      </w:hyperlink>
    </w:p>
    <w:p>
      <w:pPr>
        <w:spacing w:before="0" w:after="120"/>
      </w:pPr>
      <w:r>
        <w:rPr>
          <w:b/>
        </w:rPr>
        <w:t xml:space="preserve">Notes: </w:t>
      </w:r>
      <w:r>
        <w:t>abstract_source=crossref</w:t>
      </w:r>
    </w:p>
    <w:p>
      <w:pPr>
        <w:spacing w:before="0" w:after="80" w:lineRule="auto" w:line="276"/>
      </w:pPr>
      <w:r>
        <w:rPr>
          <w:b/>
        </w:rPr>
        <w:t xml:space="preserve">摘要（ZH）: </w:t>
      </w:r>
      <w:r>
        <w:t>亮点来自</w:t>
      </w:r>
      <w:r>
        <w:t xml:space="preserve"> </w:t>
      </w:r>
      <w:r>
        <w:t>科学</w:t>
      </w:r>
      <w:r>
        <w:t xml:space="preserve"> </w:t>
      </w:r>
      <w:r>
        <w:t>期刊家族</w:t>
      </w:r>
    </w:p>
    <w:p>
      <w:pPr>
        <w:spacing w:before="0" w:after="200" w:lineRule="auto" w:line="276"/>
      </w:pPr>
      <w:r>
        <w:rPr>
          <w:b/>
        </w:rPr>
        <w:t xml:space="preserve">Abstract (EN): </w:t>
      </w:r>
      <w:r>
        <w:t>Highlights from the</w:t>
      </w:r>
      <w:r>
        <w:t xml:space="preserve"> </w:t>
      </w:r>
      <w:r>
        <w:t>Science</w:t>
      </w:r>
      <w:r>
        <w:t xml:space="preserve"> </w:t>
      </w:r>
      <w:r>
        <w:t>family of journals</w:t>
      </w:r>
    </w:p>
    <w:p>
      <w:pPr>
        <w:spacing w:before="120" w:after="120"/>
      </w:pPr>
      <w:r>
        <w:rPr>
          <w:sz w:val="18"/>
        </w:rPr>
        <w:t>——————————————————————————————————————————————————————————————————————</w:t>
      </w:r>
    </w:p>
    <w:p>
      <w:pPr>
        <w:spacing w:before="160" w:after="40" w:line="240" w:lineRule="auto"/>
      </w:pPr>
      <w:r>
        <w:rPr>
          <w:b/>
        </w:rPr>
        <w:t xml:space="preserve">[467] </w:t>
      </w:r>
      <w:hyperlink r:id="rId1104">
        <w:r>
          <w:rPr>
            <w:color w:val="1155CC"/>
            <w:u w:val="single"/>
          </w:rPr>
          <w:t>生命的化学物质不太可能起源于海底</w:t>
        </w:r>
      </w:hyperlink>
    </w:p>
    <w:p>
      <w:pPr>
        <w:spacing w:before="0" w:after="80"/>
      </w:pPr>
      <w:r>
        <w:rPr>
          <w:i/>
          <w:sz w:val="20"/>
        </w:rPr>
        <w:t>EN: Unlikely chemistry of life may have originated on the ocean floor</w:t>
      </w:r>
    </w:p>
    <w:p>
      <w:pPr>
        <w:spacing w:before="0" w:after="120"/>
      </w:pPr>
      <w:r>
        <w:rPr>
          <w:b/>
        </w:rPr>
        <w:t xml:space="preserve">Source: </w:t>
      </w:r>
      <w:r>
        <w:t>AAAS: Science: Table of Contents</w:t>
      </w:r>
      <w:r>
        <w:t xml:space="preserve">    </w:t>
      </w:r>
      <w:r>
        <w:rPr>
          <w:b/>
        </w:rPr>
        <w:t xml:space="preserve">Pub date: </w:t>
      </w:r>
      <w:r>
        <w:t>2026-06-18 06:00:17+00:00</w:t>
      </w:r>
      <w:r>
        <w:t xml:space="preserve">    </w:t>
      </w:r>
      <w:r>
        <w:rPr>
          <w:b/>
        </w:rPr>
        <w:t xml:space="preserve">DOI: </w:t>
      </w:r>
      <w:hyperlink r:id="rId1105">
        <w:r>
          <w:rPr>
            <w:color w:val="1155CC"/>
            <w:u w:val="single"/>
          </w:rPr>
          <w:t>10.1126/science.aej7951</w:t>
        </w:r>
      </w:hyperlink>
    </w:p>
    <w:p>
      <w:pPr>
        <w:spacing w:before="0" w:after="120"/>
      </w:pPr>
      <w:r>
        <w:rPr>
          <w:b/>
        </w:rPr>
        <w:t xml:space="preserve">Notes: </w:t>
      </w:r>
      <w:r>
        <w:t>abstract_source=crossref</w:t>
      </w:r>
    </w:p>
    <w:p>
      <w:pPr>
        <w:spacing w:before="0" w:after="80" w:lineRule="auto" w:line="276"/>
      </w:pPr>
      <w:r>
        <w:rPr>
          <w:b/>
        </w:rPr>
        <w:t xml:space="preserve">摘要（ZH）: </w:t>
      </w:r>
      <w:r>
        <w:t>研究小组为细胞如何依赖磷酸盐分子提供了新的设想</w:t>
      </w:r>
    </w:p>
    <w:p>
      <w:pPr>
        <w:spacing w:before="0" w:after="200" w:lineRule="auto" w:line="276"/>
      </w:pPr>
      <w:r>
        <w:rPr>
          <w:b/>
        </w:rPr>
        <w:t xml:space="preserve">Abstract (EN): </w:t>
      </w:r>
      <w:r>
        <w:t>Group offers new scenario for how cells came to rely on phosphate molecules</w:t>
      </w:r>
    </w:p>
    <w:p>
      <w:pPr>
        <w:spacing w:before="120" w:after="120"/>
      </w:pPr>
      <w:r>
        <w:rPr>
          <w:sz w:val="18"/>
        </w:rPr>
        <w:t>——————————————————————————————————————————————————————————————————————</w:t>
      </w:r>
    </w:p>
    <w:p>
      <w:pPr>
        <w:spacing w:before="160" w:after="40" w:line="240" w:lineRule="auto"/>
      </w:pPr>
      <w:r>
        <w:rPr>
          <w:b/>
        </w:rPr>
        <w:t xml:space="preserve">[468] </w:t>
      </w:r>
      <w:hyperlink r:id="rId1106">
        <w:r>
          <w:rPr>
            <w:color w:val="1155CC"/>
            <w:u w:val="single"/>
          </w:rPr>
          <w:t>继承创伤，重新思考科学</w:t>
        </w:r>
      </w:hyperlink>
    </w:p>
    <w:p>
      <w:pPr>
        <w:spacing w:before="0" w:after="80"/>
      </w:pPr>
      <w:r>
        <w:rPr>
          <w:i/>
          <w:sz w:val="20"/>
        </w:rPr>
        <w:t>EN: Inheriting trauma, rethinking science</w:t>
      </w:r>
    </w:p>
    <w:p>
      <w:pPr>
        <w:spacing w:before="0" w:after="120"/>
      </w:pPr>
      <w:r>
        <w:rPr>
          <w:b/>
        </w:rPr>
        <w:t xml:space="preserve">Source: </w:t>
      </w:r>
      <w:r>
        <w:t>AAAS: Science: Table of Contents</w:t>
      </w:r>
      <w:r>
        <w:t xml:space="preserve">    </w:t>
      </w:r>
      <w:r>
        <w:rPr>
          <w:b/>
        </w:rPr>
        <w:t xml:space="preserve">Pub date: </w:t>
      </w:r>
      <w:r>
        <w:t>2026-06-18 06:00:17+00:00</w:t>
      </w:r>
      <w:r>
        <w:t xml:space="preserve">    </w:t>
      </w:r>
      <w:r>
        <w:rPr>
          <w:b/>
        </w:rPr>
        <w:t xml:space="preserve">DOI: </w:t>
      </w:r>
      <w:hyperlink r:id="rId1107">
        <w:r>
          <w:rPr>
            <w:color w:val="1155CC"/>
            <w:u w:val="single"/>
          </w:rPr>
          <w:t>10.1126/science.aeh7938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[469] </w:t>
      </w:r>
      <w:hyperlink r:id="rId1108">
        <w:r>
          <w:rPr>
            <w:color w:val="1155CC"/>
            <w:u w:val="single"/>
          </w:rPr>
          <w:t>堇菜籽荚结构形成顺序、力增强的捏合</w:t>
        </w:r>
      </w:hyperlink>
    </w:p>
    <w:p>
      <w:pPr>
        <w:spacing w:before="0" w:after="80"/>
      </w:pPr>
      <w:r>
        <w:rPr>
          <w:i/>
          <w:sz w:val="20"/>
        </w:rPr>
        <w:t>EN: Viola seed pod architecture shapes sequential, force-augmented pinching</w:t>
      </w:r>
    </w:p>
    <w:p>
      <w:pPr>
        <w:spacing w:before="0" w:after="120"/>
      </w:pPr>
      <w:r>
        <w:rPr>
          <w:b/>
        </w:rPr>
        <w:t xml:space="preserve">Source: </w:t>
      </w:r>
      <w:r>
        <w:t>AAAS: Science: Table of Contents</w:t>
      </w:r>
      <w:r>
        <w:t xml:space="preserve">    </w:t>
      </w:r>
      <w:r>
        <w:rPr>
          <w:b/>
        </w:rPr>
        <w:t xml:space="preserve">Pub date: </w:t>
      </w:r>
      <w:r>
        <w:t>2026-06-18 06:00:17+00:00</w:t>
      </w:r>
      <w:r>
        <w:t xml:space="preserve">    </w:t>
      </w:r>
      <w:r>
        <w:rPr>
          <w:b/>
        </w:rPr>
        <w:t xml:space="preserve">DOI: </w:t>
      </w:r>
      <w:hyperlink r:id="rId1109">
        <w:r>
          <w:rPr>
            <w:color w:val="1155CC"/>
            <w:u w:val="single"/>
          </w:rPr>
          <w:t>10.1126/science.aed2953</w:t>
        </w:r>
      </w:hyperlink>
    </w:p>
    <w:p>
      <w:pPr>
        <w:spacing w:before="0" w:after="120"/>
      </w:pPr>
      <w:r>
        <w:rPr>
          <w:b/>
        </w:rPr>
        <w:t xml:space="preserve">Notes: </w:t>
      </w:r>
      <w:r>
        <w:t>abstract_source=crossref</w:t>
      </w:r>
    </w:p>
    <w:p>
      <w:pPr>
        <w:spacing w:before="0" w:after="80" w:lineRule="auto" w:line="276"/>
      </w:pPr>
      <w:r>
        <w:rPr>
          <w:b/>
        </w:rPr>
        <w:t xml:space="preserve">摘要（ZH）: </w:t>
      </w:r>
      <w:r>
        <w:t>许多植物会爆炸性地发射种子，但这些天然弹射器在种子喷射过程中通常表现出低效且不可预测的能量转移。紫罗兰（</w:t>
      </w:r>
      <w:r>
        <w:t xml:space="preserve"> </w:t>
      </w:r>
      <w:r>
        <w:t>中提琴</w:t>
      </w:r>
      <w:r>
        <w:t xml:space="preserve"> </w:t>
      </w:r>
      <w:r>
        <w:t>spp.）通过从单个豆荚中以一致的推进力连续喷射种子来解决这个问题，这种策略需要复杂的能量释放。在这项工作中，我们表明</w:t>
      </w:r>
      <w:r>
        <w:t xml:space="preserve"> </w:t>
      </w:r>
      <w:r>
        <w:t>中提琴</w:t>
      </w:r>
      <w:r>
        <w:t xml:space="preserve"> </w:t>
      </w:r>
      <w:r>
        <w:t>通过简单而紧凑的结构实现了这一壮举，该结构通过顺序挤压产生自适应力增强。我们的生物学和数学分析表明，荚阀的形态几何学优化了具有足够强度的挤压，以有限的材料成本进行种子喷射，并创建了一个移动的力放大热点，从而允许连续的种子喷射。我们利用这一设计原理来创建适用于一系列应用的自主拉链执行器，包括生物医学软机。</w:t>
      </w:r>
    </w:p>
    <w:p>
      <w:pPr>
        <w:spacing w:before="0" w:after="200" w:lineRule="auto" w:line="276"/>
      </w:pPr>
      <w:r>
        <w:rPr>
          <w:b/>
        </w:rPr>
        <w:t xml:space="preserve">Abstract (EN): </w:t>
      </w:r>
      <w:r>
        <w:t>Many plants explosively launch seeds, but these natural catapults often display inefficient, unpredictable energy transfer in seed ejection. Violets (</w:t>
      </w:r>
      <w:r>
        <w:t xml:space="preserve"> </w:t>
      </w:r>
      <w:r>
        <w:t>Viola</w:t>
      </w:r>
      <w:r>
        <w:t xml:space="preserve"> </w:t>
      </w:r>
      <w:r>
        <w:t>spp.) address this problem by ejecting seeds successively with consistent propulsive force from a single pod, a strategy that requires sophisticated energy release. In this work, we show that</w:t>
      </w:r>
      <w:r>
        <w:t xml:space="preserve"> </w:t>
      </w:r>
      <w:r>
        <w:t>Viola</w:t>
      </w:r>
      <w:r>
        <w:t xml:space="preserve"> </w:t>
      </w:r>
      <w:r>
        <w:t>achieves this feat with a simple and compact structure that generates adaptive force augmentation through sequential pinching. Our biological and mathematical analyses indicate that the pod valve’s morphogeometry optimizes pinching with sufficient strength for seed ejection with limited material cost and creates a shifting force-amplifying hotspot, which allows consecutive seed ejections. We use this design principle to create autonomous zipping actuators for a range of applications, including biomedical soft machines.</w:t>
      </w:r>
    </w:p>
    <w:p>
      <w:pPr>
        <w:spacing w:before="120" w:after="120"/>
      </w:pPr>
      <w:r>
        <w:rPr>
          <w:sz w:val="18"/>
        </w:rPr>
        <w:t>——————————————————————————————————————————————————————————————————————</w:t>
      </w:r>
    </w:p>
    <w:p>
      <w:pPr>
        <w:spacing w:before="160" w:after="40" w:line="240" w:lineRule="auto"/>
      </w:pPr>
      <w:r>
        <w:rPr>
          <w:b/>
        </w:rPr>
        <w:t xml:space="preserve">[470] </w:t>
      </w:r>
      <w:hyperlink r:id="rId1110">
        <w:r>
          <w:rPr>
            <w:color w:val="1155CC"/>
            <w:u w:val="single"/>
          </w:rPr>
          <w:t>乌克兰战争导致野生动物活动模式发生变化</w:t>
        </w:r>
      </w:hyperlink>
    </w:p>
    <w:p>
      <w:pPr>
        <w:spacing w:before="0" w:after="80"/>
      </w:pPr>
      <w:r>
        <w:rPr>
          <w:i/>
          <w:sz w:val="20"/>
        </w:rPr>
        <w:t>EN: Changes in wildlife activity patterns in response to war in Ukraine</w:t>
      </w:r>
    </w:p>
    <w:p>
      <w:pPr>
        <w:spacing w:before="0" w:after="120"/>
      </w:pPr>
      <w:r>
        <w:rPr>
          <w:b/>
        </w:rPr>
        <w:t xml:space="preserve">Source: </w:t>
      </w:r>
      <w:r>
        <w:t>AAAS: Science: Table of Contents</w:t>
      </w:r>
      <w:r>
        <w:t xml:space="preserve">    </w:t>
      </w:r>
      <w:r>
        <w:rPr>
          <w:b/>
        </w:rPr>
        <w:t xml:space="preserve">Pub date: </w:t>
      </w:r>
      <w:r>
        <w:t>2026-06-18 06:00:17+00:00</w:t>
      </w:r>
      <w:r>
        <w:t xml:space="preserve">    </w:t>
      </w:r>
      <w:r>
        <w:rPr>
          <w:b/>
        </w:rPr>
        <w:t xml:space="preserve">DOI: </w:t>
      </w:r>
      <w:hyperlink r:id="rId1111">
        <w:r>
          <w:rPr>
            <w:color w:val="1155CC"/>
            <w:u w:val="single"/>
          </w:rPr>
          <w:t>10.1126/science.aed1493</w:t>
        </w:r>
      </w:hyperlink>
    </w:p>
    <w:p>
      <w:pPr>
        <w:spacing w:before="0" w:after="120"/>
      </w:pPr>
      <w:r>
        <w:rPr>
          <w:b/>
        </w:rPr>
        <w:t xml:space="preserve">Notes: </w:t>
      </w:r>
      <w:r>
        <w:t>abstract_source=crossref</w:t>
      </w:r>
    </w:p>
    <w:p>
      <w:pPr>
        <w:spacing w:before="0" w:after="80" w:lineRule="auto" w:line="276"/>
      </w:pPr>
      <w:r>
        <w:rPr>
          <w:b/>
        </w:rPr>
        <w:t xml:space="preserve">摘要（ZH）: </w:t>
      </w:r>
      <w:r>
        <w:t>冲突地区本质上是危险的，研究人员无法进入，这导致了关于武装冲突对环境、特别是野生动物的直接影响的知识空白。我们使用相机陷阱检测来调查 2022 年俄罗斯占领切尔诺贝利禁区（乌克兰）之前、期间和之后武装冲突对野生动物活动模式的影响，并将其与 2021 年同期进行比较。哺乳动物物种通过立即行为调整来应对武装冲突，包括减少夜间和武装冲突活动加剧的日期的活动。我们的研究结果提供了对野生动物对武装冲突的实时行为反应的深入了解，并强调了相机陷阱在量化战争生态影响方面的潜力。</w:t>
      </w:r>
    </w:p>
    <w:p>
      <w:pPr>
        <w:spacing w:before="0" w:after="200" w:lineRule="auto" w:line="276"/>
      </w:pPr>
      <w:r>
        <w:rPr>
          <w:b/>
        </w:rPr>
        <w:t xml:space="preserve">Abstract (EN): </w:t>
      </w:r>
      <w:r>
        <w:t>Conflict zones are inherently hazardous and inaccessible for researchers, which results in a knowledge gap about the immediate effects of armed conflicts on the environment, particularly wildlife. We used camera-trap detections to investigate the impact of armed conflict on wildlife activity patterns before, during, and after the Russian occupation of the Chornobyl Exclusion Zone (Ukraine) in 2022 and compared it to the same period in 2021. Mammal species responded to armed conflict through immediate behavioral adjustments, including reduced activity during night and on dates when armed-conflict activities intensified. Our results provide insight into wildlife’s behavioral responses to armed conflict in real time and underscore the potential of camera trapping to quantify the ecological effects of war.</w:t>
      </w:r>
    </w:p>
    <w:p>
      <w:pPr>
        <w:spacing w:before="120" w:after="120"/>
      </w:pPr>
      <w:r>
        <w:rPr>
          <w:sz w:val="18"/>
        </w:rPr>
        <w:t>——————————————————————————————————————————————————————————————————————</w:t>
      </w:r>
    </w:p>
    <w:p>
      <w:pPr>
        <w:spacing w:before="160" w:after="40" w:line="240" w:lineRule="auto"/>
      </w:pPr>
      <w:r>
        <w:rPr>
          <w:b/>
        </w:rPr>
        <w:t xml:space="preserve">[471] </w:t>
      </w:r>
      <w:hyperlink r:id="rId1112">
        <w:r>
          <w:rPr>
            <w:color w:val="1155CC"/>
            <w:u w:val="single"/>
          </w:rPr>
          <w:t>英国的下一个研究选择</w:t>
        </w:r>
      </w:hyperlink>
    </w:p>
    <w:p>
      <w:pPr>
        <w:spacing w:before="0" w:after="80"/>
      </w:pPr>
      <w:r>
        <w:rPr>
          <w:i/>
          <w:sz w:val="20"/>
        </w:rPr>
        <w:t>EN: Britain’s next research choice</w:t>
      </w:r>
    </w:p>
    <w:p>
      <w:pPr>
        <w:spacing w:before="0" w:after="120"/>
      </w:pPr>
      <w:r>
        <w:rPr>
          <w:b/>
        </w:rPr>
        <w:t xml:space="preserve">Source: </w:t>
      </w:r>
      <w:r>
        <w:t>AAAS: Science: Table of Contents</w:t>
      </w:r>
      <w:r>
        <w:t xml:space="preserve">    </w:t>
      </w:r>
      <w:r>
        <w:rPr>
          <w:b/>
        </w:rPr>
        <w:t xml:space="preserve">Pub date: </w:t>
      </w:r>
      <w:r>
        <w:t>2026-06-18 06:00:17+00:00</w:t>
      </w:r>
      <w:r>
        <w:t xml:space="preserve">    </w:t>
      </w:r>
      <w:r>
        <w:rPr>
          <w:b/>
        </w:rPr>
        <w:t xml:space="preserve">DOI: </w:t>
      </w:r>
      <w:hyperlink r:id="rId1113">
        <w:r>
          <w:rPr>
            <w:color w:val="1155CC"/>
            <w:u w:val="single"/>
          </w:rPr>
          <w:t>10.1126/science.aej6498</w:t>
        </w:r>
      </w:hyperlink>
    </w:p>
    <w:p>
      <w:pPr>
        <w:spacing w:before="0" w:after="120"/>
      </w:pPr>
      <w:r>
        <w:rPr>
          <w:b/>
        </w:rPr>
        <w:t xml:space="preserve">Notes: </w:t>
      </w:r>
      <w:r>
        <w:t>abstract_source=crossref</w:t>
      </w:r>
    </w:p>
    <w:p>
      <w:pPr>
        <w:spacing w:before="0" w:after="80" w:lineRule="auto" w:line="276"/>
      </w:pPr>
      <w:r>
        <w:rPr>
          <w:b/>
        </w:rPr>
        <w:t xml:space="preserve">摘要（ZH）: </w:t>
      </w:r>
      <w:r>
        <w:t>十年前，英国脱欧公投拉开了英国脱欧的序幕，迫使英国科学界面临一个严峻的问题：英国在欧洲研究中应该占据什么位置？由于不再有资格成为地平线欧洲的正式成员，是否以准成员身份重新加入成为英国的一个图腾问题。人们对重新加入是否值得这笔钱存在严重疑问，特别是如果它必须支付的资金多于可以赢回的赠款的话。然而，英国研究人员坚称，协会是保护他们获得最负盛名和最具吸引力的资助机会的最佳方式。因此，当英国最终于 2024 年加入时，人们松了一口气。但时代已经变了。</w:t>
      </w:r>
    </w:p>
    <w:p>
      <w:pPr>
        <w:spacing w:before="0" w:after="200" w:lineRule="auto" w:line="276"/>
      </w:pPr>
      <w:r>
        <w:rPr>
          <w:b/>
        </w:rPr>
        <w:t xml:space="preserve">Abstract (EN): </w:t>
      </w:r>
      <w:r>
        <w:t>Ten years ago, the Brexit referendum began the United Kingdom’s departure from the European Union (EU), forcing British science to confront a serious question: What place should the UK occupy in European research? No longer qualified to be a full-fledged member of Horizon Europe, the matter of whether to rejoin as an associate member became a totemic issue for the UK. There were serious questions around whether rejoining would be worth the money, especially if it had to pay in more funding than it could win back in grants. UK researchers, however, insisted that association was the best way to protect their access to the most prestigious and attractive funding opportunities. So, when the UK eventually associated in 2024, it was to sighs of relief. But times have changed.</w:t>
      </w:r>
    </w:p>
    <w:p>
      <w:pPr>
        <w:spacing w:before="120" w:after="120"/>
      </w:pPr>
      <w:r>
        <w:rPr>
          <w:sz w:val="18"/>
        </w:rPr>
        <w:t>——————————————————————————————————————————————————————————————————————</w:t>
      </w:r>
    </w:p>
    <w:p>
      <w:pPr>
        <w:spacing w:before="160" w:after="40" w:line="240" w:lineRule="auto"/>
      </w:pPr>
      <w:r>
        <w:rPr>
          <w:b/>
        </w:rPr>
        <w:t xml:space="preserve">[472] </w:t>
      </w:r>
      <w:hyperlink r:id="rId1114">
        <w:r>
          <w:rPr>
            <w:color w:val="1155CC"/>
            <w:u w:val="single"/>
          </w:rPr>
          <w:t>难熔高熵合金中应变诱导的完全共格三相纳米结构</w:t>
        </w:r>
      </w:hyperlink>
    </w:p>
    <w:p>
      <w:pPr>
        <w:spacing w:before="0" w:after="80"/>
      </w:pPr>
      <w:r>
        <w:rPr>
          <w:i/>
          <w:sz w:val="20"/>
        </w:rPr>
        <w:t>EN: Strain-induced fully coherent triphase nanoarchitecture in refractory high-entropy alloys</w:t>
      </w:r>
    </w:p>
    <w:p>
      <w:pPr>
        <w:spacing w:before="0" w:after="120"/>
      </w:pPr>
      <w:r>
        <w:rPr>
          <w:b/>
        </w:rPr>
        <w:t xml:space="preserve">Source: </w:t>
      </w:r>
      <w:r>
        <w:t>AAAS: Science: Table of Contents</w:t>
      </w:r>
      <w:r>
        <w:t xml:space="preserve">    </w:t>
      </w:r>
      <w:r>
        <w:rPr>
          <w:b/>
        </w:rPr>
        <w:t xml:space="preserve">Pub date: </w:t>
      </w:r>
      <w:r>
        <w:t>2026-06-18 06:00:17+00:00</w:t>
      </w:r>
      <w:r>
        <w:t xml:space="preserve">    </w:t>
      </w:r>
      <w:r>
        <w:rPr>
          <w:b/>
        </w:rPr>
        <w:t xml:space="preserve">DOI: </w:t>
      </w:r>
      <w:hyperlink r:id="rId1115">
        <w:r>
          <w:rPr>
            <w:color w:val="1155CC"/>
            <w:u w:val="single"/>
          </w:rPr>
          <w:t>10.1126/science.aec4995</w:t>
        </w:r>
      </w:hyperlink>
    </w:p>
    <w:p>
      <w:pPr>
        <w:spacing w:before="0" w:after="120"/>
      </w:pPr>
      <w:r>
        <w:rPr>
          <w:b/>
        </w:rPr>
        <w:t xml:space="preserve">Notes: </w:t>
      </w:r>
      <w:r>
        <w:t>abstract_source=crossref</w:t>
      </w:r>
    </w:p>
    <w:p>
      <w:pPr>
        <w:spacing w:before="0" w:after="80" w:lineRule="auto" w:line="276"/>
      </w:pPr>
      <w:r>
        <w:rPr>
          <w:b/>
        </w:rPr>
        <w:t xml:space="preserve">摘要（ZH）: </w:t>
      </w:r>
      <w:r>
        <w:t>纳米结构材料具有卓越的性能，但大块、三维、纳米颗粒结构的可扩展制造仍然是一个艰巨的挑战。我们报告了通过等原子耐火合金中的固态相分离形成的完全相干的三相纳米结构（类似于介晶）的自组装。由此产生的结构集成了三种常见的金属晶体结构——面心立方、体心立方和密排六方——通过应变诱导相分离和分离本身触发的非常规转变路径交织在一起。这种纳米结构可以适应大的原子尺寸失配和晶格失配，同时保持完全的相干性和热稳定性。所得材料的压缩屈服强度超过 2 吉帕斯卡。这些发现为通过应变诱导转变途径工程在成分复杂的合金中进行纳米结构工程提供了一种方法。</w:t>
      </w:r>
    </w:p>
    <w:p>
      <w:pPr>
        <w:spacing w:before="0" w:after="200" w:lineRule="auto" w:line="276"/>
      </w:pPr>
      <w:r>
        <w:rPr>
          <w:b/>
        </w:rPr>
        <w:t xml:space="preserve">Abstract (EN): </w:t>
      </w:r>
      <w:r>
        <w:t>Nanostructured materials have exceptional properties, yet scalable fabrication of bulk, three-dimensional, nanograined structures remains a formidable challenge. We report the self-assembly of a fully coherent, triphase nanostructure—resembling a mesocrystal—formed through solid-state phase separation in an equiatomic refractory alloy. The resulting architecture integrates three common metallic crystal structures—face-centered cubic, body-centered cubic, and hexagonal close-packed—interwoven through strain-induced phase separation and unconventional transformation pathways triggered by the separation itself. This nanostructure accommodates large atomic-size mismatches and lattice misfits while maintaining full coherency and thermal stability. The resulting material exhibits a compressive yield strength exceeding 2 gigapascals. These findings provide a method for nanostructure engineering in compositionally complex alloys through strain-induced transformation pathway engineering.</w:t>
      </w:r>
    </w:p>
    <w:p>
      <w:pPr>
        <w:spacing w:before="120" w:after="120"/>
      </w:pPr>
      <w:r>
        <w:rPr>
          <w:sz w:val="18"/>
        </w:rPr>
        <w:t>——————————————————————————————————————————————————————————————————————</w:t>
      </w:r>
    </w:p>
    <w:p>
      <w:pPr>
        <w:spacing w:before="160" w:after="40" w:line="240" w:lineRule="auto"/>
      </w:pPr>
      <w:r>
        <w:rPr>
          <w:b/>
        </w:rPr>
        <w:t xml:space="preserve">[473] </w:t>
      </w:r>
      <w:hyperlink r:id="rId1116">
        <w:r>
          <w:rPr>
            <w:color w:val="1155CC"/>
            <w:u w:val="single"/>
          </w:rPr>
          <w:t>露西飞越 (52246) 唐纳德约翰逊：一颗翻滚旋转的双叶小行星</w:t>
        </w:r>
      </w:hyperlink>
    </w:p>
    <w:p>
      <w:pPr>
        <w:spacing w:before="0" w:after="80"/>
      </w:pPr>
      <w:r>
        <w:rPr>
          <w:i/>
          <w:sz w:val="20"/>
        </w:rPr>
        <w:t>EN: The Lucy flyby of (52246) Donaldjohanson: A bilobed asteroid with tumbling rotation</w:t>
      </w:r>
    </w:p>
    <w:p>
      <w:pPr>
        <w:spacing w:before="0" w:after="120"/>
      </w:pPr>
      <w:r>
        <w:rPr>
          <w:b/>
        </w:rPr>
        <w:t xml:space="preserve">Source: </w:t>
      </w:r>
      <w:r>
        <w:t>AAAS: Science: Table of Contents</w:t>
      </w:r>
      <w:r>
        <w:t xml:space="preserve">    </w:t>
      </w:r>
      <w:r>
        <w:rPr>
          <w:b/>
        </w:rPr>
        <w:t xml:space="preserve">Pub date: </w:t>
      </w:r>
      <w:r>
        <w:t>2026-06-18 06:00:17+00:00</w:t>
      </w:r>
      <w:r>
        <w:t xml:space="preserve">    </w:t>
      </w:r>
      <w:r>
        <w:rPr>
          <w:b/>
        </w:rPr>
        <w:t xml:space="preserve">DOI: </w:t>
      </w:r>
      <w:hyperlink r:id="rId1117">
        <w:r>
          <w:rPr>
            <w:color w:val="1155CC"/>
            <w:u w:val="single"/>
          </w:rPr>
          <w:t>10.1126/science.aec0503</w:t>
        </w:r>
      </w:hyperlink>
    </w:p>
    <w:p>
      <w:pPr>
        <w:spacing w:before="0" w:after="120"/>
      </w:pPr>
      <w:r>
        <w:rPr>
          <w:b/>
        </w:rPr>
        <w:t xml:space="preserve">Notes: </w:t>
      </w:r>
      <w:r>
        <w:t>abstract_source=crossref</w:t>
      </w:r>
    </w:p>
    <w:p>
      <w:pPr>
        <w:spacing w:before="0" w:after="80" w:lineRule="auto" w:line="276"/>
      </w:pPr>
      <w:r>
        <w:rPr>
          <w:b/>
        </w:rPr>
        <w:t xml:space="preserve">摘要（ZH）: </w:t>
      </w:r>
      <w:r>
        <w:t>主带小行星 (52246) Donaldjohanson (DJ) 可能是 Erigone 小行星家族的成员。这意味着DJ是一个更大的母体的碎片，该母体在大约1.55亿年前的一次碰撞中被摧毁。我们报告了露西号航天器飞越 DJ 期间进行的观测。我们发现 DJ 由两个布满陨石坑的裂片组成，由较光滑的颈部连接，整体尺寸为 8.8 公里 (km) x 4.4 公里 x 3.1 公里。除了&lt;0.4 km的陨石坑已被优先抹除之外，陨石坑的密度与Erigone家族的年龄一致。 DJ 在翻滚状态下缓慢旋转，可能是由于辐射力的自旋下降所致。表面光谱显示含铁页硅酸盐，表明母体上有中等程度的水演化。</w:t>
      </w:r>
    </w:p>
    <w:p>
      <w:pPr>
        <w:spacing w:before="0" w:after="200" w:lineRule="auto" w:line="276"/>
      </w:pPr>
      <w:r>
        <w:rPr>
          <w:b/>
        </w:rPr>
        <w:t xml:space="preserve">Abstract (EN): </w:t>
      </w:r>
      <w:r>
        <w:t>The main belt asteroid (52246) Donaldjohanson (DJ) is a likely member of the Erigone asteroid family. This implies that DJ is a fragment of a larger parent body that was destroyed in a collision about 155 million years ago. We report observations taken during a flyby of DJ by the Lucy spacecraft. We found that DJ is composed of two heavily cratered lobes, connected by a smoother neck, with overall dimensions 8.8 kilometers (km) by 4.4 km by 3.1 km. The crater density is consistent with the Erigone family’s age, except for craters &amp;lt;0.4 km, which have been preferentially erased. DJ rotates slowly in a tumbling state, likely owing to spin-down by radiative forces. Surface spectra show iron-bearing phyllosilicates, indicating moderate aqueous evolution on the parent body.</w:t>
      </w:r>
    </w:p>
    <w:p>
      <w:pPr>
        <w:spacing w:before="120" w:after="120"/>
      </w:pPr>
      <w:r>
        <w:rPr>
          <w:sz w:val="18"/>
        </w:rPr>
        <w:t>——————————————————————————————————————————————————————————————————————</w:t>
      </w:r>
    </w:p>
    <w:p>
      <w:pPr>
        <w:spacing w:before="160" w:after="40" w:line="240" w:lineRule="auto"/>
      </w:pPr>
      <w:r>
        <w:rPr>
          <w:b/>
        </w:rPr>
        <w:t xml:space="preserve">[474] </w:t>
      </w:r>
      <w:hyperlink r:id="rId1118">
        <w:r>
          <w:rPr>
            <w:color w:val="1155CC"/>
            <w:u w:val="single"/>
          </w:rPr>
          <w:t>茎四足动物从鳍到肢的过渡直接发育</w:t>
        </w:r>
      </w:hyperlink>
    </w:p>
    <w:p>
      <w:pPr>
        <w:spacing w:before="0" w:after="80"/>
      </w:pPr>
      <w:r>
        <w:rPr>
          <w:i/>
          <w:sz w:val="20"/>
        </w:rPr>
        <w:t>EN: Direct development of stem tetrapods across the fin-to-limb transition</w:t>
      </w:r>
    </w:p>
    <w:p>
      <w:pPr>
        <w:spacing w:before="0" w:after="120"/>
      </w:pPr>
      <w:r>
        <w:rPr>
          <w:b/>
        </w:rPr>
        <w:t xml:space="preserve">Source: </w:t>
      </w:r>
      <w:r>
        <w:t>AAAS: Science: Table of Contents</w:t>
      </w:r>
      <w:r>
        <w:t xml:space="preserve">    </w:t>
      </w:r>
      <w:r>
        <w:rPr>
          <w:b/>
        </w:rPr>
        <w:t xml:space="preserve">Pub date: </w:t>
      </w:r>
      <w:r>
        <w:t>2026-06-18 06:00:17+00:00</w:t>
      </w:r>
      <w:r>
        <w:t xml:space="preserve">    </w:t>
      </w:r>
      <w:r>
        <w:rPr>
          <w:b/>
        </w:rPr>
        <w:t xml:space="preserve">DOI: </w:t>
      </w:r>
      <w:hyperlink r:id="rId1119">
        <w:r>
          <w:rPr>
            <w:color w:val="1155CC"/>
            <w:u w:val="single"/>
          </w:rPr>
          <w:t>10.1126/science.aeb7635</w:t>
        </w:r>
      </w:hyperlink>
    </w:p>
    <w:p>
      <w:pPr>
        <w:spacing w:before="0" w:after="120"/>
      </w:pPr>
      <w:r>
        <w:rPr>
          <w:b/>
        </w:rPr>
        <w:t xml:space="preserve">Notes: </w:t>
      </w:r>
      <w:r>
        <w:t>abstract_source=crossref</w:t>
      </w:r>
    </w:p>
    <w:p>
      <w:pPr>
        <w:spacing w:before="0" w:after="80" w:lineRule="auto" w:line="276"/>
      </w:pPr>
      <w:r>
        <w:rPr>
          <w:b/>
        </w:rPr>
        <w:t xml:space="preserve">摘要（ZH）: </w:t>
      </w:r>
      <w:r>
        <w:t>现代两栖动物的特征是水生幼虫阶段，在过渡到陆地成年期后，突然结束于一段广泛的组织重塑（变态）时期。通常认为最早的有指四足动物有一个以逐渐变态结束的短暂幼虫阶段，但缺乏该幼虫阶段的直接证据。保存完好的茎四足动物幼体表明，四足动物在鳍到肢的过渡之前和之后都没有短暂的幼虫阶段；相反，我们发现了直接发育的软组织和硬组织证据，歪曲了变态祖先起源或幼虫-幼虫逐渐转变作为滑虫变态模板的假设。我们认为，最终导致变态的短暂幼虫期起源于四足动物冠群附近或内部，作为与陆化相关的更广泛特征的一部分。</w:t>
      </w:r>
    </w:p>
    <w:p>
      <w:pPr>
        <w:spacing w:before="0" w:after="200" w:lineRule="auto" w:line="276"/>
      </w:pPr>
      <w:r>
        <w:rPr>
          <w:b/>
        </w:rPr>
        <w:t xml:space="preserve">Abstract (EN): </w:t>
      </w:r>
      <w:r>
        <w:t>Modern amphibians are characterized by an aquatic larval stage that ends abruptly with a period of widespread tissue remodeling (metamorphosis) upon transition to terrestrial adulthood. A transient larval stage ending in gradual metamorphosis is often assumed for the earliest digited tetrapods, but direct evidence of this larval stage is lacking. Exceptionally preserved stem tetrapod hatchlings show that a transient larval stage was absent in tetrapods both before and after the fin-to-limb transition; instead we identified soft- and hard-tissue evidence of direct development, falsifying hypotheses of an ancestral origin of metamorphosis or of a gradual larval-postlarval transition serving as a template for lissamphibian metamorphosis. We argue that a transient larval period culminating in metamorphosis originated near or within the tetrapod crown group as part of a broader suite of traits associated with terrestrialization.</w:t>
      </w:r>
    </w:p>
    <w:p>
      <w:pPr>
        <w:spacing w:before="120" w:after="120"/>
      </w:pPr>
      <w:r>
        <w:rPr>
          <w:sz w:val="18"/>
        </w:rPr>
        <w:t>——————————————————————————————————————————————————————————————————————</w:t>
      </w:r>
    </w:p>
    <w:p>
      <w:pPr>
        <w:spacing w:before="160" w:after="40" w:line="240" w:lineRule="auto"/>
      </w:pPr>
      <w:r>
        <w:rPr>
          <w:b/>
        </w:rPr>
        <w:t xml:space="preserve">[475] </w:t>
      </w:r>
      <w:hyperlink r:id="rId1120">
        <w:r>
          <w:rPr>
            <w:color w:val="1155CC"/>
            <w:u w:val="single"/>
          </w:rPr>
          <w:t>紫罗兰种子推进激发机器人设计</w:t>
        </w:r>
      </w:hyperlink>
    </w:p>
    <w:p>
      <w:pPr>
        <w:spacing w:before="0" w:after="80"/>
      </w:pPr>
      <w:r>
        <w:rPr>
          <w:i/>
          <w:sz w:val="20"/>
        </w:rPr>
        <w:t>EN: Violet seed propulsion inspires robot design</w:t>
      </w:r>
    </w:p>
    <w:p>
      <w:pPr>
        <w:spacing w:before="0" w:after="120"/>
      </w:pPr>
      <w:r>
        <w:rPr>
          <w:b/>
        </w:rPr>
        <w:t xml:space="preserve">Source: </w:t>
      </w:r>
      <w:r>
        <w:t>AAAS: Science: Table of Contents</w:t>
      </w:r>
      <w:r>
        <w:t xml:space="preserve">    </w:t>
      </w:r>
      <w:r>
        <w:rPr>
          <w:b/>
        </w:rPr>
        <w:t xml:space="preserve">Pub date: </w:t>
      </w:r>
      <w:r>
        <w:t>2026-06-18 06:00:17+00:00</w:t>
      </w:r>
      <w:r>
        <w:t xml:space="preserve">    </w:t>
      </w:r>
      <w:r>
        <w:rPr>
          <w:b/>
        </w:rPr>
        <w:t xml:space="preserve">DOI: </w:t>
      </w:r>
      <w:hyperlink r:id="rId1121">
        <w:r>
          <w:rPr>
            <w:color w:val="1155CC"/>
            <w:u w:val="single"/>
          </w:rPr>
          <w:t>10.1126/science.aei6084</w:t>
        </w:r>
      </w:hyperlink>
    </w:p>
    <w:p>
      <w:pPr>
        <w:spacing w:before="0" w:after="120"/>
      </w:pPr>
      <w:r>
        <w:rPr>
          <w:b/>
        </w:rPr>
        <w:t xml:space="preserve">Notes: </w:t>
      </w:r>
      <w:r>
        <w:t>abstract_source=crossref</w:t>
      </w:r>
    </w:p>
    <w:p>
      <w:pPr>
        <w:spacing w:before="0" w:after="80" w:lineRule="auto" w:line="276"/>
      </w:pPr>
      <w:r>
        <w:rPr>
          <w:b/>
        </w:rPr>
        <w:t xml:space="preserve">摘要（ZH）: </w:t>
      </w:r>
      <w:r>
        <w:t>种子生物力学的比较分析揭示了可以指导软机器人技术的原理</w:t>
      </w:r>
    </w:p>
    <w:p>
      <w:pPr>
        <w:spacing w:before="0" w:after="200" w:lineRule="auto" w:line="276"/>
      </w:pPr>
      <w:r>
        <w:rPr>
          <w:b/>
        </w:rPr>
        <w:t xml:space="preserve">Abstract (EN): </w:t>
      </w:r>
      <w:r>
        <w:t>Comparative analysis of seed biomechanics reveals principles that can guide soft robot technology</w:t>
      </w:r>
    </w:p>
    <w:p>
      <w:pPr>
        <w:spacing w:before="120" w:after="120"/>
      </w:pPr>
      <w:r>
        <w:rPr>
          <w:sz w:val="18"/>
        </w:rPr>
        <w:t>——————————————————————————————————————————————————————————————————————</w:t>
      </w:r>
    </w:p>
    <w:p>
      <w:pPr>
        <w:spacing w:before="160" w:after="40" w:line="240" w:lineRule="auto"/>
      </w:pPr>
      <w:r>
        <w:rPr>
          <w:b/>
        </w:rPr>
        <w:t xml:space="preserve">[476] </w:t>
      </w:r>
      <w:hyperlink r:id="rId1122">
        <w:r>
          <w:rPr>
            <w:color w:val="1155CC"/>
            <w:u w:val="single"/>
          </w:rPr>
          <w:t>复活世界上第一个聊天机器人 ELIZA</w:t>
        </w:r>
      </w:hyperlink>
    </w:p>
    <w:p>
      <w:pPr>
        <w:spacing w:before="0" w:after="80"/>
      </w:pPr>
      <w:r>
        <w:rPr>
          <w:i/>
          <w:sz w:val="20"/>
        </w:rPr>
        <w:t>EN: Reanimating ELIZA, the world’s first chatbot</w:t>
      </w:r>
    </w:p>
    <w:p>
      <w:pPr>
        <w:spacing w:before="0" w:after="120"/>
      </w:pPr>
      <w:r>
        <w:rPr>
          <w:b/>
        </w:rPr>
        <w:t xml:space="preserve">Source: </w:t>
      </w:r>
      <w:r>
        <w:t>AAAS: Science: Table of Contents</w:t>
      </w:r>
      <w:r>
        <w:t xml:space="preserve">    </w:t>
      </w:r>
      <w:r>
        <w:rPr>
          <w:b/>
        </w:rPr>
        <w:t xml:space="preserve">Pub date: </w:t>
      </w:r>
      <w:r>
        <w:t>2026-06-18 06:00:17+00:00</w:t>
      </w:r>
      <w:r>
        <w:t xml:space="preserve">    </w:t>
      </w:r>
      <w:r>
        <w:rPr>
          <w:b/>
        </w:rPr>
        <w:t xml:space="preserve">DOI: </w:t>
      </w:r>
      <w:hyperlink r:id="rId1123">
        <w:r>
          <w:rPr>
            <w:color w:val="1155CC"/>
            <w:u w:val="single"/>
          </w:rPr>
          <w:t>10.1126/science.aeh9238</w:t>
        </w:r>
      </w:hyperlink>
    </w:p>
    <w:p>
      <w:pPr>
        <w:spacing w:before="0" w:after="120"/>
      </w:pPr>
      <w:r>
        <w:rPr>
          <w:b/>
        </w:rPr>
        <w:t xml:space="preserve">Notes: </w:t>
      </w:r>
      <w:r>
        <w:t>abstract_source=crossref</w:t>
      </w:r>
    </w:p>
    <w:p>
      <w:pPr>
        <w:spacing w:before="0" w:after="80" w:lineRule="auto" w:line="276"/>
      </w:pPr>
      <w:r>
        <w:rPr>
          <w:b/>
        </w:rPr>
        <w:t xml:space="preserve">摘要（ZH）: </w:t>
      </w:r>
      <w:r>
        <w:t>20 世纪 60 年代创建的一个简单程序为未来的对话计算机奠定了基础</w:t>
      </w:r>
    </w:p>
    <w:p>
      <w:pPr>
        <w:spacing w:before="0" w:after="200" w:lineRule="auto" w:line="276"/>
      </w:pPr>
      <w:r>
        <w:rPr>
          <w:b/>
        </w:rPr>
        <w:t xml:space="preserve">Abstract (EN): </w:t>
      </w:r>
      <w:r>
        <w:t>A simple program created in the 1960s laid the groundwork for future conversational computers</w:t>
      </w:r>
    </w:p>
    <w:p>
      <w:pPr>
        <w:spacing w:before="120" w:after="120"/>
      </w:pPr>
      <w:r>
        <w:rPr>
          <w:sz w:val="18"/>
        </w:rPr>
        <w:t>——————————————————————————————————————————————————————————————————————</w:t>
      </w:r>
    </w:p>
    <w:p>
      <w:pPr>
        <w:spacing w:before="160" w:after="40" w:line="240" w:lineRule="auto"/>
      </w:pPr>
      <w:r>
        <w:rPr>
          <w:b/>
        </w:rPr>
        <w:t xml:space="preserve">[477] </w:t>
      </w:r>
      <w:hyperlink r:id="rId1124">
        <w:r>
          <w:rPr>
            <w:color w:val="1155CC"/>
            <w:u w:val="single"/>
          </w:rPr>
          <w:t>充分利用工作时间</w:t>
        </w:r>
      </w:hyperlink>
    </w:p>
    <w:p>
      <w:pPr>
        <w:spacing w:before="0" w:after="80"/>
      </w:pPr>
      <w:r>
        <w:rPr>
          <w:i/>
          <w:sz w:val="20"/>
        </w:rPr>
        <w:t>EN: Making the most of your time at work</w:t>
      </w:r>
    </w:p>
    <w:p>
      <w:pPr>
        <w:spacing w:before="0" w:after="120"/>
      </w:pPr>
      <w:r>
        <w:rPr>
          <w:b/>
        </w:rPr>
        <w:t xml:space="preserve">Source: </w:t>
      </w:r>
      <w:r>
        <w:t>AAAS: Science: Table of Contents</w:t>
      </w:r>
      <w:r>
        <w:t xml:space="preserve">    </w:t>
      </w:r>
      <w:r>
        <w:rPr>
          <w:b/>
        </w:rPr>
        <w:t xml:space="preserve">Pub date: </w:t>
      </w:r>
      <w:r>
        <w:t>2026-06-18 06:00:17+00:00</w:t>
      </w:r>
      <w:r>
        <w:t xml:space="preserve">    </w:t>
      </w:r>
      <w:r>
        <w:rPr>
          <w:b/>
        </w:rPr>
        <w:t xml:space="preserve">DOI: </w:t>
      </w:r>
      <w:hyperlink r:id="rId1125">
        <w:r>
          <w:rPr>
            <w:color w:val="1155CC"/>
            <w:u w:val="single"/>
          </w:rPr>
          <w:t>10.1126/science.aeh4754</w:t>
        </w:r>
      </w:hyperlink>
    </w:p>
    <w:p>
      <w:pPr>
        <w:spacing w:before="0" w:after="120"/>
      </w:pPr>
      <w:r>
        <w:rPr>
          <w:b/>
        </w:rPr>
        <w:t xml:space="preserve">Notes: </w:t>
      </w:r>
      <w:r>
        <w:t>abstract_source=crossref</w:t>
      </w:r>
    </w:p>
    <w:p>
      <w:pPr>
        <w:spacing w:before="0" w:after="80" w:lineRule="auto" w:line="276"/>
      </w:pPr>
      <w:r>
        <w:rPr>
          <w:b/>
        </w:rPr>
        <w:t xml:space="preserve">摘要（ZH）: </w:t>
      </w:r>
      <w:r>
        <w:t>从一开始就进行战略性思考可以帮助您在职业生涯中做得更多</w:t>
      </w:r>
    </w:p>
    <w:p>
      <w:pPr>
        <w:spacing w:before="0" w:after="200" w:lineRule="auto" w:line="276"/>
      </w:pPr>
      <w:r>
        <w:rPr>
          <w:b/>
        </w:rPr>
        <w:t xml:space="preserve">Abstract (EN): </w:t>
      </w:r>
      <w:r>
        <w:t>Thinking strategically from the start could help you do more good over the course of your career</w:t>
      </w:r>
    </w:p>
    <w:p>
      <w:pPr>
        <w:spacing w:before="120" w:after="120"/>
      </w:pPr>
      <w:r>
        <w:rPr>
          <w:sz w:val="18"/>
        </w:rPr>
        <w:t>——————————————————————————————————————————————————————————————————————</w:t>
      </w:r>
    </w:p>
    <w:p>
      <w:pPr>
        <w:spacing w:before="160" w:after="40" w:line="240" w:lineRule="auto"/>
      </w:pPr>
      <w:r>
        <w:rPr>
          <w:b/>
        </w:rPr>
        <w:t xml:space="preserve">[478] </w:t>
      </w:r>
      <w:hyperlink r:id="rId1126">
        <w:r>
          <w:rPr>
            <w:color w:val="1155CC"/>
            <w:u w:val="single"/>
          </w:rPr>
          <w:t>用于生物分子检测的连续超表面中的束缚态：进展和应用综述</w:t>
        </w:r>
      </w:hyperlink>
    </w:p>
    <w:p>
      <w:pPr>
        <w:spacing w:before="0" w:after="80"/>
      </w:pPr>
      <w:r>
        <w:rPr>
          <w:i/>
          <w:sz w:val="20"/>
        </w:rPr>
        <w:t>EN: Bound States in the Continuum Metasurfaces for Biomolecular Detection: A Review of Advances and Applications</w:t>
      </w:r>
    </w:p>
    <w:p>
      <w:pPr>
        <w:spacing w:before="0" w:after="120"/>
      </w:pPr>
      <w:r>
        <w:rPr>
          <w:b/>
        </w:rPr>
        <w:t xml:space="preserve">Source: </w:t>
      </w:r>
      <w:r>
        <w:t>Wiley: Advanced Materials: Table of Contents</w:t>
      </w:r>
      <w:r>
        <w:t xml:space="preserve">    </w:t>
      </w:r>
      <w:r>
        <w:rPr>
          <w:b/>
        </w:rPr>
        <w:t xml:space="preserve">Pub date: </w:t>
      </w:r>
      <w:r>
        <w:t>2026-06-18 06:35:46+00:00</w:t>
      </w:r>
      <w:r>
        <w:t xml:space="preserve">    </w:t>
      </w:r>
      <w:r>
        <w:rPr>
          <w:b/>
        </w:rPr>
        <w:t xml:space="preserve">DOI: </w:t>
      </w:r>
      <w:hyperlink r:id="rId1127">
        <w:r>
          <w:rPr>
            <w:color w:val="1155CC"/>
            <w:u w:val="single"/>
          </w:rPr>
          <w:t>10.1002/adma.73730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对高灵敏度、无标记传感的需求推动了基于超表面的光学生物传感器的发展。虽然传统架构因辐射和耗散损耗而遭受广泛的谐振和有限的灵敏度，但连续体束缚态 (BIC) 提供了实现极端场增强和窄谐振线宽的途径。通过利用准 BIC 模式，超表面可以显着提高检测极限并促进设备小型化。本综述综合了 BIC 生物分子传感的当前进展，涵盖基础物理学、对称性破缺策略和传感模式。此外，我们根据材料平台（从电介质到混合材料）对最新发展进行分类，并强调它们在生命科学中的具体应用。该评论最后对缩小实验室研究和商业护理点诊断之间的差距进行了展望。</w:t>
      </w:r>
    </w:p>
    <w:p>
      <w:pPr>
        <w:spacing w:before="0" w:after="200" w:lineRule="auto" w:line="276"/>
      </w:pPr>
      <w:r>
        <w:rPr>
          <w:b/>
        </w:rPr>
        <w:t xml:space="preserve">Abstract (EN): </w:t>
      </w:r>
      <w:r>
        <w:t>The demand for high‐sensitivity, label‐free sensing has driven the development of metasurface‐based optical biosensors. While traditional architectures suffer from broad resonances and limited sensitivity due to radiative and dissipative losses, bound states in the continuum (BICs) offer a pathway to achieve extreme field enhancement and narrow resonance linewidths. By harnessing quasi‐BIC modes, metasurfaces can significantly improve the limit of detection and facilitate device miniaturization. This Review synthesizes current advancements in BIC‐enabled biomolecular sensing, covering fundamental physics, symmetry‐breaking strategies, and sensing modalities. Furthermore, we categorize recent developments based on material platforms—ranging from dielectrics to hybrids—and highlight their specific applications in life sciences. The Review concludes with an outlook on bridging the gap between laboratory research and commercial point‐of‐care diagnostics.</w:t>
      </w:r>
    </w:p>
    <w:p>
      <w:pPr>
        <w:spacing w:before="120" w:after="120"/>
      </w:pPr>
      <w:r>
        <w:rPr>
          <w:sz w:val="18"/>
        </w:rPr>
        <w:t>——————————————————————————————————————————————————————————————————————</w:t>
      </w:r>
    </w:p>
    <w:p>
      <w:pPr>
        <w:spacing w:before="160" w:after="40" w:line="240" w:lineRule="auto"/>
      </w:pPr>
      <w:r>
        <w:rPr>
          <w:b/>
        </w:rPr>
        <w:t xml:space="preserve">[479] </w:t>
      </w:r>
      <w:hyperlink r:id="rId1128">
        <w:r>
          <w:rPr>
            <w:color w:val="1155CC"/>
            <w:u w:val="single"/>
          </w:rPr>
          <w:t>旋转波的全脑地形协调</w:t>
        </w:r>
      </w:hyperlink>
    </w:p>
    <w:p>
      <w:pPr>
        <w:spacing w:before="0" w:after="80"/>
      </w:pPr>
      <w:r>
        <w:rPr>
          <w:i/>
          <w:sz w:val="20"/>
        </w:rPr>
        <w:t>EN: Brain-wide topographic coordination of rotating waves</w:t>
      </w:r>
    </w:p>
    <w:p>
      <w:pPr>
        <w:spacing w:before="0" w:after="120"/>
      </w:pPr>
      <w:r>
        <w:rPr>
          <w:b/>
        </w:rPr>
        <w:t xml:space="preserve">Source: </w:t>
      </w:r>
      <w:r>
        <w:t>AAAS: Science: Table of Contents</w:t>
      </w:r>
      <w:r>
        <w:t xml:space="preserve">    </w:t>
      </w:r>
      <w:r>
        <w:rPr>
          <w:b/>
        </w:rPr>
        <w:t xml:space="preserve">Pub date: </w:t>
      </w:r>
      <w:r>
        <w:t>2026-06-18 07:00:00+00:00</w:t>
      </w:r>
      <w:r>
        <w:t xml:space="preserve">    </w:t>
      </w:r>
      <w:r>
        <w:rPr>
          <w:b/>
        </w:rPr>
        <w:t xml:space="preserve">DOI: </w:t>
      </w:r>
      <w:hyperlink r:id="rId1129">
        <w:r>
          <w:rPr>
            <w:color w:val="1155CC"/>
            <w:u w:val="single"/>
          </w:rPr>
          <w:t>10.1126/science.adx1369</w:t>
        </w:r>
      </w:hyperlink>
    </w:p>
    <w:p>
      <w:pPr>
        <w:spacing w:before="0" w:after="120"/>
      </w:pPr>
      <w:r>
        <w:rPr>
          <w:b/>
        </w:rPr>
        <w:t xml:space="preserve">Notes: </w:t>
      </w:r>
      <w:r>
        <w:t>abstract_source=crossref</w:t>
      </w:r>
    </w:p>
    <w:p>
      <w:pPr>
        <w:spacing w:before="0" w:after="80" w:lineRule="auto" w:line="276"/>
      </w:pPr>
      <w:r>
        <w:rPr>
          <w:b/>
        </w:rPr>
        <w:t xml:space="preserve">摘要（ZH）: </w:t>
      </w:r>
      <w:r>
        <w:t>大脑活动以波的形式发生在不同的大脑区域和物种中，但它们的空间组织、解剖基础和全脑分布仍不清楚。利用清醒小鼠的皮质范围成像和电生理学，我们揭示了跨空间尺度的显着波图案。波经常形成以体感皮层为中心并扫过体感图的旋转模式。感觉皮层内的轴突结构呈现出匹配的圆形排列。旋转波在半球之间以及感觉皮层和运动皮层之间镜像，并与皮层下尖峰相协调。双边切割圆形电路会减少旋转波。旋转波在不同的行为状态下进行调节，由感觉输入引起，并在正确的视觉运动表现期间被招募。这些结果表明，旋转波是由不同大脑系统和行为环境中的轴突结构塑造的。</w:t>
      </w:r>
    </w:p>
    <w:p>
      <w:pPr>
        <w:spacing w:before="0" w:after="200" w:lineRule="auto" w:line="276"/>
      </w:pPr>
      <w:r>
        <w:rPr>
          <w:b/>
        </w:rPr>
        <w:t xml:space="preserve">Abstract (EN): </w:t>
      </w:r>
      <w:r>
        <w:t>Patterns of brain activity moving in waves occur across brain regions and species, yet their spatial organization, anatomical basis, and brain-wide distribution remain unclear. Using cortex-wide imaging and electrophysiology in awake mice, we revealed a prominent wave motif across spatial scales. Waves frequently formed rotational patterns centered on somatosensory cortex and sweeping across somatotopic maps. Axonal architecture within sensory cortex exhibited a matching circular arrangement. Rotating waves were mirrored between hemispheres and between sensory and motor cortex and were coordinated with subcortical spiking. Bilaterally cutting the circular circuitry diminished rotating waves. Rotating waves were modulated across behavioral states, evoked by sensory inputs, and recruited during correct visuomotor performance. These results establish that rotating waves are sculpted by axonal architecture across diverse brain systems and behavioral contexts.</w:t>
      </w:r>
    </w:p>
    <w:p>
      <w:pPr>
        <w:spacing w:before="120" w:after="120"/>
      </w:pPr>
      <w:r>
        <w:rPr>
          <w:sz w:val="18"/>
        </w:rPr>
        <w:t>——————————————————————————————————————————————————————————————————————</w:t>
      </w:r>
    </w:p>
    <w:p>
      <w:pPr>
        <w:spacing w:before="160" w:after="40" w:line="240" w:lineRule="auto"/>
      </w:pPr>
      <w:r>
        <w:rPr>
          <w:b/>
        </w:rPr>
        <w:t xml:space="preserve">[480] </w:t>
      </w:r>
      <w:hyperlink r:id="rId1130">
        <w:r>
          <w:rPr>
            <w:color w:val="1155CC"/>
            <w:u w:val="single"/>
          </w:rPr>
          <w:t>回复 Hojný 等人：融合驱动型与融合阴性高级别子宫内膜间质肉瘤</w:t>
        </w:r>
      </w:hyperlink>
    </w:p>
    <w:p>
      <w:pPr>
        <w:spacing w:before="0" w:after="80"/>
      </w:pPr>
      <w:r>
        <w:rPr>
          <w:i/>
          <w:sz w:val="20"/>
        </w:rPr>
        <w:t>EN: Reply to Hojný et al.: Fusion-driven vs. fusion-negative high-grade endometrial stromal sarcoma</w:t>
      </w:r>
    </w:p>
    <w:p>
      <w:pPr>
        <w:spacing w:before="0" w:after="120"/>
      </w:pPr>
      <w:r>
        <w:rPr>
          <w:b/>
        </w:rPr>
        <w:t xml:space="preserve">Source: </w:t>
      </w:r>
      <w:r>
        <w:t>Proceedings of the National Academy of Sciences: Keyword search for query</w:t>
      </w:r>
      <w:r>
        <w:t xml:space="preserve">    </w:t>
      </w:r>
      <w:r>
        <w:rPr>
          <w:b/>
        </w:rPr>
        <w:t xml:space="preserve">Pub date: </w:t>
      </w:r>
      <w:r>
        <w:t>2026-06-18 07:00:00+00:00</w:t>
      </w:r>
      <w:r>
        <w:t xml:space="preserve">    </w:t>
      </w:r>
      <w:r>
        <w:rPr>
          <w:b/>
        </w:rPr>
        <w:t xml:space="preserve">DOI: </w:t>
      </w:r>
      <w:hyperlink r:id="rId1131">
        <w:r>
          <w:rPr>
            <w:color w:val="1155CC"/>
            <w:u w:val="single"/>
          </w:rPr>
          <w:t>10.1073/pnas.2611558123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[481] </w:t>
      </w:r>
      <w:hyperlink r:id="rId1132">
        <w:r>
          <w:rPr>
            <w:color w:val="1155CC"/>
            <w:u w:val="single"/>
          </w:rPr>
          <w:t>TL1A/DR3 信号缺失可减轻自发性牙周炎小鼠模型中的粘膜炎症和牙槽骨丢失</w:t>
        </w:r>
      </w:hyperlink>
    </w:p>
    <w:p>
      <w:pPr>
        <w:spacing w:before="0" w:after="80"/>
      </w:pPr>
      <w:r>
        <w:rPr>
          <w:i/>
          <w:sz w:val="20"/>
        </w:rPr>
        <w:t>EN: TL1A/DR3 signaling deletion attenuates mucosal inflammation and alveolar bone loss in a murine model of spontaneous periodontitis</w:t>
      </w:r>
    </w:p>
    <w:p>
      <w:pPr>
        <w:spacing w:before="0" w:after="120"/>
      </w:pPr>
      <w:r>
        <w:rPr>
          <w:b/>
        </w:rPr>
        <w:t xml:space="preserve">Source: </w:t>
      </w:r>
      <w:r>
        <w:t>Proceedings of the National Academy of Sciences: Keyword search for query</w:t>
      </w:r>
      <w:r>
        <w:t xml:space="preserve">    </w:t>
      </w:r>
      <w:r>
        <w:rPr>
          <w:b/>
        </w:rPr>
        <w:t xml:space="preserve">Pub date: </w:t>
      </w:r>
      <w:r>
        <w:t>2026-06-18 07:00:00+00:00</w:t>
      </w:r>
      <w:r>
        <w:t xml:space="preserve">    </w:t>
      </w:r>
      <w:r>
        <w:rPr>
          <w:b/>
        </w:rPr>
        <w:t xml:space="preserve">DOI: </w:t>
      </w:r>
      <w:hyperlink r:id="rId1133">
        <w:r>
          <w:rPr>
            <w:color w:val="1155CC"/>
            <w:u w:val="single"/>
          </w:rPr>
          <w:t>10.1073/pnas.2611178123</w:t>
        </w:r>
      </w:hyperlink>
    </w:p>
    <w:p>
      <w:pPr>
        <w:spacing w:before="0" w:after="120"/>
      </w:pPr>
      <w:r>
        <w:rPr>
          <w:b/>
        </w:rPr>
        <w:t xml:space="preserve">Notes: </w:t>
      </w:r>
      <w:r>
        <w:t>abstract_source=crossref</w:t>
      </w:r>
    </w:p>
    <w:p>
      <w:pPr>
        <w:spacing w:before="0" w:after="80" w:lineRule="auto" w:line="276"/>
      </w:pPr>
      <w:r>
        <w:rPr>
          <w:b/>
        </w:rPr>
        <w:t xml:space="preserve">摘要（ZH）: </w:t>
      </w:r>
      <w:r>
        <w:t>TL1A 及其受体 DR3 是粘膜免疫反应的关键调节因子，但它们在牙周病中的作用尚不清楚。在此，我们使用 SAMP1/YitFc (SAMP) 小鼠研究了 TL1A/DR3 信号传导是否有助于牙周炎中的粘膜免疫放大和组织破坏性炎症，这些小鼠会出现自发性回肠炎和牙周病。 DR3 缺陷显着减少了牙槽骨丢失并改善了牙周结构，恢复了与健康 AKR（亲代）对照相当的表型。野生型 SAMP 小鼠的牙龈组织表现出两种蛋白的表达增加</w:t>
      </w:r>
      <w:r>
        <w:t xml:space="preserve"> </w:t>
      </w:r>
      <w:r>
        <w:t>TNFSF15</w:t>
      </w:r>
      <w:r>
        <w:t xml:space="preserve"> </w:t>
      </w:r>
      <w:r>
        <w:t>（编码 TL1A）和</w:t>
      </w:r>
      <w:r>
        <w:t xml:space="preserve"> </w:t>
      </w:r>
      <w:r>
        <w:t>肿瘤坏死因子25</w:t>
      </w:r>
      <w:r>
        <w:t xml:space="preserve"> </w:t>
      </w:r>
      <w:r>
        <w:t>（编码 DR3），两者均与疾病严重程度呈正相关。伴随着 IL-17、TNF-α 和 IL-1β 水平升高，以及 CD4 数量增加</w:t>
      </w:r>
      <w:r>
        <w:t xml:space="preserve"> </w:t>
      </w:r>
      <w:r>
        <w:t>+</w:t>
      </w:r>
      <w:r>
        <w:t xml:space="preserve"> </w:t>
      </w:r>
      <w:r>
        <w:t>T辅助细胞和中性粒细胞。相反，SAMPxDR3</w:t>
      </w:r>
      <w:r>
        <w:t xml:space="preserve"> </w:t>
      </w:r>
      <w:r>
        <w:t>−/−</w:t>
      </w:r>
      <w:r>
        <w:t>小鼠表现出炎症细胞因子产生和免疫细胞积累减少。这些发现支持了一个模型，其中 TL1A/DR3 轴与牙周病中粘膜免疫反应的放大相关，将效应 T 细胞激活、细胞因子产生增加和先天免疫细胞的招募联系起来。总而言之，我们的数据表明 TL1A/DR3 细胞因子受体对是驱动牙周病理的炎症回路的潜在调节因子。阻断该途径可能为受此影响的患者提供一种治疗方式</w:t>
      </w:r>
    </w:p>
    <w:p>
      <w:pPr>
        <w:spacing w:before="0" w:after="200" w:lineRule="auto" w:line="276"/>
      </w:pPr>
      <w:r>
        <w:rPr>
          <w:b/>
        </w:rPr>
        <w:t xml:space="preserve">Abstract (EN): </w:t>
      </w:r>
      <w:r>
        <w:t>TL1A and its receptor DR3 are key regulators of mucosal immune responses, but their role in periodontal disease is unknown. Herein, we investigated whether TL1A/DR3 signaling contributes to mucosal immune amplification and tissue-destructive inflammation in periodontitis using SAMP1/YitFc (SAMP) mice, which develop spontaneous ileitis and periodontal disease. DR3 deficiency markedly attenuated alveolar bone loss and improved periodontal architecture, restoring a phenotype comparable to healthy AKR (parental) controls. Gingival tissues from wild-type SAMP mice exhibited increased expression of both</w:t>
      </w:r>
      <w:r>
        <w:t xml:space="preserve"> </w:t>
      </w:r>
      <w:r>
        <w:t>Tnfsf15</w:t>
      </w:r>
      <w:r>
        <w:t xml:space="preserve"> </w:t>
      </w:r>
      <w:r>
        <w:t>(encoding TL1A) and</w:t>
      </w:r>
      <w:r>
        <w:t xml:space="preserve"> </w:t>
      </w:r>
      <w:r>
        <w:t>Tnfrsf25</w:t>
      </w:r>
      <w:r>
        <w:t xml:space="preserve"> </w:t>
      </w:r>
      <w:r>
        <w:t>(encoding DR3), with both positively correlating with disease severity. This was accompanied by elevated levels of IL-17, TNF-α, and IL-1β, and by increased numbers of CD4</w:t>
      </w:r>
      <w:r>
        <w:t xml:space="preserve"> </w:t>
      </w:r>
      <w:r>
        <w:t>+</w:t>
      </w:r>
      <w:r>
        <w:t xml:space="preserve"> </w:t>
      </w:r>
      <w:r>
        <w:t>T helper cells and neutrophils. Conversely, SAMPxDR3</w:t>
      </w:r>
      <w:r>
        <w:t xml:space="preserve"> </w:t>
      </w:r>
      <w:r>
        <w:t>−/−</w:t>
      </w:r>
      <w:r>
        <w:t>mice exhibited reduced inflammatory cytokine production and immune cell accumulation. These findings support a model in which the TL1A/DR3 axis is associated with amplification of mucosal immune responses in periodontal disease, linking effector T cell activation, increased cytokine production, and recruitment of innate immune cells. Altogether, our data identify the TL1A/DR3 cytokine-receptor pair as a potential regulator of inflammatory circuits that drive periodontal pathology. Blocking this pathway may provide a therapeutic modality for patients affected by chronic periodontitis.</w:t>
      </w:r>
    </w:p>
    <w:p>
      <w:pPr>
        <w:spacing w:before="120" w:after="120"/>
      </w:pPr>
      <w:r>
        <w:rPr>
          <w:sz w:val="18"/>
        </w:rPr>
        <w:t>——————————————————————————————————————————————————————————————————————</w:t>
      </w:r>
    </w:p>
    <w:p>
      <w:pPr>
        <w:spacing w:before="160" w:after="40" w:line="240" w:lineRule="auto"/>
      </w:pPr>
      <w:r>
        <w:rPr>
          <w:b/>
        </w:rPr>
        <w:t xml:space="preserve">[482] </w:t>
      </w:r>
      <w:hyperlink r:id="rId1134">
        <w:r>
          <w:rPr>
            <w:color w:val="1155CC"/>
            <w:u w:val="single"/>
          </w:rPr>
          <w:t>谷物中镉积累量低的基因组编辑水稻品种</w:t>
        </w:r>
      </w:hyperlink>
    </w:p>
    <w:p>
      <w:pPr>
        <w:spacing w:before="0" w:after="80"/>
      </w:pPr>
      <w:r>
        <w:rPr>
          <w:i/>
          <w:sz w:val="20"/>
        </w:rPr>
        <w:t>EN: Genome-edited rice variety with low-cadmium accumulation in the grain</w:t>
      </w:r>
    </w:p>
    <w:p>
      <w:pPr>
        <w:spacing w:before="0" w:after="120"/>
      </w:pPr>
      <w:r>
        <w:rPr>
          <w:b/>
        </w:rPr>
        <w:t xml:space="preserve">Source: </w:t>
      </w:r>
      <w:r>
        <w:t>Proceedings of the National Academy of Sciences: Keyword search for query</w:t>
      </w:r>
      <w:r>
        <w:t xml:space="preserve">    </w:t>
      </w:r>
      <w:r>
        <w:rPr>
          <w:b/>
        </w:rPr>
        <w:t xml:space="preserve">Pub date: </w:t>
      </w:r>
      <w:r>
        <w:t>2026-06-18 07:00:00+00:00</w:t>
      </w:r>
      <w:r>
        <w:t xml:space="preserve">    </w:t>
      </w:r>
      <w:r>
        <w:rPr>
          <w:b/>
        </w:rPr>
        <w:t xml:space="preserve">DOI: </w:t>
      </w:r>
      <w:hyperlink r:id="rId1135">
        <w:r>
          <w:rPr>
            <w:color w:val="1155CC"/>
            <w:u w:val="single"/>
          </w:rPr>
          <w:t>10.1073/pnas.2610609123</w:t>
        </w:r>
      </w:hyperlink>
    </w:p>
    <w:p>
      <w:pPr>
        <w:spacing w:before="0" w:after="120"/>
      </w:pPr>
      <w:r>
        <w:rPr>
          <w:b/>
        </w:rPr>
        <w:t xml:space="preserve">Notes: </w:t>
      </w:r>
      <w:r>
        <w:t>abstract_source=crossref</w:t>
      </w:r>
    </w:p>
    <w:p>
      <w:pPr>
        <w:spacing w:before="0" w:after="80" w:lineRule="auto" w:line="276"/>
      </w:pPr>
      <w:r>
        <w:rPr>
          <w:b/>
        </w:rPr>
        <w:t xml:space="preserve">摘要（ZH）: </w:t>
      </w:r>
      <w:r>
        <w:t>镉（Cd）是一种有毒、致癌的重金属，大米作为主食，是膳食Cd摄入的主要来源。因此，在不影响粮食产量的情况下限制镉从土壤向稻米的转移是人类健康的一个关键问题。本研究通过碱基编辑介导的诱变筛选靶向</w:t>
      </w:r>
      <w:r>
        <w:t xml:space="preserve"> </w:t>
      </w:r>
      <w:r>
        <w:t>OsNramp5</w:t>
      </w:r>
      <w:r>
        <w:t xml:space="preserve"> </w:t>
      </w:r>
      <w:r>
        <w:t>是锰 (Mn) 和 Cd 吸收的主要转运蛋白基因，我们在 441 位（Ile 至 Thr）发现了单个氨基酸替换，该替换显着减少了芽和籽粒中的 Cd 积累，而不影响其他必需金属的积累。功能分析表明，该点突变不会改变酵母中的基因表达、蛋白质丰度、亚细胞定位或镉和锰转运活性。然而，我们发现OsNramp5也转运锌（Zn），并且点突变增加了其对Zn的选择性。根细胞中锌水平升高可能会竞争性抑制镉释放到木质部，从而减少根到茎的镉易位。现场试验证实，突变</w:t>
      </w:r>
      <w:r>
        <w:t xml:space="preserve"> </w:t>
      </w:r>
      <w:r>
        <w:t>OsNramp5</w:t>
      </w:r>
      <w:r>
        <w:t xml:space="preserve"> </w:t>
      </w:r>
      <w:r>
        <w:t>不影响谷物产量或必需微量营养素浓度，但显着降低谷物中镉的积累。我们的研究结果表明，对 OsNramp5 中的这一关键残基进行精确编辑提供了一种有效的策略，可以减少镉从土壤到稻粒的转移，而不会影响产量。</w:t>
      </w:r>
    </w:p>
    <w:p>
      <w:pPr>
        <w:spacing w:before="0" w:after="200" w:lineRule="auto" w:line="276"/>
      </w:pPr>
      <w:r>
        <w:rPr>
          <w:b/>
        </w:rPr>
        <w:t xml:space="preserve">Abstract (EN): </w:t>
      </w:r>
      <w:r>
        <w:t>Cadmium (Cd) is a toxic and carcinogenic heavy metal, and rice, as a staple food, is a major source of dietary Cd intake. Therefore, limiting the transfer of Cd from soil to rice grain without compromising grain yield is a critical issue for human health. In this study, through base-editing-mediated mutagenesis screening targeting</w:t>
      </w:r>
      <w:r>
        <w:t xml:space="preserve"> </w:t>
      </w:r>
      <w:r>
        <w:t>OsNramp5</w:t>
      </w:r>
      <w:r>
        <w:t xml:space="preserve"> </w:t>
      </w:r>
      <w:r>
        <w:t>, a major transporter gene for manganese (Mn) and Cd uptake, we identified a single amino acid substitution at position 441 (Ile to Thr) that significantly reduced Cd accumulation in both shoots and grains without affecting the accumulation of other essential metals. Functional analysis revealed that this point mutation did not alter gene expression, protein abundance, subcellular localization, or Cd and Mn transport activity in yeast. However, we found that OsNramp5 also transports zinc (Zn), and the point mutation increased its selectivity for Zn. It is likely that elevated Zn levels in root cells competitively inhibit Cd release into the xylem, thereby reducing root-to-shoot Cd translocation. A field trial confirmed that the mutated</w:t>
      </w:r>
      <w:r>
        <w:t xml:space="preserve"> </w:t>
      </w:r>
      <w:r>
        <w:t>OsNramp5</w:t>
      </w:r>
      <w:r>
        <w:t xml:space="preserve"> </w:t>
      </w:r>
      <w:r>
        <w:t>did not affect grain yield or essential micronutrient concentration but significantly decreased Cd accumulation in grains. Our findings suggest that precise editing of this key residue in OsNramp5 offers an effective strategy to reduce Cd transfer from soil to rice grain without yield penalty.</w:t>
      </w:r>
    </w:p>
    <w:p>
      <w:pPr>
        <w:spacing w:before="120" w:after="120"/>
      </w:pPr>
      <w:r>
        <w:rPr>
          <w:sz w:val="18"/>
        </w:rPr>
        <w:t>——————————————————————————————————————————————————————————————————————</w:t>
      </w:r>
    </w:p>
    <w:p>
      <w:pPr>
        <w:spacing w:before="160" w:after="40" w:line="240" w:lineRule="auto"/>
      </w:pPr>
      <w:r>
        <w:rPr>
          <w:b/>
        </w:rPr>
        <w:t xml:space="preserve">[483] </w:t>
      </w:r>
      <w:hyperlink r:id="rId1136">
        <w:r>
          <w:rPr>
            <w:color w:val="1155CC"/>
            <w:u w:val="single"/>
          </w:rPr>
          <w:t>高级别子宫内膜间质肉瘤异质性：融合驱动、融合阴性和相关的未分化子宫肉瘤</w:t>
        </w:r>
      </w:hyperlink>
    </w:p>
    <w:p>
      <w:pPr>
        <w:spacing w:before="0" w:after="80"/>
      </w:pPr>
      <w:r>
        <w:rPr>
          <w:i/>
          <w:sz w:val="20"/>
        </w:rPr>
        <w:t>EN: High-grade endometrial stromal sarcoma heterogeneity: Fusion-driven, fusion-negative, and related undifferentiated uterine sarcomas</w:t>
      </w:r>
    </w:p>
    <w:p>
      <w:pPr>
        <w:spacing w:before="0" w:after="120"/>
      </w:pPr>
      <w:r>
        <w:rPr>
          <w:b/>
        </w:rPr>
        <w:t xml:space="preserve">Source: </w:t>
      </w:r>
      <w:r>
        <w:t>Proceedings of the National Academy of Sciences: Keyword search for query</w:t>
      </w:r>
      <w:r>
        <w:t xml:space="preserve">    </w:t>
      </w:r>
      <w:r>
        <w:rPr>
          <w:b/>
        </w:rPr>
        <w:t xml:space="preserve">Pub date: </w:t>
      </w:r>
      <w:r>
        <w:t>2026-06-18 07:00:00+00:00</w:t>
      </w:r>
      <w:r>
        <w:t xml:space="preserve">    </w:t>
      </w:r>
      <w:r>
        <w:rPr>
          <w:b/>
        </w:rPr>
        <w:t xml:space="preserve">DOI: </w:t>
      </w:r>
      <w:hyperlink r:id="rId1137">
        <w:r>
          <w:rPr>
            <w:color w:val="1155CC"/>
            <w:u w:val="single"/>
          </w:rPr>
          <w:t>10.1073/pnas.2609538123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[484] </w:t>
      </w:r>
      <w:hyperlink r:id="rId1138">
        <w:r>
          <w:rPr>
            <w:color w:val="1155CC"/>
            <w:u w:val="single"/>
          </w:rPr>
          <w:t>自旋玻璃中的重叠锁定和非微扰效应</w:t>
        </w:r>
      </w:hyperlink>
    </w:p>
    <w:p>
      <w:pPr>
        <w:spacing w:before="0" w:after="80"/>
      </w:pPr>
      <w:r>
        <w:rPr>
          <w:i/>
          <w:sz w:val="20"/>
        </w:rPr>
        <w:t>EN: Overlap locking and nonperturbative effects in spin glasses</w:t>
      </w:r>
    </w:p>
    <w:p>
      <w:pPr>
        <w:spacing w:before="0" w:after="120"/>
      </w:pPr>
      <w:r>
        <w:rPr>
          <w:b/>
        </w:rPr>
        <w:t xml:space="preserve">Source: </w:t>
      </w:r>
      <w:r>
        <w:t>Proceedings of the National Academy of Sciences: Keyword search for query</w:t>
      </w:r>
      <w:r>
        <w:t xml:space="preserve">    </w:t>
      </w:r>
      <w:r>
        <w:rPr>
          <w:b/>
        </w:rPr>
        <w:t xml:space="preserve">Pub date: </w:t>
      </w:r>
      <w:r>
        <w:t>2026-06-18 07:00:00+00:00</w:t>
      </w:r>
      <w:r>
        <w:t xml:space="preserve">    </w:t>
      </w:r>
      <w:r>
        <w:rPr>
          <w:b/>
        </w:rPr>
        <w:t xml:space="preserve">DOI: </w:t>
      </w:r>
      <w:hyperlink r:id="rId1139">
        <w:r>
          <w:rPr>
            <w:color w:val="1155CC"/>
            <w:u w:val="single"/>
          </w:rPr>
          <w:t>10.1073/pnas.2606171123</w:t>
        </w:r>
      </w:hyperlink>
    </w:p>
    <w:p>
      <w:pPr>
        <w:spacing w:before="0" w:after="120"/>
      </w:pPr>
      <w:r>
        <w:rPr>
          <w:b/>
        </w:rPr>
        <w:t xml:space="preserve">Notes: </w:t>
      </w:r>
      <w:r>
        <w:t>abstract_source=crossref</w:t>
      </w:r>
    </w:p>
    <w:p>
      <w:pPr>
        <w:spacing w:before="0" w:after="80" w:lineRule="auto" w:line="276"/>
      </w:pPr>
      <w:r>
        <w:rPr>
          <w:b/>
        </w:rPr>
        <w:t xml:space="preserve">摘要（ZH）: </w:t>
      </w:r>
      <w:r>
        <w:t>我们研究了低温下自旋玻璃中有序参数（或同步）的锁定现象。当两个具有独立障碍的系统耦合时，它们的重叠部分会变得相似。一个关键问题是这种效应如何取决于两个系统之间的耦合强度。当出现以下情况时，会出现非微扰现象：</w:t>
      </w:r>
      <w:r>
        <w:t xml:space="preserve"> </w:t>
      </w:r>
      <w:r>
        <w:rPr>
          <w:vertAlign w:val="subscript"/>
        </w:rPr>
        <w:t>1</w:t>
      </w:r>
      <w:r>
        <w:t>≪</w:t>
      </w:r>
      <w:r>
        <w:t xml:space="preserve"> </w:t>
      </w:r>
      <w:r>
        <w:t>Δ</w:t>
      </w:r>
      <w:r>
        <w:t xml:space="preserve"> </w:t>
      </w:r>
      <w:r>
        <w:t>H</w:t>
      </w:r>
      <w:r>
        <w:t xml:space="preserve"> </w:t>
      </w:r>
      <w:r>
        <w:t>≪</w:t>
      </w:r>
      <w:r>
        <w:t xml:space="preserve"> </w:t>
      </w:r>
      <w:r>
        <w:t>氮</w:t>
      </w:r>
      <w:r>
        <w:t xml:space="preserve"> </w:t>
      </w:r>
      <w:r>
        <w:t>, 存在</w:t>
      </w:r>
      <w:r>
        <w:t xml:space="preserve"> </w:t>
      </w:r>
      <w:r>
        <w:t>Δ</w:t>
      </w:r>
      <w:r>
        <w:t xml:space="preserve"> </w:t>
      </w:r>
      <w:r>
        <w:t>H</w:t>
      </w:r>
      <w:r>
        <w:t xml:space="preserve"> </w:t>
      </w:r>
      <w:r>
        <w:t>耦合哈密顿量和</w:t>
      </w:r>
      <w:r>
        <w:t xml:space="preserve"> </w:t>
      </w:r>
      <w:r>
        <w:t>氮</w:t>
      </w:r>
      <w:r>
        <w:t xml:space="preserve"> </w:t>
      </w:r>
      <w:r>
        <w:t>系统大小。在这个中间耦合区域，该效应与平均场自旋玻璃模型中的有限尺寸自由能校正以及戴森分层自旋玻璃（一种模仿有限维系统物理的模型）中的相关性有关。我们在平均场方法中对这种现象进行了分析和数值研究，最后计算了平均场理论中有限体积修正和戴森层次模型中相关性衰减的临界指数。</w:t>
      </w:r>
    </w:p>
    <w:p>
      <w:pPr>
        <w:spacing w:before="0" w:after="200" w:lineRule="auto" w:line="276"/>
      </w:pPr>
      <w:r>
        <w:rPr>
          <w:b/>
        </w:rPr>
        <w:t xml:space="preserve">Abstract (EN): </w:t>
      </w:r>
      <w:r>
        <w:t>We study the phenomenon of the locking of the order parameter (or synchronization) in spin glasses at low temperatures. When two systems with independent disorders are coupled, their overlaps become similar. A crucial question is how this effect depends on the strength of the coupling between the two systems. Nonperturbative phenomena are present when</w:t>
      </w:r>
      <w:r>
        <w:t xml:space="preserve"> </w:t>
      </w:r>
      <w:r>
        <w:rPr>
          <w:vertAlign w:val="subscript"/>
        </w:rPr>
        <w:t>1</w:t>
      </w:r>
      <w:r>
        <w:t>≪</w:t>
      </w:r>
      <w:r>
        <w:t xml:space="preserve"> </w:t>
      </w:r>
      <w:r>
        <w:t>Δ</w:t>
      </w:r>
      <w:r>
        <w:t xml:space="preserve"> </w:t>
      </w:r>
      <w:r>
        <w:t>H</w:t>
      </w:r>
      <w:r>
        <w:t xml:space="preserve"> </w:t>
      </w:r>
      <w:r>
        <w:t>≪</w:t>
      </w:r>
      <w:r>
        <w:t xml:space="preserve"> </w:t>
      </w:r>
      <w:r>
        <w:t>N</w:t>
      </w:r>
      <w:r>
        <w:t xml:space="preserve"> </w:t>
      </w:r>
      <w:r>
        <w:t>, being</w:t>
      </w:r>
      <w:r>
        <w:t xml:space="preserve"> </w:t>
      </w:r>
      <w:r>
        <w:t>Δ</w:t>
      </w:r>
      <w:r>
        <w:t xml:space="preserve"> </w:t>
      </w:r>
      <w:r>
        <w:t>H</w:t>
      </w:r>
      <w:r>
        <w:t xml:space="preserve"> </w:t>
      </w:r>
      <w:r>
        <w:t>the coupling Hamiltonian and</w:t>
      </w:r>
      <w:r>
        <w:t xml:space="preserve"> </w:t>
      </w:r>
      <w:r>
        <w:t>N</w:t>
      </w:r>
      <w:r>
        <w:t xml:space="preserve"> </w:t>
      </w:r>
      <w:r>
        <w:t>the system size. In this intermediate-coupling region, the effect is related to finite-size free-energy corrections in mean-field spin-glass models and to correlations in the Dyson hierarchical spin glass, a model that mimics the physics of finite-dimensional systems. We study this phenomenon in the mean-field approach, both analytically and numerically, and we finally compute the critical exponents for finite-volume corrections in mean-field theory and for the decay of correlations in the Dyson hierarchical model.</w:t>
      </w:r>
    </w:p>
    <w:p>
      <w:pPr>
        <w:spacing w:before="120" w:after="120"/>
      </w:pPr>
      <w:r>
        <w:rPr>
          <w:sz w:val="18"/>
        </w:rPr>
        <w:t>——————————————————————————————————————————————————————————————————————</w:t>
      </w:r>
    </w:p>
    <w:p>
      <w:pPr>
        <w:spacing w:before="160" w:after="40" w:line="240" w:lineRule="auto"/>
      </w:pPr>
      <w:r>
        <w:rPr>
          <w:b/>
        </w:rPr>
        <w:t xml:space="preserve">[485] </w:t>
      </w:r>
      <w:hyperlink r:id="rId1140">
        <w:r>
          <w:rPr>
            <w:color w:val="1155CC"/>
            <w:u w:val="single"/>
          </w:rPr>
          <w:t>可折叠剪刀面</w:t>
        </w:r>
      </w:hyperlink>
    </w:p>
    <w:p>
      <w:pPr>
        <w:spacing w:before="0" w:after="80"/>
      </w:pPr>
      <w:r>
        <w:rPr>
          <w:i/>
          <w:sz w:val="20"/>
        </w:rPr>
        <w:t>EN: Collapsible scissored surfaces</w:t>
      </w:r>
    </w:p>
    <w:p>
      <w:pPr>
        <w:spacing w:before="0" w:after="120"/>
      </w:pPr>
      <w:r>
        <w:rPr>
          <w:b/>
        </w:rPr>
        <w:t xml:space="preserve">Source: </w:t>
      </w:r>
      <w:r>
        <w:t>Proceedings of the National Academy of Sciences: Keyword search for query</w:t>
      </w:r>
      <w:r>
        <w:t xml:space="preserve">    </w:t>
      </w:r>
      <w:r>
        <w:rPr>
          <w:b/>
        </w:rPr>
        <w:t xml:space="preserve">Pub date: </w:t>
      </w:r>
      <w:r>
        <w:t>2026-06-18 07:00:00+00:00</w:t>
      </w:r>
      <w:r>
        <w:t xml:space="preserve">    </w:t>
      </w:r>
      <w:r>
        <w:rPr>
          <w:b/>
        </w:rPr>
        <w:t xml:space="preserve">DOI: </w:t>
      </w:r>
      <w:hyperlink r:id="rId1141">
        <w:r>
          <w:rPr>
            <w:color w:val="1155CC"/>
            <w:u w:val="single"/>
          </w:rPr>
          <w:t>10.1073/pnas.2605221123</w:t>
        </w:r>
      </w:hyperlink>
    </w:p>
    <w:p>
      <w:pPr>
        <w:spacing w:before="0" w:after="120"/>
      </w:pPr>
      <w:r>
        <w:rPr>
          <w:b/>
        </w:rPr>
        <w:t xml:space="preserve">Notes: </w:t>
      </w:r>
      <w:r>
        <w:t>abstract_source=crossref</w:t>
      </w:r>
    </w:p>
    <w:p>
      <w:pPr>
        <w:spacing w:before="0" w:after="80" w:lineRule="auto" w:line="276"/>
      </w:pPr>
      <w:r>
        <w:rPr>
          <w:b/>
        </w:rPr>
        <w:t xml:space="preserve">摘要（ZH）: </w:t>
      </w:r>
      <w:r>
        <w:t>我们引入了一种加法方法来设计一类基于两杆连杆（“剪刀机构”）的可变形结构，这些结构在顶点处连接形成二维网格，我们称之为受电弓晶格。我们的方法展示了这些晶格如何从一维折叠状态展开为单曲率和双曲率的二维表面。我们提供了一种用于生长受电弓结构的算法，使我们能够探索可能机制的全部空间，并且我们使用它来计算设计和物理组装一系列不同复杂性的示例。我们最终展示了一种使用多材料 3D 打印自动制造受电弓网格的简化方法。</w:t>
      </w:r>
    </w:p>
    <w:p>
      <w:pPr>
        <w:spacing w:before="0" w:after="200" w:lineRule="auto" w:line="276"/>
      </w:pPr>
      <w:r>
        <w:rPr>
          <w:b/>
        </w:rPr>
        <w:t xml:space="preserve">Abstract (EN): </w:t>
      </w:r>
      <w:r>
        <w:t>We introduce an additive approach for the design of a class of transformable structures based on two-bar linkages (“scissor mechanisms”) joined at vertices to form a two-dimensional mesh which we call a pantograph lattice. Our approach shows how these lattices unfold from a one-dimensional collapsed state to two-dimensional surfaces of single and double curvature. We provide an algorithm for growing pantograph structures that allows us to explore the full space of possible mechanisms, and we use it to computationally design and physically assemble a series of examples of varying complexity. We finally demonstrate a streamlined method for automated fabrication of pantograph lattices using multimaterial 3D printing.</w:t>
      </w:r>
    </w:p>
    <w:p>
      <w:pPr>
        <w:spacing w:before="120" w:after="120"/>
      </w:pPr>
      <w:r>
        <w:rPr>
          <w:sz w:val="18"/>
        </w:rPr>
        <w:t>——————————————————————————————————————————————————————————————————————</w:t>
      </w:r>
    </w:p>
    <w:p>
      <w:pPr>
        <w:spacing w:before="160" w:after="40" w:line="240" w:lineRule="auto"/>
      </w:pPr>
      <w:r>
        <w:rPr>
          <w:b/>
        </w:rPr>
        <w:t xml:space="preserve">[486] </w:t>
      </w:r>
      <w:hyperlink r:id="rId1142">
        <w:r>
          <w:rPr>
            <w:color w:val="1155CC"/>
            <w:u w:val="single"/>
          </w:rPr>
          <w:t>LPAR5 识别溶血磷脂酸和非典型 Gαq 偶联的结构基础</w:t>
        </w:r>
      </w:hyperlink>
    </w:p>
    <w:p>
      <w:pPr>
        <w:spacing w:before="0" w:after="80"/>
      </w:pPr>
      <w:r>
        <w:rPr>
          <w:i/>
          <w:sz w:val="20"/>
        </w:rPr>
        <w:t>EN: Structural basis for lysophosphatidic acid recognition and atypical Gαq coupling by LPAR5</w:t>
      </w:r>
    </w:p>
    <w:p>
      <w:pPr>
        <w:spacing w:before="0" w:after="120"/>
      </w:pPr>
      <w:r>
        <w:rPr>
          <w:b/>
        </w:rPr>
        <w:t xml:space="preserve">Source: </w:t>
      </w:r>
      <w:r>
        <w:t>Proceedings of the National Academy of Sciences: Keyword search for query</w:t>
      </w:r>
      <w:r>
        <w:t xml:space="preserve">    </w:t>
      </w:r>
      <w:r>
        <w:rPr>
          <w:b/>
        </w:rPr>
        <w:t xml:space="preserve">Pub date: </w:t>
      </w:r>
      <w:r>
        <w:t>2026-06-18 07:00:00+00:00</w:t>
      </w:r>
      <w:r>
        <w:t xml:space="preserve">    </w:t>
      </w:r>
      <w:r>
        <w:rPr>
          <w:b/>
        </w:rPr>
        <w:t xml:space="preserve">DOI: </w:t>
      </w:r>
      <w:hyperlink r:id="rId1143">
        <w:r>
          <w:rPr>
            <w:color w:val="1155CC"/>
            <w:u w:val="single"/>
          </w:rPr>
          <w:t>10.1073/pnas.2537482123</w:t>
        </w:r>
      </w:hyperlink>
    </w:p>
    <w:p>
      <w:pPr>
        <w:spacing w:before="0" w:after="120"/>
      </w:pPr>
      <w:r>
        <w:rPr>
          <w:b/>
        </w:rPr>
        <w:t xml:space="preserve">Notes: </w:t>
      </w:r>
      <w:r>
        <w:t>abstract_source=crossref</w:t>
      </w:r>
    </w:p>
    <w:p>
      <w:pPr>
        <w:spacing w:before="0" w:after="80" w:lineRule="auto" w:line="276"/>
      </w:pPr>
      <w:r>
        <w:rPr>
          <w:b/>
        </w:rPr>
        <w:t xml:space="preserve">摘要（ZH）: </w:t>
      </w:r>
      <w:r>
        <w:t>溶血磷脂酸受体 5 (LPAR5) 是一种非内皮分化基因 A 类 G 蛋白偶联受体，通过与 G 蛋白偶联来调节神经性疼痛、瘙痒和癌症进展。在这里，我们报道了与 1-油酰-溶血磷脂酸 (LPA) 结合的 LPAR5 与 G 复合物的冷冻电镜结构</w:t>
      </w:r>
      <w:r>
        <w:t xml:space="preserve"> </w:t>
      </w:r>
      <w:r>
        <w:t>q</w:t>
      </w:r>
      <w:r>
        <w:t xml:space="preserve"> </w:t>
      </w:r>
      <w:r>
        <w:t>分辨率为 2.96 Å，揭示了受体激活和 G 蛋白偶联的独特模式。 LPA 的磷酸头基与细胞外环 2 和跨膜螺旋 TM5-TM7 的残基形成广泛的极性相互作用，而脂质尾插入由 TM3-TM5 形成的深层疏水腔中。定点诱变证实了这些相互作用的功能重要性。值得注意的是，LPAR5 表现出非规范的 G 蛋白偶联模式。与之前报道的 GPCR-G 蛋白结构不同，其中 Gα C 端 α5 螺旋（“波状钩”）主要与 TM6 接合，LPAR5 中的波状钩位于细胞内环 1-螺旋 8 界面。此配置与有限的 TM6 向外位移和拨动开关位置 (6.48) 处的适度重新排列相关。由此产生的界面通过受体特异性相互作用而稳定，并得到功能数据的支持。总之，这些发现揭示了 GPCR-G 蛋白偶联的另一种模式，并强调了 LPA 受体信号传导特异性背后的结构可塑性。</w:t>
      </w:r>
    </w:p>
    <w:p>
      <w:pPr>
        <w:spacing w:before="0" w:after="200" w:lineRule="auto" w:line="276"/>
      </w:pPr>
      <w:r>
        <w:rPr>
          <w:b/>
        </w:rPr>
        <w:t xml:space="preserve">Abstract (EN): </w:t>
      </w:r>
      <w:r>
        <w:t>Lysophosphatidic acid receptor 5 (LPAR5) is a non-endothelial differentiation gene class A G protein–coupled receptor that regulates neuropathic pain, itch, and cancer progression through coupling to G proteins. Here, we report the cryo-EM structure of LPAR5 bound to 1-oleoyl-lysophosphatidic acid (LPA) in complex with G</w:t>
      </w:r>
      <w:r>
        <w:t xml:space="preserve"> </w:t>
      </w:r>
      <w:r>
        <w:t>q</w:t>
      </w:r>
      <w:r>
        <w:t xml:space="preserve"> </w:t>
      </w:r>
      <w:r>
        <w:t>at 2.96 Å resolution, revealing a distinct mode of receptor activation and G protein coupling. The phosphate headgroup of LPA forms extensive polar interactions with residues from extracellular loop 2 and transmembrane helices TM5–TM7, while the lipid tail inserts into a deep hydrophobic cavity formed by TM3–TM5. Site-directed mutagenesis confirms the functional importance of these interactions. Remarkably, LPAR5 exhibits a noncanonical G protein coupling mode. Unlike previously reported GPCR–G protein structures in which the Gα C-terminal α5 helix (“wavy hook”) primarily engages TM6, the wavy hook in LPAR5 is positioned toward the intracellular loop 1–helix 8 interface. This configuration is associated with limited TM6 outward displacement and modest rearrangement at the toggle-switch position (6.48). The resulting interface is stabilized by receptor-specific interactions and supported by functional data. Together, these findings reveal an alternative mode of GPCR–G protein coupling and highlight the structural plasticity underlying signaling specificity in LPA receptors.</w:t>
      </w:r>
    </w:p>
    <w:p>
      <w:pPr>
        <w:spacing w:before="120" w:after="120"/>
      </w:pPr>
      <w:r>
        <w:rPr>
          <w:sz w:val="18"/>
        </w:rPr>
        <w:t>——————————————————————————————————————————————————————————————————————</w:t>
      </w:r>
    </w:p>
    <w:p>
      <w:pPr>
        <w:spacing w:before="160" w:after="40" w:line="240" w:lineRule="auto"/>
      </w:pPr>
      <w:r>
        <w:rPr>
          <w:b/>
        </w:rPr>
        <w:t xml:space="preserve">[487] </w:t>
      </w:r>
      <w:hyperlink r:id="rId1144">
        <w:r>
          <w:rPr>
            <w:color w:val="1155CC"/>
            <w:u w:val="single"/>
          </w:rPr>
          <w:t>大气和城市形态依赖性埃及伊蚊种群的时空预测</w:t>
        </w:r>
      </w:hyperlink>
    </w:p>
    <w:p>
      <w:pPr>
        <w:spacing w:before="0" w:after="80"/>
      </w:pPr>
      <w:r>
        <w:rPr>
          <w:i/>
          <w:sz w:val="20"/>
        </w:rPr>
        <w:t>EN: Spatial and temporal prediction of Aedes aegypti populations with atmospheric and urban forms dependence</w:t>
      </w:r>
    </w:p>
    <w:p>
      <w:pPr>
        <w:spacing w:before="0" w:after="120"/>
      </w:pPr>
      <w:r>
        <w:rPr>
          <w:b/>
        </w:rPr>
        <w:t xml:space="preserve">Source: </w:t>
      </w:r>
      <w:r>
        <w:t>Proceedings of the National Academy of Sciences: Keyword search for query</w:t>
      </w:r>
      <w:r>
        <w:t xml:space="preserve">    </w:t>
      </w:r>
      <w:r>
        <w:rPr>
          <w:b/>
        </w:rPr>
        <w:t xml:space="preserve">Pub date: </w:t>
      </w:r>
      <w:r>
        <w:t>2026-06-18 07:00:00+00:00</w:t>
      </w:r>
      <w:r>
        <w:t xml:space="preserve">    </w:t>
      </w:r>
      <w:r>
        <w:rPr>
          <w:b/>
        </w:rPr>
        <w:t xml:space="preserve">DOI: </w:t>
      </w:r>
      <w:hyperlink r:id="rId1145">
        <w:r>
          <w:rPr>
            <w:color w:val="1155CC"/>
            <w:u w:val="single"/>
          </w:rPr>
          <w:t>10.1073/pnas.2533964123</w:t>
        </w:r>
      </w:hyperlink>
    </w:p>
    <w:p>
      <w:pPr>
        <w:spacing w:before="0" w:after="120"/>
      </w:pPr>
      <w:r>
        <w:rPr>
          <w:b/>
        </w:rPr>
        <w:t xml:space="preserve">Notes: </w:t>
      </w:r>
      <w:r>
        <w:t>abstract_source=crossref</w:t>
      </w:r>
    </w:p>
    <w:p>
      <w:pPr>
        <w:spacing w:before="0" w:after="80" w:lineRule="auto" w:line="276"/>
      </w:pPr>
      <w:r>
        <w:rPr>
          <w:b/>
        </w:rPr>
        <w:t xml:space="preserve">摘要（ZH）: </w:t>
      </w:r>
      <w:r>
        <w:t>准确预测城市中蚊子种群动态需要将气候敏感性与城市空间异质性相结合的模型。我们开发了一个空间明确、气候驱动的框架，该框架集成了卫星图像、实地观测和生物学来模拟</w:t>
      </w:r>
      <w:r>
        <w:t xml:space="preserve"> </w:t>
      </w:r>
      <w:r>
        <w:t>埃及伊蚊</w:t>
      </w:r>
      <w:r>
        <w:t xml:space="preserve"> </w:t>
      </w:r>
      <w:r>
        <w:t>异质城市景观的动态。引入了分解技术，将混合城市地点的昆虫学观察结果分解为房屋、街道和公园的景观特定时间序列。我们通过约束反问题提供稳健的参数估计，揭示跨环境的不同温度响应和生物过程。针对巴西五个城市的卵和成蚊数据进行的模型验证显示出很强的相关性，其中大多数介于两者之间</w:t>
      </w:r>
      <w:r>
        <w:t xml:space="preserve"> </w:t>
      </w:r>
      <w:r>
        <w:t>ρ</w:t>
      </w:r>
      <w:r>
        <w:t xml:space="preserve"> </w:t>
      </w:r>
      <w:r>
        <w:t>= 0.4 和 0.8，证实了模型重现观察到的时空模式的能力。气候依赖性、景观量化和经验验证的结合为预测跨空间和时间的蚊子丰度提供了潜在的工具。通过确定风险较高的时期和地点，该框架支持在快速城市化和变暖的世界中针对登革热和其他媒介传播疾病采取有针对性的、具有成本效益的干预措施。</w:t>
      </w:r>
    </w:p>
    <w:p>
      <w:pPr>
        <w:spacing w:before="0" w:after="200" w:lineRule="auto" w:line="276"/>
      </w:pPr>
      <w:r>
        <w:rPr>
          <w:b/>
        </w:rPr>
        <w:t xml:space="preserve">Abstract (EN): </w:t>
      </w:r>
      <w:r>
        <w:t>Accurately predicting mosquito population dynamics in cities requires models that couple climatic sensitivity with urban spatial heterogeneity. We developed a spatially explicit, climate-driven framework that integrates satellite imagery, field observations, and biology to simulate</w:t>
      </w:r>
      <w:r>
        <w:t xml:space="preserve"> </w:t>
      </w:r>
      <w:r>
        <w:t>Aedes aegypti</w:t>
      </w:r>
      <w:r>
        <w:t xml:space="preserve"> </w:t>
      </w:r>
      <w:r>
        <w:t>dynamics across heterogeneous urban landscapes. A decomposition technique was introduced to disentangle entomological observations from mixed urban sites into landscape-specific time series for houses, streets, and parks. We provide a robust parameter estimation through a constrained inverse problem, revealing distinct temperature responses and biological processes across environments. Model validation against both egg and adult mosquito data from five Brazilian cities yielded strong correlations with the majority falling between</w:t>
      </w:r>
      <w:r>
        <w:t xml:space="preserve"> </w:t>
      </w:r>
      <w:r>
        <w:t>ρ</w:t>
      </w:r>
      <w:r>
        <w:t xml:space="preserve"> </w:t>
      </w:r>
      <w:r>
        <w:t>= 0.4 and 0.8, confirming the model’s ability to reproduce observed spatiotemporal patterns. This integration of climate dependence, landscape quantification, and empirical validation provides a potential tool for anticipating mosquito abundance across space and time. By identifying periods and locations of elevated risk, the framework supports targeted, cost-effective interventions against dengue and other vector-borne diseases in a rapidly urbanizing and warming world.</w:t>
      </w:r>
    </w:p>
    <w:p>
      <w:pPr>
        <w:spacing w:before="120" w:after="120"/>
      </w:pPr>
      <w:r>
        <w:rPr>
          <w:sz w:val="18"/>
        </w:rPr>
        <w:t>——————————————————————————————————————————————————————————————————————</w:t>
      </w:r>
    </w:p>
    <w:p>
      <w:pPr>
        <w:spacing w:before="160" w:after="40" w:line="240" w:lineRule="auto"/>
      </w:pPr>
      <w:r>
        <w:rPr>
          <w:b/>
        </w:rPr>
        <w:t xml:space="preserve">[488] </w:t>
      </w:r>
      <w:hyperlink r:id="rId1146">
        <w:r>
          <w:rPr>
            <w:color w:val="1155CC"/>
            <w:u w:val="single"/>
          </w:rPr>
          <w:t>TFPI2 通过粘附和检查点控制促进 NK 细胞介导的胶质母细胞瘤杀伤</w:t>
        </w:r>
      </w:hyperlink>
    </w:p>
    <w:p>
      <w:pPr>
        <w:spacing w:before="0" w:after="80"/>
      </w:pPr>
      <w:r>
        <w:rPr>
          <w:i/>
          <w:sz w:val="20"/>
        </w:rPr>
        <w:t>EN: TFPI2 promotes NK cell–mediated glioblastoma killing through adhesion and checkpoint control</w:t>
      </w:r>
    </w:p>
    <w:p>
      <w:pPr>
        <w:spacing w:before="0" w:after="120"/>
      </w:pPr>
      <w:r>
        <w:rPr>
          <w:b/>
        </w:rPr>
        <w:t xml:space="preserve">Source: </w:t>
      </w:r>
      <w:r>
        <w:t>Proceedings of the National Academy of Sciences: Keyword search for query</w:t>
      </w:r>
      <w:r>
        <w:t xml:space="preserve">    </w:t>
      </w:r>
      <w:r>
        <w:rPr>
          <w:b/>
        </w:rPr>
        <w:t xml:space="preserve">Pub date: </w:t>
      </w:r>
      <w:r>
        <w:t>2026-06-18 07:00:00+00:00</w:t>
      </w:r>
      <w:r>
        <w:t xml:space="preserve">    </w:t>
      </w:r>
      <w:r>
        <w:rPr>
          <w:b/>
        </w:rPr>
        <w:t xml:space="preserve">DOI: </w:t>
      </w:r>
      <w:hyperlink r:id="rId1147">
        <w:r>
          <w:rPr>
            <w:color w:val="1155CC"/>
            <w:u w:val="single"/>
          </w:rPr>
          <w:t>10.1073/pnas.2529973123</w:t>
        </w:r>
      </w:hyperlink>
    </w:p>
    <w:p>
      <w:pPr>
        <w:spacing w:before="0" w:after="120"/>
      </w:pPr>
      <w:r>
        <w:rPr>
          <w:b/>
        </w:rPr>
        <w:t xml:space="preserve">Notes: </w:t>
      </w:r>
      <w:r>
        <w:t>abstract_source=crossref</w:t>
      </w:r>
    </w:p>
    <w:p>
      <w:pPr>
        <w:spacing w:before="0" w:after="80" w:lineRule="auto" w:line="276"/>
      </w:pPr>
      <w:r>
        <w:rPr>
          <w:b/>
        </w:rPr>
        <w:t xml:space="preserve">摘要（ZH）: </w:t>
      </w:r>
      <w:r>
        <w:t>免疫介导的杀伤会触发肿瘤细胞的动态转录适应，从而相互调节细胞溶解过程。阐明这种反馈机制对于推进癌症免疫治疗至关重要。在这里，我们确定组织因子途径抑制剂 2 (TFPI2) 是自然杀伤 (NK) 与胶质母细胞瘤交互作用的中心节点。使用转录组学和功能方法，我们证明 NK 细胞攻击通过 IL1β 和 TNFα 驱动的 NFκB 信号激活诱导胶质母细胞瘤细胞中 TFPI2 的表达。 TFPI2不仅通过抑制POU2F2-CCND1轴来抑制肿瘤增殖，还通过两种互补机制增强NK细胞毒性：它支持最佳的ICAM1表达以促进NK-肿瘤粘附，并且选择性抑制免疫检查点分子SIGLEC15，恢复NK细胞效应功能。在体内，TFPI2 的缺失会加速胶质母细胞瘤的进展，并以环境依赖性方式消除过继 NK 细胞疗法的功效；该功能可能仅限于在炎症刺激下保留 TFPI2 诱导能力的肿瘤。我们的研究结果确定 TFPI2-ICAM1 和 TFPI2-SIGLEC15 轴是免疫肿瘤粘附和检查点控制的条件调节因子，支持 TFPI2 作为易于炎症重编程的胶质母细胞瘤子集的候选治疗靶点。</w:t>
      </w:r>
    </w:p>
    <w:p>
      <w:pPr>
        <w:spacing w:before="0" w:after="200" w:lineRule="auto" w:line="276"/>
      </w:pPr>
      <w:r>
        <w:rPr>
          <w:b/>
        </w:rPr>
        <w:t xml:space="preserve">Abstract (EN): </w:t>
      </w:r>
      <w:r>
        <w:t>Immune-mediated killing triggers dynamic transcriptional adaptations in tumor cells that can reciprocally regulate the cytolytic process. Unraveling such feedback mechanisms is crucial for advancing cancer immunotherapy. Here, we identified tissue factor pathway inhibitor 2 (TFPI2) as a central node in natural killer (NK)–glioblastoma cross talk. Using transcriptomic and functional approaches, we demonstrated that NK cell attack induces TFPI2 expression in glioblastoma cells via IL1β- and TNFα-driven activation of NFκB signaling. TFPI2 not only restrains tumor proliferation by suppressing the POU2F2–CCND1 axis but also enhances NK cytotoxicity through two complementary mechanisms: It supports optimal ICAM1 expression to promote NK–tumor adhesion, and it selectively represses the immune checkpoint molecule SIGLEC15, restoring NK cell effector function. In vivo, loss of TFPI2 accelerates glioblastoma progression and abrogates the efficacy of adoptive NK cell therapy in a context-dependent manner; the functionality is likely restricted to tumors retaining the capacity for TFPI2 induction upon inflammatory stimuli. Our findings identified the TFPI2–ICAM1 and TFPI2–SIGLEC15 axes as conditional regulators of immune–tumor adhesion and checkpoint control, supporting TFPI2 as a candidate therapeutic target for a subset of glioblastomas amenable to inflammatory reprogramming.</w:t>
      </w:r>
    </w:p>
    <w:p>
      <w:pPr>
        <w:spacing w:before="120" w:after="120"/>
      </w:pPr>
      <w:r>
        <w:rPr>
          <w:sz w:val="18"/>
        </w:rPr>
        <w:t>——————————————————————————————————————————————————————————————————————</w:t>
      </w:r>
    </w:p>
    <w:p>
      <w:pPr>
        <w:spacing w:before="160" w:after="40" w:line="240" w:lineRule="auto"/>
      </w:pPr>
      <w:r>
        <w:rPr>
          <w:b/>
        </w:rPr>
        <w:t xml:space="preserve">[489] </w:t>
      </w:r>
      <w:hyperlink r:id="rId1148">
        <w:r>
          <w:rPr>
            <w:color w:val="1155CC"/>
            <w:u w:val="single"/>
          </w:rPr>
          <w:t>突触小泡胞吐作用中双 Ca2+ 传感器的进化保守和不同机制</w:t>
        </w:r>
      </w:hyperlink>
    </w:p>
    <w:p>
      <w:pPr>
        <w:spacing w:before="0" w:after="80"/>
      </w:pPr>
      <w:r>
        <w:rPr>
          <w:i/>
          <w:sz w:val="20"/>
        </w:rPr>
        <w:t>EN: Evolutionarily conserved and divergent mechanisms of dual Ca2+ sensors in synaptic vesicle exocytosis</w:t>
      </w:r>
    </w:p>
    <w:p>
      <w:pPr>
        <w:spacing w:before="0" w:after="120"/>
      </w:pPr>
      <w:r>
        <w:rPr>
          <w:b/>
        </w:rPr>
        <w:t xml:space="preserve">Source: </w:t>
      </w:r>
      <w:r>
        <w:t>Proceedings of the National Academy of Sciences: Keyword search for query</w:t>
      </w:r>
      <w:r>
        <w:t xml:space="preserve">    </w:t>
      </w:r>
      <w:r>
        <w:rPr>
          <w:b/>
        </w:rPr>
        <w:t xml:space="preserve">Pub date: </w:t>
      </w:r>
      <w:r>
        <w:t>2026-06-18 07:00:00+00:00</w:t>
      </w:r>
      <w:r>
        <w:t xml:space="preserve">    </w:t>
      </w:r>
      <w:r>
        <w:rPr>
          <w:b/>
        </w:rPr>
        <w:t xml:space="preserve">DOI: </w:t>
      </w:r>
      <w:hyperlink r:id="rId1149">
        <w:r>
          <w:rPr>
            <w:color w:val="1155CC"/>
            <w:u w:val="single"/>
          </w:rPr>
          <w:t>10.1073/pnas.2532992123</w:t>
        </w:r>
      </w:hyperlink>
    </w:p>
    <w:p>
      <w:pPr>
        <w:spacing w:before="0" w:after="120"/>
      </w:pPr>
      <w:r>
        <w:rPr>
          <w:b/>
        </w:rPr>
        <w:t xml:space="preserve">Notes: </w:t>
      </w:r>
      <w:r>
        <w:t>abstract_source=crossref</w:t>
      </w:r>
    </w:p>
    <w:p>
      <w:pPr>
        <w:spacing w:before="0" w:after="80" w:lineRule="auto" w:line="276"/>
      </w:pPr>
      <w:r>
        <w:rPr>
          <w:b/>
        </w:rPr>
        <w:t xml:space="preserve">摘要（ZH）: </w:t>
      </w:r>
      <w:r>
        <w:t>神经递质释放</w:t>
      </w:r>
      <w:r>
        <w:t xml:space="preserve"> </w:t>
      </w:r>
      <w:r>
        <w:t>秀丽隐杆线虫</w:t>
      </w:r>
      <w:r>
        <w:t xml:space="preserve"> </w:t>
      </w:r>
      <w:r>
        <w:t>神经肌肉接头由双重 Ca 控制</w:t>
      </w:r>
      <w:r>
        <w:t xml:space="preserve"> </w:t>
      </w:r>
      <w:r>
        <w:t>2+</w:t>
      </w:r>
      <w:r>
        <w:t xml:space="preserve"> </w:t>
      </w:r>
      <w:r>
        <w:t>由 SNT-1 和 SNT-3 组成的传感器系统，其功能类似于 Ca</w:t>
      </w:r>
      <w:r>
        <w:t xml:space="preserve"> </w:t>
      </w:r>
      <w:r>
        <w:t>2+</w:t>
      </w:r>
      <w:r>
        <w:t xml:space="preserve"> </w:t>
      </w:r>
      <w:r>
        <w:t>某些哺乳动物神经元中发现的传感器系统，例如海马体中的 synaptotagmin-1 和 -7 (Syt1/Syt7)。在这项研究中，我们研究了 SNT-1 和 SNT-3 如何通过与 SNARE 复合体及其多元基序的潜在相互作用来介导快速和缓慢的神经递质释放。 SNT-1–SNARE 和 SNT-3–SNARE 复合体的 AlphaFold 3 模型预测了与典型 Syt1–SNARE 主界面一致的 C2B–SNARE 排列 [Zhou</w:t>
      </w:r>
      <w:r>
        <w:t xml:space="preserve"> </w:t>
      </w:r>
      <w:r>
        <w:t>等人。</w:t>
      </w:r>
      <w:r>
        <w:t xml:space="preserve"> </w:t>
      </w:r>
      <w:r>
        <w:t>,</w:t>
      </w:r>
      <w:r>
        <w:t xml:space="preserve"> </w:t>
      </w:r>
      <w:r>
        <w:t>自然</w:t>
      </w:r>
      <w:r>
        <w:t xml:space="preserve"> </w:t>
      </w:r>
      <w:r>
        <w:t>第525章</w:t>
      </w:r>
      <w:r>
        <w:t xml:space="preserve"> </w:t>
      </w:r>
      <w:r>
        <w:t>, 62–67 (2015)] 并精确鉴定了 C2B 结构域内以及 SNAP-25 和 Syntaxin 中的保守结合残基，强调了这种相互作用的进化保守性。使用靶向诱变的电生理学分析表明，SNT-1 和 SNT-3 都需要 C2B-SNARE 相互作用和其 C2 结构域内的多元基序来驱动诱发的快速和慢速神经递质释放。值得注意的是，SNT-1 和 SNT-3 对 C2B-SNARE 界面的不同区域及其各自的多元基序表现出不同的依赖性，这表明 Ca</w:t>
      </w:r>
      <w:r>
        <w:t xml:space="preserve"> </w:t>
      </w:r>
      <w:r>
        <w:t>2+</w:t>
      </w:r>
      <w:r>
        <w:t xml:space="preserve"> </w:t>
      </w:r>
      <w:r>
        <w:t>-通过不同的机械策略触发快速和缓慢释放。更远</w:t>
      </w:r>
    </w:p>
    <w:p>
      <w:pPr>
        <w:spacing w:before="0" w:after="200" w:lineRule="auto" w:line="276"/>
      </w:pPr>
      <w:r>
        <w:rPr>
          <w:b/>
        </w:rPr>
        <w:t xml:space="preserve">Abstract (EN): </w:t>
      </w:r>
      <w:r>
        <w:t>Neurotransmitter release at the</w:t>
      </w:r>
      <w:r>
        <w:t xml:space="preserve"> </w:t>
      </w:r>
      <w:r>
        <w:t>Caenorhabditis elegans</w:t>
      </w:r>
      <w:r>
        <w:t xml:space="preserve"> </w:t>
      </w:r>
      <w:r>
        <w:t>neuromuscular junction is governed by a dual Ca</w:t>
      </w:r>
      <w:r>
        <w:t xml:space="preserve"> </w:t>
      </w:r>
      <w:r>
        <w:t>2+</w:t>
      </w:r>
      <w:r>
        <w:t xml:space="preserve"> </w:t>
      </w:r>
      <w:r>
        <w:t>sensor system composed of SNT-1 and SNT-3, which function analogously to the Ca</w:t>
      </w:r>
      <w:r>
        <w:t xml:space="preserve"> </w:t>
      </w:r>
      <w:r>
        <w:t>2+</w:t>
      </w:r>
      <w:r>
        <w:t xml:space="preserve"> </w:t>
      </w:r>
      <w:r>
        <w:t>sensor systems found in certain mammalian neurons, such as synaptotagmin-1 and -7 (Syt1/Syt7) in the hippocampus. In this study, we investigated how SNT-1 and SNT-3 mediate fast and slow neurotransmitter release through their potential interactions with the SNARE complex and their polybasic motifs. AlphaFold 3 models of SNT-1–SNARE and SNT-3–SNARE complexes predicted a C2B–SNARE arrangement consistent with the canonical Syt1–SNARE primary interface [Zhou</w:t>
      </w:r>
      <w:r>
        <w:t xml:space="preserve"> </w:t>
      </w:r>
      <w:r>
        <w:t>et al.</w:t>
      </w:r>
      <w:r>
        <w:t xml:space="preserve"> </w:t>
      </w:r>
      <w:r>
        <w:t>,</w:t>
      </w:r>
      <w:r>
        <w:t xml:space="preserve"> </w:t>
      </w:r>
      <w:r>
        <w:t>Nature</w:t>
      </w:r>
      <w:r>
        <w:rPr>
          <w:vertAlign w:val="subscript"/>
        </w:rPr>
        <w:t>525</w:t>
      </w:r>
      <w:r>
        <w:t>, 62–67 (2015)] and precisely identified conserved binding residues within the C2B domains, as well as in SNAP-25 and Syntaxin, highlighting the evolutionary conservation of this interaction. Electrophysiological analyses using targeted mutagenesis demonstrated that both SNT-1 and SNT-3 require C2B–SNARE interactions and polybasic motifs within their C2 domains to drive evoked fast and slow neurotransmitter release. Notably, SNT-1 and SNT-3 exhibited differential dependence on distinct regions of the C2B–SNARE interface and their respective polybasic motifs, suggesting that Ca</w:t>
      </w:r>
      <w:r>
        <w:t xml:space="preserve"> </w:t>
      </w:r>
      <w:r>
        <w:t>2+</w:t>
      </w:r>
      <w:r>
        <w:t xml:space="preserve"> </w:t>
      </w:r>
      <w:r>
        <w:t>-triggered fast and slow release operate via distinct mechanistic strategies. Furthermore, we found that SNT-1 mediates spontaneous neurotransmitter release through multiple pathways, involving not only the primary C2B–SNARE interface but also additional putative SNARE-binding interactions. Together, our findings uncover both conserved and divergent mechanisms for synaptic exocytosis regulated by the dual Ca</w:t>
      </w:r>
      <w:r>
        <w:t xml:space="preserve"> </w:t>
      </w:r>
      <w:r>
        <w:t>2+</w:t>
      </w:r>
      <w:r>
        <w:t xml:space="preserve"> </w:t>
      </w:r>
      <w:r>
        <w:t>sensors in</w:t>
      </w:r>
      <w:r>
        <w:t xml:space="preserve"> </w:t>
      </w:r>
      <w:r>
        <w:t>C. elegans</w:t>
      </w:r>
      <w:r>
        <w:t xml:space="preserve"> </w:t>
      </w:r>
      <w:r>
        <w:t>.</w:t>
      </w:r>
    </w:p>
    <w:p>
      <w:pPr>
        <w:spacing w:before="120" w:after="120"/>
      </w:pPr>
      <w:r>
        <w:rPr>
          <w:sz w:val="18"/>
        </w:rPr>
        <w:t>——————————————————————————————————————————————————————————————————————</w:t>
      </w:r>
    </w:p>
    <w:p>
      <w:pPr>
        <w:spacing w:before="160" w:after="40" w:line="240" w:lineRule="auto"/>
      </w:pPr>
      <w:r>
        <w:rPr>
          <w:b/>
        </w:rPr>
        <w:t xml:space="preserve">[490] </w:t>
      </w:r>
      <w:hyperlink r:id="rId1150">
        <w:r>
          <w:rPr>
            <w:color w:val="1155CC"/>
            <w:u w:val="single"/>
          </w:rPr>
          <w:t>遵循流行的观点，而不是平均的观点：模型、数据和进化</w:t>
        </w:r>
      </w:hyperlink>
    </w:p>
    <w:p>
      <w:pPr>
        <w:spacing w:before="0" w:after="80"/>
      </w:pPr>
      <w:r>
        <w:rPr>
          <w:i/>
          <w:sz w:val="20"/>
        </w:rPr>
        <w:t>EN: Conformity to popular, not average, opinions: Models, data, and evolution</w:t>
      </w:r>
    </w:p>
    <w:p>
      <w:pPr>
        <w:spacing w:before="0" w:after="120"/>
      </w:pPr>
      <w:r>
        <w:rPr>
          <w:b/>
        </w:rPr>
        <w:t xml:space="preserve">Source: </w:t>
      </w:r>
      <w:r>
        <w:t>Proceedings of the National Academy of Sciences: Keyword search for query</w:t>
      </w:r>
      <w:r>
        <w:t xml:space="preserve">    </w:t>
      </w:r>
      <w:r>
        <w:rPr>
          <w:b/>
        </w:rPr>
        <w:t xml:space="preserve">Pub date: </w:t>
      </w:r>
      <w:r>
        <w:t>2026-06-18 07:00:00+00:00</w:t>
      </w:r>
      <w:r>
        <w:t xml:space="preserve">    </w:t>
      </w:r>
      <w:r>
        <w:rPr>
          <w:b/>
        </w:rPr>
        <w:t xml:space="preserve">DOI: </w:t>
      </w:r>
      <w:hyperlink r:id="rId1151">
        <w:r>
          <w:rPr>
            <w:color w:val="1155CC"/>
            <w:u w:val="single"/>
          </w:rPr>
          <w:t>10.1073/pnas.2530712123</w:t>
        </w:r>
      </w:hyperlink>
    </w:p>
    <w:p>
      <w:pPr>
        <w:spacing w:before="0" w:after="120"/>
      </w:pPr>
      <w:r>
        <w:rPr>
          <w:b/>
        </w:rPr>
        <w:t xml:space="preserve">Notes: </w:t>
      </w:r>
      <w:r>
        <w:t>abstract_source=crossref</w:t>
      </w:r>
    </w:p>
    <w:p>
      <w:pPr>
        <w:spacing w:before="0" w:after="80" w:lineRule="auto" w:line="276"/>
      </w:pPr>
      <w:r>
        <w:rPr>
          <w:b/>
        </w:rPr>
        <w:t xml:space="preserve">摘要（ZH）: </w:t>
      </w:r>
      <w:r>
        <w:t>在评估网络中的个体如何估计数量时，通常假设他们采用他们观察到的其他人的估计的平均值或加权平均值，如 French-DeGroot 学习模型。然而，个人实际上可能会复制同龄人之间相似的观点，这个过程我们称之为从众。例如，如果十个人估计数量为 0，十个人猜测数量为 100，那么尽管平均估计为 50，但人们可以通过选择 0 或 100 来符合。在这里，我们 a) 扩展了最近的一致性模型以包括个人信仰和社会信息，b) 评估该模型和 French-DeGroot 对人类决策数据进行平均的两个模型，以及 c) 模拟每个模型在不同类型的群体结构（包括静态和自适应网络）下的进化动态。在我们分析的许多条件下，整合模型比任何一个 French-DeGroot 模型都能更好地拟合数据。此外，进化模拟揭示了模型之间相当大的差异。例如，与弗伦奇-德格鲁特模型相比，整合模型可以使人群更快地转向“极端”观点（即个体对数量的估计要么非常大，要么非常小），并且会降低个体的平均估计准确性。这些发现对共识形成、两极分化和群体智慧的研究具有重要意义。</w:t>
      </w:r>
    </w:p>
    <w:p>
      <w:pPr>
        <w:spacing w:before="0" w:after="200" w:lineRule="auto" w:line="276"/>
      </w:pPr>
      <w:r>
        <w:rPr>
          <w:b/>
        </w:rPr>
        <w:t xml:space="preserve">Abstract (EN): </w:t>
      </w:r>
      <w:r>
        <w:t>In assessing how individuals in a network estimate a quantity, it is often assumed that they take an average or weighted average of the estimates of others they observe, as in the French–DeGroot learning model. However, individuals may actually copy clusters of similar opinions among their peers, a process that we call conformity. For example, if ten individuals estimate a quantity to be 0 and ten individuals guess 100, then although the average estimate is 50, one may conform by choosing either 0 or 100. Here, we a) extend a recent model of conformity to include both personal beliefs and social information, b) evaluate this model and two models of French–DeGroot averaging on human decision-making data, and c) simulate evolutionary dynamics of each model under different kinds of population structure, including static and adaptive networks. Under many of the conditions we analyze, the conformity model provides a significantly better fit to the data than either of the French–DeGroot models. In addition, evolutionary simulations reveal considerable differences among the models; for example, compared to the French–DeGroot models, the conformity model can produce faster shifts in populations toward “extreme” opinions—where individuals’ estimates of a quantity are either very large or very small—and can reduce individuals’ average estimation accuracy. These findings have implications for research on consensus formation, polarization, and wisdom of crowds.</w:t>
      </w:r>
    </w:p>
    <w:p>
      <w:pPr>
        <w:spacing w:before="120" w:after="120"/>
      </w:pPr>
      <w:r>
        <w:rPr>
          <w:sz w:val="18"/>
        </w:rPr>
        <w:t>——————————————————————————————————————————————————————————————————————</w:t>
      </w:r>
    </w:p>
    <w:p>
      <w:pPr>
        <w:spacing w:before="160" w:after="40" w:line="240" w:lineRule="auto"/>
      </w:pPr>
      <w:r>
        <w:rPr>
          <w:b/>
        </w:rPr>
        <w:t xml:space="preserve">[491] </w:t>
      </w:r>
      <w:hyperlink r:id="rId1152">
        <w:r>
          <w:rPr>
            <w:color w:val="1155CC"/>
            <w:u w:val="single"/>
          </w:rPr>
          <w:t>非线性朗之万动力学中热力学耗散的库夫曼模式分解</w:t>
        </w:r>
      </w:hyperlink>
    </w:p>
    <w:p>
      <w:pPr>
        <w:spacing w:before="0" w:after="80"/>
      </w:pPr>
      <w:r>
        <w:rPr>
          <w:i/>
          <w:sz w:val="20"/>
        </w:rPr>
        <w:t>EN: Koopman mode decomposition of thermodynamic dissipation in nonlinear Langevin dynamics</w:t>
      </w:r>
    </w:p>
    <w:p>
      <w:pPr>
        <w:spacing w:before="0" w:after="120"/>
      </w:pPr>
      <w:r>
        <w:rPr>
          <w:b/>
        </w:rPr>
        <w:t xml:space="preserve">Source: </w:t>
      </w:r>
      <w:r>
        <w:t>Proceedings of the National Academy of Sciences: Keyword search for query</w:t>
      </w:r>
      <w:r>
        <w:t xml:space="preserve">    </w:t>
      </w:r>
      <w:r>
        <w:rPr>
          <w:b/>
        </w:rPr>
        <w:t xml:space="preserve">Pub date: </w:t>
      </w:r>
      <w:r>
        <w:t>2026-06-18 07:00:00+00:00</w:t>
      </w:r>
      <w:r>
        <w:t xml:space="preserve">    </w:t>
      </w:r>
      <w:r>
        <w:rPr>
          <w:b/>
        </w:rPr>
        <w:t xml:space="preserve">DOI: </w:t>
      </w:r>
      <w:hyperlink r:id="rId1153">
        <w:r>
          <w:rPr>
            <w:color w:val="1155CC"/>
            <w:u w:val="single"/>
          </w:rPr>
          <w:t>10.1073/pnas.2530617123</w:t>
        </w:r>
      </w:hyperlink>
    </w:p>
    <w:p>
      <w:pPr>
        <w:spacing w:before="0" w:after="120"/>
      </w:pPr>
      <w:r>
        <w:rPr>
          <w:b/>
        </w:rPr>
        <w:t xml:space="preserve">Notes: </w:t>
      </w:r>
      <w:r>
        <w:t>abstract_source=crossref</w:t>
      </w:r>
    </w:p>
    <w:p>
      <w:pPr>
        <w:spacing w:before="0" w:after="80" w:lineRule="auto" w:line="276"/>
      </w:pPr>
      <w:r>
        <w:rPr>
          <w:b/>
        </w:rPr>
        <w:t xml:space="preserve">摘要（ZH）: </w:t>
      </w:r>
      <w:r>
        <w:t>非线性振荡通常在远离平衡的复杂系统中观察到，例如生物体。这些振荡对于维持神经元放电、昼夜节律和心跳等重要过程至关重要。在此类系统中，热力学耗散对于维持振荡以抵抗噪声是必要的。然而，由于其非线性动力学，确定振荡特性（例如频率、幅度和元件间的相干模式）如何影响耗散一直具有挑战性。为了解决这个问题，我们采用库普曼模式分解，将非线性动力学重新定义为函数空间中的线性演化。这种线性化允许将动力学分解为跨元素相干的时间振荡模式，其中库普曼特征值决定它们的频率。使用这种方法，我们将非保守力引起的热力学耗散分解为过阻尼非线性朗之万动力学中振荡模式的贡献。我们证明了每种模式的耗散与其频率平方和强度成正比，从而提供了可解释的逐模式图像。在嘈杂的 FitzHugh-Nagumo 模型中，我们证明了该框架在量化相干共振和分岔等非线性现象期间振荡模式对耗散的影响方面的有效性。例如，我们对相干共振的分析表明，最佳噪声强度下的最大耗散是由广谱频率支持的，而在非最佳噪声水平下</w:t>
      </w:r>
    </w:p>
    <w:p>
      <w:pPr>
        <w:spacing w:before="0" w:after="200" w:lineRule="auto" w:line="276"/>
      </w:pPr>
      <w:r>
        <w:rPr>
          <w:b/>
        </w:rPr>
        <w:t xml:space="preserve">Abstract (EN): </w:t>
      </w:r>
      <w:r>
        <w:t>Nonlinear oscillations are commonly observed in complex systems far from equilibrium, such as living organisms. These oscillations are essential for sustaining vital processes, like neuronal firing, circadian rhythms, and heartbeats. In such systems, thermodynamic dissipation is necessary to maintain oscillations against noise. However, due to their nonlinear dynamics, it has been challenging to determine how the characteristics of oscillations, such as frequency, amplitude, and coherent patterns across elements, influence dissipation. To resolve this issue, we employ Koopman mode decomposition, which recasts nonlinear dynamics as a linear evolution in a function space. This linearization allows the dynamics to be decomposed into temporal oscillatory modes coherent across elements, with the Koopman eigenvalues determining their frequencies. Using this method, we decompose thermodynamic dissipation caused by nonconservative forces into contributions from oscillatory modes in overdamped nonlinear Langevin dynamics. We show that the dissipation from each mode is proportional to its frequency squared and its intensity, providing an interpretable, mode-by-mode picture. In the noisy FitzHugh–Nagumo model, we demonstrate the effectiveness of this framework in quantifying the impact of oscillatory modes on dissipation during nonlinear phenomena like coherent resonance and bifurcation. For instance, our analysis of coherent resonance reveals that the greatest dissipation at the optimal noise intensity is supported by a broad spectrum of frequencies, whereas at nonoptimal noise levels, dissipation is dominated by specific frequency modes. Our work offers a general approach to connecting oscillations to dissipation in noisy environments and improves our understanding of diverse oscillation phenomena from a nonequilibrium thermodynamic perspective.</w:t>
      </w:r>
    </w:p>
    <w:p>
      <w:pPr>
        <w:spacing w:before="120" w:after="120"/>
      </w:pPr>
      <w:r>
        <w:rPr>
          <w:sz w:val="18"/>
        </w:rPr>
        <w:t>——————————————————————————————————————————————————————————————————————</w:t>
      </w:r>
    </w:p>
    <w:p>
      <w:pPr>
        <w:spacing w:before="160" w:after="40" w:line="240" w:lineRule="auto"/>
      </w:pPr>
      <w:r>
        <w:rPr>
          <w:b/>
        </w:rPr>
        <w:t xml:space="preserve">[492] </w:t>
      </w:r>
      <w:hyperlink r:id="rId1154">
        <w:r>
          <w:rPr>
            <w:color w:val="1155CC"/>
            <w:u w:val="single"/>
          </w:rPr>
          <w:t>菌电子学：用于人工感觉的生物打印活真菌生物电子学</w:t>
        </w:r>
      </w:hyperlink>
    </w:p>
    <w:p>
      <w:pPr>
        <w:spacing w:before="0" w:after="80"/>
      </w:pPr>
      <w:r>
        <w:rPr>
          <w:i/>
          <w:sz w:val="20"/>
        </w:rPr>
        <w:t>EN: Mycoelectronics: Bioprinted living fungal bioelectronics for artificial sensation</w:t>
      </w:r>
    </w:p>
    <w:p>
      <w:pPr>
        <w:spacing w:before="0" w:after="120"/>
      </w:pPr>
      <w:r>
        <w:rPr>
          <w:b/>
        </w:rPr>
        <w:t xml:space="preserve">Source: </w:t>
      </w:r>
      <w:r>
        <w:t>Proceedings of the National Academy of Sciences: Keyword search for query</w:t>
      </w:r>
      <w:r>
        <w:t xml:space="preserve">    </w:t>
      </w:r>
      <w:r>
        <w:rPr>
          <w:b/>
        </w:rPr>
        <w:t xml:space="preserve">Pub date: </w:t>
      </w:r>
      <w:r>
        <w:t>2026-06-18 07:00:00+00:00</w:t>
      </w:r>
      <w:r>
        <w:t xml:space="preserve">    </w:t>
      </w:r>
      <w:r>
        <w:rPr>
          <w:b/>
        </w:rPr>
        <w:t xml:space="preserve">DOI: </w:t>
      </w:r>
      <w:hyperlink r:id="rId1155">
        <w:r>
          <w:rPr>
            <w:color w:val="1155CC"/>
            <w:u w:val="single"/>
          </w:rPr>
          <w:t>10.1073/pnas.2530456123</w:t>
        </w:r>
      </w:hyperlink>
    </w:p>
    <w:p>
      <w:pPr>
        <w:spacing w:before="0" w:after="120"/>
      </w:pPr>
      <w:r>
        <w:rPr>
          <w:b/>
        </w:rPr>
        <w:t xml:space="preserve">Notes: </w:t>
      </w:r>
      <w:r>
        <w:t>abstract_source=crossref</w:t>
      </w:r>
    </w:p>
    <w:p>
      <w:pPr>
        <w:spacing w:before="0" w:after="80" w:lineRule="auto" w:line="276"/>
      </w:pPr>
      <w:r>
        <w:rPr>
          <w:b/>
        </w:rPr>
        <w:t xml:space="preserve">摘要（ZH）: </w:t>
      </w:r>
      <w:r>
        <w:t>人体生物系统的智能是通过柔软皮肤上高度分布的传感受体来实现的，这些传感受体可以区分各种刺激或环境线索，从而建立传感和生理调节或反应的基本逻辑。为了复制生物感知，已经开发出将生物体与电子设备集成的生物混合系统来感知环境线索。然而，当前基于真核生物的生物杂交体面临着生长缓慢、严格的培养需求和较短的寿命，限制了现实世界的使用。在这里，我们介绍基于真菌的可打印“</w:t>
      </w:r>
      <w:r>
        <w:t xml:space="preserve"> </w:t>
      </w:r>
      <w:r>
        <w:t>微电子学</w:t>
      </w:r>
      <w:r>
        <w:t xml:space="preserve"> </w:t>
      </w:r>
      <w:r>
        <w:t>”这是通过将活真菌菌丝体网络添加生物打印到可拉伸电子设备上而创建的，作为一个实用的活体热响应感官平台。这种菌电子学方法利用了 Fung 的快速生物响应能力、指数增长的可培养性、环境条件下的稳定性和自我修复能力、可扩展制造的生物打印能力以及与软电子设备无缝集成的机械灵活性。我们表明，真菌网络的热响应性源于内在的细胞过程，特别是热诱导的液泡重塑和融合，它调节离子传输，从而调节菌丝体细胞和网络的电导率，从而实现快速响应。通过弥合细胞生物学和软电子学之间的差距，具有活菌丝体网络的菌电子装置可作为热感觉系统，具有快速响应和</w:t>
      </w:r>
    </w:p>
    <w:p>
      <w:pPr>
        <w:spacing w:before="0" w:after="200" w:lineRule="auto" w:line="276"/>
      </w:pPr>
      <w:r>
        <w:rPr>
          <w:b/>
        </w:rPr>
        <w:t xml:space="preserve">Abstract (EN): </w:t>
      </w:r>
      <w:r>
        <w:t>The intelligence of the human biological system is enabled by the highly distributed sensing receptors on soft skin that can distinguish various stimulations or environmental cues, thus establishing the fundamental logic of sensing and physiological regulation or response. To replicate biological perception, biohybrid systems integrating living organisms with electronics have been developed to sense environmental cues. However, current eukaryote-based biohybrids face slow growth, strict culture needs, and short lifespans, limiting real-world use. Here, we introduce fungi-based printable “</w:t>
      </w:r>
      <w:r>
        <w:t xml:space="preserve"> </w:t>
      </w:r>
      <w:r>
        <w:t>Mycoelectronics</w:t>
      </w:r>
      <w:r>
        <w:t xml:space="preserve"> </w:t>
      </w:r>
      <w:r>
        <w:t>” which are created by additive bioprinting of living fungal mycelium networks onto stretchable electronics, as a practical living thermoresponsive sensory platform. This mycoelectronics approach leverages fung‘s capabilities for rapid biological responsiveness, cultivability with exponential growth, stability and self-healing in ambient conditions, bioprintability for scalable manufacturing, and mechanical flexibility for seamless integration with soft electronics. We show that the thermal responsiveness of the fungal network arises from intrinsic cellular processes—specifically, heat-induced vacuole remodeling and fusion, which modulate ionic transport and thus the electrical conductivity of the mycelial cells and networks, enabling a rapid response. By bridging the gap between cell biology and soft electronics, the mycoelectronics device, with a living mycelial network, functions as a thermal sensation system with rapid response and intrinsic self-healing properties, autonomously restoring sensing capabilities after damage and establishing sensing pathways in hard-to-reach locations. Application demonstrations in environmental and agricultural monitoring and wearable sensing systems for humans and robots highlight the versatility of this living fungal sensor platform, suggesting promising opportunities in healthcare and the environment.</w:t>
      </w:r>
    </w:p>
    <w:p>
      <w:pPr>
        <w:spacing w:before="120" w:after="120"/>
      </w:pPr>
      <w:r>
        <w:rPr>
          <w:sz w:val="18"/>
        </w:rPr>
        <w:t>——————————————————————————————————————————————————————————————————————</w:t>
      </w:r>
    </w:p>
    <w:p>
      <w:pPr>
        <w:spacing w:before="160" w:after="40" w:line="240" w:lineRule="auto"/>
      </w:pPr>
      <w:r>
        <w:rPr>
          <w:b/>
        </w:rPr>
        <w:t xml:space="preserve">[493] </w:t>
      </w:r>
      <w:hyperlink r:id="rId1156">
        <w:r>
          <w:rPr>
            <w:color w:val="1155CC"/>
            <w:u w:val="single"/>
          </w:rPr>
          <w:t>细菌中整体代谢通量与蛋白质组分配的解耦</w:t>
        </w:r>
      </w:hyperlink>
    </w:p>
    <w:p>
      <w:pPr>
        <w:spacing w:before="0" w:after="80"/>
      </w:pPr>
      <w:r>
        <w:rPr>
          <w:i/>
          <w:sz w:val="20"/>
        </w:rPr>
        <w:t>EN: Decoupling of global metabolic flux and proteome partitioning in bacteria</w:t>
      </w:r>
    </w:p>
    <w:p>
      <w:pPr>
        <w:spacing w:before="0" w:after="120"/>
      </w:pPr>
      <w:r>
        <w:rPr>
          <w:b/>
        </w:rPr>
        <w:t xml:space="preserve">Source: </w:t>
      </w:r>
      <w:r>
        <w:t>AAAS: Science: Table of Contents</w:t>
      </w:r>
      <w:r>
        <w:t xml:space="preserve">    </w:t>
      </w:r>
      <w:r>
        <w:rPr>
          <w:b/>
        </w:rPr>
        <w:t xml:space="preserve">Pub date: </w:t>
      </w:r>
      <w:r>
        <w:t>2026-06-18 07:00:00+00:00</w:t>
      </w:r>
      <w:r>
        <w:t xml:space="preserve">    </w:t>
      </w:r>
      <w:r>
        <w:rPr>
          <w:b/>
        </w:rPr>
        <w:t xml:space="preserve">DOI: </w:t>
      </w:r>
      <w:hyperlink r:id="rId1157">
        <w:r>
          <w:rPr>
            <w:color w:val="1155CC"/>
            <w:u w:val="single"/>
          </w:rPr>
          <w:t>10.1126/science.aeb6410</w:t>
        </w:r>
      </w:hyperlink>
    </w:p>
    <w:p>
      <w:pPr>
        <w:spacing w:before="0" w:after="120"/>
      </w:pPr>
      <w:r>
        <w:rPr>
          <w:b/>
        </w:rPr>
        <w:t xml:space="preserve">Notes: </w:t>
      </w:r>
      <w:r>
        <w:t>abstract_source=crossref</w:t>
      </w:r>
    </w:p>
    <w:p>
      <w:pPr>
        <w:spacing w:before="0" w:after="80" w:lineRule="auto" w:line="276"/>
      </w:pPr>
      <w:r>
        <w:rPr>
          <w:b/>
        </w:rPr>
        <w:t xml:space="preserve">摘要（ZH）: </w:t>
      </w:r>
      <w:r>
        <w:t>细菌通过调整蛋白质组组成来调节稳态生长。在</w:t>
      </w:r>
      <w:r>
        <w:t xml:space="preserve"> </w:t>
      </w:r>
      <w:r>
        <w:t>大肠杆菌</w:t>
      </w:r>
      <w:r>
        <w:t xml:space="preserve"> </w:t>
      </w:r>
      <w:r>
        <w:t>，这种协调是由四磷酸鸟苷和五磷酸鸟苷介导的，统称为 (p)ppGpp，它将氨基酸供应与核糖体生产结合起来。我们确定了一个独特的架构</w:t>
      </w:r>
      <w:r>
        <w:t xml:space="preserve"> </w:t>
      </w:r>
      <w:r>
        <w:t>枯草芽孢杆菌</w:t>
      </w:r>
      <w:r>
        <w:t xml:space="preserve"> </w:t>
      </w:r>
      <w:r>
        <w:t>，其中三磷酸鸟苷 (GTP)，而不是 (p)ppGpp，控制蛋白质组分配。翻译抑制导致 GTP 耗尽，并通过反馈抑制抑制氨基酸生物合成，而不改变核糖体丰度，在总氨基酸通量和蛋白质组组成之间建立受调节的解耦，通量偏离基于蛋白质组的预测。通过人为调整 GTP 浓度，我们重新耦合通量和蛋白质组，将生长恢复到最大量。受监管的次优性可以实现增长和压力恢复之间的平衡。类似的基于 GTP 的策略也存在于其他厚壁菌门物种中，表明可能存在进化保守性。在一些细菌中，蛋白质组组成和代谢通量具有不同的调节层。</w:t>
      </w:r>
    </w:p>
    <w:p>
      <w:pPr>
        <w:spacing w:before="0" w:after="200" w:lineRule="auto" w:line="276"/>
      </w:pPr>
      <w:r>
        <w:rPr>
          <w:b/>
        </w:rPr>
        <w:t xml:space="preserve">Abstract (EN): </w:t>
      </w:r>
      <w:r>
        <w:t>Bacteria regulate homeostatic growth by adjusting proteome composition. In</w:t>
      </w:r>
      <w:r>
        <w:t xml:space="preserve"> </w:t>
      </w:r>
      <w:r>
        <w:t>Escherichia coli</w:t>
      </w:r>
      <w:r>
        <w:t xml:space="preserve"> </w:t>
      </w:r>
      <w:r>
        <w:t>, this coordination is mediated by guanosine tetraphosphate and pentaphosphate, collectively termed (p)ppGpp, which couple amino acid supply with ribsosome production. We identified a distinct architecture in</w:t>
      </w:r>
      <w:r>
        <w:t xml:space="preserve"> </w:t>
      </w:r>
      <w:r>
        <w:t>Bacillus subtilis</w:t>
      </w:r>
      <w:r>
        <w:t xml:space="preserve"> </w:t>
      </w:r>
      <w:r>
        <w:t>, in which guanosine triphosphate (GTP), not (p)ppGpp, controls proteome allocation. Translational inhibition resulted in GTP depletion and suppressed amino acid biosynthesis through feedback inhibition without altering ribosome abundance, establishing a regulated decoupling between total amino acid flux and proteome composition, with flux deviating from proteome-based predictions. By artificially adjusting GTP concentrations, we recoupled flux and proteome, restoring growth to maximal amounts. The regulated suboptimality enables a trade-off to balance growth and stress resilience. Similar GTP-based strategies were present in other Firmicute species, indicating possible evolutionary conservation. Proteome composition and metabolic flux have distinct regulatory layers in some bacteria.</w:t>
      </w:r>
    </w:p>
    <w:p>
      <w:pPr>
        <w:spacing w:before="120" w:after="120"/>
      </w:pPr>
      <w:r>
        <w:rPr>
          <w:sz w:val="18"/>
        </w:rPr>
        <w:t>——————————————————————————————————————————————————————————————————————</w:t>
      </w:r>
    </w:p>
    <w:p>
      <w:pPr>
        <w:spacing w:before="160" w:after="40" w:line="240" w:lineRule="auto"/>
      </w:pPr>
      <w:r>
        <w:rPr>
          <w:b/>
        </w:rPr>
        <w:t xml:space="preserve">[494] </w:t>
      </w:r>
      <w:hyperlink r:id="rId1158">
        <w:r>
          <w:rPr>
            <w:color w:val="1155CC"/>
            <w:u w:val="single"/>
          </w:rPr>
          <w:t>二项式长椭球函数、帕斯卡矩阵和椭圆曲线算术</w:t>
        </w:r>
      </w:hyperlink>
    </w:p>
    <w:p>
      <w:pPr>
        <w:spacing w:before="0" w:after="80"/>
      </w:pPr>
      <w:r>
        <w:rPr>
          <w:i/>
          <w:sz w:val="20"/>
        </w:rPr>
        <w:t>EN: Binomial prolate spheroidal functions, Pascal matrices, and arithmetic of elliptic curves</w:t>
      </w:r>
    </w:p>
    <w:p>
      <w:pPr>
        <w:spacing w:before="0" w:after="120"/>
      </w:pPr>
      <w:r>
        <w:rPr>
          <w:b/>
        </w:rPr>
        <w:t xml:space="preserve">Source: </w:t>
      </w:r>
      <w:r>
        <w:t>Proceedings of the National Academy of Sciences: Keyword search for query</w:t>
      </w:r>
      <w:r>
        <w:t xml:space="preserve">    </w:t>
      </w:r>
      <w:r>
        <w:rPr>
          <w:b/>
        </w:rPr>
        <w:t xml:space="preserve">Pub date: </w:t>
      </w:r>
      <w:r>
        <w:t>2026-06-18 07:00:00+00:00</w:t>
      </w:r>
      <w:r>
        <w:t xml:space="preserve">    </w:t>
      </w:r>
      <w:r>
        <w:rPr>
          <w:b/>
        </w:rPr>
        <w:t xml:space="preserve">DOI: </w:t>
      </w:r>
      <w:hyperlink r:id="rId1159">
        <w:r>
          <w:rPr>
            <w:color w:val="1155CC"/>
            <w:u w:val="single"/>
          </w:rPr>
          <w:t>10.1073/pnas.2529171123</w:t>
        </w:r>
      </w:hyperlink>
    </w:p>
    <w:p>
      <w:pPr>
        <w:spacing w:before="0" w:after="120"/>
      </w:pPr>
      <w:r>
        <w:rPr>
          <w:b/>
        </w:rPr>
        <w:t xml:space="preserve">Notes: </w:t>
      </w:r>
      <w:r>
        <w:t>abstract_source=crossref</w:t>
      </w:r>
    </w:p>
    <w:p>
      <w:pPr>
        <w:spacing w:before="0" w:after="80" w:lineRule="auto" w:line="276"/>
      </w:pPr>
      <w:r>
        <w:rPr>
          <w:b/>
        </w:rPr>
        <w:t xml:space="preserve">摘要（ZH）: </w:t>
      </w:r>
      <w:r>
        <w:t>的</w:t>
      </w:r>
      <w:r>
        <w:t xml:space="preserve"> </w:t>
      </w:r>
      <w:r>
        <w:t>（</w:t>
      </w:r>
      <w:r>
        <w:t xml:space="preserve"> </w:t>
      </w:r>
      <w:r>
        <w:t>氮</w:t>
      </w:r>
      <w:r>
        <w:t xml:space="preserve"> </w:t>
      </w:r>
      <w:r>
        <w:t>+</w:t>
      </w:r>
      <w:r>
        <w:rPr>
          <w:vertAlign w:val="subscript"/>
        </w:rPr>
        <w:t>1</w:t>
      </w:r>
      <w:r>
        <w:t>）</w:t>
      </w:r>
      <w:r>
        <w:t xml:space="preserve"> </w:t>
      </w:r>
      <w:r>
        <w:t>×</w:t>
      </w:r>
      <w:r>
        <w:t xml:space="preserve"> </w:t>
      </w:r>
      <w:r>
        <w:t>（</w:t>
      </w:r>
      <w:r>
        <w:t xml:space="preserve"> </w:t>
      </w:r>
      <w:r>
        <w:t>氮</w:t>
      </w:r>
      <w:r>
        <w:t xml:space="preserve"> </w:t>
      </w:r>
      <w:r>
        <w:t>+</w:t>
      </w:r>
      <w:r>
        <w:rPr>
          <w:vertAlign w:val="subscript"/>
        </w:rPr>
        <w:t>1</w:t>
      </w:r>
      <w:r>
        <w:t>）</w:t>
      </w:r>
      <w:r>
        <w:t xml:space="preserve"> </w:t>
      </w:r>
      <w:r>
        <w:t>对称帕斯卡矩阵</w:t>
      </w:r>
      <w:r>
        <w:t xml:space="preserve"> </w:t>
      </w:r>
      <w:r>
        <w:t>时间</w:t>
      </w:r>
      <w:r>
        <w:t xml:space="preserve"> </w:t>
      </w:r>
      <w:r>
        <w:t>氮</w:t>
      </w:r>
      <w:r>
        <w:t xml:space="preserve"> </w:t>
      </w:r>
      <w:r>
        <w:t>是二项式变换的广义离散时间和带限算子，其特征向量是广义离散长椭球波函数，我们称之为二项式长椭球。它们的生成函数也是广义长椭球函数，因为它们同时是三阶微分算子和直线积分算子的本征函数</w:t>
      </w:r>
      <w:r>
        <w:t xml:space="preserve"> </w:t>
      </w:r>
      <w:r>
        <w:t>{</w:t>
      </w:r>
      <w:r>
        <w:t xml:space="preserve"> </w:t>
      </w:r>
      <w:r>
        <w:t>z</w:t>
      </w:r>
      <w:r>
        <w:t xml:space="preserve"> </w:t>
      </w:r>
      <w:r>
        <w:t>ε</w:t>
      </w:r>
      <w:r>
        <w:t xml:space="preserve"> </w:t>
      </w:r>
      <w:r>
        <w:t>C</w:t>
      </w:r>
      <w:r>
        <w:t xml:space="preserve"> </w:t>
      </w:r>
      <w:r>
        <w:t>：</w:t>
      </w:r>
      <w:r>
        <w:t xml:space="preserve"> </w:t>
      </w:r>
      <w:r>
        <w:t>重新</w:t>
      </w:r>
      <w:r>
        <w:t xml:space="preserve"> </w:t>
      </w:r>
      <w:r>
        <w:t>（</w:t>
      </w:r>
      <w:r>
        <w:t xml:space="preserve"> </w:t>
      </w:r>
      <w:r>
        <w:t>z</w:t>
      </w:r>
      <w:r>
        <w:t xml:space="preserve"> </w:t>
      </w:r>
      <w:r>
        <w:t>）</w:t>
      </w:r>
      <w:r>
        <w:t xml:space="preserve"> </w:t>
      </w:r>
      <w:r>
        <w:t>=</w:t>
      </w:r>
      <w:r>
        <w:rPr>
          <w:vertAlign w:val="subscript"/>
        </w:rPr>
        <w:t>1</w:t>
      </w:r>
      <w:r>
        <w:t>/</w:t>
      </w:r>
      <w:r>
        <w:rPr>
          <w:vertAlign w:val="subscript"/>
        </w:rPr>
        <w:t>2</w:t>
      </w:r>
    </w:p>
    <w:p>
      <w:pPr>
        <w:spacing w:before="0" w:after="200" w:lineRule="auto" w:line="276"/>
      </w:pPr>
      <w:r>
        <w:rPr>
          <w:b/>
        </w:rPr>
        <w:t xml:space="preserve">Abstract (EN): </w:t>
      </w:r>
      <w:r>
        <w:t>The</w:t>
      </w:r>
      <w:r>
        <w:t xml:space="preserve"> </w:t>
      </w:r>
      <w:r>
        <w:t>(</w:t>
      </w:r>
      <w:r>
        <w:t xml:space="preserve"> </w:t>
      </w:r>
      <w:r>
        <w:t>N</w:t>
      </w:r>
      <w:r>
        <w:t xml:space="preserve"> </w:t>
      </w:r>
      <w:r>
        <w:t>+</w:t>
      </w:r>
      <w:r>
        <w:rPr>
          <w:vertAlign w:val="subscript"/>
        </w:rPr>
        <w:t>1</w:t>
      </w:r>
      <w:r>
        <w:t>)</w:t>
      </w:r>
      <w:r>
        <w:t xml:space="preserve"> </w:t>
      </w:r>
      <w:r>
        <w:t>×</w:t>
      </w:r>
      <w:r>
        <w:t xml:space="preserve"> </w:t>
      </w:r>
      <w:r>
        <w:t>(</w:t>
      </w:r>
      <w:r>
        <w:t xml:space="preserve"> </w:t>
      </w:r>
      <w:r>
        <w:t>N</w:t>
      </w:r>
      <w:r>
        <w:t xml:space="preserve"> </w:t>
      </w:r>
      <w:r>
        <w:t>+</w:t>
      </w:r>
      <w:r>
        <w:rPr>
          <w:vertAlign w:val="subscript"/>
        </w:rPr>
        <w:t>1</w:t>
      </w:r>
      <w:r>
        <w:t>)</w:t>
      </w:r>
      <w:r>
        <w:t xml:space="preserve"> </w:t>
      </w:r>
      <w:r>
        <w:t>symmetric Pascal matrix</w:t>
      </w:r>
      <w:r>
        <w:t xml:space="preserve"> </w:t>
      </w:r>
      <w:r>
        <w:t>T</w:t>
      </w:r>
      <w:r>
        <w:t xml:space="preserve"> </w:t>
      </w:r>
      <w:r>
        <w:t>N</w:t>
      </w:r>
      <w:r>
        <w:t xml:space="preserve"> </w:t>
      </w:r>
      <w:r>
        <w:t>is a generalized discrete time and band-limiting operator for the binomial transform and its eigenvectors are generalized discrete prolate spheroidal wave functions which we call binomial prolates. Their generating functions are also generalized prolate spheroidal functions in the sense that they are simultaneously eigenfunctions of a third-order differential operator and an integral operator over the line</w:t>
      </w:r>
      <w:r>
        <w:t xml:space="preserve"> </w:t>
      </w:r>
      <w:r>
        <w:t>{</w:t>
      </w:r>
      <w:r>
        <w:t xml:space="preserve"> </w:t>
      </w:r>
      <w:r>
        <w:t>z</w:t>
      </w:r>
      <w:r>
        <w:t xml:space="preserve"> </w:t>
      </w:r>
      <w:r>
        <w:t>∈</w:t>
      </w:r>
      <w:r>
        <w:t xml:space="preserve"> </w:t>
      </w:r>
      <w:r>
        <w:t>C</w:t>
      </w:r>
      <w:r>
        <w:t xml:space="preserve"> </w:t>
      </w:r>
      <w:r>
        <w:t>:</w:t>
      </w:r>
      <w:r>
        <w:t xml:space="preserve"> </w:t>
      </w:r>
      <w:r>
        <w:t>Re</w:t>
      </w:r>
      <w:r>
        <w:t xml:space="preserve"> </w:t>
      </w:r>
      <w:r>
        <w:t>(</w:t>
      </w:r>
      <w:r>
        <w:t xml:space="preserve"> </w:t>
      </w:r>
      <w:r>
        <w:t>z</w:t>
      </w:r>
      <w:r>
        <w:t xml:space="preserve"> </w:t>
      </w:r>
      <w:r>
        <w:t>)</w:t>
      </w:r>
      <w:r>
        <w:t xml:space="preserve"> </w:t>
      </w:r>
      <w:r>
        <w:t>=</w:t>
      </w:r>
      <w:r>
        <w:rPr>
          <w:vertAlign w:val="subscript"/>
        </w:rPr>
        <w:t>1</w:t>
      </w:r>
      <w:r>
        <w:t>/</w:t>
      </w:r>
      <w:r>
        <w:rPr>
          <w:vertAlign w:val="subscript"/>
        </w:rPr>
        <w:t>2</w:t>
      </w:r>
      <w:r>
        <w:t>}</w:t>
      </w:r>
      <w:r>
        <w:t xml:space="preserve"> </w:t>
      </w:r>
      <w:r>
        <w:t>. For even, positive integers</w:t>
      </w:r>
      <w:r>
        <w:t xml:space="preserve"> </w:t>
      </w:r>
      <w:r>
        <w:t>N</w:t>
      </w:r>
      <w:r>
        <w:t xml:space="preserve"> </w:t>
      </w:r>
      <w:r>
        <w:t>, we obtain an explicit formula for the generating function of an eigenvector of the symmetric Pascal matrix with eigenvalue 1. When</w:t>
      </w:r>
      <w:r>
        <w:t xml:space="preserve"> </w:t>
      </w:r>
      <w:r>
        <w:t>N</w:t>
      </w:r>
      <w:r>
        <w:t xml:space="preserve"> </w:t>
      </w:r>
      <w:r>
        <w:t>=</w:t>
      </w:r>
      <w:r>
        <w:t xml:space="preserve"> </w:t>
      </w:r>
      <w:r>
        <w:t>p</w:t>
      </w:r>
      <w:r>
        <w:t xml:space="preserve"> </w:t>
      </w:r>
      <w:r>
        <w:t>−</w:t>
      </w:r>
      <w:r>
        <w:rPr>
          <w:vertAlign w:val="subscript"/>
        </w:rPr>
        <w:t>1</w:t>
      </w:r>
      <w:r>
        <w:t xml:space="preserve"> </w:t>
      </w:r>
      <w:r>
        <w:t>for an odd prime</w:t>
      </w:r>
      <w:r>
        <w:t xml:space="preserve"> </w:t>
      </w:r>
      <w:r>
        <w:t>p</w:t>
      </w:r>
      <w:r>
        <w:t xml:space="preserve"> </w:t>
      </w:r>
      <w:r>
        <w:t>, we show that the generating function is equivalent modulo</w:t>
      </w:r>
      <w:r>
        <w:t xml:space="preserve"> </w:t>
      </w:r>
      <w:r>
        <w:t>p</w:t>
      </w:r>
      <w:r>
        <w:t xml:space="preserve"> </w:t>
      </w:r>
      <w:r>
        <w:t>to</w:t>
      </w:r>
      <w:r>
        <w:t xml:space="preserve"> </w:t>
      </w:r>
      <w:r>
        <w:t>(</w:t>
      </w:r>
      <w:r>
        <w:t xml:space="preserve"> </w:t>
      </w:r>
      <w:r>
        <w:t>#</w:t>
      </w:r>
      <w:r>
        <w:t xml:space="preserve"> </w:t>
      </w:r>
      <w:r>
        <w:t>E</w:t>
      </w:r>
      <w:r>
        <w:t xml:space="preserve"> </w:t>
      </w:r>
      <w:r>
        <w:t>z</w:t>
      </w:r>
      <w:r>
        <w:t xml:space="preserve"> </w:t>
      </w:r>
      <w:r>
        <w:t>(</w:t>
      </w:r>
      <w:r>
        <w:t xml:space="preserve"> </w:t>
      </w:r>
      <w:r>
        <w:t>F</w:t>
      </w:r>
      <w:r>
        <w:t xml:space="preserve"> </w:t>
      </w:r>
      <w:r>
        <w:t>p</w:t>
      </w:r>
      <w:r>
        <w:t xml:space="preserve"> </w:t>
      </w:r>
      <w:r>
        <w:t>)</w:t>
      </w:r>
      <w:r>
        <w:t xml:space="preserve"> </w:t>
      </w:r>
      <w:r>
        <w:t>−</w:t>
      </w:r>
      <w:r>
        <w:rPr>
          <w:vertAlign w:val="subscript"/>
        </w:rPr>
        <w:t>1</w:t>
      </w:r>
      <w:r>
        <w:t>)</w:t>
      </w:r>
      <w:r>
        <w:t xml:space="preserve"> </w:t>
      </w:r>
      <w:r>
        <w:rPr>
          <w:vertAlign w:val="subscript"/>
        </w:rPr>
        <w:t>2</w:t>
      </w:r>
      <w:r>
        <w:t xml:space="preserve"> </w:t>
      </w:r>
      <w:r>
        <w:t>, where</w:t>
      </w:r>
      <w:r>
        <w:t xml:space="preserve"> </w:t>
      </w:r>
      <w:r>
        <w:t>#</w:t>
      </w:r>
      <w:r>
        <w:t xml:space="preserve"> </w:t>
      </w:r>
      <w:r>
        <w:t>E</w:t>
      </w:r>
      <w:r>
        <w:t xml:space="preserve"> </w:t>
      </w:r>
      <w:r>
        <w:t>z</w:t>
      </w:r>
      <w:r>
        <w:t xml:space="preserve"> </w:t>
      </w:r>
      <w:r>
        <w:t>(</w:t>
      </w:r>
      <w:r>
        <w:t xml:space="preserve"> </w:t>
      </w:r>
      <w:r>
        <w:t>F</w:t>
      </w:r>
      <w:r>
        <w:t xml:space="preserve"> </w:t>
      </w:r>
      <w:r>
        <w:t>p</w:t>
      </w:r>
      <w:r>
        <w:t xml:space="preserve"> </w:t>
      </w:r>
      <w:r>
        <w:t>)</w:t>
      </w:r>
      <w:r>
        <w:t xml:space="preserve"> </w:t>
      </w:r>
      <w:r>
        <w:t>is the number of points on the Legendre elliptic curve</w:t>
      </w:r>
      <w:r>
        <w:t xml:space="preserve"> </w:t>
      </w:r>
      <w:r>
        <w:t>y</w:t>
      </w:r>
      <w:r>
        <w:rPr>
          <w:vertAlign w:val="subscript"/>
        </w:rPr>
        <w:t>2</w:t>
      </w:r>
      <w:r>
        <w:t xml:space="preserve"> </w:t>
      </w:r>
      <w:r>
        <w:t>=</w:t>
      </w:r>
      <w:r>
        <w:t xml:space="preserve"> </w:t>
      </w:r>
      <w:r>
        <w:t>x</w:t>
      </w:r>
      <w:r>
        <w:t xml:space="preserve"> </w:t>
      </w:r>
      <w:r>
        <w:t>(</w:t>
      </w:r>
      <w:r>
        <w:t xml:space="preserve"> </w:t>
      </w:r>
      <w:r>
        <w:t>x</w:t>
      </w:r>
      <w:r>
        <w:t xml:space="preserve"> </w:t>
      </w:r>
      <w:r>
        <w:t>−</w:t>
      </w:r>
      <w:r>
        <w:rPr>
          <w:vertAlign w:val="subscript"/>
        </w:rPr>
        <w:t>1</w:t>
      </w:r>
      <w:r>
        <w:t>)</w:t>
      </w:r>
      <w:r>
        <w:t xml:space="preserve"> </w:t>
      </w:r>
      <w:r>
        <w:t>(</w:t>
      </w:r>
      <w:r>
        <w:t xml:space="preserve"> </w:t>
      </w:r>
      <w:r>
        <w:t>x</w:t>
      </w:r>
      <w:r>
        <w:t xml:space="preserve"> </w:t>
      </w:r>
      <w:r>
        <w:t>−</w:t>
      </w:r>
      <w:r>
        <w:t>z</w:t>
      </w:r>
      <w:r>
        <w:t xml:space="preserve"> </w:t>
      </w:r>
      <w:r>
        <w:t>)</w:t>
      </w:r>
      <w:r>
        <w:t xml:space="preserve"> </w:t>
      </w:r>
      <w:r>
        <w:t>over the finite field</w:t>
      </w:r>
      <w:r>
        <w:t xml:space="preserve"> </w:t>
      </w:r>
      <w:r>
        <w:t>F</w:t>
      </w:r>
      <w:r>
        <w:t xml:space="preserve"> </w:t>
      </w:r>
      <w:r>
        <w:t>p</w:t>
      </w:r>
      <w:r>
        <w:t xml:space="preserve"> </w:t>
      </w:r>
      <w:r>
        <w:t>. Furthermore when</w:t>
      </w:r>
      <w:r>
        <w:t xml:space="preserve"> </w:t>
      </w:r>
      <w:r>
        <w:t>N</w:t>
      </w:r>
      <w:r>
        <w:t xml:space="preserve"> </w:t>
      </w:r>
      <w:r>
        <w:t>=</w:t>
      </w:r>
      <w:r>
        <w:t xml:space="preserve"> </w:t>
      </w:r>
      <w:r>
        <w:t>p</w:t>
      </w:r>
      <w:r>
        <w:t xml:space="preserve"> </w:t>
      </w:r>
      <w:r>
        <w:t>n</w:t>
      </w:r>
      <w:r>
        <w:t xml:space="preserve"> </w:t>
      </w:r>
      <w:r>
        <w:t>−</w:t>
      </w:r>
      <w:r>
        <w:rPr>
          <w:vertAlign w:val="subscript"/>
        </w:rPr>
        <w:t>1</w:t>
      </w:r>
      <w:r>
        <w:t xml:space="preserve"> </w:t>
      </w:r>
      <w:r>
        <w:t>, our generating function is the square of a period of</w:t>
      </w:r>
      <w:r>
        <w:t xml:space="preserve"> </w:t>
      </w:r>
      <w:r>
        <w:t>E</w:t>
      </w:r>
      <w:r>
        <w:t xml:space="preserve"> </w:t>
      </w:r>
      <w:r>
        <w:t>z</w:t>
      </w:r>
      <w:r>
        <w:t xml:space="preserve"> </w:t>
      </w:r>
      <w:r>
        <w:t>modulo</w:t>
      </w:r>
      <w:r>
        <w:t xml:space="preserve"> </w:t>
      </w:r>
      <w:r>
        <w:t>p</w:t>
      </w:r>
      <w:r>
        <w:t xml:space="preserve"> </w:t>
      </w:r>
      <w:r>
        <w:t>n</w:t>
      </w:r>
      <w:r>
        <w:t xml:space="preserve"> </w:t>
      </w:r>
      <w:r>
        <w:t>in the open</w:t>
      </w:r>
      <w:r>
        <w:t xml:space="preserve"> </w:t>
      </w:r>
      <w:r>
        <w:t>p</w:t>
      </w:r>
      <w:r>
        <w:t xml:space="preserve"> </w:t>
      </w:r>
      <w:r>
        <w:t>-adic unit disk.</w:t>
      </w:r>
    </w:p>
    <w:p>
      <w:pPr>
        <w:spacing w:before="120" w:after="120"/>
      </w:pPr>
      <w:r>
        <w:rPr>
          <w:sz w:val="18"/>
        </w:rPr>
        <w:t>——————————————————————————————————————————————————————————————————————</w:t>
      </w:r>
    </w:p>
    <w:p>
      <w:pPr>
        <w:spacing w:before="160" w:after="40" w:line="240" w:lineRule="auto"/>
      </w:pPr>
      <w:r>
        <w:rPr>
          <w:b/>
        </w:rPr>
        <w:t xml:space="preserve">[495] </w:t>
      </w:r>
      <w:hyperlink r:id="rId1160">
        <w:r>
          <w:rPr>
            <w:color w:val="1155CC"/>
            <w:u w:val="single"/>
          </w:rPr>
          <w:t>光激发诱导限制在反胶束中的常见荧光 pH 和质子转移探针的易位</w:t>
        </w:r>
      </w:hyperlink>
    </w:p>
    <w:p>
      <w:pPr>
        <w:spacing w:before="0" w:after="80"/>
      </w:pPr>
      <w:r>
        <w:rPr>
          <w:i/>
          <w:sz w:val="20"/>
        </w:rPr>
        <w:t>EN: Photoexcitation induces translocation of a common fluorescent pH and proton-transfer probe confined in reverse micelles</w:t>
      </w:r>
    </w:p>
    <w:p>
      <w:pPr>
        <w:spacing w:before="0" w:after="120"/>
      </w:pPr>
      <w:r>
        <w:rPr>
          <w:b/>
        </w:rPr>
        <w:t xml:space="preserve">Source: </w:t>
      </w:r>
      <w:r>
        <w:t>Proceedings of the National Academy of Sciences: Keyword search for query</w:t>
      </w:r>
      <w:r>
        <w:t xml:space="preserve">    </w:t>
      </w:r>
      <w:r>
        <w:rPr>
          <w:b/>
        </w:rPr>
        <w:t xml:space="preserve">Pub date: </w:t>
      </w:r>
      <w:r>
        <w:t>2026-06-18 07:00:00+00:00</w:t>
      </w:r>
      <w:r>
        <w:t xml:space="preserve">    </w:t>
      </w:r>
      <w:r>
        <w:rPr>
          <w:b/>
        </w:rPr>
        <w:t xml:space="preserve">DOI: </w:t>
      </w:r>
      <w:hyperlink r:id="rId1161">
        <w:r>
          <w:rPr>
            <w:color w:val="1155CC"/>
            <w:u w:val="single"/>
          </w:rPr>
          <w:t>10.1073/pnas.2518988123</w:t>
        </w:r>
      </w:hyperlink>
    </w:p>
    <w:p>
      <w:pPr>
        <w:spacing w:before="0" w:after="120"/>
      </w:pPr>
      <w:r>
        <w:rPr>
          <w:b/>
        </w:rPr>
        <w:t xml:space="preserve">Notes: </w:t>
      </w:r>
      <w:r>
        <w:t>abstract_source=crossref</w:t>
      </w:r>
    </w:p>
    <w:p>
      <w:pPr>
        <w:spacing w:before="0" w:after="80" w:lineRule="auto" w:line="276"/>
      </w:pPr>
      <w:r>
        <w:rPr>
          <w:b/>
        </w:rPr>
        <w:t xml:space="preserve">摘要（ZH）: </w:t>
      </w:r>
      <w:r>
        <w:t>光酸 8-羟基芘-1,3,6-三磺酸盐 (HPTS) 是最广泛使用的荧光探针之一，用于研究从先进材料到植物、环境传感器到医学等系统中的质子转移和局部 pH 值。 HPTS 以两种不同的形式存在：酸及其共轭碱，当分子被纳米限制在阴离子 AOT 反胶束内时，会导致分子独特的质子化状态依赖性易位。使用稳态和时间分辨光谱、分子模拟和红外溶剂化壳层光谱，我们报告质子化的 HPTS 物质通过氢键与胶束界面紧密结合。相比之下，其去质子化物质存在于胶束的水性内部。我们的结果表明，酸物质的光激发及其随后的去质子化导致共轭碱快速远离界面进入水池。这种光诱导的易位是在一系列胶束尺寸中观察到的效应，它挑战了普遍的观点，即分子探针被认为是其环境的静态报告者，在实验期间保持在固定位置。这对于解释利用 HPTS 光谱来报告复杂系统的众多研究的结果尤其相关。我们的研究结果揭示了分子探针作为动态探索者的潜力，能够在其设计测量的过程的时间尺度上绘制环境异质性图。</w:t>
      </w:r>
    </w:p>
    <w:p>
      <w:pPr>
        <w:spacing w:before="0" w:after="200" w:lineRule="auto" w:line="276"/>
      </w:pPr>
      <w:r>
        <w:rPr>
          <w:b/>
        </w:rPr>
        <w:t xml:space="preserve">Abstract (EN): </w:t>
      </w:r>
      <w:r>
        <w:t>The photoacid 8-hydroxypyrene-1,3,6-trisulfonate (HPTS) is one of the most widely used fluorescent probes for studying proton transfer and local pH in systems from advanced materials to plants, environmental sensors to medicine. HPTS exists as two different species: the acid and its conjugate base, which lead to unique protonation-state-dependent translocation of the molecule when it is nanoconfined within anionic AOT reverse micelles. Using steady-state and time-resolved optical spectroscopy, molecular simulations, and IR solvation shell spectroscopy, we report that the protonated HPTS species associates strongly with the micelle interface via hydrogen bonding. In contrast, its deprotonated species resides in the micelle’s aqueous interior. Our results show that photoexcitation of the acid species and its subsequent deprotonation leads the conjugate base to rapidly move away from the interface into the water pool. This light-induced translocation, an effect observed for a range of micelle sizes, challenges the prevailing view where molecular probes are assumed to be static reporters of their environments, remaining in a fixed location for the duration of an experiment. This is especially relevant for interpreting results in the numerous studies enlisting optical spectroscopy of HPTS to report on complex systems. Our findings reveal the potential for molecular probes as dynamic explorers capable of mapping environmental heterogeneity on the timescale of the very processes they are designed to measure.</w:t>
      </w:r>
    </w:p>
    <w:p>
      <w:pPr>
        <w:spacing w:before="120" w:after="120"/>
      </w:pPr>
      <w:r>
        <w:rPr>
          <w:sz w:val="18"/>
        </w:rPr>
        <w:t>——————————————————————————————————————————————————————————————————————</w:t>
      </w:r>
    </w:p>
    <w:p>
      <w:pPr>
        <w:spacing w:before="160" w:after="40" w:line="240" w:lineRule="auto"/>
      </w:pPr>
      <w:r>
        <w:rPr>
          <w:b/>
        </w:rPr>
        <w:t xml:space="preserve">[496] </w:t>
      </w:r>
      <w:hyperlink r:id="rId1162">
        <w:r>
          <w:rPr>
            <w:color w:val="1155CC"/>
            <w:u w:val="single"/>
          </w:rPr>
          <w:t>管理私人资金的陷阱</w:t>
        </w:r>
      </w:hyperlink>
    </w:p>
    <w:p>
      <w:pPr>
        <w:spacing w:before="0" w:after="80"/>
      </w:pPr>
      <w:r>
        <w:rPr>
          <w:i/>
          <w:sz w:val="20"/>
        </w:rPr>
        <w:t>EN: Managing the pitfalls of private money</w:t>
      </w:r>
    </w:p>
    <w:p>
      <w:pPr>
        <w:spacing w:before="0" w:after="120"/>
      </w:pPr>
      <w:r>
        <w:rPr>
          <w:b/>
        </w:rPr>
        <w:t xml:space="preserve">Source: </w:t>
      </w:r>
      <w:r>
        <w:t>AAAS: Science: Table of Contents</w:t>
      </w:r>
      <w:r>
        <w:t xml:space="preserve">    </w:t>
      </w:r>
      <w:r>
        <w:rPr>
          <w:b/>
        </w:rPr>
        <w:t xml:space="preserve">Pub date: </w:t>
      </w:r>
      <w:r>
        <w:t>2026-06-18 07:00:00+00:00</w:t>
      </w:r>
      <w:r>
        <w:t xml:space="preserve">    </w:t>
      </w:r>
      <w:r>
        <w:rPr>
          <w:b/>
        </w:rPr>
        <w:t xml:space="preserve">DOI: </w:t>
      </w:r>
      <w:hyperlink r:id="rId1163">
        <w:r>
          <w:rPr>
            <w:color w:val="1155CC"/>
            <w:u w:val="single"/>
          </w:rPr>
          <w:t>10.1126/science.aei6193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[497] </w:t>
      </w:r>
      <w:hyperlink r:id="rId1164">
        <w:r>
          <w:rPr>
            <w:color w:val="1155CC"/>
            <w:u w:val="single"/>
          </w:rPr>
          <w:t>内皮 KLF4 耗竭导致与年龄相关的神经血管功能障碍和神经精神障碍</w:t>
        </w:r>
      </w:hyperlink>
    </w:p>
    <w:p>
      <w:pPr>
        <w:spacing w:before="0" w:after="80"/>
      </w:pPr>
      <w:r>
        <w:rPr>
          <w:i/>
          <w:sz w:val="20"/>
        </w:rPr>
        <w:t>EN: Endothelial KLF4 depletion drives age-related neurovascular dysfunction and neuropsychiatric impairment</w:t>
      </w:r>
    </w:p>
    <w:p>
      <w:pPr>
        <w:spacing w:before="0" w:after="120"/>
      </w:pPr>
      <w:r>
        <w:rPr>
          <w:b/>
        </w:rPr>
        <w:t xml:space="preserve">Source: </w:t>
      </w:r>
      <w:r>
        <w:t>Proceedings of the National Academy of Sciences: Keyword search for query</w:t>
      </w:r>
      <w:r>
        <w:t xml:space="preserve">    </w:t>
      </w:r>
      <w:r>
        <w:rPr>
          <w:b/>
        </w:rPr>
        <w:t xml:space="preserve">Pub date: </w:t>
      </w:r>
      <w:r>
        <w:t>2026-06-18 07:00:00+00:00</w:t>
      </w:r>
      <w:r>
        <w:t xml:space="preserve">    </w:t>
      </w:r>
      <w:r>
        <w:rPr>
          <w:b/>
        </w:rPr>
        <w:t xml:space="preserve">DOI: </w:t>
      </w:r>
      <w:hyperlink r:id="rId1165">
        <w:r>
          <w:rPr>
            <w:color w:val="1155CC"/>
            <w:u w:val="single"/>
          </w:rPr>
          <w:t>10.1073/pnas.2426990123</w:t>
        </w:r>
      </w:hyperlink>
    </w:p>
    <w:p>
      <w:pPr>
        <w:spacing w:before="0" w:after="120"/>
      </w:pPr>
      <w:r>
        <w:rPr>
          <w:b/>
        </w:rPr>
        <w:t xml:space="preserve">Notes: </w:t>
      </w:r>
      <w:r>
        <w:t>abstract_source=crossref</w:t>
      </w:r>
    </w:p>
    <w:p>
      <w:pPr>
        <w:spacing w:before="0" w:after="80" w:lineRule="auto" w:line="276"/>
      </w:pPr>
      <w:r>
        <w:rPr>
          <w:b/>
        </w:rPr>
        <w:t xml:space="preserve">摘要（ZH）: </w:t>
      </w:r>
      <w:r>
        <w:t>血脑屏障（BBB）的恶化，包括神经血管解偶联受损，会导致衰老过程中认知能力下降。 BBB 主要由脑微血管内皮细胞 (EC) 形成，全身的 EC 富含转录因子 Krüppel 样因子 4 (KLF4)。由于 EC 中的 KLF4 水平随着年龄的增长而下降，我们测试了这种下降是否会导致与衰老相关的 BBB 恶化、神经血管功能障碍和认知障碍。使用 EC 特定的</w:t>
      </w:r>
      <w:r>
        <w:t xml:space="preserve"> </w:t>
      </w:r>
      <w:r>
        <w:t>Klf4</w:t>
      </w:r>
      <w:r>
        <w:t xml:space="preserve"> </w:t>
      </w:r>
      <w:r>
        <w:t>敲除小鼠 (EC-K4KO) 中，我们发现 EC KLF4 的缺失会加速多种与年龄相关的脑部病变。事实上，中年 EC-K4KO 小鼠表现出通常直到高龄才观察到的病理特征，包括明显的血脑屏障渗漏、神经血管耦合受损、微血管丢失、氧化损伤增加、神经炎症、神经退行性变、焦虑样行为和认知缺陷。脑血管系统的单细胞 RNA 测序揭示了缺乏 KLF4 的 EC 中免疫反应和屏障相关基因的失调，表明 KLF4 通过在染色质水平限制促炎和衰老程序来维持脑内皮稳态。总之，这些结果表明 EC KLF4 的缺失是神经血管衰退和年龄相关认知功能障碍的关键驱动因素。</w:t>
      </w:r>
    </w:p>
    <w:p>
      <w:pPr>
        <w:spacing w:before="0" w:after="200" w:lineRule="auto" w:line="276"/>
      </w:pPr>
      <w:r>
        <w:rPr>
          <w:b/>
        </w:rPr>
        <w:t xml:space="preserve">Abstract (EN): </w:t>
      </w:r>
      <w:r>
        <w:t>Deterioration of the blood–brain barrier (BBB), including impaired neurovascular uncoupling, contributes to cognitive decline in aging. The BBB is formed principally by brain microvascular endothelial cells (ECs), and ECs throughout the body are enriched for the transcription factor Krüppel-like factor 4 (KLF4). Because KLF4 levels in ECs decrease with age, we tested whether that decline contributes to aging-related BBB deterioration, neurovascular dysfunction, and cognitive impairment. Using EC-specific</w:t>
      </w:r>
      <w:r>
        <w:t xml:space="preserve"> </w:t>
      </w:r>
      <w:r>
        <w:t>Klf4</w:t>
      </w:r>
      <w:r>
        <w:t xml:space="preserve"> </w:t>
      </w:r>
      <w:r>
        <w:t>knockout mice (EC-K4KO), we show that loss of EC KLF4 accelerates multiple age-related brain pathologies. Indeed, middle-aged EC-K4KO mice display pathological features that are not normally observed until advanced age, including marked BBB leakage, impaired neurovascular coupling, loss of microvessels, increased oxidative damage, neuroinflammation, neurodegeneration, anxiety-like behavior, and cognitive deficits. Single-cell RNA sequencing of brain vasculature reveals dysregulation of immune response and barrier-related genes in ECs lacking KLF4, indicating that KLF4 maintains brain endothelial homeostasis by constraining proinflammatory and senescence programs at the chromatin level. Together, these results identify loss of EC KLF4 as a key driver of neurovascular decline and age-associated cognitive dysfunction.</w:t>
      </w:r>
    </w:p>
    <w:p>
      <w:pPr>
        <w:spacing w:before="120" w:after="120"/>
      </w:pPr>
      <w:r>
        <w:rPr>
          <w:sz w:val="18"/>
        </w:rPr>
        <w:t>——————————————————————————————————————————————————————————————————————</w:t>
      </w:r>
    </w:p>
    <w:p>
      <w:pPr>
        <w:spacing w:before="160" w:after="40" w:line="240" w:lineRule="auto"/>
      </w:pPr>
      <w:r>
        <w:rPr>
          <w:b/>
        </w:rPr>
        <w:t xml:space="preserve">[498] </w:t>
      </w:r>
      <w:hyperlink r:id="rId1166">
        <w:r>
          <w:rPr>
            <w:color w:val="1155CC"/>
            <w:u w:val="single"/>
          </w:rPr>
          <w:t>CD4+ T 细胞通过 IL-3 和 TNF 依赖性血管损伤损害肿瘤生长</w:t>
        </w:r>
      </w:hyperlink>
    </w:p>
    <w:p>
      <w:pPr>
        <w:spacing w:before="0" w:after="80"/>
      </w:pPr>
      <w:r>
        <w:rPr>
          <w:i/>
          <w:sz w:val="20"/>
        </w:rPr>
        <w:t>EN: CD4+ T cells impair tumor growth through IL-3 and TNF-dependent vascular damage</w:t>
      </w:r>
    </w:p>
    <w:p>
      <w:pPr>
        <w:spacing w:before="0" w:after="120"/>
      </w:pPr>
      <w:r>
        <w:rPr>
          <w:b/>
        </w:rPr>
        <w:t xml:space="preserve">Source: </w:t>
      </w:r>
      <w:r>
        <w:t>AAAS: Science: Table of Contents</w:t>
      </w:r>
      <w:r>
        <w:t xml:space="preserve">    </w:t>
      </w:r>
      <w:r>
        <w:rPr>
          <w:b/>
        </w:rPr>
        <w:t xml:space="preserve">Pub date: </w:t>
      </w:r>
      <w:r>
        <w:t>2026-06-18 07:00:00+00:00</w:t>
      </w:r>
      <w:r>
        <w:t xml:space="preserve">    </w:t>
      </w:r>
      <w:r>
        <w:rPr>
          <w:b/>
        </w:rPr>
        <w:t xml:space="preserve">DOI: </w:t>
      </w:r>
      <w:hyperlink r:id="rId1167">
        <w:r>
          <w:rPr>
            <w:color w:val="1155CC"/>
            <w:u w:val="single"/>
          </w:rPr>
          <w:t>10.1126/science.ads7910</w:t>
        </w:r>
      </w:hyperlink>
    </w:p>
    <w:p>
      <w:pPr>
        <w:spacing w:before="0" w:after="120"/>
      </w:pPr>
      <w:r>
        <w:rPr>
          <w:b/>
        </w:rPr>
        <w:t xml:space="preserve">Notes: </w:t>
      </w:r>
      <w:r>
        <w:t>abstract_source=crossref</w:t>
      </w:r>
    </w:p>
    <w:p>
      <w:pPr>
        <w:spacing w:before="0" w:after="80" w:lineRule="auto" w:line="276"/>
      </w:pPr>
      <w:r>
        <w:rPr>
          <w:b/>
        </w:rPr>
        <w:t xml:space="preserve">摘要（ZH）: </w:t>
      </w:r>
      <w:r>
        <w:t>大多数癌症免疫治疗策略侧重于免疫细胞（尤其是 T 淋巴细胞）直接杀死肿瘤。这些方法的临床和概念局限性导致需要额外的策略。我们确定了一种肿瘤基质靶向机制，其中肿瘤抗原特异性 CD4</w:t>
      </w:r>
      <w:r>
        <w:t xml:space="preserve"> </w:t>
      </w:r>
      <w:r>
        <w:t>+</w:t>
      </w:r>
      <w:r>
        <w:t xml:space="preserve"> </w:t>
      </w:r>
      <w:r>
        <w:t>T 细胞通过骨髓细胞和肿瘤坏死因子 (TNF) 依赖性血管损伤抑制肿瘤生长。多重免疫荧光以及单细胞和组织转录组学表明 CD4</w:t>
      </w:r>
      <w:r>
        <w:t xml:space="preserve"> </w:t>
      </w:r>
      <w:r>
        <w:t>+</w:t>
      </w:r>
      <w:r>
        <w:t xml:space="preserve"> </w:t>
      </w:r>
      <w:r>
        <w:t>T 细胞触发血管周围骨髓细胞簇的形成，其中含有“经典激活”巨噬细胞，巨噬细胞响应 T 细胞衍生的白细胞介素 3 产生 TNF。 TNF 引起瘤内内皮损伤和血液供应中断，这与局部肿瘤细胞死亡有关。因此，肿瘤内抗原触发的T细胞激活可以介导抗肿瘤作用，而无需直接识别活肿瘤细胞，从而避免了许多限制抗肿瘤免疫的抑制机制。</w:t>
      </w:r>
    </w:p>
    <w:p>
      <w:pPr>
        <w:spacing w:before="0" w:after="200" w:lineRule="auto" w:line="276"/>
      </w:pPr>
      <w:r>
        <w:rPr>
          <w:b/>
        </w:rPr>
        <w:t xml:space="preserve">Abstract (EN): </w:t>
      </w:r>
      <w:r>
        <w:t>Most cancer immunotherapy strategies are focused on direct tumor killing by immune cells, especially T lymphocytes. Clinical and conceptual limitations of these approaches create a need for additional strategies. We identified a tumor stroma–targeting mechanism in which tumor antigen–specific CD4</w:t>
      </w:r>
      <w:r>
        <w:t xml:space="preserve"> </w:t>
      </w:r>
      <w:r>
        <w:t>+</w:t>
      </w:r>
      <w:r>
        <w:t xml:space="preserve"> </w:t>
      </w:r>
      <w:r>
        <w:t>T cells inhibit tumor growth through myeloid cell and tumor necrosis factor (TNF)–dependent vascular damage. Multiplex immunofluorescence and single-cell and tissue transcriptomics showed that CD4</w:t>
      </w:r>
      <w:r>
        <w:t xml:space="preserve"> </w:t>
      </w:r>
      <w:r>
        <w:t>+</w:t>
      </w:r>
      <w:r>
        <w:t xml:space="preserve"> </w:t>
      </w:r>
      <w:r>
        <w:t>T cells trigger the formation of perivascular myeloid cell clusters containing “classically activated” macrophages that produce TNF in response to T cell–derived interleukin-3. TNF causes intratumoral endothelial damage and blood supply disruption, which are associated with localized tumor cell death. Thus, intratumoral antigen-triggered T cell activation can mediate antitumor effects without direct recognition of living tumor cells, thereby avoiding many of the inhibitory mechanisms that limit anti-tumor immunity.</w:t>
      </w:r>
    </w:p>
    <w:p>
      <w:pPr>
        <w:spacing w:before="120" w:after="120"/>
      </w:pPr>
      <w:r>
        <w:rPr>
          <w:sz w:val="18"/>
        </w:rPr>
        <w:t>——————————————————————————————————————————————————————————————————————</w:t>
      </w:r>
    </w:p>
    <w:p>
      <w:pPr>
        <w:spacing w:before="160" w:after="40" w:line="240" w:lineRule="auto"/>
      </w:pPr>
      <w:r>
        <w:rPr>
          <w:b/>
        </w:rPr>
        <w:t xml:space="preserve">[499] </w:t>
      </w:r>
      <w:hyperlink r:id="rId1168">
        <w:r>
          <w:rPr>
            <w:color w:val="1155CC"/>
            <w:u w:val="single"/>
          </w:rPr>
          <w:t>对尺寸的持续选择解释了果蝇翅膀的微观和宏观进化排列</w:t>
        </w:r>
      </w:hyperlink>
    </w:p>
    <w:p>
      <w:pPr>
        <w:spacing w:before="0" w:after="80"/>
      </w:pPr>
      <w:r>
        <w:rPr>
          <w:i/>
          <w:sz w:val="20"/>
        </w:rPr>
        <w:t>EN: Persistent selection on size explains micro- and macroevolutionary alignments in fly wings</w:t>
      </w:r>
    </w:p>
    <w:p>
      <w:pPr>
        <w:spacing w:before="0" w:after="120"/>
      </w:pPr>
      <w:r>
        <w:rPr>
          <w:b/>
        </w:rPr>
        <w:t xml:space="preserve">Source: </w:t>
      </w:r>
      <w:r>
        <w:t>Proceedings of the National Academy of Sciences: Keyword search for query</w:t>
      </w:r>
      <w:r>
        <w:t xml:space="preserve">    </w:t>
      </w:r>
      <w:r>
        <w:rPr>
          <w:b/>
        </w:rPr>
        <w:t xml:space="preserve">Pub date: </w:t>
      </w:r>
      <w:r>
        <w:t>2026-06-18 07:00:00+00:00</w:t>
      </w:r>
      <w:r>
        <w:t xml:space="preserve">    </w:t>
      </w:r>
      <w:r>
        <w:rPr>
          <w:b/>
        </w:rPr>
        <w:t xml:space="preserve">DOI: </w:t>
      </w:r>
      <w:hyperlink r:id="rId1169">
        <w:r>
          <w:rPr>
            <w:color w:val="1155CC"/>
            <w:u w:val="single"/>
          </w:rPr>
          <w:t>10.1073/pnas.2612940123</w:t>
        </w:r>
      </w:hyperlink>
    </w:p>
    <w:p>
      <w:pPr>
        <w:spacing w:before="0" w:after="120"/>
      </w:pPr>
      <w:r>
        <w:rPr>
          <w:b/>
        </w:rPr>
        <w:t xml:space="preserve">Notes: </w:t>
      </w:r>
      <w:r>
        <w:t>abstract_source=crossref</w:t>
      </w:r>
    </w:p>
    <w:p>
      <w:pPr>
        <w:spacing w:before="0" w:after="80" w:lineRule="auto" w:line="276"/>
      </w:pPr>
      <w:r>
        <w:rPr>
          <w:b/>
        </w:rPr>
        <w:t xml:space="preserve">摘要（ZH）: </w:t>
      </w:r>
      <w:r>
        <w:t>突变方差之间的对齐（</w:t>
      </w:r>
      <w:r>
        <w:t xml:space="preserve"> </w:t>
      </w:r>
      <w:r>
        <w:t>中号</w:t>
      </w:r>
      <w:r>
        <w:t xml:space="preserve"> </w:t>
      </w:r>
      <w:r>
        <w:t>），常设遗传方差（</w:t>
      </w:r>
      <w:r>
        <w:t xml:space="preserve"> </w:t>
      </w:r>
      <w:r>
        <w:t>G</w:t>
      </w:r>
      <w:r>
        <w:t xml:space="preserve"> </w:t>
      </w:r>
      <w:r>
        <w:t>）和宏观进化分歧（</w:t>
      </w:r>
      <w:r>
        <w:t xml:space="preserve"> </w:t>
      </w:r>
      <w:r>
        <w:t>右</w:t>
      </w:r>
      <w:r>
        <w:t xml:space="preserve"> </w:t>
      </w:r>
      <w:r>
        <w:t>) 在</w:t>
      </w:r>
      <w:r>
        <w:t xml:space="preserve"> </w:t>
      </w:r>
      <w:r>
        <w:t>果蝇</w:t>
      </w:r>
      <w:r>
        <w:t xml:space="preserve"> </w:t>
      </w:r>
      <w:r>
        <w:t>翅膀形状在简单的约束假设下提出了速率悖论：进化遵循阻力最小的突变线，但进展速度比丰富的遗传变异所允许的要慢几个数量级。这很难与简单的约束视图相一致，在该视图中，长期演化仅跟踪每个方向上的可用变化量。先前的解释援引了未测量性状的有害多效性或性状组合的相关选择，但最近的实证研究发现，除了飞行表现之外，几乎没有证据表明适应性成本。在这里，通过重新分析已发表的数据，我表明翅膀大小显示了主要选择目标的标志：在所有翅膀性状中，大小表现出最低的常备遗传与突变方差之比，表明最强的选择性耗尽。基于这一经验观察，我开发了一个单轴选择模型，其中自然选择仅针对单个性状，而所有其他性状通过模块内多效性作为相关副产品进化。这个最小模型再现了观察到的</w:t>
      </w:r>
      <w:r>
        <w:t xml:space="preserve"> </w:t>
      </w:r>
      <w:r>
        <w:t>中号</w:t>
      </w:r>
      <w:r>
        <w:t xml:space="preserve"> </w:t>
      </w:r>
      <w:r>
        <w:t>–</w:t>
      </w:r>
      <w:r>
        <w:t xml:space="preserve"> </w:t>
      </w:r>
      <w:r>
        <w:t>G</w:t>
      </w:r>
      <w:r>
        <w:t xml:space="preserve"> </w:t>
      </w:r>
      <w:r>
        <w:t>–</w:t>
      </w:r>
      <w:r>
        <w:t xml:space="preserve"> </w:t>
      </w:r>
      <w:r>
        <w:t>右</w:t>
      </w:r>
      <w:r>
        <w:t xml:space="preserve"> </w:t>
      </w:r>
      <w:r>
        <w:t>对准和慢于中性的发散率，解释了微观</w:t>
      </w:r>
    </w:p>
    <w:p>
      <w:pPr>
        <w:spacing w:before="0" w:after="200" w:lineRule="auto" w:line="276"/>
      </w:pPr>
      <w:r>
        <w:rPr>
          <w:b/>
        </w:rPr>
        <w:t xml:space="preserve">Abstract (EN): </w:t>
      </w:r>
      <w:r>
        <w:t>The alignment among mutational variance (</w:t>
      </w:r>
      <w:r>
        <w:t xml:space="preserve"> </w:t>
      </w:r>
      <w:r>
        <w:t>M</w:t>
      </w:r>
      <w:r>
        <w:t xml:space="preserve"> </w:t>
      </w:r>
      <w:r>
        <w:t>), standing genetic variance (</w:t>
      </w:r>
      <w:r>
        <w:t xml:space="preserve"> </w:t>
      </w:r>
      <w:r>
        <w:t>G</w:t>
      </w:r>
      <w:r>
        <w:t xml:space="preserve"> </w:t>
      </w:r>
      <w:r>
        <w:t>), and macroevolutionary divergence (</w:t>
      </w:r>
      <w:r>
        <w:t xml:space="preserve"> </w:t>
      </w:r>
      <w:r>
        <w:t>R</w:t>
      </w:r>
      <w:r>
        <w:t xml:space="preserve"> </w:t>
      </w:r>
      <w:r>
        <w:t>) in</w:t>
      </w:r>
      <w:r>
        <w:t xml:space="preserve"> </w:t>
      </w:r>
      <w:r>
        <w:t>Drosophila</w:t>
      </w:r>
      <w:r>
        <w:t xml:space="preserve"> </w:t>
      </w:r>
      <w:r>
        <w:t>wing shape poses a rate paradox under a simple constraint hypothesis: Evolution follows mutational lines of least resistance, yet proceeds orders of magnitude slower than the abundant genetic variation would permit. This is difficult to reconcile with a simple constraint view in which long-term evolution merely tracks the amount of available variation in each direction. Previous explanations invoke deleterious pleiotropy on unmeasured traits or correlational selection on trait combinations, but recent empirical work finds little evidence of fitness costs beyond flight performance. Here, by reanalyzing published data, I show that wing size shows the hallmark of the primary selection target: Among all wing traits, size exhibits the lowest ratio of standing genetic to mutational variance, indicating the strongest selective depletion. Based on this empirical observation, I develop a single-axis selection model in which natural selection targets only a single trait while all other traits evolve as correlated byproducts via within-module pleiotropy. This minimal model reproduces both the observed</w:t>
      </w:r>
      <w:r>
        <w:t xml:space="preserve"> </w:t>
      </w:r>
      <w:r>
        <w:t>M</w:t>
      </w:r>
      <w:r>
        <w:t xml:space="preserve"> </w:t>
      </w:r>
      <w:r>
        <w:t>–</w:t>
      </w:r>
      <w:r>
        <w:t xml:space="preserve"> </w:t>
      </w:r>
      <w:r>
        <w:t>G</w:t>
      </w:r>
      <w:r>
        <w:t xml:space="preserve"> </w:t>
      </w:r>
      <w:r>
        <w:t>–</w:t>
      </w:r>
      <w:r>
        <w:t xml:space="preserve"> </w:t>
      </w:r>
      <w:r>
        <w:t>R</w:t>
      </w:r>
      <w:r>
        <w:t xml:space="preserve"> </w:t>
      </w:r>
      <w:r>
        <w:t>alignment and slower-than-neutral divergence rates, explaining micro- and macroevolutionary patterns in fly wings without invoking complex adaptive landscapes.</w:t>
      </w:r>
    </w:p>
    <w:p>
      <w:pPr>
        <w:spacing w:before="120" w:after="120"/>
      </w:pPr>
      <w:r>
        <w:rPr>
          <w:sz w:val="18"/>
        </w:rPr>
        <w:t>——————————————————————————————————————————————————————————————————————</w:t>
      </w:r>
    </w:p>
    <w:p>
      <w:pPr>
        <w:spacing w:before="160" w:after="40" w:line="240" w:lineRule="auto"/>
      </w:pPr>
      <w:r>
        <w:rPr>
          <w:b/>
        </w:rPr>
        <w:t xml:space="preserve">[500] </w:t>
      </w:r>
      <w:hyperlink r:id="rId1170">
        <w:r>
          <w:rPr>
            <w:color w:val="1155CC"/>
            <w:u w:val="single"/>
          </w:rPr>
          <w:t>Lamprey 3D 单细胞转录组学揭示了脊椎动物大脑的祖先特征和特殊特征</w:t>
        </w:r>
      </w:hyperlink>
    </w:p>
    <w:p>
      <w:pPr>
        <w:spacing w:before="0" w:after="80"/>
      </w:pPr>
      <w:r>
        <w:rPr>
          <w:i/>
          <w:sz w:val="20"/>
        </w:rPr>
        <w:t>EN: Lamprey 3D single-cell transcriptomics reveals ancestral and specialized features of the vertebrate brain</w:t>
      </w:r>
    </w:p>
    <w:p>
      <w:pPr>
        <w:spacing w:before="0" w:after="120"/>
      </w:pPr>
      <w:r>
        <w:rPr>
          <w:b/>
        </w:rPr>
        <w:t xml:space="preserve">Source: </w:t>
      </w:r>
      <w:r>
        <w:t>AAAS: Science: Table of Contents</w:t>
      </w:r>
      <w:r>
        <w:t xml:space="preserve">    </w:t>
      </w:r>
      <w:r>
        <w:rPr>
          <w:b/>
        </w:rPr>
        <w:t xml:space="preserve">Pub date: </w:t>
      </w:r>
      <w:r>
        <w:t>2026-06-18 07:00:00+00:00</w:t>
      </w:r>
      <w:r>
        <w:t xml:space="preserve">    </w:t>
      </w:r>
      <w:r>
        <w:rPr>
          <w:b/>
        </w:rPr>
        <w:t xml:space="preserve">DOI: </w:t>
      </w:r>
      <w:hyperlink r:id="rId1171">
        <w:r>
          <w:rPr>
            <w:color w:val="1155CC"/>
            <w:u w:val="single"/>
          </w:rPr>
          <w:t>10.1126/science.aea2535</w:t>
        </w:r>
      </w:hyperlink>
    </w:p>
    <w:p>
      <w:pPr>
        <w:spacing w:before="0" w:after="120"/>
      </w:pPr>
      <w:r>
        <w:rPr>
          <w:b/>
        </w:rPr>
        <w:t xml:space="preserve">Notes: </w:t>
      </w:r>
      <w:r>
        <w:t>abstract_source=crossref</w:t>
      </w:r>
    </w:p>
    <w:p>
      <w:pPr>
        <w:spacing w:before="0" w:after="80" w:lineRule="auto" w:line="276"/>
      </w:pPr>
      <w:r>
        <w:rPr>
          <w:b/>
        </w:rPr>
        <w:t xml:space="preserve">摘要（ZH）: </w:t>
      </w:r>
      <w:r>
        <w:t>七鳃鳗在阐明脊椎动物大脑进化方面占据着关键地位。利用空间转录组学和单核 RNA 测序，我们生成了七鳃鳗大脑的三维分子图谱，识别出 14 个区域的 209 个不同的细胞簇。跨物种比较揭示了区域空间结构的广泛保护，定义了祖先的组织蓝图。然而，在这个保守的框架内，出现了明显的谱系特异性分歧。我们观察到脊椎动物谱系中广泛的神经元特化，伴随着与神经元群体的空间重组和功能多样化相关的调节变化。此外，我们的结果表明，类似小脑的结构早于有颌脊椎动物小脑。总之，这些发现确定了神经组织的限制，并发现了推动进化多样化的细胞创新。</w:t>
      </w:r>
    </w:p>
    <w:p>
      <w:pPr>
        <w:spacing w:before="0" w:after="200" w:lineRule="auto" w:line="276"/>
      </w:pPr>
      <w:r>
        <w:rPr>
          <w:b/>
        </w:rPr>
        <w:t xml:space="preserve">Abstract (EN): </w:t>
      </w:r>
      <w:r>
        <w:t>The lamprey occupies a pivotal position for elucidating vertebrate brain evolution. Using spatial transcriptomics and single-nucleus RNA sequencing, we generated a three-dimensional molecular atlas of the lamprey brain, identifying 209 distinct cell clusters across 14 regions. Cross-species comparisons revealed broad conservation of regional spatial architecture, defining an ancestral organizational blueprint. Within this conserved framework, however, marked lineage-specific divergence emerged. We observed extensive neuronal specialization across vertebrate lineages, accompanied by regulatory shifts associated with spatial reorganization and functional diversification of neuronal populations. Additionally, our results suggest that a cerebellum-like architecture predates the jawed vertebrate cerebellum. Together, these findings identified constraints on neural organization and detected cellular innovations driving evolutionary diversification.</w:t>
      </w:r>
    </w:p>
    <w:p>
      <w:pPr>
        <w:spacing w:before="120" w:after="120"/>
      </w:pPr>
      <w:r>
        <w:rPr>
          <w:sz w:val="18"/>
        </w:rPr>
        <w:t>——————————————————————————————————————————————————————————————————————</w:t>
      </w:r>
    </w:p>
    <w:p>
      <w:pPr>
        <w:spacing w:before="160" w:after="40" w:line="240" w:lineRule="auto"/>
      </w:pPr>
      <w:r>
        <w:rPr>
          <w:b/>
        </w:rPr>
        <w:t xml:space="preserve">[501] </w:t>
      </w:r>
      <w:hyperlink r:id="rId1172">
        <w:r>
          <w:rPr>
            <w:color w:val="1155CC"/>
            <w:u w:val="single"/>
          </w:rPr>
          <w:t>年龄和早期生活逆境影响猕猴组织表观基因组的异质性</w:t>
        </w:r>
      </w:hyperlink>
    </w:p>
    <w:p>
      <w:pPr>
        <w:spacing w:before="0" w:after="80"/>
      </w:pPr>
      <w:r>
        <w:rPr>
          <w:i/>
          <w:sz w:val="20"/>
        </w:rPr>
        <w:t>EN: Age and early life adversity shape heterogeneity of the epigenome across tissues in macaques</w:t>
      </w:r>
    </w:p>
    <w:p>
      <w:pPr>
        <w:spacing w:before="0" w:after="120"/>
      </w:pPr>
      <w:r>
        <w:rPr>
          <w:b/>
        </w:rPr>
        <w:t xml:space="preserve">Source: </w:t>
      </w:r>
      <w:r>
        <w:t>AAAS: Science: Table of Contents</w:t>
      </w:r>
      <w:r>
        <w:t xml:space="preserve">    </w:t>
      </w:r>
      <w:r>
        <w:rPr>
          <w:b/>
        </w:rPr>
        <w:t xml:space="preserve">Pub date: </w:t>
      </w:r>
      <w:r>
        <w:t>2026-06-18 07:00:00+00:00</w:t>
      </w:r>
      <w:r>
        <w:t xml:space="preserve">    </w:t>
      </w:r>
      <w:r>
        <w:rPr>
          <w:b/>
        </w:rPr>
        <w:t xml:space="preserve">DOI: </w:t>
      </w:r>
      <w:hyperlink r:id="rId1173">
        <w:r>
          <w:rPr>
            <w:color w:val="1155CC"/>
            <w:u w:val="single"/>
          </w:rPr>
          <w:t>10.1126/science.aea4922</w:t>
        </w:r>
      </w:hyperlink>
    </w:p>
    <w:p>
      <w:pPr>
        <w:spacing w:before="0" w:after="120"/>
      </w:pPr>
      <w:r>
        <w:rPr>
          <w:b/>
        </w:rPr>
        <w:t xml:space="preserve">Notes: </w:t>
      </w:r>
      <w:r>
        <w:t>abstract_source=crossref</w:t>
      </w:r>
    </w:p>
    <w:p>
      <w:pPr>
        <w:spacing w:before="0" w:after="80" w:lineRule="auto" w:line="276"/>
      </w:pPr>
      <w:r>
        <w:rPr>
          <w:b/>
        </w:rPr>
        <w:t xml:space="preserve">摘要（ZH）: </w:t>
      </w:r>
      <w:r>
        <w:t>年龄和早年逆境（ELA）是健康的关键决定因素，但它们是否影响跨组织的类似生理机制尚不清楚。我们生成了 237 只具有天然 ELA 的半散养恒河猴的 14 个组织的 DNA 甲基化 (DNAm) 谱。与年龄相关的 DNAm 主要依赖于组织，但组织特异性表观遗传时钟表明表观遗传衰老在个体内相对一致。 ELA 的效应依赖于逆境，但每种 ELA 都在组织中发挥协调作用。尽管 ELA 靶向许多与年龄相同的基因座，但作用方向不同，这表明 ELA 并不均匀地增加表观遗传年龄。相反，ELA 留下了一种协调的、跨组织的表观遗传特征，该特征不同于但又与年龄相关的差异交织在一起，这增进了我们对早期环境如何塑造衰老和疾病的分子基础的理解。</w:t>
      </w:r>
    </w:p>
    <w:p>
      <w:pPr>
        <w:spacing w:before="0" w:after="200" w:lineRule="auto" w:line="276"/>
      </w:pPr>
      <w:r>
        <w:rPr>
          <w:b/>
        </w:rPr>
        <w:t xml:space="preserve">Abstract (EN): </w:t>
      </w:r>
      <w:r>
        <w:t>Age and early life adversity (ELA) are key determinants of health, but whether they affect similar physiological mechanisms across tissues is unknown. We generated DNA methylation (DNAm) profiles across 14 tissues in 237 semi–free-ranging rhesus macaques with naturally occurring ELA. Age-associated DNAm was predominantly tissue dependent, yet tissue-specific epigenetic clocks showed that epigenetic aging was relatively consistent within individuals. ELA effects were adversity dependent, but each ELA exerted coordinated effects across tissues. Although ELA targeted many of the same loci as age, the directions of effects differed, which indicates that ELA does not uniformly increase epigenetic age. Instead, ELA leaves a coordinated, cross-tissue epigenetic signature that is distinct from—yet intertwined with—age-related differences, which advances our understanding of how early environments sculpt the molecular foundations of aging and disease.</w:t>
      </w:r>
    </w:p>
    <w:p>
      <w:pPr>
        <w:spacing w:before="120" w:after="120"/>
      </w:pPr>
      <w:r>
        <w:rPr>
          <w:sz w:val="18"/>
        </w:rPr>
        <w:t>——————————————————————————————————————————————————————————————————————</w:t>
      </w:r>
    </w:p>
    <w:p>
      <w:pPr>
        <w:spacing w:before="160" w:after="40" w:line="240" w:lineRule="auto"/>
      </w:pPr>
      <w:r>
        <w:rPr>
          <w:b/>
        </w:rPr>
        <w:t xml:space="preserve">[502] </w:t>
      </w:r>
      <w:hyperlink r:id="rId1174">
        <w:r>
          <w:rPr>
            <w:color w:val="1155CC"/>
            <w:u w:val="single"/>
          </w:rPr>
          <w:t>通过两步机制诱导广泛中和艾滋病毒抗体为疫苗设计提供信息</w:t>
        </w:r>
      </w:hyperlink>
    </w:p>
    <w:p>
      <w:pPr>
        <w:spacing w:before="0" w:after="80"/>
      </w:pPr>
      <w:r>
        <w:rPr>
          <w:i/>
          <w:sz w:val="20"/>
        </w:rPr>
        <w:t>EN: Induction of broadly neutralizing HIV antibodies by a two-step mechanism informs vaccine design</w:t>
      </w:r>
    </w:p>
    <w:p>
      <w:pPr>
        <w:spacing w:before="0" w:after="120"/>
      </w:pPr>
      <w:r>
        <w:rPr>
          <w:b/>
        </w:rPr>
        <w:t xml:space="preserve">Source: </w:t>
      </w:r>
      <w:r>
        <w:t>AAAS: Science: Table of Contents</w:t>
      </w:r>
      <w:r>
        <w:t xml:space="preserve">    </w:t>
      </w:r>
      <w:r>
        <w:rPr>
          <w:b/>
        </w:rPr>
        <w:t xml:space="preserve">Pub date: </w:t>
      </w:r>
      <w:r>
        <w:t>2026-06-18 07:00:00+00:00</w:t>
      </w:r>
      <w:r>
        <w:t xml:space="preserve">    </w:t>
      </w:r>
      <w:r>
        <w:rPr>
          <w:b/>
        </w:rPr>
        <w:t xml:space="preserve">DOI: </w:t>
      </w:r>
      <w:hyperlink r:id="rId1175">
        <w:r>
          <w:rPr>
            <w:color w:val="1155CC"/>
            <w:u w:val="single"/>
          </w:rPr>
          <w:t>10.1126/science.aec6396</w:t>
        </w:r>
      </w:hyperlink>
    </w:p>
    <w:p>
      <w:pPr>
        <w:spacing w:before="0" w:after="120"/>
      </w:pPr>
      <w:r>
        <w:rPr>
          <w:b/>
        </w:rPr>
        <w:t xml:space="preserve">Notes: </w:t>
      </w:r>
      <w:r>
        <w:t>abstract_source=crossref</w:t>
      </w:r>
    </w:p>
    <w:p>
      <w:pPr>
        <w:spacing w:before="0" w:after="80" w:lineRule="auto" w:line="276"/>
      </w:pPr>
      <w:r>
        <w:rPr>
          <w:b/>
        </w:rPr>
        <w:t xml:space="preserve">摘要（ZH）: </w:t>
      </w:r>
      <w:r>
        <w:t>HIV-1 疫苗和治疗研究面临的一个主要障碍是缺乏能够快速、一致诱导广泛中和抗体 (bNAb) 的远交动物模型。我们设计了一种针对表位的猿猴人类免疫缺陷病毒 (SHIV.5MUT)，该病毒在 22 只猕猴中的 14 只感染后一年内引发了广泛且有效的 V3-聚糖靶向抗体，而 14 只对照动物中的 0 只只有 0 只。 SHIV.5MUT 通过两步机制引发 bNAb，诱导第一波 V1 定向抗体，这些抗体选择具有缩短的低糖基化 V1 环的包膜 (Env) 糖蛋白变体，进而引发 V3-聚糖 bNAb 前体。恒河猴 bNAb 在免疫遗传学和结构上具有多样性，与人类 V3-聚糖 bNAb 非常相似。 Env-bNAb 共同进化揭示了 bNAb 前体的多样性以及使它们成熟的 Env 变体，从而产生了疫苗设计的分子蓝图。</w:t>
      </w:r>
    </w:p>
    <w:p>
      <w:pPr>
        <w:spacing w:before="0" w:after="200" w:lineRule="auto" w:line="276"/>
      </w:pPr>
      <w:r>
        <w:rPr>
          <w:b/>
        </w:rPr>
        <w:t xml:space="preserve">Abstract (EN): </w:t>
      </w:r>
      <w:r>
        <w:t>A major obstacle confronting HIV-1 vaccine and cure research is the lack of an outbred animal model for rapid and consistent induction of broadly neutralizing antibodies (bNAbs). We designed an epitope-focused simian-human immunodeficiency virus (SHIV.5MUT) that elicited broad and potent V3-glycan–targeted antibodies within a year of infection in 14 of 22 macaques compared with 0 of 14 control animals. SHIV.5MUT elicited bNAbs by a two-step mechanism, inducing an initial wave of V1-directed antibodies that selected for envelope (Env) glycoprotein variants with shortened, hypoglycosylated V1 loops, which in turn primed V3-glycan bNAb precursors. Rhesus bNAbs were immunogenetically and structurally diverse, closely resembling human V3-glycan bNAbs. Env-bNAb coevolution revealed a diverse repertoire of bNAb precursors and the Env variants that matured them, yielding a molecular blueprint for vaccine design.</w:t>
      </w:r>
    </w:p>
    <w:p>
      <w:pPr>
        <w:spacing w:before="120" w:after="120"/>
      </w:pPr>
      <w:r>
        <w:rPr>
          <w:sz w:val="18"/>
        </w:rPr>
        <w:t>——————————————————————————————————————————————————————————————————————</w:t>
      </w:r>
    </w:p>
    <w:p>
      <w:pPr>
        <w:spacing w:before="160" w:after="40" w:line="240" w:lineRule="auto"/>
      </w:pPr>
      <w:r>
        <w:rPr>
          <w:b/>
        </w:rPr>
        <w:t xml:space="preserve">[503] </w:t>
      </w:r>
      <w:hyperlink r:id="rId1176">
        <w:r>
          <w:rPr>
            <w:color w:val="1155CC"/>
            <w:u w:val="single"/>
          </w:rPr>
          <w:t>靶向 DNA 甲基化 – H3K27me3 开关通过 ADAMTS1 驱动的胶原溶解逆转去势抵抗和免疫抑制</w:t>
        </w:r>
      </w:hyperlink>
    </w:p>
    <w:p>
      <w:pPr>
        <w:spacing w:before="0" w:after="80"/>
      </w:pPr>
      <w:r>
        <w:rPr>
          <w:i/>
          <w:sz w:val="20"/>
        </w:rPr>
        <w:t>EN: Targeting the DNA methylation–H3K27me3 switch reverses castration resistance and immunosuppression via ADAMTS1-driven collagenolysis</w:t>
      </w:r>
    </w:p>
    <w:p>
      <w:pPr>
        <w:spacing w:before="0" w:after="120"/>
      </w:pPr>
      <w:r>
        <w:rPr>
          <w:b/>
        </w:rPr>
        <w:t xml:space="preserve">Source: </w:t>
      </w:r>
      <w:r>
        <w:t>Proceedings of the National Academy of Sciences: Keyword search for query</w:t>
      </w:r>
      <w:r>
        <w:t xml:space="preserve">    </w:t>
      </w:r>
      <w:r>
        <w:rPr>
          <w:b/>
        </w:rPr>
        <w:t xml:space="preserve">Pub date: </w:t>
      </w:r>
      <w:r>
        <w:t>2026-06-18 07:00:00+00:00</w:t>
      </w:r>
      <w:r>
        <w:t xml:space="preserve">    </w:t>
      </w:r>
      <w:r>
        <w:rPr>
          <w:b/>
        </w:rPr>
        <w:t xml:space="preserve">DOI: </w:t>
      </w:r>
      <w:hyperlink r:id="rId1177">
        <w:r>
          <w:rPr>
            <w:color w:val="1155CC"/>
            <w:u w:val="single"/>
          </w:rPr>
          <w:t>10.1073/pnas.2525431123</w:t>
        </w:r>
      </w:hyperlink>
    </w:p>
    <w:p>
      <w:pPr>
        <w:spacing w:before="0" w:after="120"/>
      </w:pPr>
      <w:r>
        <w:rPr>
          <w:b/>
        </w:rPr>
        <w:t xml:space="preserve">Notes: </w:t>
      </w:r>
      <w:r>
        <w:t>abstract_source=crossref</w:t>
      </w:r>
    </w:p>
    <w:p>
      <w:pPr>
        <w:spacing w:before="0" w:after="80" w:lineRule="auto" w:line="276"/>
      </w:pPr>
      <w:r>
        <w:rPr>
          <w:b/>
        </w:rPr>
        <w:t xml:space="preserve">摘要（ZH）: </w:t>
      </w:r>
      <w:r>
        <w:t>去势抵抗性前列腺癌 (CRPC) 的致死率源于表观遗传驱动的对雄激素剥夺疗法 (ADT) 的抵抗。在这里，我们发现 DNA 甲基化和 H3K27me3 介导的抑制之间的补偿性表观遗传开关是 CRPC 表观遗传治疗的关键障碍。综合多组学分析表明，DNMT 抑制剂 (DNMTis) 会触发 ADAMTS1 位点（细胞外基质 (ECM) 重塑所必需的主要胶原酶）上 EZH2 依赖性 H3K27me3 的积累，从而使纤维化生态位形成和治疗抵抗永久化。 DNMT 和 EZH2 的双重靶向破坏了这种表观遗传可塑性，协同重新激活 ADAMTS1 以降解富含胶原蛋白的基质，抑制 FAK/MAPK 机械转导信号传导，并逆转上皮间质转化 (EMT)。至关重要的是，在免疫功能正常的模型中，该策略可实现 &gt;90% 的肿瘤抑制，并通过增强细胞毒性 CD8 逆转免疫抑制</w:t>
      </w:r>
      <w:r>
        <w:t xml:space="preserve"> </w:t>
      </w:r>
      <w:r>
        <w:t>+</w:t>
      </w:r>
      <w:r>
        <w:t xml:space="preserve"> </w:t>
      </w:r>
      <w:r>
        <w:t>T 细胞浸润增加 11.4 倍，同时耗尽免疫抑制性巨噬细胞和 Tregs。从机制上讲，双重疗法通过 ADAMTS1 介导的 ECM 降解使 FAK/MAPK/EMT 轴失活，克服基质介导的抵抗。我们的工作将表观遗传-ECM 协同进化确立为 CRPC 的标志，并提供合理设计的联合疗法来消除治疗耐药的生态位。</w:t>
      </w:r>
    </w:p>
    <w:p>
      <w:pPr>
        <w:spacing w:before="0" w:after="200" w:lineRule="auto" w:line="276"/>
      </w:pPr>
      <w:r>
        <w:rPr>
          <w:b/>
        </w:rPr>
        <w:t xml:space="preserve">Abstract (EN): </w:t>
      </w:r>
      <w:r>
        <w:t>Castration-resistant prostate cancer (CRPC) lethality arises from epigenetic-driven resistance to androgen deprivation therapy (ADT). Here, we uncover a compensatory epigenetic switch between DNA methylation and H3K27me3-mediated repression as a critical barrier to epigenetic therapy in CRPC. Integrative multiomics analyses reveal that DNMT inhibitors (DNMTis) trigger EZH2-dependent H3K27me3 accumulation at the ADAMTS1 locus—a master collagenase essential for extracellular matrix (ECM) remodeling—perpetuating fibrotic niche formation and therapy resistance. Dual targeting of DNMTs and EZH2 disrupts this epigenetic plasticity, synergistically reactivating ADAMTS1 to degrade collagen-rich stroma, suppress FAK/MAPK mechanotransduction signaling, and reverse epithelial–mesenchymal transition (EMT). Crucially, in immunocompetent models, this strategy achieves &amp;gt;90% tumor suppression and reverses immunosuppression by enhancing cytotoxic CD8</w:t>
      </w:r>
      <w:r>
        <w:t xml:space="preserve"> </w:t>
      </w:r>
      <w:r>
        <w:t>+</w:t>
      </w:r>
      <w:r>
        <w:t xml:space="preserve"> </w:t>
      </w:r>
      <w:r>
        <w:t>T cell infiltration 11.4-fold while depleting immunosuppressive macrophages and Tregs. Mechanistically, dual therapy inactivates the FAK/MAPK/EMT axis via ADAMTS1-mediated ECM degradation, overcoming stromal-mediated resistance. Our work establishes epigenetic-ECM coevolution as a hallmark of CRPC and provides a rationally designed combination therapy to dismantle the therapy-resistant niche.</w:t>
      </w:r>
    </w:p>
    <w:p>
      <w:pPr>
        <w:spacing w:before="120" w:after="120"/>
      </w:pPr>
      <w:r>
        <w:rPr>
          <w:sz w:val="18"/>
        </w:rPr>
        <w:t>——————————————————————————————————————————————————————————————————————</w:t>
      </w:r>
    </w:p>
    <w:p>
      <w:pPr>
        <w:spacing w:before="160" w:after="40" w:line="240" w:lineRule="auto"/>
      </w:pPr>
      <w:r>
        <w:rPr>
          <w:b/>
        </w:rPr>
        <w:t xml:space="preserve">[504] </w:t>
      </w:r>
      <w:hyperlink r:id="rId1178">
        <w:r>
          <w:rPr>
            <w:color w:val="1155CC"/>
            <w:u w:val="single"/>
          </w:rPr>
          <w:t>母体反式牛油酸塑造新生儿 T 细胞发育和生命早期免疫印记</w:t>
        </w:r>
      </w:hyperlink>
    </w:p>
    <w:p>
      <w:pPr>
        <w:spacing w:before="0" w:after="80"/>
      </w:pPr>
      <w:r>
        <w:rPr>
          <w:i/>
          <w:sz w:val="20"/>
        </w:rPr>
        <w:t>EN: Maternal trans-vaccenic acid shapes neonatal T cell development and early-life immune imprinting</w:t>
      </w:r>
    </w:p>
    <w:p>
      <w:pPr>
        <w:spacing w:before="0" w:after="120"/>
      </w:pPr>
      <w:r>
        <w:rPr>
          <w:b/>
        </w:rPr>
        <w:t xml:space="preserve">Source: </w:t>
      </w:r>
      <w:r>
        <w:t>AAAS: Science: Table of Contents</w:t>
      </w:r>
      <w:r>
        <w:t xml:space="preserve">    </w:t>
      </w:r>
      <w:r>
        <w:rPr>
          <w:b/>
        </w:rPr>
        <w:t xml:space="preserve">Pub date: </w:t>
      </w:r>
      <w:r>
        <w:t>2026-06-18 07:00:00+00:00</w:t>
      </w:r>
      <w:r>
        <w:t xml:space="preserve">    </w:t>
      </w:r>
      <w:r>
        <w:rPr>
          <w:b/>
        </w:rPr>
        <w:t xml:space="preserve">DOI: </w:t>
      </w:r>
      <w:hyperlink r:id="rId1179">
        <w:r>
          <w:rPr>
            <w:color w:val="1155CC"/>
            <w:u w:val="single"/>
          </w:rPr>
          <w:t>10.1126/science.aea4041</w:t>
        </w:r>
      </w:hyperlink>
    </w:p>
    <w:p>
      <w:pPr>
        <w:spacing w:before="0" w:after="120"/>
      </w:pPr>
      <w:r>
        <w:rPr>
          <w:b/>
        </w:rPr>
        <w:t xml:space="preserve">Notes: </w:t>
      </w:r>
      <w:r>
        <w:t>abstract_source=crossref</w:t>
      </w:r>
    </w:p>
    <w:p>
      <w:pPr>
        <w:spacing w:before="0" w:after="80" w:lineRule="auto" w:line="276"/>
      </w:pPr>
      <w:r>
        <w:rPr>
          <w:b/>
        </w:rPr>
        <w:t xml:space="preserve">摘要（ZH）: </w:t>
      </w:r>
      <w:r>
        <w:t>母亲营养如何影响新生儿的免疫发育和母乳喂养的印记目前尚不清楚。我们报告称，母体补充反式牛油酸（TVA）（人母乳中主要天然存在的反式脂肪酸）可促进小鼠新生儿 T 细胞的发育。母亲以富含 TVA 的饮食喂养的新生儿表现出扩大的幼稚分化簇 4（CD4</w:t>
      </w:r>
      <w:r>
        <w:t xml:space="preserve"> </w:t>
      </w:r>
      <w:r>
        <w:t>+</w:t>
      </w:r>
      <w:r>
        <w:t xml:space="preserve"> </w:t>
      </w:r>
      <w:r>
        <w:t>) T 细胞群和增强的针对感染的适应性免疫。 TVA 重编程新生儿幼稚 CD4</w:t>
      </w:r>
      <w:r>
        <w:t xml:space="preserve"> </w:t>
      </w:r>
      <w:r>
        <w:t>+</w:t>
      </w:r>
      <w:r>
        <w:t xml:space="preserve"> </w:t>
      </w:r>
      <w:r>
        <w:t>T 细胞通过 G 蛋白偶联受体 CCCTC 结合因子轴，并通过与转录因子 TBX21 合作促进 T 辅助细胞 (Th1) 偏斜。母亲在生命早期通过母乳喂养接触TVA有助于成年后产生持久的抗病毒免疫力。我们的研究结果证实了母体营养和通过 TVA 进行母乳喂养在促进婴儿免疫稳态和保护性免疫力方面的多方面益处。</w:t>
      </w:r>
    </w:p>
    <w:p>
      <w:pPr>
        <w:spacing w:before="0" w:after="200" w:lineRule="auto" w:line="276"/>
      </w:pPr>
      <w:r>
        <w:rPr>
          <w:b/>
        </w:rPr>
        <w:t xml:space="preserve">Abstract (EN): </w:t>
      </w:r>
      <w:r>
        <w:t>How maternal nutrition influences neonatal immune development and imprinting through breastfeeding remains largely unclear. We report that maternal supplementation with trans-vaccenic acid (TVA), the predominant naturally occurring trans-fatty acid in human breast milk, promoted neonatal T cell development in mice. Neonates fed by mothers on a TVA-enriched diet showed an expanded naïve cluster of differentiation 4 (CD4</w:t>
      </w:r>
      <w:r>
        <w:t xml:space="preserve"> </w:t>
      </w:r>
      <w:r>
        <w:t>+</w:t>
      </w:r>
      <w:r>
        <w:t xml:space="preserve"> </w:t>
      </w:r>
      <w:r>
        <w:t>) T cell population and enhanced adaptive immunity against infection. TVA reprogrammed neonatal naïve CD4</w:t>
      </w:r>
      <w:r>
        <w:t xml:space="preserve"> </w:t>
      </w:r>
      <w:r>
        <w:t>+</w:t>
      </w:r>
      <w:r>
        <w:t xml:space="preserve"> </w:t>
      </w:r>
      <w:r>
        <w:t>T cells through a G protein–coupled receptor–CCCTC-binding factor axis and promoted T helper cells (Th1)–skewing by cooperating with the transcription factor TBX21. Early-life exposure to maternal TVA via breastfeeding supported long-lasting antiviral immunity in adulthood. Our findings establish the multifaceted benefits of maternal nutrition and breastfeeding via TVA in promoting infant immune homeostasis and protective immunity.</w:t>
      </w:r>
    </w:p>
    <w:p>
      <w:pPr>
        <w:spacing w:before="120" w:after="120"/>
      </w:pPr>
      <w:r>
        <w:rPr>
          <w:sz w:val="18"/>
        </w:rPr>
        <w:t>——————————————————————————————————————————————————————————————————————</w:t>
      </w:r>
    </w:p>
    <w:p>
      <w:pPr>
        <w:spacing w:before="160" w:after="40" w:line="240" w:lineRule="auto"/>
      </w:pPr>
      <w:r>
        <w:rPr>
          <w:b/>
        </w:rPr>
        <w:t xml:space="preserve">[505] </w:t>
      </w:r>
      <w:hyperlink r:id="rId1180">
        <w:r>
          <w:rPr>
            <w:color w:val="1155CC"/>
            <w:u w:val="single"/>
          </w:rPr>
          <w:t>异域共同进化：迁徙捕食者可能促进地理上不重叠的物种之间的模仿</w:t>
        </w:r>
      </w:hyperlink>
    </w:p>
    <w:p>
      <w:pPr>
        <w:spacing w:before="0" w:after="80"/>
      </w:pPr>
      <w:r>
        <w:rPr>
          <w:i/>
          <w:sz w:val="20"/>
        </w:rPr>
        <w:t>EN: Allopatric coevolution: Migratory predators may facilitate mimicry between geographically nonoverlapping species</w:t>
      </w:r>
    </w:p>
    <w:p>
      <w:pPr>
        <w:spacing w:before="0" w:after="120"/>
      </w:pPr>
      <w:r>
        <w:rPr>
          <w:b/>
        </w:rPr>
        <w:t xml:space="preserve">Source: </w:t>
      </w:r>
      <w:r>
        <w:t>Proceedings of the National Academy of Sciences: Keyword search for query</w:t>
      </w:r>
      <w:r>
        <w:t xml:space="preserve">    </w:t>
      </w:r>
      <w:r>
        <w:rPr>
          <w:b/>
        </w:rPr>
        <w:t xml:space="preserve">Pub date: </w:t>
      </w:r>
      <w:r>
        <w:t>2026-06-18 07:00:00+00:00</w:t>
      </w:r>
      <w:r>
        <w:t xml:space="preserve">    </w:t>
      </w:r>
      <w:r>
        <w:rPr>
          <w:b/>
        </w:rPr>
        <w:t xml:space="preserve">DOI: </w:t>
      </w:r>
      <w:hyperlink r:id="rId1181">
        <w:r>
          <w:rPr>
            <w:color w:val="1155CC"/>
            <w:u w:val="single"/>
          </w:rPr>
          <w:t>10.1073/pnas.2527304123</w:t>
        </w:r>
      </w:hyperlink>
    </w:p>
    <w:p>
      <w:pPr>
        <w:spacing w:before="0" w:after="120"/>
      </w:pPr>
      <w:r>
        <w:rPr>
          <w:b/>
        </w:rPr>
        <w:t xml:space="preserve">Notes: </w:t>
      </w:r>
      <w:r>
        <w:t>abstract_source=crossref</w:t>
      </w:r>
    </w:p>
    <w:p>
      <w:pPr>
        <w:spacing w:before="0" w:after="80" w:lineRule="auto" w:line="276"/>
      </w:pPr>
      <w:r>
        <w:rPr>
          <w:b/>
        </w:rPr>
        <w:t xml:space="preserve">摘要（ZH）: </w:t>
      </w:r>
      <w:r>
        <w:t>进化生物学的一个自然假设是，为了共同进化，物种必须相互作用，因此应该同时发生。然而，许多进化动态可能是由迁徙或媒介传播的媒介介导的，这提高了异域物种之间共同进化相互作用的可能性。在拟态理论中，一个反复出现的假设是，参与拟态系统的所有物种都必须是同域的，因为捕食者必须同时遇到模型和拟态/共拟态才能混淆它们。虽然有人认为，异域物种之间可能通过迁徙捕食者的介导而发生拟态，但这种可能性在理论上和经验上仍未得到探索。为了探索这个问题，我们使用计算机模拟来模拟由迁徙捕食者连接的两个无利可图的猎物种群的种群动态。模拟中的每个种群都受到本地捕食者和迁徙捕食者的影响，本地捕食者不会迁徙，因此不会直接受到外来信号的影响，而迁徙捕食者则受到两个种群中信号的影响。我们的结果表明，迁徙捕食者可能会在广泛的生态场景中推动异域物种之间的拟态进化，并且这种现象可能受到当地捕食者的选择压力的限制。此外，我们认为，迁徙媒介不仅可以促进模仿，还可以促进异域物种之间迄今为止未被认识到的广泛的共同进化相互作用。从这个角度来看，我们确定并讨论</w:t>
      </w:r>
    </w:p>
    <w:p>
      <w:pPr>
        <w:spacing w:before="0" w:after="200" w:lineRule="auto" w:line="276"/>
      </w:pPr>
      <w:r>
        <w:rPr>
          <w:b/>
        </w:rPr>
        <w:t xml:space="preserve">Abstract (EN): </w:t>
      </w:r>
      <w:r>
        <w:t>A natural assumption in evolutionary biology is that to coevolve, species must interact with each other and should therefore co-occur. However, many evolutionary dynamics may be mediated by migratory or vector-borne agents, raising the possibility of coevolutionary interactions between allopatric species. In mimicry theory, a recurring assumption is that all species participating in a mimicry system must be sympatric, because predators must encounter both model and mimic/co-mimic to confuse between them. While it has been suggested that mimicry may occur between allopatric species through the mediation of migratory predators, this possibility has remained largely unexplored, theoretically and empirically. To explore this question, we used computer simulations that model the population dynamics of two populations of unprofitable aposematic prey connected by migratory predators. Each population in the simulation is affected by both local predators, which do not migrate and are therefore not directly affected by the foreign signal, and by migratory predators, which are affected by the signals in both populations. Our results demonstrate that migratory predators may drive the evolution of mimicry between allopatric species in a wide range of ecological scenarios, and that this phenomenon may be constrained by selective pressure from local predators. Furthermore, we suggest that migratory agents may facilitate not only mimicry, but a wide range of hitherto unappreciated coevolutionary interactions between allopatric species. In light of this perspective, we identify and discuss potential case studies of mimicry and other forms of coevolution occurring between allopatric species, including host-pathogen and herbivore-plant arms races.</w:t>
      </w:r>
    </w:p>
    <w:p>
      <w:pPr>
        <w:spacing w:before="120" w:after="120"/>
      </w:pPr>
      <w:r>
        <w:rPr>
          <w:sz w:val="18"/>
        </w:rPr>
        <w:t>——————————————————————————————————————————————————————————————————————</w:t>
      </w:r>
    </w:p>
    <w:p>
      <w:pPr>
        <w:spacing w:before="160" w:after="40" w:line="240" w:lineRule="auto"/>
      </w:pPr>
      <w:r>
        <w:rPr>
          <w:b/>
        </w:rPr>
        <w:t xml:space="preserve">[506] </w:t>
      </w:r>
      <w:hyperlink r:id="rId1182">
        <w:r>
          <w:rPr>
            <w:color w:val="1155CC"/>
            <w:u w:val="single"/>
          </w:rPr>
          <w:t>视频游戏有助于突破人工智能的界限</w:t>
        </w:r>
      </w:hyperlink>
    </w:p>
    <w:p>
      <w:pPr>
        <w:spacing w:before="0" w:after="80"/>
      </w:pPr>
      <w:r>
        <w:rPr>
          <w:i/>
          <w:sz w:val="20"/>
        </w:rPr>
        <w:t>EN: Video games help push the boundaries of AI</w:t>
      </w:r>
    </w:p>
    <w:p>
      <w:pPr>
        <w:spacing w:before="0" w:after="120"/>
      </w:pPr>
      <w:r>
        <w:rPr>
          <w:b/>
        </w:rPr>
        <w:t xml:space="preserve">Source: </w:t>
      </w:r>
      <w:r>
        <w:t>Proceedings of the National Academy of Sciences: Keyword search for query</w:t>
      </w:r>
      <w:r>
        <w:t xml:space="preserve">    </w:t>
      </w:r>
      <w:r>
        <w:rPr>
          <w:b/>
        </w:rPr>
        <w:t xml:space="preserve">Pub date: </w:t>
      </w:r>
      <w:r>
        <w:t>2026-06-18 07:00:00+00:00</w:t>
      </w:r>
      <w:r>
        <w:t xml:space="preserve">    </w:t>
      </w:r>
      <w:r>
        <w:rPr>
          <w:b/>
        </w:rPr>
        <w:t xml:space="preserve">DOI: </w:t>
      </w:r>
      <w:hyperlink r:id="rId1183">
        <w:r>
          <w:rPr>
            <w:color w:val="1155CC"/>
            <w:u w:val="single"/>
          </w:rPr>
          <w:t>10.1073/pnas.2618819123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[507] </w:t>
      </w:r>
      <w:hyperlink r:id="rId1184">
        <w:r>
          <w:rPr>
            <w:color w:val="1155CC"/>
            <w:u w:val="single"/>
          </w:rPr>
          <w:t>希格斯气泡碰撞在零温度下的标准模型重子数破坏</w:t>
        </w:r>
      </w:hyperlink>
    </w:p>
    <w:p>
      <w:pPr>
        <w:spacing w:before="0" w:after="80"/>
      </w:pPr>
      <w:r>
        <w:rPr>
          <w:i/>
          <w:sz w:val="20"/>
        </w:rPr>
        <w:t>EN: Standard Model Baryon Number Violation at Zero Temperature from Higgs Bubble Collisions</w:t>
      </w:r>
    </w:p>
    <w:p>
      <w:pPr>
        <w:spacing w:before="0" w:after="120"/>
      </w:pPr>
      <w:r>
        <w:rPr>
          <w:b/>
        </w:rPr>
        <w:t xml:space="preserve">Source: </w:t>
      </w:r>
      <w:r>
        <w:t>Recent Articles in Phys. Rev. Lett.</w:t>
      </w:r>
      <w:r>
        <w:t xml:space="preserve">    </w:t>
      </w:r>
      <w:r>
        <w:rPr>
          <w:b/>
        </w:rPr>
        <w:t xml:space="preserve">Pub date: </w:t>
      </w:r>
      <w:r>
        <w:t>2026-06-18 10:00:00+00:00</w:t>
      </w:r>
      <w:r>
        <w:t xml:space="preserve">    </w:t>
      </w:r>
      <w:r>
        <w:rPr>
          <w:b/>
        </w:rPr>
        <w:t xml:space="preserve">DOI: </w:t>
      </w:r>
      <w:hyperlink r:id="rId1185">
        <w:r>
          <w:rPr>
            <w:color w:val="1155CC"/>
            <w:u w:val="single"/>
          </w:rPr>
          <w:t>10.1103/fv7q-vsbn</w:t>
        </w:r>
      </w:hyperlink>
    </w:p>
    <w:p>
      <w:pPr>
        <w:spacing w:before="0" w:after="120"/>
      </w:pPr>
      <w:r>
        <w:rPr>
          <w:b/>
        </w:rPr>
        <w:t xml:space="preserve">Notes: </w:t>
      </w:r>
      <w:r>
        <w:t>abstract_source=rss_description</w:t>
      </w:r>
    </w:p>
    <w:p>
      <w:pPr>
        <w:spacing w:before="0" w:after="80" w:lineRule="auto" w:line="276"/>
      </w:pPr>
      <w:r>
        <w:rPr>
          <w:b/>
        </w:rPr>
        <w:t xml:space="preserve">摘要（ZH）: </w:t>
      </w:r>
      <w:r>
        <w:t>作者：Nabeen Bhusal、Simone Blasi、Martina Cataldi、Aleksandr Chatrchyan、Marco Gorghetto 和 Géraldine Servant 我们首次计算了希格斯气泡碰撞中零温度下的重子数违规，并发现它可以与电弱温度下对称相中的热球面子的数量级相同。我们研究陈-西蒙斯数跃迁速率的依赖性……[物理学。莱特牧师。 136, 241803] 发布于 2026 年 6 月 18 日星期四</w:t>
      </w:r>
    </w:p>
    <w:p>
      <w:pPr>
        <w:spacing w:before="0" w:after="200" w:lineRule="auto" w:line="276"/>
      </w:pPr>
      <w:r>
        <w:rPr>
          <w:b/>
        </w:rPr>
        <w:t xml:space="preserve">Abstract (EN): </w:t>
      </w:r>
      <w:r>
        <w:t>Author(s): Nabeen Bhusal, Simone Blasi, Martina Cataldi, Aleksandr Chatrchyan, Marco Gorghetto, and Géraldine ServantWe compute for the first time baryon number violation at zero temperature from Higgs bubble collisions and find that it can be of the same order as that from thermal sphalerons in the symmetric phase at electroweak temperatures. We study the dependence of the rate of Chern-Simons number transitions …[Phys. Rev. Lett. 136, 241803] Published Thu Jun 18, 2026</w:t>
      </w:r>
    </w:p>
    <w:p>
      <w:pPr>
        <w:spacing w:before="120" w:after="120"/>
      </w:pPr>
      <w:r>
        <w:rPr>
          <w:sz w:val="18"/>
        </w:rPr>
        <w:t>——————————————————————————————————————————————————————————————————————</w:t>
      </w:r>
    </w:p>
    <w:p>
      <w:pPr>
        <w:spacing w:before="160" w:after="40" w:line="240" w:lineRule="auto"/>
      </w:pPr>
      <w:r>
        <w:rPr>
          <w:b/>
        </w:rPr>
        <w:t xml:space="preserve">[508] </w:t>
      </w:r>
      <w:hyperlink r:id="rId1186">
        <w:r>
          <w:rPr>
            <w:color w:val="1155CC"/>
            <w:u w:val="single"/>
          </w:rPr>
          <w:t>具有轻团簇自由度的核物质的旋节线不稳定性</w:t>
        </w:r>
      </w:hyperlink>
    </w:p>
    <w:p>
      <w:pPr>
        <w:spacing w:before="0" w:after="80"/>
      </w:pPr>
      <w:r>
        <w:rPr>
          <w:i/>
          <w:sz w:val="20"/>
        </w:rPr>
        <w:t>EN: Spinodal instability in nuclear matter with light cluster degrees of freedom</w:t>
      </w:r>
    </w:p>
    <w:p>
      <w:pPr>
        <w:spacing w:before="0" w:after="120"/>
      </w:pPr>
      <w:r>
        <w:rPr>
          <w:b/>
        </w:rPr>
        <w:t xml:space="preserve">Source: </w:t>
      </w:r>
      <w:r>
        <w:t>Recent Articles in Phys. Rev. C</w:t>
      </w:r>
      <w:r>
        <w:t xml:space="preserve">    </w:t>
      </w:r>
      <w:r>
        <w:rPr>
          <w:b/>
        </w:rPr>
        <w:t xml:space="preserve">Pub date: </w:t>
      </w:r>
      <w:r>
        <w:t>2026-06-18 10:00:00+00:00</w:t>
      </w:r>
      <w:r>
        <w:t xml:space="preserve">    </w:t>
      </w:r>
      <w:r>
        <w:rPr>
          <w:b/>
        </w:rPr>
        <w:t xml:space="preserve">DOI: </w:t>
      </w:r>
      <w:hyperlink r:id="rId1187">
        <w:r>
          <w:rPr>
            <w:color w:val="1155CC"/>
            <w:u w:val="single"/>
          </w:rPr>
          <w:t>10.1103/7548-pwbt</w:t>
        </w:r>
      </w:hyperlink>
    </w:p>
    <w:p>
      <w:pPr>
        <w:spacing w:before="0" w:after="120"/>
      </w:pPr>
      <w:r>
        <w:rPr>
          <w:b/>
        </w:rPr>
        <w:t xml:space="preserve">Notes: </w:t>
      </w:r>
      <w:r>
        <w:t>abstract_source=rss_description</w:t>
      </w:r>
    </w:p>
    <w:p>
      <w:pPr>
        <w:spacing w:before="0" w:after="80" w:lineRule="auto" w:line="276"/>
      </w:pPr>
      <w:r>
        <w:rPr>
          <w:b/>
        </w:rPr>
        <w:t xml:space="preserve">摘要（ZH）: </w:t>
      </w:r>
      <w:r>
        <w:t>作者：Stefano Burrello、Carmelo Piazza、Rui Wang 和 Maria Colonna 我们研究了有限温度下低密度同位旋对称核物质的热力学稳定性，明确包括光团簇作为自由度。在广义平均场框架内，我们计算自由能密度的曲率矩阵并确定自旋......[Phys。 Rev. C 113, 064617] 2026 年 6 月 18 日星期四发布</w:t>
      </w:r>
    </w:p>
    <w:p>
      <w:pPr>
        <w:spacing w:before="0" w:after="200" w:lineRule="auto" w:line="276"/>
      </w:pPr>
      <w:r>
        <w:rPr>
          <w:b/>
        </w:rPr>
        <w:t xml:space="preserve">Abstract (EN): </w:t>
      </w:r>
      <w:r>
        <w:t>Author(s): Stefano Burrello, Carmelo Piazza, Rui Wang, and Maria ColonnaWe investigate the thermodynamical stability of low-density isospin-symmetric nuclear matter at finite temperature, explicitly including light clusters as degrees of freedom. Within a generalized mean-field framework, we compute the curvature matrix of the free-energy density and determine the spino…[Phys. Rev. C 113, 064617] Published Thu Jun 18, 2026</w:t>
      </w:r>
    </w:p>
    <w:p>
      <w:pPr>
        <w:spacing w:before="120" w:after="120"/>
      </w:pPr>
      <w:r>
        <w:rPr>
          <w:sz w:val="18"/>
        </w:rPr>
        <w:t>——————————————————————————————————————————————————————————————————————</w:t>
      </w:r>
    </w:p>
    <w:p>
      <w:pPr>
        <w:spacing w:before="160" w:after="40" w:line="240" w:lineRule="auto"/>
      </w:pPr>
      <w:r>
        <w:rPr>
          <w:b/>
        </w:rPr>
        <w:t xml:space="preserve">[509] </w:t>
      </w:r>
      <w:hyperlink r:id="rId1188">
        <w:r>
          <w:rPr>
            <w:color w:val="1155CC"/>
            <w:u w:val="single"/>
          </w:rPr>
          <w:t>高度变形 $^{24}\mathrm{Mg}$ 中单极子强度的小波分析</w:t>
        </w:r>
      </w:hyperlink>
    </w:p>
    <w:p>
      <w:pPr>
        <w:spacing w:before="0" w:after="80"/>
      </w:pPr>
      <w:r>
        <w:rPr>
          <w:i/>
          <w:sz w:val="20"/>
        </w:rPr>
        <w:t>EN: Wavelet analysis of monopole strength in highly deformed $^{24}\mathrm{Mg}$</w:t>
      </w:r>
    </w:p>
    <w:p>
      <w:pPr>
        <w:spacing w:before="0" w:after="120"/>
      </w:pPr>
      <w:r>
        <w:rPr>
          <w:b/>
        </w:rPr>
        <w:t xml:space="preserve">Source: </w:t>
      </w:r>
      <w:r>
        <w:t>Recent Articles in Phys. Rev. C</w:t>
      </w:r>
      <w:r>
        <w:t xml:space="preserve">    </w:t>
      </w:r>
      <w:r>
        <w:rPr>
          <w:b/>
        </w:rPr>
        <w:t xml:space="preserve">Pub date: </w:t>
      </w:r>
      <w:r>
        <w:t>2026-06-18 10:00:00+00:00</w:t>
      </w:r>
      <w:r>
        <w:t xml:space="preserve">    </w:t>
      </w:r>
      <w:r>
        <w:rPr>
          <w:b/>
        </w:rPr>
        <w:t xml:space="preserve">DOI: </w:t>
      </w:r>
      <w:hyperlink r:id="rId1189">
        <w:r>
          <w:rPr>
            <w:color w:val="1155CC"/>
            <w:u w:val="single"/>
          </w:rPr>
          <w:t>10.1103/29j9-j57p</w:t>
        </w:r>
      </w:hyperlink>
    </w:p>
    <w:p>
      <w:pPr>
        <w:spacing w:before="0" w:after="120"/>
      </w:pPr>
      <w:r>
        <w:rPr>
          <w:b/>
        </w:rPr>
        <w:t xml:space="preserve">Notes: </w:t>
      </w:r>
      <w:r>
        <w:t>abstract_source=rss_description</w:t>
      </w:r>
    </w:p>
    <w:p>
      <w:pPr>
        <w:spacing w:before="0" w:after="80" w:lineRule="auto" w:line="276"/>
      </w:pPr>
      <w:r>
        <w:rPr>
          <w:b/>
        </w:rPr>
        <w:t xml:space="preserve">摘要（ZH）: </w:t>
      </w:r>
      <w:r>
        <w:t>作者：A. Bahini、V. O. Nesterenko、P. von Neumann-Cosel、P.-G. Reinhard、J. Carter、N. A. Ashurko、R. Neveling、A. Repko 和 I. T. Usman背景：激发能量区域 ${E}_{\mathrm{x}}=9–25$ MeV 中 $^{24}\mathrm{Mg}$ 单极激发的 $α$ 粒子非弹性散射实验数据，在 iThemba 加速器科学实验室获得（iThemba LABS），已在完全自我约束的范围内进行了分析……[Phys。 Rev. C 113, 064313] 2026 年 6 月 18 日星期四发布</w:t>
      </w:r>
    </w:p>
    <w:p>
      <w:pPr>
        <w:spacing w:before="0" w:after="200" w:lineRule="auto" w:line="276"/>
      </w:pPr>
      <w:r>
        <w:rPr>
          <w:b/>
        </w:rPr>
        <w:t xml:space="preserve">Abstract (EN): </w:t>
      </w:r>
      <w:r>
        <w:t>Author(s): A. Bahini, V. O. Nesterenko, P. von Neumann-Cosel, P.-G. Reinhard, J. Carter, N. A. Ashurko, R. Neveling, A. Repko, and I. T. UsmanBackground: Experimental data on $α$-particle inelastic scattering for monopole excitations in $^{24}\mathrm{Mg}$ in the excitation-energy region ${E}_{\mathrm{x}}=9–25$ MeV, obtained at the iThemba Laboratory for Accelerator Based Sciences (iThemba LABS), have been analyzed within a fully self-cons…[Phys. Rev. C 113, 064313] Published Thu Jun 18, 2026</w:t>
      </w:r>
    </w:p>
    <w:p>
      <w:pPr>
        <w:spacing w:before="120" w:after="120"/>
      </w:pPr>
      <w:r>
        <w:rPr>
          <w:sz w:val="18"/>
        </w:rPr>
        <w:t>——————————————————————————————————————————————————————————————————————</w:t>
      </w:r>
    </w:p>
    <w:p>
      <w:pPr>
        <w:spacing w:before="160" w:after="40" w:line="240" w:lineRule="auto"/>
      </w:pPr>
      <w:r>
        <w:rPr>
          <w:b/>
        </w:rPr>
        <w:t xml:space="preserve">[510] </w:t>
      </w:r>
      <w:hyperlink r:id="rId1190">
        <w:r>
          <w:rPr>
            <w:color w:val="1155CC"/>
            <w:u w:val="single"/>
          </w:rPr>
          <w:t>活动组织周期性骨折</w:t>
        </w:r>
      </w:hyperlink>
    </w:p>
    <w:p>
      <w:pPr>
        <w:spacing w:before="0" w:after="80"/>
      </w:pPr>
      <w:r>
        <w:rPr>
          <w:i/>
          <w:sz w:val="20"/>
        </w:rPr>
        <w:t>EN: Periodic Fracture of Active Tissues</w:t>
      </w:r>
    </w:p>
    <w:p>
      <w:pPr>
        <w:spacing w:before="0" w:after="120"/>
      </w:pPr>
      <w:r>
        <w:rPr>
          <w:b/>
        </w:rPr>
        <w:t xml:space="preserve">Source: </w:t>
      </w:r>
      <w:r>
        <w:t>Recent Articles in Phys. Rev. Lett.</w:t>
      </w:r>
      <w:r>
        <w:t xml:space="preserve">    </w:t>
      </w:r>
      <w:r>
        <w:rPr>
          <w:b/>
        </w:rPr>
        <w:t xml:space="preserve">Pub date: </w:t>
      </w:r>
      <w:r>
        <w:t>2026-06-18 10:00:00+00:00</w:t>
      </w:r>
      <w:r>
        <w:t xml:space="preserve">    </w:t>
      </w:r>
      <w:r>
        <w:rPr>
          <w:b/>
        </w:rPr>
        <w:t xml:space="preserve">DOI: </w:t>
      </w:r>
      <w:hyperlink r:id="rId1191">
        <w:r>
          <w:rPr>
            <w:color w:val="1155CC"/>
            <w:u w:val="single"/>
          </w:rPr>
          <w:t>10.1103/hw7t-kf32</w:t>
        </w:r>
      </w:hyperlink>
    </w:p>
    <w:p>
      <w:pPr>
        <w:spacing w:before="0" w:after="120"/>
      </w:pPr>
      <w:r>
        <w:rPr>
          <w:b/>
        </w:rPr>
        <w:t xml:space="preserve">Notes: </w:t>
      </w:r>
      <w:r>
        <w:t>abstract_source=rss_description</w:t>
      </w:r>
    </w:p>
    <w:p>
      <w:pPr>
        <w:spacing w:before="0" w:after="80" w:lineRule="auto" w:line="276"/>
      </w:pPr>
      <w:r>
        <w:rPr>
          <w:b/>
        </w:rPr>
        <w:t xml:space="preserve">摘要（ZH）: </w:t>
      </w:r>
      <w:r>
        <w:t>作者：钱悦、李悦、李波 断裂通常意味着工程材料的机械失效，而受控断裂则可以通过精确的生物调节主动塑造组织。在这里，我们建立了一种多尺度非线性近场动力学理论，该理论解释了细胞机械传感以破译自发……[物理学。莱特牧师。 136, 248402] 发布于 2026 年 6 月 18 日星期四</w:t>
      </w:r>
    </w:p>
    <w:p>
      <w:pPr>
        <w:spacing w:before="0" w:after="200" w:lineRule="auto" w:line="276"/>
      </w:pPr>
      <w:r>
        <w:rPr>
          <w:b/>
        </w:rPr>
        <w:t xml:space="preserve">Abstract (EN): </w:t>
      </w:r>
      <w:r>
        <w:t>Author(s): Yue Qian, Yue Li, and Bo LiFracture typically signifies mechanical failure in engineering materials, whereas controlled cracking may actively sculpt tissues through precise biological regulation. Here, we establish a multiscale nonlinear peridynamic theory that accounts for cellular mechanosensing to decipher the spontaneous …[Phys. Rev. Lett. 136, 248402] Published Thu Jun 18, 2026</w:t>
      </w:r>
    </w:p>
    <w:p>
      <w:pPr>
        <w:spacing w:before="120" w:after="120"/>
      </w:pPr>
      <w:r>
        <w:rPr>
          <w:sz w:val="18"/>
        </w:rPr>
        <w:t>——————————————————————————————————————————————————————————————————————</w:t>
      </w:r>
    </w:p>
    <w:p>
      <w:pPr>
        <w:spacing w:before="160" w:after="40" w:line="240" w:lineRule="auto"/>
      </w:pPr>
      <w:r>
        <w:rPr>
          <w:b/>
        </w:rPr>
        <w:t xml:space="preserve">[511] </w:t>
      </w:r>
      <w:hyperlink r:id="rId1192">
        <w:r>
          <w:rPr>
            <w:color w:val="1155CC"/>
            <w:u w:val="single"/>
          </w:rPr>
          <w:t>基于实数的量子力学：一致的描述</w:t>
        </w:r>
      </w:hyperlink>
    </w:p>
    <w:p>
      <w:pPr>
        <w:spacing w:before="0" w:after="80"/>
      </w:pPr>
      <w:r>
        <w:rPr>
          <w:i/>
          <w:sz w:val="20"/>
        </w:rPr>
        <w:t>EN: Quantum Mechanics Based on Real Numbers: A Consistent Description</w:t>
      </w:r>
    </w:p>
    <w:p>
      <w:pPr>
        <w:spacing w:before="0" w:after="120"/>
      </w:pPr>
      <w:r>
        <w:rPr>
          <w:b/>
        </w:rPr>
        <w:t xml:space="preserve">Source: </w:t>
      </w:r>
      <w:r>
        <w:t>Recent Articles in Phys. Rev. Lett.</w:t>
      </w:r>
      <w:r>
        <w:t xml:space="preserve">    </w:t>
      </w:r>
      <w:r>
        <w:rPr>
          <w:b/>
        </w:rPr>
        <w:t xml:space="preserve">Pub date: </w:t>
      </w:r>
      <w:r>
        <w:t>2026-06-18 10:00:00+00:00</w:t>
      </w:r>
      <w:r>
        <w:t xml:space="preserve">    </w:t>
      </w:r>
      <w:r>
        <w:rPr>
          <w:b/>
        </w:rPr>
        <w:t xml:space="preserve">DOI: </w:t>
      </w:r>
      <w:hyperlink r:id="rId1193">
        <w:r>
          <w:rPr>
            <w:color w:val="1155CC"/>
            <w:u w:val="single"/>
          </w:rPr>
          <w:t>10.1103/4k13-sdjh</w:t>
        </w:r>
      </w:hyperlink>
    </w:p>
    <w:p>
      <w:pPr>
        <w:spacing w:before="0" w:after="120"/>
      </w:pPr>
      <w:r>
        <w:rPr>
          <w:b/>
        </w:rPr>
        <w:t xml:space="preserve">Notes: </w:t>
      </w:r>
      <w:r>
        <w:t>abstract_source=rss_description</w:t>
      </w:r>
    </w:p>
    <w:p>
      <w:pPr>
        <w:spacing w:before="0" w:after="80" w:lineRule="auto" w:line="276"/>
      </w:pPr>
      <w:r>
        <w:rPr>
          <w:b/>
        </w:rPr>
        <w:t xml:space="preserve">摘要（ZH）: </w:t>
      </w:r>
      <w:r>
        <w:t>作者：Pedro Barrios Hita、Anton Trushechkin、Hermann Kampermann、Michael Epping 和 Dagmar Bruß 通过利用物理驱动原理而不是数学假设，研究人员为如何构建实值量子理论提供了新的视角。莱特牧师。 136, 240202] 发布于 2026 年 6 月 18 日星期四</w:t>
      </w:r>
    </w:p>
    <w:p>
      <w:pPr>
        <w:spacing w:before="0" w:after="200" w:lineRule="auto" w:line="276"/>
      </w:pPr>
      <w:r>
        <w:rPr>
          <w:b/>
        </w:rPr>
        <w:t xml:space="preserve">Abstract (EN): </w:t>
      </w:r>
      <w:r>
        <w:t>Author(s): Pedro Barrios Hita, Anton Trushechkin, Hermann Kampermann, Michael Epping, and Dagmar BrußBy exploiting a physically motivated principle, rather than a mathematical postulate, researchers offer a new perspective on how a real-valued quantum theory can be constructed.[Phys. Rev. Lett. 136, 240202] Published Thu Jun 18, 2026</w:t>
      </w:r>
    </w:p>
    <w:p>
      <w:pPr>
        <w:spacing w:before="120" w:after="120"/>
      </w:pPr>
      <w:r>
        <w:rPr>
          <w:sz w:val="18"/>
        </w:rPr>
        <w:t>——————————————————————————————————————————————————————————————————————</w:t>
      </w:r>
    </w:p>
    <w:p>
      <w:pPr>
        <w:spacing w:before="160" w:after="40" w:line="240" w:lineRule="auto"/>
      </w:pPr>
      <w:r>
        <w:rPr>
          <w:b/>
        </w:rPr>
        <w:t xml:space="preserve">[512] </w:t>
      </w:r>
      <w:hyperlink r:id="rId1194">
        <w:r>
          <w:rPr>
            <w:color w:val="1155CC"/>
            <w:u w:val="single"/>
          </w:rPr>
          <w:t>噪声量子电路中的不稳定性和误差恢复能力</w:t>
        </w:r>
      </w:hyperlink>
    </w:p>
    <w:p>
      <w:pPr>
        <w:spacing w:before="0" w:after="80"/>
      </w:pPr>
      <w:r>
        <w:rPr>
          <w:i/>
          <w:sz w:val="20"/>
        </w:rPr>
        <w:t>EN: Nonstabilizerness and Error Resilience in Noisy Quantum Circuits</w:t>
      </w:r>
    </w:p>
    <w:p>
      <w:pPr>
        <w:spacing w:before="0" w:after="120"/>
      </w:pPr>
      <w:r>
        <w:rPr>
          <w:b/>
        </w:rPr>
        <w:t xml:space="preserve">Source: </w:t>
      </w:r>
      <w:r>
        <w:t>Recent Articles in Phys. Rev. Lett.</w:t>
      </w:r>
      <w:r>
        <w:t xml:space="preserve">    </w:t>
      </w:r>
      <w:r>
        <w:rPr>
          <w:b/>
        </w:rPr>
        <w:t xml:space="preserve">Pub date: </w:t>
      </w:r>
      <w:r>
        <w:t>2026-06-18 10:00:00+00:00</w:t>
      </w:r>
      <w:r>
        <w:t xml:space="preserve">    </w:t>
      </w:r>
      <w:r>
        <w:rPr>
          <w:b/>
        </w:rPr>
        <w:t xml:space="preserve">DOI: </w:t>
      </w:r>
      <w:hyperlink r:id="rId1195">
        <w:r>
          <w:rPr>
            <w:color w:val="1155CC"/>
            <w:u w:val="single"/>
          </w:rPr>
          <w:t>10.1103/cbjz-x45n</w:t>
        </w:r>
      </w:hyperlink>
    </w:p>
    <w:p>
      <w:pPr>
        <w:spacing w:before="0" w:after="120"/>
      </w:pPr>
      <w:r>
        <w:rPr>
          <w:b/>
        </w:rPr>
        <w:t xml:space="preserve">Notes: </w:t>
      </w:r>
      <w:r>
        <w:t>abstract_source=rss_description</w:t>
      </w:r>
    </w:p>
    <w:p>
      <w:pPr>
        <w:spacing w:before="0" w:after="80" w:lineRule="auto" w:line="276"/>
      </w:pPr>
      <w:r>
        <w:rPr>
          <w:b/>
        </w:rPr>
        <w:t xml:space="preserve">摘要（ZH）: </w:t>
      </w:r>
      <w:r>
        <w:t>作者：Fabian Ballar Trigueros 和 José Antonio Marín Guzmán我们研究了噪声如何影响多体量子位系统中的非稳定性（量子优势的关键资源）。虽然噪声通常会降低量子资源的质量，但我们表明，幅度阻尼（一种非单位通道）可以产生或增强非稳定性，而去极化噪声则可能会……[物理。莱特牧师。 136, 240602] 发布于 2026 年 6 月 18 日星期四</w:t>
      </w:r>
    </w:p>
    <w:p>
      <w:pPr>
        <w:spacing w:before="0" w:after="200" w:lineRule="auto" w:line="276"/>
      </w:pPr>
      <w:r>
        <w:rPr>
          <w:b/>
        </w:rPr>
        <w:t xml:space="preserve">Abstract (EN): </w:t>
      </w:r>
      <w:r>
        <w:t>Author(s): Fabian Ballar Trigueros and José Antonio Marín GuzmánWe investigate how noise impacts nonstabilizerness—a key resource for quantum advantage—in many-body qubit systems. While noise typically degrades quantum resources, we show that amplitude damping, a nonunital channel, can generate or enhance nonstabilizerness, whereas depolarizing noise provably ca…[Phys. Rev. Lett. 136, 240602] Published Thu Jun 18, 2026</w:t>
      </w:r>
    </w:p>
    <w:p>
      <w:pPr>
        <w:spacing w:before="120" w:after="120"/>
      </w:pPr>
      <w:r>
        <w:rPr>
          <w:sz w:val="18"/>
        </w:rPr>
        <w:t>——————————————————————————————————————————————————————————————————————</w:t>
      </w:r>
    </w:p>
    <w:p>
      <w:pPr>
        <w:spacing w:before="160" w:after="40" w:line="240" w:lineRule="auto"/>
      </w:pPr>
      <w:r>
        <w:rPr>
          <w:b/>
        </w:rPr>
        <w:t xml:space="preserve">[513] </w:t>
      </w:r>
      <w:hyperlink r:id="rId1196">
        <w:r>
          <w:rPr>
            <w:color w:val="1155CC"/>
            <w:u w:val="single"/>
          </w:rPr>
          <w:t>无需相干算术的量子态制备</w:t>
        </w:r>
      </w:hyperlink>
    </w:p>
    <w:p>
      <w:pPr>
        <w:spacing w:before="0" w:after="80"/>
      </w:pPr>
      <w:r>
        <w:rPr>
          <w:i/>
          <w:sz w:val="20"/>
        </w:rPr>
        <w:t>EN: Quantum State Preparation without Coherent Arithmetic</w:t>
      </w:r>
    </w:p>
    <w:p>
      <w:pPr>
        <w:spacing w:before="0" w:after="120"/>
      </w:pPr>
      <w:r>
        <w:rPr>
          <w:b/>
        </w:rPr>
        <w:t xml:space="preserve">Source: </w:t>
      </w:r>
      <w:r>
        <w:t>Recent Articles in Phys. Rev. Lett.</w:t>
      </w:r>
      <w:r>
        <w:t xml:space="preserve">    </w:t>
      </w:r>
      <w:r>
        <w:rPr>
          <w:b/>
        </w:rPr>
        <w:t xml:space="preserve">Pub date: </w:t>
      </w:r>
      <w:r>
        <w:t>2026-06-18 10:00:00+00:00</w:t>
      </w:r>
      <w:r>
        <w:t xml:space="preserve">    </w:t>
      </w:r>
      <w:r>
        <w:rPr>
          <w:b/>
        </w:rPr>
        <w:t xml:space="preserve">DOI: </w:t>
      </w:r>
      <w:hyperlink r:id="rId1197">
        <w:r>
          <w:rPr>
            <w:color w:val="1155CC"/>
            <w:u w:val="single"/>
          </w:rPr>
          <w:t>10.1103/ntvs-c48s</w:t>
        </w:r>
      </w:hyperlink>
    </w:p>
    <w:p>
      <w:pPr>
        <w:spacing w:before="0" w:after="120"/>
      </w:pPr>
      <w:r>
        <w:rPr>
          <w:b/>
        </w:rPr>
        <w:t xml:space="preserve">Notes: </w:t>
      </w:r>
      <w:r>
        <w:t>abstract_source=rss_description</w:t>
      </w:r>
    </w:p>
    <w:p>
      <w:pPr>
        <w:spacing w:before="0" w:after="80" w:lineRule="auto" w:line="276"/>
      </w:pPr>
      <w:r>
        <w:rPr>
          <w:b/>
        </w:rPr>
        <w:t xml:space="preserve">摘要（ZH）: </w:t>
      </w:r>
      <w:r>
        <w:t>作者：Sam McArdle、András Gilyén 和 Mario Berta 我们介绍了一种制备量子态的通用方法，其振幅由某些已知函数给出。与现有方法不同，我们的方法不需要手工制作的可逆算术电路或量子表读取来编码函数值。相反，我们使用模板定量......[Phys。莱特牧师。 136, 240603] 发布于 2026 年 6 月 18 日星期四</w:t>
      </w:r>
    </w:p>
    <w:p>
      <w:pPr>
        <w:spacing w:before="0" w:after="200" w:lineRule="auto" w:line="276"/>
      </w:pPr>
      <w:r>
        <w:rPr>
          <w:b/>
        </w:rPr>
        <w:t xml:space="preserve">Abstract (EN): </w:t>
      </w:r>
      <w:r>
        <w:t>Author(s): Sam McArdle, András Gilyén, and Mario BertaWe introduce a versatile method for preparing a quantum state whose amplitudes are given by some known function. Unlike existing approaches, our method does not require handcrafted reversible arithmetic circuits, or quantum table reads, to encode the function values. Instead, we use a template quant…[Phys. Rev. Lett. 136, 240603] Published Thu Jun 18, 2026</w:t>
      </w:r>
    </w:p>
    <w:p>
      <w:pPr>
        <w:spacing w:before="120" w:after="120"/>
      </w:pPr>
      <w:r>
        <w:rPr>
          <w:sz w:val="18"/>
        </w:rPr>
        <w:t>——————————————————————————————————————————————————————————————————————</w:t>
      </w:r>
    </w:p>
    <w:p>
      <w:pPr>
        <w:spacing w:before="160" w:after="40" w:line="240" w:lineRule="auto"/>
      </w:pPr>
      <w:r>
        <w:rPr>
          <w:b/>
        </w:rPr>
        <w:t xml:space="preserve">[514] </w:t>
      </w:r>
      <w:hyperlink r:id="rId1198">
        <w:r>
          <w:rPr>
            <w:color w:val="1155CC"/>
            <w:u w:val="single"/>
          </w:rPr>
          <w:t>用于 meV 轴子暗物质检测的量子半导体异质结构</w:t>
        </w:r>
      </w:hyperlink>
    </w:p>
    <w:p>
      <w:pPr>
        <w:spacing w:before="0" w:after="80"/>
      </w:pPr>
      <w:r>
        <w:rPr>
          <w:i/>
          <w:sz w:val="20"/>
        </w:rPr>
        <w:t>EN: Quantum Semiconductor Heterostructures for meV Axion Dark Matter Detection</w:t>
      </w:r>
    </w:p>
    <w:p>
      <w:pPr>
        <w:spacing w:before="0" w:after="120"/>
      </w:pPr>
      <w:r>
        <w:rPr>
          <w:b/>
        </w:rPr>
        <w:t xml:space="preserve">Source: </w:t>
      </w:r>
      <w:r>
        <w:t>Recent Articles in Phys. Rev. Lett.</w:t>
      </w:r>
      <w:r>
        <w:t xml:space="preserve">    </w:t>
      </w:r>
      <w:r>
        <w:rPr>
          <w:b/>
        </w:rPr>
        <w:t xml:space="preserve">Pub date: </w:t>
      </w:r>
      <w:r>
        <w:t>2026-06-18 10:00:00+00:00</w:t>
      </w:r>
      <w:r>
        <w:t xml:space="preserve">    </w:t>
      </w:r>
      <w:r>
        <w:rPr>
          <w:b/>
        </w:rPr>
        <w:t xml:space="preserve">DOI: </w:t>
      </w:r>
      <w:hyperlink r:id="rId1199">
        <w:r>
          <w:rPr>
            <w:color w:val="1155CC"/>
            <w:u w:val="single"/>
          </w:rPr>
          <w:t>10.1103/y7jl-gj2k</w:t>
        </w:r>
      </w:hyperlink>
    </w:p>
    <w:p>
      <w:pPr>
        <w:spacing w:before="0" w:after="120"/>
      </w:pPr>
      <w:r>
        <w:rPr>
          <w:b/>
        </w:rPr>
        <w:t xml:space="preserve">Notes: </w:t>
      </w:r>
      <w:r>
        <w:t>abstract_source=rss_description</w:t>
      </w:r>
    </w:p>
    <w:p>
      <w:pPr>
        <w:spacing w:before="0" w:after="80" w:lineRule="auto" w:line="276"/>
      </w:pPr>
      <w:r>
        <w:rPr>
          <w:b/>
        </w:rPr>
        <w:t xml:space="preserve">摘要（ZH）: </w:t>
      </w:r>
      <w:r>
        <w:t>作者：Jaanita Mehrani、Tao Xu、Andrey Baydin、Michael J. Manfra、Henry O. Everitt、Andrew J. Long、Kuver Sinha、Junichiro Kono 和Shengxi Huang 我们提出了一种新颖的策略和一类新型探测器，用于直接探测 meV 质量范围内的轴子暗物质，基于通过由量子半导体异质结构组成的工程辐射计中的逆 Primakoff 效应实现的共振增强轴子-光子转换。 Semico...[物理。莱特牧师。 136, 241001] 发布于 2026 年 6 月 18 日星期四</w:t>
      </w:r>
    </w:p>
    <w:p>
      <w:pPr>
        <w:spacing w:before="0" w:after="200" w:lineRule="auto" w:line="276"/>
      </w:pPr>
      <w:r>
        <w:rPr>
          <w:b/>
        </w:rPr>
        <w:t xml:space="preserve">Abstract (EN): </w:t>
      </w:r>
      <w:r>
        <w:t>Author(s): Jaanita Mehrani, Tao Xu, Andrey Baydin, Michael J. Manfra, Henry O. Everitt, Andrew J. Long, Kuver Sinha, Junichiro Kono, and Shengxi HuangWe propose a novel strategy and a new class of detectors for the direct detection of axion dark matter in the meV mass range, based on resonantly enhanced axion-photon conversion through the inverse Primakoff effect in engineered radiometers composed of quantum semiconductor heterostructures. Semico…[Phys. Rev. Lett. 136, 241001] Published Thu Jun 18, 2026</w:t>
      </w:r>
    </w:p>
    <w:p>
      <w:pPr>
        <w:spacing w:before="120" w:after="120"/>
      </w:pPr>
      <w:r>
        <w:rPr>
          <w:sz w:val="18"/>
        </w:rPr>
        <w:t>——————————————————————————————————————————————————————————————————————</w:t>
      </w:r>
    </w:p>
    <w:p>
      <w:pPr>
        <w:spacing w:before="160" w:after="40" w:line="240" w:lineRule="auto"/>
      </w:pPr>
      <w:r>
        <w:rPr>
          <w:b/>
        </w:rPr>
        <w:t xml:space="preserve">[515] </w:t>
      </w:r>
      <w:hyperlink r:id="rId1200">
        <w:r>
          <w:rPr>
            <w:color w:val="1155CC"/>
            <w:u w:val="single"/>
          </w:rPr>
          <w:t>在 RHIC 上首次观察氘核-$\mathrm{Λ}$ 相关性</w:t>
        </w:r>
      </w:hyperlink>
    </w:p>
    <w:p>
      <w:pPr>
        <w:spacing w:before="0" w:after="80"/>
      </w:pPr>
      <w:r>
        <w:rPr>
          <w:i/>
          <w:sz w:val="20"/>
        </w:rPr>
        <w:t>EN: First Observation of Deuteron-$\mathrm{Λ}$ Correlations at RHIC</w:t>
      </w:r>
    </w:p>
    <w:p>
      <w:pPr>
        <w:spacing w:before="0" w:after="120"/>
      </w:pPr>
      <w:r>
        <w:rPr>
          <w:b/>
        </w:rPr>
        <w:t xml:space="preserve">Source: </w:t>
      </w:r>
      <w:r>
        <w:t>Recent Articles in Phys. Rev. Lett.</w:t>
      </w:r>
      <w:r>
        <w:t xml:space="preserve">    </w:t>
      </w:r>
      <w:r>
        <w:rPr>
          <w:b/>
        </w:rPr>
        <w:t xml:space="preserve">Pub date: </w:t>
      </w:r>
      <w:r>
        <w:t>2026-06-18 10:00:00+00:00</w:t>
      </w:r>
      <w:r>
        <w:t xml:space="preserve">    </w:t>
      </w:r>
      <w:r>
        <w:rPr>
          <w:b/>
        </w:rPr>
        <w:t xml:space="preserve">DOI: </w:t>
      </w:r>
      <w:hyperlink r:id="rId1201">
        <w:r>
          <w:rPr>
            <w:color w:val="1155CC"/>
            <w:u w:val="single"/>
          </w:rPr>
          <w:t>10.1103/3m26-5y83</w:t>
        </w:r>
      </w:hyperlink>
    </w:p>
    <w:p>
      <w:pPr>
        <w:spacing w:before="0" w:after="120"/>
      </w:pPr>
      <w:r>
        <w:rPr>
          <w:b/>
        </w:rPr>
        <w:t xml:space="preserve">Notes: </w:t>
      </w:r>
      <w:r>
        <w:t>abstract_source=rss_description</w:t>
      </w:r>
    </w:p>
    <w:p>
      <w:pPr>
        <w:spacing w:before="0" w:after="80" w:lineRule="auto" w:line="276"/>
      </w:pPr>
      <w:r>
        <w:rPr>
          <w:b/>
        </w:rPr>
        <w:t xml:space="preserve">摘要（ZH）: </w:t>
      </w:r>
      <w:r>
        <w:t>作者：B.E.Aboona 等人（STAR Collaboration）有关超子核相互作用的精确实验信息很少，但对于我们了解致密恒星的内部结构至关重要。在这封信中，我们报告了氘核 ($d$) 和 $\mathrm{Λ}$ 超子之间相关函数的第一个实验结果......[Phys.莱特牧师。 136, 242303] 发布于 2026 年 6 月 18 日星期四</w:t>
      </w:r>
    </w:p>
    <w:p>
      <w:pPr>
        <w:spacing w:before="0" w:after="200" w:lineRule="auto" w:line="276"/>
      </w:pPr>
      <w:r>
        <w:rPr>
          <w:b/>
        </w:rPr>
        <w:t xml:space="preserve">Abstract (EN): </w:t>
      </w:r>
      <w:r>
        <w:t>Author(s): B. E. Aboona et al. (STAR Collaboration)Precise experimental information on hyperon-nucleon interactions is scarce but of paramount importance to our understanding of the inner structure of compact stars. In this Letter, we report the first experimental results of correlation functions between deuterons ($d$) and $\mathrm{Λ}$ hyperons in …[Phys. Rev. Lett. 136, 242303] Published Thu Jun 18, 2026</w:t>
      </w:r>
    </w:p>
    <w:p>
      <w:pPr>
        <w:spacing w:before="120" w:after="120"/>
      </w:pPr>
      <w:r>
        <w:rPr>
          <w:sz w:val="18"/>
        </w:rPr>
        <w:t>——————————————————————————————————————————————————————————————————————</w:t>
      </w:r>
    </w:p>
    <w:p>
      <w:pPr>
        <w:spacing w:before="160" w:after="40" w:line="240" w:lineRule="auto"/>
      </w:pPr>
      <w:r>
        <w:rPr>
          <w:b/>
        </w:rPr>
        <w:t xml:space="preserve">[516] </w:t>
      </w:r>
      <w:hyperlink r:id="rId1202">
        <w:r>
          <w:rPr>
            <w:color w:val="1155CC"/>
            <w:u w:val="single"/>
          </w:rPr>
          <w:t>非均匀运动介质中波的平衡统计力学</w:t>
        </w:r>
      </w:hyperlink>
    </w:p>
    <w:p>
      <w:pPr>
        <w:spacing w:before="0" w:after="80"/>
      </w:pPr>
      <w:r>
        <w:rPr>
          <w:i/>
          <w:sz w:val="20"/>
        </w:rPr>
        <w:t>EN: Equilibrium Statistical Mechanics of Waves in Inhomogeneous Moving Media</w:t>
      </w:r>
    </w:p>
    <w:p>
      <w:pPr>
        <w:spacing w:before="0" w:after="120"/>
      </w:pPr>
      <w:r>
        <w:rPr>
          <w:b/>
        </w:rPr>
        <w:t xml:space="preserve">Source: </w:t>
      </w:r>
      <w:r>
        <w:t>Recent Articles in Phys. Rev. Lett.</w:t>
      </w:r>
      <w:r>
        <w:t xml:space="preserve">    </w:t>
      </w:r>
      <w:r>
        <w:rPr>
          <w:b/>
        </w:rPr>
        <w:t xml:space="preserve">Pub date: </w:t>
      </w:r>
      <w:r>
        <w:t>2026-06-18 10:00:00+00:00</w:t>
      </w:r>
      <w:r>
        <w:t xml:space="preserve">    </w:t>
      </w:r>
      <w:r>
        <w:rPr>
          <w:b/>
        </w:rPr>
        <w:t xml:space="preserve">DOI: </w:t>
      </w:r>
      <w:hyperlink r:id="rId1203">
        <w:r>
          <w:rPr>
            <w:color w:val="1155CC"/>
            <w:u w:val="single"/>
          </w:rPr>
          <w:t>10.1103/qf5l-xnln</w:t>
        </w:r>
      </w:hyperlink>
    </w:p>
    <w:p>
      <w:pPr>
        <w:spacing w:before="0" w:after="120"/>
      </w:pPr>
      <w:r>
        <w:rPr>
          <w:b/>
        </w:rPr>
        <w:t xml:space="preserve">Notes: </w:t>
      </w:r>
      <w:r>
        <w:t>abstract_source=rss_description</w:t>
      </w:r>
    </w:p>
    <w:p>
      <w:pPr>
        <w:spacing w:before="0" w:after="80" w:lineRule="auto" w:line="276"/>
      </w:pPr>
      <w:r>
        <w:rPr>
          <w:b/>
        </w:rPr>
        <w:t xml:space="preserve">摘要（ZH）: </w:t>
      </w:r>
      <w:r>
        <w:t>作者：Alexandre Tlili 和 Basile Gallet 我们采用平衡统计力学的微正则框架来预测非均匀运动介质中短线性波的统计数据。对于稳定的不均匀性和背景流，我们根据遍历规定计算域中任何位置的波谱......[Phys。莱特牧师。 136, 244001] 发布于 2026 年 6 月 18 日星期四</w:t>
      </w:r>
    </w:p>
    <w:p>
      <w:pPr>
        <w:spacing w:before="0" w:after="200" w:lineRule="auto" w:line="276"/>
      </w:pPr>
      <w:r>
        <w:rPr>
          <w:b/>
        </w:rPr>
        <w:t xml:space="preserve">Abstract (EN): </w:t>
      </w:r>
      <w:r>
        <w:t>Author(s): Alexandre Tlili and Basile GalletWe adapt the microcanonical framework of equilibrium statistical mechanics to predict the statistics of short linear waves in inhomogeneous moving media. For steady inhomogeneities and background flow, we compute the wave spectrum at any location in the domain based on an ergodic prescription for th…[Phys. Rev. Lett. 136, 244001] Published Thu Jun 18, 2026</w:t>
      </w:r>
    </w:p>
    <w:p>
      <w:pPr>
        <w:spacing w:before="120" w:after="120"/>
      </w:pPr>
      <w:r>
        <w:rPr>
          <w:sz w:val="18"/>
        </w:rPr>
        <w:t>——————————————————————————————————————————————————————————————————————</w:t>
      </w:r>
    </w:p>
    <w:p>
      <w:pPr>
        <w:spacing w:before="160" w:after="40" w:line="240" w:lineRule="auto"/>
      </w:pPr>
      <w:r>
        <w:rPr>
          <w:b/>
        </w:rPr>
        <w:t xml:space="preserve">[517] </w:t>
      </w:r>
      <w:hyperlink r:id="rId1204">
        <w:r>
          <w:rPr>
            <w:color w:val="1155CC"/>
            <w:u w:val="single"/>
          </w:rPr>
          <w:t>超冷原子铷气体中自旋单线态蝴蝶里德伯分子的观察</w:t>
        </w:r>
      </w:hyperlink>
    </w:p>
    <w:p>
      <w:pPr>
        <w:spacing w:before="0" w:after="80"/>
      </w:pPr>
      <w:r>
        <w:rPr>
          <w:i/>
          <w:sz w:val="20"/>
        </w:rPr>
        <w:t>EN: Observation of Spin-Singlet Butterfly Rydberg Molecules in an Ultracold Atomic Rb Gas</w:t>
      </w:r>
    </w:p>
    <w:p>
      <w:pPr>
        <w:spacing w:before="0" w:after="120"/>
      </w:pPr>
      <w:r>
        <w:rPr>
          <w:b/>
        </w:rPr>
        <w:t xml:space="preserve">Source: </w:t>
      </w:r>
      <w:r>
        <w:t>Recent Articles in Phys. Rev. Lett.</w:t>
      </w:r>
      <w:r>
        <w:t xml:space="preserve">    </w:t>
      </w:r>
      <w:r>
        <w:rPr>
          <w:b/>
        </w:rPr>
        <w:t xml:space="preserve">Pub date: </w:t>
      </w:r>
      <w:r>
        <w:t>2026-06-18 10:00:00+00:00</w:t>
      </w:r>
      <w:r>
        <w:t xml:space="preserve">    </w:t>
      </w:r>
      <w:r>
        <w:rPr>
          <w:b/>
        </w:rPr>
        <w:t xml:space="preserve">DOI: </w:t>
      </w:r>
      <w:hyperlink r:id="rId1205">
        <w:r>
          <w:rPr>
            <w:color w:val="1155CC"/>
            <w:u w:val="single"/>
          </w:rPr>
          <w:t>10.1103/q5r1-whjr</w:t>
        </w:r>
      </w:hyperlink>
    </w:p>
    <w:p>
      <w:pPr>
        <w:spacing w:before="0" w:after="120"/>
      </w:pPr>
      <w:r>
        <w:rPr>
          <w:b/>
        </w:rPr>
        <w:t xml:space="preserve">Notes: </w:t>
      </w:r>
      <w:r>
        <w:t>abstract_source=rss_description</w:t>
      </w:r>
    </w:p>
    <w:p>
      <w:pPr>
        <w:spacing w:before="0" w:after="80" w:lineRule="auto" w:line="276"/>
      </w:pPr>
      <w:r>
        <w:rPr>
          <w:b/>
        </w:rPr>
        <w:t xml:space="preserve">摘要（ZH）: </w:t>
      </w:r>
      <w:r>
        <w:t>作者：Markus Exner、Rohan Srikumar、Richard Blättner、Peter Schmelcher、H. R. Sadeghpour、Matthew T. Eiles 和 Herwig Ott我们报告了通过 $^{87}\mathrm{Rb}$ Rydberg 电子的 $P$ 波散射观察到自旋单线超长程里德堡蝴蝶分子，该分子由与里德堡原子结合的基态原子组成$^{87}\mathrm{Rb}(5\text{ }\text{ }\mathrm{s})$原子。三光子激发方案……[物理。莱特牧师。 136, 243002] 发布于 2026 年 6 月 18 日星期四</w:t>
      </w:r>
    </w:p>
    <w:p>
      <w:pPr>
        <w:spacing w:before="0" w:after="200" w:lineRule="auto" w:line="276"/>
      </w:pPr>
      <w:r>
        <w:rPr>
          <w:b/>
        </w:rPr>
        <w:t xml:space="preserve">Abstract (EN): </w:t>
      </w:r>
      <w:r>
        <w:t>Author(s): Markus Exner, Rohan Srikumar, Richard Blättner, Peter Schmelcher, H. R. Sadeghpour, Matthew T. Eiles, and Herwig OttWe report the observation of spin-singlet ultralong-range Rydberg butterfly molecules consisting of a ground-state atom bound to a Rydberg atom by $P$-wave scattering of $^{87}\mathrm{Rb}$ Rydberg electrons from $^{87}\mathrm{Rb}(5\text{ }\text{ }\mathrm{s})$ atoms. A three-photon excitation scheme …[Phys. Rev. Lett. 136, 243002] Published Thu Jun 18, 2026</w:t>
      </w:r>
    </w:p>
    <w:p>
      <w:pPr>
        <w:spacing w:before="120" w:after="120"/>
      </w:pPr>
      <w:r>
        <w:rPr>
          <w:sz w:val="18"/>
        </w:rPr>
        <w:t>——————————————————————————————————————————————————————————————————————</w:t>
      </w:r>
    </w:p>
    <w:p>
      <w:pPr>
        <w:spacing w:before="160" w:after="40" w:line="240" w:lineRule="auto"/>
      </w:pPr>
      <w:r>
        <w:rPr>
          <w:b/>
        </w:rPr>
        <w:t xml:space="preserve">[518] </w:t>
      </w:r>
      <w:hyperlink r:id="rId1206">
        <w:r>
          <w:rPr>
            <w:color w:val="1155CC"/>
            <w:u w:val="single"/>
          </w:rPr>
          <w:t>具有吸引相互作用的二维玻色子的广义 Gross-Pitaevskii 方程</w:t>
        </w:r>
      </w:hyperlink>
    </w:p>
    <w:p>
      <w:pPr>
        <w:spacing w:before="0" w:after="80"/>
      </w:pPr>
      <w:r>
        <w:rPr>
          <w:i/>
          <w:sz w:val="20"/>
        </w:rPr>
        <w:t>EN: Generalized Gross-Pitaevskii Equation for 2D Bosons with Attractive Interactions</w:t>
      </w:r>
    </w:p>
    <w:p>
      <w:pPr>
        <w:spacing w:before="0" w:after="120"/>
      </w:pPr>
      <w:r>
        <w:rPr>
          <w:b/>
        </w:rPr>
        <w:t xml:space="preserve">Source: </w:t>
      </w:r>
      <w:r>
        <w:t>Recent Articles in Phys. Rev. Lett.</w:t>
      </w:r>
      <w:r>
        <w:t xml:space="preserve">    </w:t>
      </w:r>
      <w:r>
        <w:rPr>
          <w:b/>
        </w:rPr>
        <w:t xml:space="preserve">Pub date: </w:t>
      </w:r>
      <w:r>
        <w:t>2026-06-18 10:00:00+00:00</w:t>
      </w:r>
      <w:r>
        <w:t xml:space="preserve">    </w:t>
      </w:r>
      <w:r>
        <w:rPr>
          <w:b/>
        </w:rPr>
        <w:t xml:space="preserve">DOI: </w:t>
      </w:r>
      <w:hyperlink r:id="rId1207">
        <w:r>
          <w:rPr>
            <w:color w:val="1155CC"/>
            <w:u w:val="single"/>
          </w:rPr>
          <w:t>10.1103/2831-t3jk</w:t>
        </w:r>
      </w:hyperlink>
    </w:p>
    <w:p>
      <w:pPr>
        <w:spacing w:before="0" w:after="120"/>
      </w:pPr>
      <w:r>
        <w:rPr>
          <w:b/>
        </w:rPr>
        <w:t xml:space="preserve">Notes: </w:t>
      </w:r>
      <w:r>
        <w:t>abstract_source=rss_description</w:t>
      </w:r>
    </w:p>
    <w:p>
      <w:pPr>
        <w:spacing w:before="0" w:after="80" w:lineRule="auto" w:line="276"/>
      </w:pPr>
      <w:r>
        <w:rPr>
          <w:b/>
        </w:rPr>
        <w:t xml:space="preserve">摘要（ZH）: </w:t>
      </w:r>
      <w:r>
        <w:t>作者：Michał Suchorowski、Fabian Brauneis、Hans-Werner Hammer、Michał Tomza 和 Artem G. Volosniev 我们引入了一个广义 Gross-Pitaevskii 方程，它为研究 2D 有吸引力的 Bose 系统提供了一个非线性框架。其定义特征是耦合常数的对数密度依赖性，这打破了标准平均场方程固有的尺度不变性。这……[物理。莱特牧师。 136, 243402] 发布于 2026 年 6 月 18 日星期四</w:t>
      </w:r>
    </w:p>
    <w:p>
      <w:pPr>
        <w:spacing w:before="0" w:after="200" w:lineRule="auto" w:line="276"/>
      </w:pPr>
      <w:r>
        <w:rPr>
          <w:b/>
        </w:rPr>
        <w:t xml:space="preserve">Abstract (EN): </w:t>
      </w:r>
      <w:r>
        <w:t>Author(s): Michał Suchorowski, Fabian Brauneis, Hans-Werner Hammer, Michał Tomza, and Artem G. VolosnievWe introduce a generalized Gross-Pitaevskii equation that provides a nonlinear framework for studying 2D attractive Bose systems. Its defining feature is the logarithmic density dependence of the coupling constant, which breaks the scale invariance inherent in the standard mean-field equations. This…[Phys. Rev. Lett. 136, 243402] Published Thu Jun 18, 2026</w:t>
      </w:r>
    </w:p>
    <w:p>
      <w:pPr>
        <w:spacing w:before="120" w:after="120"/>
      </w:pPr>
      <w:r>
        <w:rPr>
          <w:sz w:val="18"/>
        </w:rPr>
        <w:t>——————————————————————————————————————————————————————————————————————</w:t>
      </w:r>
    </w:p>
    <w:p>
      <w:pPr>
        <w:spacing w:before="160" w:after="40" w:line="240" w:lineRule="auto"/>
      </w:pPr>
      <w:r>
        <w:rPr>
          <w:b/>
        </w:rPr>
        <w:t xml:space="preserve">[519] </w:t>
      </w:r>
      <w:hyperlink r:id="rId1208">
        <w:r>
          <w:rPr>
            <w:color w:val="1155CC"/>
            <w:u w:val="single"/>
          </w:rPr>
          <w:t>幂律势下颗粒悬浮液的动态扩散和记忆保留</w:t>
        </w:r>
      </w:hyperlink>
    </w:p>
    <w:p>
      <w:pPr>
        <w:spacing w:before="0" w:after="80"/>
      </w:pPr>
      <w:r>
        <w:rPr>
          <w:i/>
          <w:sz w:val="20"/>
        </w:rPr>
        <w:t>EN: Dynamical Spreading and Memory Retention of Particle Suspensions under Power Law Potential</w:t>
      </w:r>
    </w:p>
    <w:p>
      <w:pPr>
        <w:spacing w:before="0" w:after="120"/>
      </w:pPr>
      <w:r>
        <w:rPr>
          <w:b/>
        </w:rPr>
        <w:t xml:space="preserve">Source: </w:t>
      </w:r>
      <w:r>
        <w:t>Recent Articles in Phys. Rev. Lett.</w:t>
      </w:r>
      <w:r>
        <w:t xml:space="preserve">    </w:t>
      </w:r>
      <w:r>
        <w:rPr>
          <w:b/>
        </w:rPr>
        <w:t xml:space="preserve">Pub date: </w:t>
      </w:r>
      <w:r>
        <w:t>2026-06-18 10:00:00+00:00</w:t>
      </w:r>
      <w:r>
        <w:t xml:space="preserve">    </w:t>
      </w:r>
      <w:r>
        <w:rPr>
          <w:b/>
        </w:rPr>
        <w:t xml:space="preserve">DOI: </w:t>
      </w:r>
      <w:hyperlink r:id="rId1209">
        <w:r>
          <w:rPr>
            <w:color w:val="1155CC"/>
            <w:u w:val="single"/>
          </w:rPr>
          <w:t>10.1103/v1nk-pfzj</w:t>
        </w:r>
      </w:hyperlink>
    </w:p>
    <w:p>
      <w:pPr>
        <w:spacing w:before="0" w:after="120"/>
      </w:pPr>
      <w:r>
        <w:rPr>
          <w:b/>
        </w:rPr>
        <w:t xml:space="preserve">Notes: </w:t>
      </w:r>
      <w:r>
        <w:t>abstract_source=rss_description</w:t>
      </w:r>
    </w:p>
    <w:p>
      <w:pPr>
        <w:spacing w:before="0" w:after="80" w:lineRule="auto" w:line="276"/>
      </w:pPr>
      <w:r>
        <w:rPr>
          <w:b/>
        </w:rPr>
        <w:t xml:space="preserve">摘要（ZH）: </w:t>
      </w:r>
      <w:r>
        <w:t>作者：Ido Fanto、Yuval Rosenblum、Ori Harel、Matan Yah Ben Zion 和 Naomi Oppenheimer 我们研究了排斥幂律势下粒子悬浮液的过阻尼动态扩散。我们预测悬浮液以自相似的形式传播，其半径随时间增长，功率与尺寸无关。我们使用磁力实验证实了这一预测……[物理。莱特牧师。 136, 248202] 发布于 2026 年 6 月 18 日星期四</w:t>
      </w:r>
    </w:p>
    <w:p>
      <w:pPr>
        <w:spacing w:before="0" w:after="200" w:lineRule="auto" w:line="276"/>
      </w:pPr>
      <w:r>
        <w:rPr>
          <w:b/>
        </w:rPr>
        <w:t xml:space="preserve">Abstract (EN): </w:t>
      </w:r>
      <w:r>
        <w:t>Author(s): Ido Fanto, Yuval Rosenblum, Ori Harel, Matan Yah Ben Zion, and Naomi OppenheimerWe study the overdamped dynamic spreading of a suspension of particles under a repulsive power law potential. We predict that the suspension spreads in a self-similar form, with its radius growing in time with a power independent of the dimension. We confirm this prediction experimentally using magn…[Phys. Rev. Lett. 136, 248202] Published Thu Jun 18, 2026</w:t>
      </w:r>
    </w:p>
    <w:p>
      <w:pPr>
        <w:spacing w:before="120" w:after="120"/>
      </w:pPr>
      <w:r>
        <w:rPr>
          <w:sz w:val="18"/>
        </w:rPr>
        <w:t>——————————————————————————————————————————————————————————————————————</w:t>
      </w:r>
    </w:p>
    <w:p>
      <w:pPr>
        <w:spacing w:before="160" w:after="40" w:line="240" w:lineRule="auto"/>
      </w:pPr>
      <w:r>
        <w:rPr>
          <w:b/>
        </w:rPr>
        <w:t xml:space="preserve">[520] </w:t>
      </w:r>
      <w:hyperlink r:id="rId1210">
        <w:r>
          <w:rPr>
            <w:color w:val="1155CC"/>
            <w:u w:val="single"/>
          </w:rPr>
          <w:t>高维速度跳跃过程的平均首次通过时间</w:t>
        </w:r>
      </w:hyperlink>
    </w:p>
    <w:p>
      <w:pPr>
        <w:spacing w:before="0" w:after="80"/>
      </w:pPr>
      <w:r>
        <w:rPr>
          <w:i/>
          <w:sz w:val="20"/>
        </w:rPr>
        <w:t>EN: Mean First Passage Times of Higher-Dimensional Velocity Jump Processes</w:t>
      </w:r>
    </w:p>
    <w:p>
      <w:pPr>
        <w:spacing w:before="0" w:after="120"/>
      </w:pPr>
      <w:r>
        <w:rPr>
          <w:b/>
        </w:rPr>
        <w:t xml:space="preserve">Source: </w:t>
      </w:r>
      <w:r>
        <w:t>Recent Articles in Phys. Rev. Lett.</w:t>
      </w:r>
      <w:r>
        <w:t xml:space="preserve">    </w:t>
      </w:r>
      <w:r>
        <w:rPr>
          <w:b/>
        </w:rPr>
        <w:t xml:space="preserve">Pub date: </w:t>
      </w:r>
      <w:r>
        <w:t>2026-06-18 10:00:00+00:00</w:t>
      </w:r>
      <w:r>
        <w:t xml:space="preserve">    </w:t>
      </w:r>
      <w:r>
        <w:rPr>
          <w:b/>
        </w:rPr>
        <w:t xml:space="preserve">DOI: </w:t>
      </w:r>
      <w:hyperlink r:id="rId1211">
        <w:r>
          <w:rPr>
            <w:color w:val="1155CC"/>
            <w:u w:val="single"/>
          </w:rPr>
          <w:t>10.1103/9hhg-2ddm</w:t>
        </w:r>
      </w:hyperlink>
    </w:p>
    <w:p>
      <w:pPr>
        <w:spacing w:before="0" w:after="120"/>
      </w:pPr>
      <w:r>
        <w:rPr>
          <w:b/>
        </w:rPr>
        <w:t xml:space="preserve">Notes: </w:t>
      </w:r>
      <w:r>
        <w:t>abstract_source=rss_description</w:t>
      </w:r>
    </w:p>
    <w:p>
      <w:pPr>
        <w:spacing w:before="0" w:after="80" w:lineRule="auto" w:line="276"/>
      </w:pPr>
      <w:r>
        <w:rPr>
          <w:b/>
        </w:rPr>
        <w:t xml:space="preserve">摘要（ZH）: </w:t>
      </w:r>
      <w:r>
        <w:t>作者：Maria R. D’Orsogna、Alan E. Lindsay 和 Thomas Hillen 当随机过程首次达到阈值并触发下游事件时，物理、生物学和金融领域都会出现首次通过现象。例子包括不可逆转地退出某个领域、生化反应和金融抛售。虽然典型的配方涉及扩散运动……[物理。莱特牧师。 136, 247102] 发布于 2026 年 6 月 18 日星期四</w:t>
      </w:r>
    </w:p>
    <w:p>
      <w:pPr>
        <w:spacing w:before="0" w:after="200" w:lineRule="auto" w:line="276"/>
      </w:pPr>
      <w:r>
        <w:rPr>
          <w:b/>
        </w:rPr>
        <w:t xml:space="preserve">Abstract (EN): </w:t>
      </w:r>
      <w:r>
        <w:t>Author(s): Maria R. D’Orsogna, Alan E. Lindsay, and Thomas HillenFirst passage phenomena arise across physics, biology, and finance when stochastic processes first reach a threshold, triggering downstream events. Examples include the irreversible exit from a domain, a biochemical reaction, and a financial selloff. While typical formulations involve diffusive moti…[Phys. Rev. Lett. 136, 247102] Published Thu Jun 18, 2026</w:t>
      </w:r>
    </w:p>
    <w:p>
      <w:pPr>
        <w:spacing w:before="120" w:after="120"/>
      </w:pPr>
      <w:r>
        <w:rPr>
          <w:sz w:val="18"/>
        </w:rPr>
        <w:t>——————————————————————————————————————————————————————————————————————</w:t>
      </w:r>
    </w:p>
    <w:p>
      <w:pPr>
        <w:spacing w:before="160" w:after="40" w:line="240" w:lineRule="auto"/>
      </w:pPr>
      <w:r>
        <w:rPr>
          <w:b/>
        </w:rPr>
        <w:t xml:space="preserve">[521] </w:t>
      </w:r>
      <w:hyperlink r:id="rId1212">
        <w:r>
          <w:rPr>
            <w:color w:val="1155CC"/>
            <w:u w:val="single"/>
          </w:rPr>
          <w:t>二维亚波长原子阵列中的通用双激发散射</w:t>
        </w:r>
      </w:hyperlink>
    </w:p>
    <w:p>
      <w:pPr>
        <w:spacing w:before="0" w:after="80"/>
      </w:pPr>
      <w:r>
        <w:rPr>
          <w:i/>
          <w:sz w:val="20"/>
        </w:rPr>
        <w:t>EN: Universal Two-Excitation Scattering in Two-Dimensional Subwavelength Atomic Arrays</w:t>
      </w:r>
    </w:p>
    <w:p>
      <w:pPr>
        <w:spacing w:before="0" w:after="120"/>
      </w:pPr>
      <w:r>
        <w:rPr>
          <w:b/>
        </w:rPr>
        <w:t xml:space="preserve">Source: </w:t>
      </w:r>
      <w:r>
        <w:t>Recent Articles in Phys. Rev. Lett.</w:t>
      </w:r>
      <w:r>
        <w:t xml:space="preserve">    </w:t>
      </w:r>
      <w:r>
        <w:rPr>
          <w:b/>
        </w:rPr>
        <w:t xml:space="preserve">Pub date: </w:t>
      </w:r>
      <w:r>
        <w:t>2026-06-18 10:00:00+00:00</w:t>
      </w:r>
      <w:r>
        <w:t xml:space="preserve">    </w:t>
      </w:r>
      <w:r>
        <w:rPr>
          <w:b/>
        </w:rPr>
        <w:t xml:space="preserve">DOI: </w:t>
      </w:r>
      <w:hyperlink r:id="rId1213">
        <w:r>
          <w:rPr>
            <w:color w:val="1155CC"/>
            <w:u w:val="single"/>
          </w:rPr>
          <w:t>10.1103/2mvc-8tc4</w:t>
        </w:r>
      </w:hyperlink>
    </w:p>
    <w:p>
      <w:pPr>
        <w:spacing w:before="0" w:after="120"/>
      </w:pPr>
      <w:r>
        <w:rPr>
          <w:b/>
        </w:rPr>
        <w:t xml:space="preserve">Notes: </w:t>
      </w:r>
      <w:r>
        <w:t>abstract_source=rss_description</w:t>
      </w:r>
    </w:p>
    <w:p>
      <w:pPr>
        <w:spacing w:before="0" w:after="80" w:lineRule="auto" w:line="276"/>
      </w:pPr>
      <w:r>
        <w:rPr>
          <w:b/>
        </w:rPr>
        <w:t xml:space="preserve">摘要（ZH）: </w:t>
      </w:r>
      <w:r>
        <w:t>作者：王艺丹、Oriol Rubies-Bigorda、Valentin Walther 和 Susanne F. Yelin 亚波长原子阵列是工程强光与物质相互作用的领先平台，为量子科学带来了令人兴奋的机遇。然而，充分了解它们的多激励动力学仍然是一个重大挑战。在这封信中，我们发现了一个非凡的宇宙……[物理。莱特牧师。 136, 243603] 发布于 2026 年 6 月 18 日星期四</w:t>
      </w:r>
    </w:p>
    <w:p>
      <w:pPr>
        <w:spacing w:before="0" w:after="200" w:lineRule="auto" w:line="276"/>
      </w:pPr>
      <w:r>
        <w:rPr>
          <w:b/>
        </w:rPr>
        <w:t xml:space="preserve">Abstract (EN): </w:t>
      </w:r>
      <w:r>
        <w:t>Author(s): Yidan Wang (王艺丹), Oriol Rubies-Bigorda, Valentin Walther, and Susanne F. YelinSubwavelength atomic arrays are a leading platform for engineering strong light-matter interactions, presenting exciting opportunities for quantum science. However, a full understanding of their multiexcitation dynamics remains a significant challenge. In this Letter, we uncover a remarkable univers…[Phys. Rev. Lett. 136, 243603] Published Thu Jun 18, 2026</w:t>
      </w:r>
    </w:p>
    <w:p>
      <w:pPr>
        <w:spacing w:before="120" w:after="120"/>
      </w:pPr>
      <w:r>
        <w:rPr>
          <w:sz w:val="18"/>
        </w:rPr>
        <w:t>——————————————————————————————————————————————————————————————————————</w:t>
      </w:r>
    </w:p>
    <w:p>
      <w:pPr>
        <w:spacing w:before="160" w:after="40" w:line="240" w:lineRule="auto"/>
      </w:pPr>
      <w:r>
        <w:rPr>
          <w:b/>
        </w:rPr>
        <w:t xml:space="preserve">[522] </w:t>
      </w:r>
      <w:hyperlink r:id="rId1214">
        <w:r>
          <w:rPr>
            <w:color w:val="1155CC"/>
            <w:u w:val="single"/>
          </w:rPr>
          <w:t>使用过渡金属吸附原子晶格在 SiC 上工程关联狄拉克费米子和平带</w:t>
        </w:r>
      </w:hyperlink>
    </w:p>
    <w:p>
      <w:pPr>
        <w:spacing w:before="0" w:after="80"/>
      </w:pPr>
      <w:r>
        <w:rPr>
          <w:i/>
          <w:sz w:val="20"/>
        </w:rPr>
        <w:t>EN: Engineering Correlated Dirac Fermions and Flat Bands on SiC with Transition-Metal Adatom Lattices</w:t>
      </w:r>
    </w:p>
    <w:p>
      <w:pPr>
        <w:spacing w:before="0" w:after="120"/>
      </w:pPr>
      <w:r>
        <w:rPr>
          <w:b/>
        </w:rPr>
        <w:t xml:space="preserve">Source: </w:t>
      </w:r>
      <w:r>
        <w:t>Recent Articles in Phys. Rev. Lett.</w:t>
      </w:r>
      <w:r>
        <w:t xml:space="preserve">    </w:t>
      </w:r>
      <w:r>
        <w:rPr>
          <w:b/>
        </w:rPr>
        <w:t xml:space="preserve">Pub date: </w:t>
      </w:r>
      <w:r>
        <w:t>2026-06-18 10:00:00+00:00</w:t>
      </w:r>
      <w:r>
        <w:t xml:space="preserve">    </w:t>
      </w:r>
      <w:r>
        <w:rPr>
          <w:b/>
        </w:rPr>
        <w:t xml:space="preserve">DOI: </w:t>
      </w:r>
      <w:hyperlink r:id="rId1215">
        <w:r>
          <w:rPr>
            <w:color w:val="1155CC"/>
            <w:u w:val="single"/>
          </w:rPr>
          <w:t>10.1103/yh3v-pwz9</w:t>
        </w:r>
      </w:hyperlink>
    </w:p>
    <w:p>
      <w:pPr>
        <w:spacing w:before="0" w:after="120"/>
      </w:pPr>
      <w:r>
        <w:rPr>
          <w:b/>
        </w:rPr>
        <w:t xml:space="preserve">Notes: </w:t>
      </w:r>
      <w:r>
        <w:t>abstract_source=rss_description</w:t>
      </w:r>
    </w:p>
    <w:p>
      <w:pPr>
        <w:spacing w:before="0" w:after="80" w:lineRule="auto" w:line="276"/>
      </w:pPr>
      <w:r>
        <w:rPr>
          <w:b/>
        </w:rPr>
        <w:t xml:space="preserve">摘要（ZH）: </w:t>
      </w:r>
      <w:r>
        <w:t>作者：Henri Menke、Niklas Enderlein、Roland Gillen、Yi-Ting Tseng、Michel Bockstedte、Janina Maultzsch、Giorgio Sangiovanni 和 Philipp Hansmann 我们提出了 SiC 表面上的三种过渡金属吸附原子系统作为通用平台，以实现无质量狄拉克费米子和平带与强电子关联。使用密度泛函理论结合约束随机相位近似和动态平均场理论，我们……[物理。莱特牧师。 136, 246503] 发布于 2026 年 6 月 18 日星期四</w:t>
      </w:r>
    </w:p>
    <w:p>
      <w:pPr>
        <w:spacing w:before="0" w:after="200" w:lineRule="auto" w:line="276"/>
      </w:pPr>
      <w:r>
        <w:rPr>
          <w:b/>
        </w:rPr>
        <w:t xml:space="preserve">Abstract (EN): </w:t>
      </w:r>
      <w:r>
        <w:t>Author(s): Henri Menke, Niklas Enderlein, Roland Gillen, Yi-Ting Tseng, Michel Bockstedte, Janina Maultzsch, Giorgio Sangiovanni, and Philipp HansmannWe propose three transition-metal adatom systems on SiC surfaces as a versatile platform to realize massless Dirac fermions and flat bands with strong electronic correlations. Using density functional theory combined with the constrained random phase approximation and dynamical mean-field theory, we…[Phys. Rev. Lett. 136, 246503] Published Thu Jun 18, 2026</w:t>
      </w:r>
    </w:p>
    <w:p>
      <w:pPr>
        <w:spacing w:before="120" w:after="120"/>
      </w:pPr>
      <w:r>
        <w:rPr>
          <w:sz w:val="18"/>
        </w:rPr>
        <w:t>——————————————————————————————————————————————————————————————————————</w:t>
      </w:r>
    </w:p>
    <w:p>
      <w:pPr>
        <w:spacing w:before="160" w:after="40" w:line="240" w:lineRule="auto"/>
      </w:pPr>
      <w:r>
        <w:rPr>
          <w:b/>
        </w:rPr>
        <w:t xml:space="preserve">[523] </w:t>
      </w:r>
      <w:hyperlink r:id="rId1216">
        <w:r>
          <w:rPr>
            <w:color w:val="1155CC"/>
            <w:u w:val="single"/>
          </w:rPr>
          <w:t>超导浆果曲率偶极子</w:t>
        </w:r>
      </w:hyperlink>
    </w:p>
    <w:p>
      <w:pPr>
        <w:spacing w:before="0" w:after="80"/>
      </w:pPr>
      <w:r>
        <w:rPr>
          <w:i/>
          <w:sz w:val="20"/>
        </w:rPr>
        <w:t>EN: Superconducting Berry Curvature Dipole</w:t>
      </w:r>
    </w:p>
    <w:p>
      <w:pPr>
        <w:spacing w:before="0" w:after="120"/>
      </w:pPr>
      <w:r>
        <w:rPr>
          <w:b/>
        </w:rPr>
        <w:t xml:space="preserve">Source: </w:t>
      </w:r>
      <w:r>
        <w:t>Recent Articles in Phys. Rev. Lett.</w:t>
      </w:r>
      <w:r>
        <w:t xml:space="preserve">    </w:t>
      </w:r>
      <w:r>
        <w:rPr>
          <w:b/>
        </w:rPr>
        <w:t xml:space="preserve">Pub date: </w:t>
      </w:r>
      <w:r>
        <w:t>2026-06-18 10:00:00+00:00</w:t>
      </w:r>
      <w:r>
        <w:t xml:space="preserve">    </w:t>
      </w:r>
      <w:r>
        <w:rPr>
          <w:b/>
        </w:rPr>
        <w:t xml:space="preserve">DOI: </w:t>
      </w:r>
      <w:hyperlink r:id="rId1217">
        <w:r>
          <w:rPr>
            <w:color w:val="1155CC"/>
            <w:u w:val="single"/>
          </w:rPr>
          <w:t>10.1103/gbcm-l2qd</w:t>
        </w:r>
      </w:hyperlink>
    </w:p>
    <w:p>
      <w:pPr>
        <w:spacing w:before="0" w:after="120"/>
      </w:pPr>
      <w:r>
        <w:rPr>
          <w:b/>
        </w:rPr>
        <w:t xml:space="preserve">Notes: </w:t>
      </w:r>
      <w:r>
        <w:t>abstract_source=rss_description</w:t>
      </w:r>
    </w:p>
    <w:p>
      <w:pPr>
        <w:spacing w:before="0" w:after="80" w:lineRule="auto" w:line="276"/>
      </w:pPr>
      <w:r>
        <w:rPr>
          <w:b/>
        </w:rPr>
        <w:t xml:space="preserve">摘要（ZH）: </w:t>
      </w:r>
      <w:r>
        <w:t>作者：Oles Matsyshyn、Giovanni Vignale 和 Justin C. W. Song 超导性和布洛赫带贝里曲率响应代表了量子相干现象的两种不同范式。前者依赖于库珀对的集体运动，而后者则源自布洛赫波函数的动量空间缠绕。在这里，我们揭示了超导 B...[物理。莱特牧师。 136, 246902] 发布于 2026 年 6 月 18 日星期四</w:t>
      </w:r>
    </w:p>
    <w:p>
      <w:pPr>
        <w:spacing w:before="0" w:after="200" w:lineRule="auto" w:line="276"/>
      </w:pPr>
      <w:r>
        <w:rPr>
          <w:b/>
        </w:rPr>
        <w:t xml:space="preserve">Abstract (EN): </w:t>
      </w:r>
      <w:r>
        <w:t>Author(s): Oles Matsyshyn, Giovanni Vignale, and Justin C. W. SongSuperconductivity and Bloch band Berry curvature responses represent two distinct paradigms of quantum coherent phenomena. The former relies on the collective motion of Cooper pairs while the latter proceeds from the momentum-space winding of Bloch wave functions. Here, we reveal a superconducting B…[Phys. Rev. Lett. 136, 246902] Published Thu Jun 18, 2026</w:t>
      </w:r>
    </w:p>
    <w:p>
      <w:pPr>
        <w:spacing w:before="120" w:after="120"/>
      </w:pPr>
      <w:r>
        <w:rPr>
          <w:sz w:val="18"/>
        </w:rPr>
        <w:t>——————————————————————————————————————————————————————————————————————</w:t>
      </w:r>
    </w:p>
    <w:p>
      <w:pPr>
        <w:spacing w:before="160" w:after="40" w:line="240" w:lineRule="auto"/>
      </w:pPr>
      <w:r>
        <w:rPr>
          <w:b/>
        </w:rPr>
        <w:t xml:space="preserve">[524] </w:t>
      </w:r>
      <w:hyperlink r:id="rId1218">
        <w:r>
          <w:rPr>
            <w:color w:val="1155CC"/>
            <w:u w:val="single"/>
          </w:rPr>
          <w:t>出于诚信问题对 H. C. Manjunatha 及其合著者的九篇文章表示关注</w:t>
        </w:r>
      </w:hyperlink>
    </w:p>
    <w:p>
      <w:pPr>
        <w:spacing w:before="0" w:after="80"/>
      </w:pPr>
      <w:r>
        <w:rPr>
          <w:i/>
          <w:sz w:val="20"/>
        </w:rPr>
        <w:t>EN: Expression of Concern on nine articles by H. C. Manjunatha and coauthors due to integrity concerns</w:t>
      </w:r>
    </w:p>
    <w:p>
      <w:pPr>
        <w:spacing w:before="0" w:after="120"/>
      </w:pPr>
      <w:r>
        <w:rPr>
          <w:b/>
        </w:rPr>
        <w:t xml:space="preserve">Source: </w:t>
      </w:r>
      <w:r>
        <w:t>Recent Articles in Phys. Rev. C</w:t>
      </w:r>
      <w:r>
        <w:t xml:space="preserve">    </w:t>
      </w:r>
      <w:r>
        <w:rPr>
          <w:b/>
        </w:rPr>
        <w:t xml:space="preserve">Pub date: </w:t>
      </w:r>
      <w:r>
        <w:t>2026-06-18 10:00:00+00:00</w:t>
      </w:r>
      <w:r>
        <w:t xml:space="preserve">    </w:t>
      </w:r>
      <w:r>
        <w:rPr>
          <w:b/>
        </w:rPr>
        <w:t xml:space="preserve">DOI: </w:t>
      </w:r>
      <w:hyperlink r:id="rId1219">
        <w:r>
          <w:rPr>
            <w:color w:val="1155CC"/>
            <w:u w:val="single"/>
          </w:rPr>
          <w:t>10.1103/ps4m-5qnb</w:t>
        </w:r>
      </w:hyperlink>
    </w:p>
    <w:p>
      <w:pPr>
        <w:spacing w:before="0" w:after="120"/>
      </w:pPr>
      <w:r>
        <w:rPr>
          <w:b/>
        </w:rPr>
        <w:t xml:space="preserve">Notes: </w:t>
      </w:r>
      <w:r>
        <w:t>abstract_source=rss_description</w:t>
      </w:r>
    </w:p>
    <w:p>
      <w:pPr>
        <w:spacing w:before="0" w:after="80" w:lineRule="auto" w:line="276"/>
      </w:pPr>
      <w:r>
        <w:rPr>
          <w:b/>
        </w:rPr>
        <w:t xml:space="preserve">摘要（ZH）: </w:t>
      </w:r>
      <w:r>
        <w:t>作者：约瑟夫·卡普斯塔 [Phys. Rev. C 113, 069901] 2026 年 6 月 18 日星期四发布</w:t>
      </w:r>
    </w:p>
    <w:p>
      <w:pPr>
        <w:spacing w:before="0" w:after="200" w:lineRule="auto" w:line="276"/>
      </w:pPr>
      <w:r>
        <w:rPr>
          <w:b/>
        </w:rPr>
        <w:t xml:space="preserve">Abstract (EN): </w:t>
      </w:r>
      <w:r>
        <w:t>Author(s): Joseph I. Kapusta[Phys. Rev. C 113, 069901] Published Thu Jun 18, 2026</w:t>
      </w:r>
    </w:p>
    <w:p>
      <w:pPr>
        <w:spacing w:before="120" w:after="120"/>
      </w:pPr>
      <w:r>
        <w:rPr>
          <w:sz w:val="18"/>
        </w:rPr>
        <w:t>——————————————————————————————————————————————————————————————————————</w:t>
      </w:r>
    </w:p>
    <w:p>
      <w:pPr>
        <w:spacing w:before="160" w:after="40" w:line="240" w:lineRule="auto"/>
      </w:pPr>
      <w:r>
        <w:rPr>
          <w:b/>
        </w:rPr>
        <w:t xml:space="preserve">[525] </w:t>
      </w:r>
      <w:hyperlink r:id="rId1220">
        <w:r>
          <w:rPr>
            <w:color w:val="1155CC"/>
            <w:u w:val="single"/>
          </w:rPr>
          <w:t>短距离产生大散射长度的三种粒子</w:t>
        </w:r>
      </w:hyperlink>
    </w:p>
    <w:p>
      <w:pPr>
        <w:spacing w:before="0" w:after="80"/>
      </w:pPr>
      <w:r>
        <w:rPr>
          <w:i/>
          <w:sz w:val="20"/>
        </w:rPr>
        <w:t>EN: Short-distance production of three particles with large scattering length</w:t>
      </w:r>
    </w:p>
    <w:p>
      <w:pPr>
        <w:spacing w:before="0" w:after="120"/>
      </w:pPr>
      <w:r>
        <w:rPr>
          <w:b/>
        </w:rPr>
        <w:t xml:space="preserve">Source: </w:t>
      </w:r>
      <w:r>
        <w:t>Recent Articles in Phys. Rev. C</w:t>
      </w:r>
      <w:r>
        <w:t xml:space="preserve">    </w:t>
      </w:r>
      <w:r>
        <w:rPr>
          <w:b/>
        </w:rPr>
        <w:t xml:space="preserve">Pub date: </w:t>
      </w:r>
      <w:r>
        <w:t>2026-06-18 10:00:00+00:00</w:t>
      </w:r>
      <w:r>
        <w:t xml:space="preserve">    </w:t>
      </w:r>
      <w:r>
        <w:rPr>
          <w:b/>
        </w:rPr>
        <w:t xml:space="preserve">DOI: </w:t>
      </w:r>
      <w:hyperlink r:id="rId1221">
        <w:r>
          <w:rPr>
            <w:color w:val="1155CC"/>
            <w:u w:val="single"/>
          </w:rPr>
          <w:t>10.1103/lnzm-jzqt</w:t>
        </w:r>
      </w:hyperlink>
    </w:p>
    <w:p>
      <w:pPr>
        <w:spacing w:before="0" w:after="120"/>
      </w:pPr>
      <w:r>
        <w:rPr>
          <w:b/>
        </w:rPr>
        <w:t xml:space="preserve">Notes: </w:t>
      </w:r>
      <w:r>
        <w:t>abstract_source=rss_description</w:t>
      </w:r>
    </w:p>
    <w:p>
      <w:pPr>
        <w:spacing w:before="0" w:after="80" w:lineRule="auto" w:line="276"/>
      </w:pPr>
      <w:r>
        <w:rPr>
          <w:b/>
        </w:rPr>
        <w:t xml:space="preserve">摘要（ZH）: </w:t>
      </w:r>
      <w:r>
        <w:t>作者：T. G. Backert、S. Dietz、H.-W. Hammer、S. König 和 D. T. Son 高能核反应中多粒子态的短距离产生为研究少体系统的低能特性提供了一种独特的方法。特别是，多中子系统的产生幅度受到近似共形对称性的强烈约束......[物理。 Rev. C 113, 064001] 2026 年 6 月 18 日星期四发布</w:t>
      </w:r>
    </w:p>
    <w:p>
      <w:pPr>
        <w:spacing w:before="0" w:after="200" w:lineRule="auto" w:line="276"/>
      </w:pPr>
      <w:r>
        <w:rPr>
          <w:b/>
        </w:rPr>
        <w:t xml:space="preserve">Abstract (EN): </w:t>
      </w:r>
      <w:r>
        <w:t>Author(s): T. G. Backert, S. Dietz, H.-W. Hammer, S. König, and D. T. SonThe short-distance production of multiparticle states in high-energy nuclear reactions provides a unique way to study the low-energy properties of few-body systems. In particular, the production amplitude of multineutron systems is strongly constrained by an approximate conformal symmetry of the und…[Phys. Rev. C 113, 064001] Published Thu Jun 18, 2026</w:t>
      </w:r>
    </w:p>
    <w:p>
      <w:pPr>
        <w:spacing w:before="120" w:after="120"/>
      </w:pPr>
      <w:r>
        <w:rPr>
          <w:sz w:val="18"/>
        </w:rPr>
        <w:t>——————————————————————————————————————————————————————————————————————</w:t>
      </w:r>
    </w:p>
    <w:p>
      <w:pPr>
        <w:spacing w:before="160" w:after="40" w:line="240" w:lineRule="auto"/>
      </w:pPr>
      <w:r>
        <w:rPr>
          <w:b/>
        </w:rPr>
        <w:t xml:space="preserve">[526] </w:t>
      </w:r>
      <w:hyperlink r:id="rId1222">
        <w:r>
          <w:rPr>
            <w:color w:val="1155CC"/>
            <w:u w:val="single"/>
          </w:rPr>
          <w:t>不确定度为 0.25 ppt 的 $^{4}\mathrm{He}$ 光谱分析和改进的 Alpha-Helion 电荷半径差异测定</w:t>
        </w:r>
      </w:hyperlink>
    </w:p>
    <w:p>
      <w:pPr>
        <w:spacing w:before="0" w:after="80"/>
      </w:pPr>
      <w:r>
        <w:rPr>
          <w:i/>
          <w:sz w:val="20"/>
        </w:rPr>
        <w:t>EN: Spectroscopy of $^{4}\mathrm{He}$ at 0.25 ppt Uncertainty and Improved Alpha-Helion Charge-Radius Difference Determination</w:t>
      </w:r>
    </w:p>
    <w:p>
      <w:pPr>
        <w:spacing w:before="0" w:after="120"/>
      </w:pPr>
      <w:r>
        <w:rPr>
          <w:b/>
        </w:rPr>
        <w:t xml:space="preserve">Source: </w:t>
      </w:r>
      <w:r>
        <w:t>Recent Articles in Phys. Rev. Lett.</w:t>
      </w:r>
      <w:r>
        <w:t xml:space="preserve">    </w:t>
      </w:r>
      <w:r>
        <w:rPr>
          <w:b/>
        </w:rPr>
        <w:t xml:space="preserve">Pub date: </w:t>
      </w:r>
      <w:r>
        <w:t>2026-06-18 10:00:00+00:00</w:t>
      </w:r>
      <w:r>
        <w:t xml:space="preserve">    </w:t>
      </w:r>
      <w:r>
        <w:rPr>
          <w:b/>
        </w:rPr>
        <w:t xml:space="preserve">DOI: </w:t>
      </w:r>
      <w:hyperlink r:id="rId1223">
        <w:r>
          <w:rPr>
            <w:color w:val="1155CC"/>
            <w:u w:val="single"/>
          </w:rPr>
          <w:t>10.1103/rwg9-my6x</w:t>
        </w:r>
      </w:hyperlink>
    </w:p>
    <w:p>
      <w:pPr>
        <w:spacing w:before="0" w:after="120"/>
      </w:pPr>
      <w:r>
        <w:rPr>
          <w:b/>
        </w:rPr>
        <w:t xml:space="preserve">Notes: </w:t>
      </w:r>
      <w:r>
        <w:t>abstract_source=rss_description</w:t>
      </w:r>
    </w:p>
    <w:p>
      <w:pPr>
        <w:spacing w:before="0" w:after="80" w:lineRule="auto" w:line="276"/>
      </w:pPr>
      <w:r>
        <w:rPr>
          <w:b/>
        </w:rPr>
        <w:t xml:space="preserve">摘要（ZH）: </w:t>
      </w:r>
      <w:r>
        <w:t>作者：K. Steinebach、J. C. J. Koelemeij、H. L. Bethlem 和 K. S. E. Eikema 对氦 4 原子中电子跃迁的改进测量限制了氦 4 和氦 3 原子核之间的尺寸差异。莱特牧师。 136, 243001] 发布于 2026 年 6 月 18 日星期四</w:t>
      </w:r>
    </w:p>
    <w:p>
      <w:pPr>
        <w:spacing w:before="0" w:after="200" w:lineRule="auto" w:line="276"/>
      </w:pPr>
      <w:r>
        <w:rPr>
          <w:b/>
        </w:rPr>
        <w:t xml:space="preserve">Abstract (EN): </w:t>
      </w:r>
      <w:r>
        <w:t>Author(s): K. Steinebach, J. C. J. Koelemeij, H. L. Bethlem, and K. S. E. EikemaImproved measurements of an electronic transition in helium-4 atoms constrain the size difference between helium-4 and helium-3 nuclei.[Phys. Rev. Lett. 136, 243001] Published Thu Jun 18, 2026</w:t>
      </w:r>
    </w:p>
    <w:p>
      <w:pPr>
        <w:spacing w:before="120" w:after="120"/>
      </w:pPr>
      <w:r>
        <w:rPr>
          <w:sz w:val="18"/>
        </w:rPr>
        <w:t>——————————————————————————————————————————————————————————————————————</w:t>
      </w:r>
    </w:p>
    <w:p>
      <w:pPr>
        <w:spacing w:before="160" w:after="40" w:line="240" w:lineRule="auto"/>
      </w:pPr>
      <w:r>
        <w:rPr>
          <w:b/>
        </w:rPr>
        <w:t xml:space="preserve">[527] </w:t>
      </w:r>
      <w:hyperlink r:id="rId1224">
        <w:r>
          <w:rPr>
            <w:color w:val="1155CC"/>
            <w:u w:val="single"/>
          </w:rPr>
          <w:t>热致密铝中电子响应模型的动量分辨 X 射线汤姆逊散射基准</w:t>
        </w:r>
      </w:hyperlink>
    </w:p>
    <w:p>
      <w:pPr>
        <w:spacing w:before="0" w:after="80"/>
      </w:pPr>
      <w:r>
        <w:rPr>
          <w:i/>
          <w:sz w:val="20"/>
        </w:rPr>
        <w:t>EN: Momentum-Resolved X-Ray Thomson Scattering Benchmark of Electronic-Response Models in Warm Dense Aluminium</w:t>
      </w:r>
    </w:p>
    <w:p>
      <w:pPr>
        <w:spacing w:before="0" w:after="120"/>
      </w:pPr>
      <w:r>
        <w:rPr>
          <w:b/>
        </w:rPr>
        <w:t xml:space="preserve">Source: </w:t>
      </w:r>
      <w:r>
        <w:t>Recent Articles in Phys. Rev. Lett.</w:t>
      </w:r>
      <w:r>
        <w:t xml:space="preserve">    </w:t>
      </w:r>
      <w:r>
        <w:rPr>
          <w:b/>
        </w:rPr>
        <w:t xml:space="preserve">Pub date: </w:t>
      </w:r>
      <w:r>
        <w:t>2026-06-18 10:00:00+00:00</w:t>
      </w:r>
      <w:r>
        <w:t xml:space="preserve">    </w:t>
      </w:r>
      <w:r>
        <w:rPr>
          <w:b/>
        </w:rPr>
        <w:t xml:space="preserve">DOI: </w:t>
      </w:r>
      <w:hyperlink r:id="rId1225">
        <w:r>
          <w:rPr>
            <w:color w:val="1155CC"/>
            <w:u w:val="single"/>
          </w:rPr>
          <w:t>10.1103/86cw-8wm5</w:t>
        </w:r>
      </w:hyperlink>
    </w:p>
    <w:p>
      <w:pPr>
        <w:spacing w:before="0" w:after="120"/>
      </w:pPr>
      <w:r>
        <w:rPr>
          <w:b/>
        </w:rPr>
        <w:t xml:space="preserve">Notes: </w:t>
      </w:r>
      <w:r>
        <w:t>abstract_source=rss_description</w:t>
      </w:r>
    </w:p>
    <w:p>
      <w:pPr>
        <w:spacing w:before="0" w:after="80" w:lineRule="auto" w:line="276"/>
      </w:pPr>
      <w:r>
        <w:rPr>
          <w:b/>
        </w:rPr>
        <w:t xml:space="preserve">摘要（ZH）: </w:t>
      </w:r>
      <w:r>
        <w:t>作者：Dmitrii S. Bespalov 等人。 对温暖致密物质实验中产生的条件的可靠诊断仍然是一个持续的挑战。在这里，我们描述了在…[Phys.莱特牧师。 136, 245102] 发布于 2026 年 6 月 18 日星期四</w:t>
      </w:r>
    </w:p>
    <w:p>
      <w:pPr>
        <w:spacing w:before="0" w:after="200" w:lineRule="auto" w:line="276"/>
      </w:pPr>
      <w:r>
        <w:rPr>
          <w:b/>
        </w:rPr>
        <w:t xml:space="preserve">Abstract (EN): </w:t>
      </w:r>
      <w:r>
        <w:t>Author(s): Dmitrii S. Bespalov et al.The robust diagnosis of conditions generated in warm dense matter experiments remains a persistent challenge. Here, we describe the measurement of shock-compressed aluminium at 50 GPa with angle-resolved femtosecond x-ray Thomson scattering (XRTS) over a wide range of scattering wave vectors at the …[Phys. Rev. Lett. 136, 245102] Published Thu Jun 18, 2026</w:t>
      </w:r>
    </w:p>
    <w:p>
      <w:pPr>
        <w:spacing w:before="120" w:after="120"/>
      </w:pPr>
      <w:r>
        <w:rPr>
          <w:sz w:val="18"/>
        </w:rPr>
        <w:t>——————————————————————————————————————————————————————————————————————</w:t>
      </w:r>
    </w:p>
    <w:p>
      <w:pPr>
        <w:spacing w:before="160" w:after="40" w:line="240" w:lineRule="auto"/>
      </w:pPr>
      <w:r>
        <w:rPr>
          <w:b/>
        </w:rPr>
        <w:t xml:space="preserve">[528] </w:t>
      </w:r>
      <w:hyperlink r:id="rId1226">
        <w:r>
          <w:rPr>
            <w:color w:val="1155CC"/>
            <w:u w:val="single"/>
          </w:rPr>
          <w:t>用于双通道软骨和骨成像的靶向近红外光声探头</w:t>
        </w:r>
      </w:hyperlink>
    </w:p>
    <w:p>
      <w:pPr>
        <w:spacing w:before="0" w:after="80"/>
      </w:pPr>
      <w:r>
        <w:rPr>
          <w:i/>
          <w:sz w:val="20"/>
        </w:rPr>
        <w:t>EN: Targeted Near‐Infrared Photoacoustic Probes for Dual‐Channel Cartilage and Bone Imaging</w:t>
      </w:r>
    </w:p>
    <w:p>
      <w:pPr>
        <w:spacing w:before="0" w:after="120"/>
      </w:pPr>
      <w:r>
        <w:rPr>
          <w:b/>
        </w:rPr>
        <w:t xml:space="preserve">Source: </w:t>
      </w:r>
      <w:r>
        <w:t>Wiley: Angewandte Chemie International Edition: Table of Contents</w:t>
      </w:r>
      <w:r>
        <w:t xml:space="preserve">    </w:t>
      </w:r>
      <w:r>
        <w:rPr>
          <w:b/>
        </w:rPr>
        <w:t xml:space="preserve">Pub date: </w:t>
      </w:r>
      <w:r>
        <w:t>2026-06-18 17:05:17+00:00</w:t>
      </w:r>
      <w:r>
        <w:t xml:space="preserve">    </w:t>
      </w:r>
      <w:r>
        <w:rPr>
          <w:b/>
        </w:rPr>
        <w:t xml:space="preserve">DOI: </w:t>
      </w:r>
      <w:hyperlink r:id="rId1227">
        <w:r>
          <w:rPr>
            <w:color w:val="1155CC"/>
            <w:u w:val="single"/>
          </w:rPr>
          <w:t>10.1002/anie.9645599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具有分子特异性的软骨和骨同步成像仍然是骨科研究和术中指导中未满足的重大需求。在这里，我们报告了两种组织靶向近红外光声探头（用于软骨的 Cart-670 和用于骨骼的 Osteo-750）的开发，它们能够在单个成像会话中对这些邻近组织进行双通道可视化。探针是通过模块化策略设计的：对近红外吸收非荧光染料进行系统筛选，确定 QSY21 是最佳光声支架（检测限：PBS 中 0.5 µM；信噪比 ≥ 3），然后用阳离子软骨靶向基序对其进行功能化，产生 Cart-670。与此同时，通过将双膦酸盐部分与 Alexa Fluor 750 缀合来合成 Osteo-750，用于骨靶向。两种探针均表现出强近红外吸收、低检测限（Cart-670：1 µM；Osteo-750：PBS 中 2–3 µM）和选择性离体组织积累：Cart-670 优先保留在软骨中，而 Osteo-750 在骨上产生的光声信号比软骨高约 200 倍。 680 和 750 nm 处的光谱分解可实现无伪影、无串扰的双色成像，证明了软骨-骨界面多重光声可视化的可行性。</w:t>
      </w:r>
    </w:p>
    <w:p>
      <w:pPr>
        <w:spacing w:before="0" w:after="200" w:lineRule="auto" w:line="276"/>
      </w:pPr>
      <w:r>
        <w:rPr>
          <w:b/>
        </w:rPr>
        <w:t xml:space="preserve">Abstract (EN): </w:t>
      </w:r>
      <w:r>
        <w:t>Simultaneous imaging of cartilage and bone with molecular specificity remains a significant unmet need in orthopedic research and intraoperative guidance. Here, we report the development of two tissue‐targeted near‐infrared photoacoustic probes (Cart‐670 for cartilage and Osteo‐750 for bone) that enable dual‐channel visualization of these adjacent tissues within a single imaging session. The probes were designed through a modular strategy: A systematic screen of NIR‐absorbing non‐fluorescent dyes identified QSY21 as the optimal photoacoustic scaffold (limit of detection: 0.5 µM in PBS; signal‐to‐noise ratio ≥ 3), which was then functionalized with a cationic cartilage‐targeting motif to yield Cart‐670. In parallel, Osteo‐750 was synthesized by conjugating a bisphosphonate moiety to Alexa Fluor 750 for bone targeting. Both probes exhibit strong NIR absorption, low detection limits (Cart‐670: 1 µM; Osteo‐750: 2–3 µM in PBS), and selective ex vivo tissue accumulation: Cart‐670 shows preferential retention in cartilage over bone, while Osteo‐750 produces ∼200× higher photoacoustic signal on bone relative to cartilage. Spectral unmixing at 680 and 750 nm enables artifact‐free two‐color imaging without cross talk, demonstrating the feasibility of multiplexed photoacoustic visualization of the cartilage‐bone interface.</w:t>
      </w:r>
    </w:p>
    <w:p>
      <w:pPr>
        <w:spacing w:before="120" w:after="120"/>
      </w:pPr>
      <w:r>
        <w:rPr>
          <w:sz w:val="18"/>
        </w:rPr>
        <w:t>——————————————————————————————————————————————————————————————————————</w:t>
      </w:r>
    </w:p>
    <w:p>
      <w:pPr>
        <w:spacing w:before="160" w:after="40" w:line="240" w:lineRule="auto"/>
      </w:pPr>
      <w:r>
        <w:rPr>
          <w:b/>
        </w:rPr>
        <w:t xml:space="preserve">[529] </w:t>
      </w:r>
      <w:hyperlink r:id="rId1228">
        <w:r>
          <w:rPr>
            <w:color w:val="1155CC"/>
            <w:u w:val="single"/>
          </w:rPr>
          <w:t>Co3O4 上乙二醇的电热氧化</w:t>
        </w:r>
      </w:hyperlink>
    </w:p>
    <w:p>
      <w:pPr>
        <w:spacing w:before="0" w:after="80"/>
      </w:pPr>
      <w:r>
        <w:rPr>
          <w:i/>
          <w:sz w:val="20"/>
        </w:rPr>
        <w:t>EN: Electrothermal Oxidation of Ethylene Glycol Over Co3O4</w:t>
      </w:r>
    </w:p>
    <w:p>
      <w:pPr>
        <w:spacing w:before="0" w:after="120"/>
      </w:pPr>
      <w:r>
        <w:rPr>
          <w:b/>
        </w:rPr>
        <w:t xml:space="preserve">Source: </w:t>
      </w:r>
      <w:r>
        <w:t>Wiley: Angewandte Chemie International Edition: Table of Contents</w:t>
      </w:r>
      <w:r>
        <w:t xml:space="preserve">    </w:t>
      </w:r>
      <w:r>
        <w:rPr>
          <w:b/>
        </w:rPr>
        <w:t xml:space="preserve">Pub date: </w:t>
      </w:r>
      <w:r>
        <w:t>2026-06-18 17:08:16+00:00</w:t>
      </w:r>
      <w:r>
        <w:t xml:space="preserve">    </w:t>
      </w:r>
      <w:r>
        <w:rPr>
          <w:b/>
        </w:rPr>
        <w:t xml:space="preserve">DOI: </w:t>
      </w:r>
      <w:hyperlink r:id="rId1229">
        <w:r>
          <w:rPr>
            <w:color w:val="1155CC"/>
            <w:u w:val="single"/>
          </w:rPr>
          <w:t>10.1002/anie.1818551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由于多个质子耦合电子转移步骤，用于醇选择性氧化的纯电催化路线通常受到过电势、传质和动力学的限制。我们报道了氧化钴（Co）上乙二醇（EG）的电热氧化</w:t>
      </w:r>
      <w:r>
        <w:rPr>
          <w:vertAlign w:val="subscript"/>
        </w:rPr>
        <w:t>3</w:t>
      </w:r>
      <w:r>
        <w:t>氧</w:t>
      </w:r>
      <w:r>
        <w:rPr>
          <w:vertAlign w:val="subscript"/>
        </w:rPr>
        <w:t>4</w:t>
      </w:r>
      <w:r>
        <w:t>) 尖晶石通过集成高温和 15 bar O 同时充当电催化剂和固体热催化剂</w:t>
      </w:r>
      <w:r>
        <w:rPr>
          <w:vertAlign w:val="subscript"/>
        </w:rPr>
        <w:t>2</w:t>
      </w:r>
      <w:r>
        <w:t>在受控电流密度下碱性电解液中的压力。随着温度从 30°C 升高到 90°C，观察到 EG 氧化增强。乙醇酸盐和甲酸盐是主要产物，而草酸盐仅在较低电流密度的长期实验中检测到。选择性从低温下的甲酸盐（由电化学 C-C 裂解引起）转变为在增加的热条件下快速乙醇酸盐解吸。虚拟法拉第效率 (vFE)（反应产物中存储的所有电荷的总和）在 90°C 时达到 180%，证实了 O 的热氧化</w:t>
      </w:r>
      <w:r>
        <w:rPr>
          <w:vertAlign w:val="subscript"/>
        </w:rPr>
        <w:t>2</w:t>
      </w:r>
      <w:r>
        <w:t>在高压下，固体电解质界面上的氧化电子转移会超出所施加的电化学势。这些发现表明，叠加热驱动力和电化学驱动力可以提高性能并能够控制反应途径。该方法建立了一个概念和实践框架</w:t>
      </w:r>
    </w:p>
    <w:p>
      <w:pPr>
        <w:spacing w:before="0" w:after="200" w:lineRule="auto" w:line="276"/>
      </w:pPr>
      <w:r>
        <w:rPr>
          <w:b/>
        </w:rPr>
        <w:t xml:space="preserve">Abstract (EN): </w:t>
      </w:r>
      <w:r>
        <w:t>Purely electrocatalytic routes for the selective oxidation of alcohols are often limited by overpotential, mass transport, and kinetics due to multiple proton‐coupled electron‐transfer steps. We report the electrothermal oxidation of ethylene glycol (EG) over cobalt oxide (Co</w:t>
      </w:r>
      <w:r>
        <w:rPr>
          <w:vertAlign w:val="subscript"/>
        </w:rPr>
        <w:t>3</w:t>
      </w:r>
      <w:r>
        <w:t>O</w:t>
      </w:r>
      <w:r>
        <w:rPr>
          <w:vertAlign w:val="subscript"/>
        </w:rPr>
        <w:t>4</w:t>
      </w:r>
      <w:r>
        <w:t>) spinel acting simultaneously as an electrocatalyst and a solid thermocatalyst by integrating enhanced temperature and 15 bar O</w:t>
      </w:r>
      <w:r>
        <w:rPr>
          <w:vertAlign w:val="subscript"/>
        </w:rPr>
        <w:t>2</w:t>
      </w:r>
      <w:r>
        <w:t>pressure in alkaline electrolyte at controlled current density. Enhanced EG oxidation was observed with increasing temperature from 30°C to 90°C. Glycolate and formate were the main products, while oxalate was only detected in long‐term experiments at lower current densities. Selectivity shifted from formate at low temperature, caused by electrochemical C–C cleavage, to rapid glycolate desorption at increased thermal conditions. The virtual Faradaic efficiencies (vFEs), which are the sum of all charge stored in the reaction products, reached 180% at 90°C, confirming that thermal oxidation by O</w:t>
      </w:r>
      <w:r>
        <w:rPr>
          <w:vertAlign w:val="subscript"/>
        </w:rPr>
        <w:t>2</w:t>
      </w:r>
      <w:r>
        <w:t>at high pressure contributes to an additional oxidative electron transfer at the solid‐electrolyte interface beyond the applied electrochemical potential. These findings demonstrate that superimposing thermal and electrochemical driving forces boosts performance and enables control over reaction pathways. The approach establishes a conceptual and practical framework toward synergy between electro‐ and thermocatalytic heterogeneous alcohol oxidation toward sustainable chemical transformations.</w:t>
      </w:r>
    </w:p>
    <w:p>
      <w:pPr>
        <w:spacing w:before="120" w:after="120"/>
      </w:pPr>
      <w:r>
        <w:rPr>
          <w:sz w:val="18"/>
        </w:rPr>
        <w:t>——————————————————————————————————————————————————————————————————————</w:t>
      </w:r>
    </w:p>
    <w:p>
      <w:pPr>
        <w:spacing w:before="160" w:after="40" w:line="240" w:lineRule="auto"/>
      </w:pPr>
      <w:r>
        <w:rPr>
          <w:b/>
        </w:rPr>
        <w:t xml:space="preserve">[530] </w:t>
      </w:r>
      <w:hyperlink r:id="rId1230">
        <w:r>
          <w:rPr>
            <w:color w:val="1155CC"/>
            <w:u w:val="single"/>
          </w:rPr>
          <w:t>胆甾型液晶弹性体的最新进展：制造、功能化和应用</w:t>
        </w:r>
      </w:hyperlink>
    </w:p>
    <w:p>
      <w:pPr>
        <w:spacing w:before="0" w:after="80"/>
      </w:pPr>
      <w:r>
        <w:rPr>
          <w:i/>
          <w:sz w:val="20"/>
        </w:rPr>
        <w:t>EN: Recent Advances in Cholesteric Liquid Crystal Elastomers: Fabrication, Functionalization, and Applications</w:t>
      </w:r>
    </w:p>
    <w:p>
      <w:pPr>
        <w:spacing w:before="0" w:after="120"/>
      </w:pPr>
      <w:r>
        <w:rPr>
          <w:b/>
        </w:rPr>
        <w:t xml:space="preserve">Source: </w:t>
      </w:r>
      <w:r>
        <w:t>Wiley: Angewandte Chemie International Edition: Table of Contents</w:t>
      </w:r>
      <w:r>
        <w:t xml:space="preserve">    </w:t>
      </w:r>
      <w:r>
        <w:rPr>
          <w:b/>
        </w:rPr>
        <w:t xml:space="preserve">Pub date: </w:t>
      </w:r>
      <w:r>
        <w:t>2026-06-18 17:09:56+00:00</w:t>
      </w:r>
      <w:r>
        <w:t xml:space="preserve">    </w:t>
      </w:r>
      <w:r>
        <w:rPr>
          <w:b/>
        </w:rPr>
        <w:t xml:space="preserve">DOI: </w:t>
      </w:r>
      <w:hyperlink r:id="rId1231">
        <w:r>
          <w:rPr>
            <w:color w:val="1155CC"/>
            <w:u w:val="single"/>
          </w:rPr>
          <w:t>10.1002/anie.4653597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胆甾型液晶弹性体 (CLCE) 是光子材料的一个充满活力的子集，具有非凡的力致变色特性，使其成为显示、传感、防伪和伪装技术开发的理想平台。近年来，研究人员越来越多地扩展 CLCE 的结构和形态，以揭示其迷人的功能和有前景的应用。在这篇综述中，回顾了 CLCE 的历史发展，重点介绍了制备方法的最新进展，并介绍了具有扩展功能的有序 CLCE。在此范围内，我们强调了 CLCE 的独特优势，并介绍了在扩展其结构、形态和功能多功能性方面的最新进展。最后，我们对当前挑战和近期应用机会进行了展望。</w:t>
      </w:r>
    </w:p>
    <w:p>
      <w:pPr>
        <w:spacing w:before="0" w:after="200" w:lineRule="auto" w:line="276"/>
      </w:pPr>
      <w:r>
        <w:rPr>
          <w:b/>
        </w:rPr>
        <w:t xml:space="preserve">Abstract (EN): </w:t>
      </w:r>
      <w:r>
        <w:t>Cholesteric liquid crystal elastomers (CLCEs) are a vibrant subset of photonic materials exhibiting extraordinarily mechanochromic properties that make them an ideal platform for the development of displays, sensing, anti‐counterfeiting, and camouflage technologies. In recent years, researchers have increasingly extended the structure and morphology of CLCEs to uncover their fascinating functionalities and promising applications. In this review, the historical development of CLCEs is retrospect, recent advances in the preparation methods are highlighted, and the well‐ordered CLCEs with extended functionality are introduced. Within this scope, we highlight the unique advantages of CLCEs and present recent progress in expanding their structural, morphological, and functional versatility. We conclude with an outlook on current challenges and near‐term application opportunities.</w:t>
      </w:r>
    </w:p>
    <w:p>
      <w:pPr>
        <w:spacing w:before="120" w:after="120"/>
      </w:pPr>
      <w:r>
        <w:rPr>
          <w:sz w:val="18"/>
        </w:rPr>
        <w:t>——————————————————————————————————————————————————————————————————————</w:t>
      </w:r>
    </w:p>
    <w:p>
      <w:pPr>
        <w:spacing w:before="160" w:after="40" w:line="240" w:lineRule="auto"/>
      </w:pPr>
      <w:r>
        <w:rPr>
          <w:b/>
        </w:rPr>
        <w:t xml:space="preserve">[531] </w:t>
      </w:r>
      <w:hyperlink r:id="rId1232">
        <w:r>
          <w:rPr>
            <w:color w:val="1155CC"/>
            <w:u w:val="single"/>
          </w:rPr>
          <w:t>整合素 αVβ3 的二级位点配体可实现 mRNA 靶向递送</w:t>
        </w:r>
      </w:hyperlink>
    </w:p>
    <w:p>
      <w:pPr>
        <w:spacing w:before="0" w:after="80"/>
      </w:pPr>
      <w:r>
        <w:rPr>
          <w:i/>
          <w:sz w:val="20"/>
        </w:rPr>
        <w:t>EN: Secondary Site Ligand for Integrin αVβ3 Enables Targeted mRNA Delivery</w:t>
      </w:r>
    </w:p>
    <w:p>
      <w:pPr>
        <w:spacing w:before="0" w:after="120"/>
      </w:pPr>
      <w:r>
        <w:rPr>
          <w:b/>
        </w:rPr>
        <w:t xml:space="preserve">Source: </w:t>
      </w:r>
      <w:r>
        <w:t>Wiley: Angewandte Chemie International Edition: Table of Contents</w:t>
      </w:r>
      <w:r>
        <w:t xml:space="preserve">    </w:t>
      </w:r>
      <w:r>
        <w:rPr>
          <w:b/>
        </w:rPr>
        <w:t xml:space="preserve">Pub date: </w:t>
      </w:r>
      <w:r>
        <w:t>2026-06-18 17:10:59+00:00</w:t>
      </w:r>
      <w:r>
        <w:t xml:space="preserve">    </w:t>
      </w:r>
      <w:r>
        <w:rPr>
          <w:b/>
        </w:rPr>
        <w:t xml:space="preserve">DOI: </w:t>
      </w:r>
      <w:hyperlink r:id="rId1233">
        <w:r>
          <w:rPr>
            <w:color w:val="1155CC"/>
            <w:u w:val="single"/>
          </w:rPr>
          <w:t>10.1002/anie.1554405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灌注不良和异常脉管系统限制了药物向实体瘤的直接输送。因此，通过上调的标记整合素靶向邻近的肿瘤内皮细胞</w:t>
      </w:r>
      <w:r>
        <w:t xml:space="preserve"> </w:t>
      </w:r>
      <w:r>
        <w:t>α</w:t>
      </w:r>
      <w:r>
        <w:t xml:space="preserve"> </w:t>
      </w:r>
      <w:r>
        <w:t>V</w:t>
      </w:r>
      <w:r>
        <w:t xml:space="preserve"> </w:t>
      </w:r>
      <w:r>
        <w:t>β</w:t>
      </w:r>
      <w:r>
        <w:t xml:space="preserve"> </w:t>
      </w:r>
      <w:r>
        <w:t>三是有前景的战略。正构精氨酸-甘氨酸-天冬氨酸 (RGD) 配体</w:t>
      </w:r>
      <w:r>
        <w:t xml:space="preserve"> </w:t>
      </w:r>
      <w:r>
        <w:t>α</w:t>
      </w:r>
      <w:r>
        <w:t xml:space="preserve"> </w:t>
      </w:r>
      <w:r>
        <w:t>V</w:t>
      </w:r>
      <w:r>
        <w:t xml:space="preserve"> </w:t>
      </w:r>
      <w:r>
        <w:t>β</w:t>
      </w:r>
      <w:r>
        <w:t xml:space="preserve"> </w:t>
      </w:r>
      <w:r>
        <w:t>3 实现了高亲和力，但存在交叉反应性。或者，选择性靶向</w:t>
      </w:r>
      <w:r>
        <w:t xml:space="preserve"> </w:t>
      </w:r>
      <w:r>
        <w:t>α</w:t>
      </w:r>
      <w:r>
        <w:t xml:space="preserve"> </w:t>
      </w:r>
      <w:r>
        <w:t>V</w:t>
      </w:r>
      <w:r>
        <w:t xml:space="preserve"> </w:t>
      </w:r>
      <w:r>
        <w:t>β</w:t>
      </w:r>
      <w:r>
        <w:t xml:space="preserve"> </w:t>
      </w:r>
      <w:r>
        <w:t>3 可能通过低亲和力配体实现，在纳米颗粒上多价展示以利用亲合力。为了避免正位点竞争，我们在 RGD 饱和条件下进行了片段筛选。初始命中的构效关系 (SAR) 分析揭示了其结合基序、4-甲基嘧啶-2-胺核心和连接子附着的共轭耐受位置。先导化合物在脂质体和脂质纳米粒子（LNP）上的多价展示导致了时间、剂量和价态依赖性的吸收</w:t>
      </w:r>
      <w:r>
        <w:t xml:space="preserve"> </w:t>
      </w:r>
      <w:r>
        <w:t>α</w:t>
      </w:r>
      <w:r>
        <w:t xml:space="preserve"> </w:t>
      </w:r>
      <w:r>
        <w:t>V</w:t>
      </w:r>
      <w:r>
        <w:t xml:space="preserve"> </w:t>
      </w:r>
      <w:r>
        <w:t>β</w:t>
      </w:r>
      <w:r>
        <w:t xml:space="preserve"> </w:t>
      </w:r>
      <w:r>
        <w:t>3 表达模型细胞和原代人脐静脉内皮细胞 (pHUVEC)。与 RGD 修饰的 NP 相比，片段靶向的 NP 表现出超选择性行为（</w:t>
      </w:r>
      <w:r>
        <w:t xml:space="preserve"> </w:t>
      </w:r>
      <w:r>
        <w:t>α</w:t>
      </w:r>
      <w:r>
        <w:t xml:space="preserve"> </w:t>
      </w:r>
      <w:r>
        <w:t>κ</w:t>
      </w:r>
      <w:r>
        <w:t xml:space="preserve"> </w:t>
      </w:r>
      <w:r>
        <w:t>≈3），即一个尖锐的价依赖阈值，使得选择性</w:t>
      </w:r>
    </w:p>
    <w:p>
      <w:pPr>
        <w:spacing w:before="0" w:after="200" w:lineRule="auto" w:line="276"/>
      </w:pPr>
      <w:r>
        <w:rPr>
          <w:b/>
        </w:rPr>
        <w:t xml:space="preserve">Abstract (EN): </w:t>
      </w:r>
      <w:r>
        <w:t>Poor perfusion and abnormal vasculature constrain direct drug delivery to solid tumors. Hence, targeting neighboring tumor endothelial cells via the upregulated marker integrin</w:t>
      </w:r>
      <w:r>
        <w:t xml:space="preserve"> </w:t>
      </w:r>
      <w:r>
        <w:t>α</w:t>
      </w:r>
      <w:r>
        <w:t xml:space="preserve"> </w:t>
      </w:r>
      <w:r>
        <w:t>V</w:t>
      </w:r>
      <w:r>
        <w:t xml:space="preserve"> </w:t>
      </w:r>
      <w:r>
        <w:t>β</w:t>
      </w:r>
      <w:r>
        <w:t xml:space="preserve"> </w:t>
      </w:r>
      <w:r>
        <w:t>3 is a promising strategy. Orthosteric arginine–glycine–aspartate (RGD) ligands of</w:t>
      </w:r>
      <w:r>
        <w:t xml:space="preserve"> </w:t>
      </w:r>
      <w:r>
        <w:t>α</w:t>
      </w:r>
      <w:r>
        <w:t xml:space="preserve"> </w:t>
      </w:r>
      <w:r>
        <w:t>V</w:t>
      </w:r>
      <w:r>
        <w:t xml:space="preserve"> </w:t>
      </w:r>
      <w:r>
        <w:t>β</w:t>
      </w:r>
      <w:r>
        <w:t xml:space="preserve"> </w:t>
      </w:r>
      <w:r>
        <w:t>3 achieve high affinities but suffer from cross‐reactivity. Alternatively, selective targeting of</w:t>
      </w:r>
      <w:r>
        <w:t xml:space="preserve"> </w:t>
      </w:r>
      <w:r>
        <w:t>α</w:t>
      </w:r>
      <w:r>
        <w:t xml:space="preserve"> </w:t>
      </w:r>
      <w:r>
        <w:t>V</w:t>
      </w:r>
      <w:r>
        <w:t xml:space="preserve"> </w:t>
      </w:r>
      <w:r>
        <w:t>β</w:t>
      </w:r>
      <w:r>
        <w:t xml:space="preserve"> </w:t>
      </w:r>
      <w:r>
        <w:t>3 could potentially be achieved via low‐affinity ligands, displayed multivalently on nanoparticles to leverage avidity. To avoid orthosteric site competition, we performed a fragment screening under RGD saturation. Structure–activity relationship (SAR) analysis of the initial hit revealed its binding motif, a 4‐methylpyrimidine‐2‐amine core and a conjugation‐tolerant position for linker attachment. Multivalent display of the lead compound on liposomes and lipid nanoparticles (LNPs) led to time‐, dose‐, and valency‐dependent uptake in</w:t>
      </w:r>
      <w:r>
        <w:t xml:space="preserve"> </w:t>
      </w:r>
      <w:r>
        <w:t>α</w:t>
      </w:r>
      <w:r>
        <w:t xml:space="preserve"> </w:t>
      </w:r>
      <w:r>
        <w:t>V</w:t>
      </w:r>
      <w:r>
        <w:t xml:space="preserve"> </w:t>
      </w:r>
      <w:r>
        <w:t>β</w:t>
      </w:r>
      <w:r>
        <w:t xml:space="preserve"> </w:t>
      </w:r>
      <w:r>
        <w:t>3‐expressing model cells and in primary human umbilical vein endothelial cells (pHUVECs). In contrast to RGD‐decorated NPs, fragment‐targeted NPs show superselective behavior (</w:t>
      </w:r>
      <w:r>
        <w:t xml:space="preserve"> </w:t>
      </w:r>
      <w:r>
        <w:t>α</w:t>
      </w:r>
      <w:r>
        <w:t xml:space="preserve"> </w:t>
      </w:r>
      <w:r>
        <w:t>κ</w:t>
      </w:r>
      <w:r>
        <w:t xml:space="preserve"> </w:t>
      </w:r>
      <w:r>
        <w:t>≈3), that is, a sharp valency‐dependent threshold, enabling selective targeting of cells overexpressing</w:t>
      </w:r>
      <w:r>
        <w:t xml:space="preserve"> </w:t>
      </w:r>
      <w:r>
        <w:t>α</w:t>
      </w:r>
      <w:r>
        <w:t xml:space="preserve"> </w:t>
      </w:r>
      <w:r>
        <w:t>V</w:t>
      </w:r>
      <w:r>
        <w:t xml:space="preserve"> </w:t>
      </w:r>
      <w:r>
        <w:t>β</w:t>
      </w:r>
      <w:r>
        <w:t xml:space="preserve"> </w:t>
      </w:r>
      <w:r>
        <w:t>3. Crucially, mRNA delivered by targeted LNPs translated into functional protein expression six‐fold over control. To our knowledge, these findings present the first non‐orthosteric, exogenous small‐molecule ligands for</w:t>
      </w:r>
      <w:r>
        <w:t xml:space="preserve"> </w:t>
      </w:r>
      <w:r>
        <w:t>α</w:t>
      </w:r>
      <w:r>
        <w:t xml:space="preserve"> </w:t>
      </w:r>
      <w:r>
        <w:t>V</w:t>
      </w:r>
      <w:r>
        <w:t xml:space="preserve"> </w:t>
      </w:r>
      <w:r>
        <w:t>β</w:t>
      </w:r>
      <w:r>
        <w:t xml:space="preserve"> </w:t>
      </w:r>
      <w:r>
        <w:t>3 and outline their application as a multivalent, superselective delivery platform.</w:t>
      </w:r>
    </w:p>
    <w:p>
      <w:pPr>
        <w:spacing w:before="120" w:after="120"/>
      </w:pPr>
      <w:r>
        <w:rPr>
          <w:sz w:val="18"/>
        </w:rPr>
        <w:t>——————————————————————————————————————————————————————————————————————</w:t>
      </w:r>
    </w:p>
    <w:p>
      <w:pPr>
        <w:spacing w:before="160" w:after="40" w:line="240" w:lineRule="auto"/>
      </w:pPr>
      <w:r>
        <w:rPr>
          <w:b/>
        </w:rPr>
        <w:t xml:space="preserve">[532] </w:t>
      </w:r>
      <w:hyperlink r:id="rId1234">
        <w:r>
          <w:rPr>
            <w:color w:val="1155CC"/>
            <w:u w:val="single"/>
          </w:rPr>
          <w:t>X 射线吸收和发射解耦：具有重原子功能化有机阴离子的离子 TADF 闪烁体</w:t>
        </w:r>
      </w:hyperlink>
    </w:p>
    <w:p>
      <w:pPr>
        <w:spacing w:before="0" w:after="80"/>
      </w:pPr>
      <w:r>
        <w:rPr>
          <w:i/>
          <w:sz w:val="20"/>
        </w:rPr>
        <w:t>EN: Decoupling X‐Ray Absorption and Emission: Ionic TADF Scintillators With Heavy‐Atom‐Functionalized Organic Anions</w:t>
      </w:r>
    </w:p>
    <w:p>
      <w:pPr>
        <w:spacing w:before="0" w:after="120"/>
      </w:pPr>
      <w:r>
        <w:rPr>
          <w:b/>
        </w:rPr>
        <w:t xml:space="preserve">Source: </w:t>
      </w:r>
      <w:r>
        <w:t>Wiley: Angewandte Chemie International Edition: Table of Contents</w:t>
      </w:r>
      <w:r>
        <w:t xml:space="preserve">    </w:t>
      </w:r>
      <w:r>
        <w:rPr>
          <w:b/>
        </w:rPr>
        <w:t xml:space="preserve">Pub date: </w:t>
      </w:r>
      <w:r>
        <w:t>2026-06-18 17:12:01+00:00</w:t>
      </w:r>
      <w:r>
        <w:t xml:space="preserve">    </w:t>
      </w:r>
      <w:r>
        <w:rPr>
          <w:b/>
        </w:rPr>
        <w:t xml:space="preserve">DOI: </w:t>
      </w:r>
      <w:hyperlink r:id="rId1235">
        <w:r>
          <w:rPr>
            <w:color w:val="1155CC"/>
            <w:u w:val="single"/>
          </w:rPr>
          <w:t>10.1002/anie.3693605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有机闪烁体由于其溶液可加工性和低成本而在X射线成像方面具有广阔的前景，但其实际应用从根本上受到弱X射线吸收和低效激子利用的限制。在这里，我们通过功能分离设计克服了这些限制，在纯有机系统中产生出色的放射发光。我们开发了将热激活延迟荧光（TADF）阳离子与含重原子有机阴离子结合在一起的离子磷闪烁体。在这种架构中，有机阴离子充当 X 射线光子的敏化天线，而 TADF 阳离子独立控制发射过程。在 X 射线激发下，能量从重阴离子单向转移到发光体，然后通过 TADF 进行有效的三线态收获，从而获得光致发光量子产率高达 81% 的材料。利用这种分子设计，基于溴化化合物的高掺杂 (60 wt%) 透明屏幕实现了 97.8 lp/mm 的卓越空间分辨率。成像屏幕可以清晰地显示精细结构，例如电子芯片的内部布线和 400 目铜网格。通过将 X 射线吸收与发射解耦，我们的工作建立了设计具有高辐射发光性能的可溶液加工有机闪烁体的新范例，为先进 X 射线成像应用提供了一条有前途的途径。</w:t>
      </w:r>
    </w:p>
    <w:p>
      <w:pPr>
        <w:spacing w:before="0" w:after="200" w:lineRule="auto" w:line="276"/>
      </w:pPr>
      <w:r>
        <w:rPr>
          <w:b/>
        </w:rPr>
        <w:t xml:space="preserve">Abstract (EN): </w:t>
      </w:r>
      <w:r>
        <w:t>Organic scintillators hold great promise for x‐ray imaging due to their solution processability and low cost, yet their practical application is fundamentally limited by weak x‐ray absorption and inefficient exciton utilization. Here, we overcome these limitations through a functional‐separation design that yields exceptional radioluminescence in a purely organic system. We have developed ionic phosphonium scintillators integrating thermally activated delayed fluorescence (TADF) cations with heavy‐atom‐containing organic anions. In this architecture, the organic anions act as sensitizing antennas for x‐ray photons, while the TADF cations independently govern the emission process. Upon x‐ray excitation, energy is unidirectionally transferred from the heavy anions to the luminophores, followed by efficient triplet harvesting via TADF—delivering materials that achieve photoluminescence quantum yields of up to 81%. Leveraging this molecular design, a highly doped (60 wt%) transparent screen based on the brominated compound achieves a remarkable spatial resolution of 97.8 lp/mm. The imaging screen enables clear visualization of fine structures, such as the internal wiring in electronic chips and a 400‐mesh copper grid. By decoupling x‐ray absorption from emission, our work establishes a new paradigm for designing solution‐processable organic scintillators with high radioluminescence performance, offering a promising pathway toward advanced x‐ray imaging applications.</w:t>
      </w:r>
    </w:p>
    <w:p>
      <w:pPr>
        <w:spacing w:before="120" w:after="120"/>
      </w:pPr>
      <w:r>
        <w:rPr>
          <w:sz w:val="18"/>
        </w:rPr>
        <w:t>——————————————————————————————————————————————————————————————————————</w:t>
      </w:r>
    </w:p>
    <w:p>
      <w:pPr>
        <w:spacing w:before="160" w:after="40" w:line="240" w:lineRule="auto"/>
      </w:pPr>
      <w:r>
        <w:rPr>
          <w:b/>
        </w:rPr>
        <w:t xml:space="preserve">[533] </w:t>
      </w:r>
      <w:hyperlink r:id="rId1236">
        <w:r>
          <w:rPr>
            <w:color w:val="1155CC"/>
            <w:u w:val="single"/>
          </w:rPr>
          <w:t>多刺激响应机械发光卤化锰实现无外部光光化学</w:t>
        </w:r>
      </w:hyperlink>
    </w:p>
    <w:p>
      <w:pPr>
        <w:spacing w:before="0" w:after="80"/>
      </w:pPr>
      <w:r>
        <w:rPr>
          <w:i/>
          <w:sz w:val="20"/>
        </w:rPr>
        <w:t>EN: Multi‐Stimuli‐Responsive Mechanoluminescent Manganese Halide Toward External‐Light‐Free Photochemistry</w:t>
      </w:r>
    </w:p>
    <w:p>
      <w:pPr>
        <w:spacing w:before="0" w:after="120"/>
      </w:pPr>
      <w:r>
        <w:rPr>
          <w:b/>
        </w:rPr>
        <w:t xml:space="preserve">Source: </w:t>
      </w:r>
      <w:r>
        <w:t>Wiley: Angewandte Chemie International Edition: Table of Contents</w:t>
      </w:r>
      <w:r>
        <w:t xml:space="preserve">    </w:t>
      </w:r>
      <w:r>
        <w:rPr>
          <w:b/>
        </w:rPr>
        <w:t xml:space="preserve">Pub date: </w:t>
      </w:r>
      <w:r>
        <w:t>2026-06-18 17:14:02+00:00</w:t>
      </w:r>
      <w:r>
        <w:t xml:space="preserve">    </w:t>
      </w:r>
      <w:r>
        <w:rPr>
          <w:b/>
        </w:rPr>
        <w:t xml:space="preserve">DOI: </w:t>
      </w:r>
      <w:hyperlink r:id="rId1237">
        <w:r>
          <w:rPr>
            <w:color w:val="1155CC"/>
            <w:u w:val="single"/>
          </w:rPr>
          <w:t>10.1002/anie.4311658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无溶剂机械化学光合作用在提高反应效率和最大限度地减少环境影响方面具有显着优势。然而，传统反应器固有的不透明性极大地阻碍了它们与“暗箱”内的光化学途径的集成。在这方面，我们合成了机械发光（ML）卤化锰（ETP）</w:t>
      </w:r>
      <w:r>
        <w:rPr>
          <w:vertAlign w:val="subscript"/>
        </w:rPr>
        <w:t>2</w:t>
      </w:r>
      <w:r>
        <w:t>溴化锰</w:t>
      </w:r>
      <w:r>
        <w:rPr>
          <w:vertAlign w:val="subscript"/>
        </w:rPr>
        <w:t>4</w:t>
      </w:r>
      <w:r>
        <w:t>(ETP = 乙基三苯基膦) 引发磺酰化反应，得到一系列烯基和烯丙基砜，产率 65%–85%，且无需溶剂和外部光源。压电响应力显微镜测量和压力相关偶极矩分析表明机械应力增强了局部压电响应，从而产生了有趣的机械发光。此外，此 ML (ETP)</w:t>
      </w:r>
      <w:r>
        <w:rPr>
          <w:vertAlign w:val="subscript"/>
        </w:rPr>
        <w:t>2</w:t>
      </w:r>
      <w:r>
        <w:t>溴化锰</w:t>
      </w:r>
      <w:r>
        <w:rPr>
          <w:vertAlign w:val="subscript"/>
        </w:rPr>
        <w:t>4</w:t>
      </w:r>
      <w:r>
        <w:t>表现出多重刺激响应，具有相当大的 174 nm 红移压致变色性和异常的反热发射猝灭。与 Mn-Br 键长减小相关的晶体场强度增加导致高压下从绿色到红色的明显压致变色现象。这项研究提供了一种很有前途的 ML 卤化锰，它可以在可持续光化学、传感和防伪方面实现潜在的应用。</w:t>
      </w:r>
    </w:p>
    <w:p>
      <w:pPr>
        <w:spacing w:before="0" w:after="200" w:lineRule="auto" w:line="276"/>
      </w:pPr>
      <w:r>
        <w:rPr>
          <w:b/>
        </w:rPr>
        <w:t xml:space="preserve">Abstract (EN): </w:t>
      </w:r>
      <w:r>
        <w:t>Solvent‐free mechanochemical photosynthesis offers significant advantages in enhancing reaction efficiency and minimizing environmental impact. However, the inherent opacity of conventional reactors greatly impedes their integration with photochemical pathways within the “dark box.” In this regard, we synthesized a mechanoluminescent (ML) manganese halide (ETP)</w:t>
      </w:r>
      <w:r>
        <w:rPr>
          <w:vertAlign w:val="subscript"/>
        </w:rPr>
        <w:t>2</w:t>
      </w:r>
      <w:r>
        <w:t>MnBr</w:t>
      </w:r>
      <w:r>
        <w:rPr>
          <w:vertAlign w:val="subscript"/>
        </w:rPr>
        <w:t>4</w:t>
      </w:r>
      <w:r>
        <w:t>(ETP = ethyltriphenylphosphonium) to trigger the sulfonylation reaction, achieving a series of alkenyl and allyl sulfones with 65%–85% yields, all without solvents and external light sources. Piezoresponse force microscope measurements and pressure‐dependent dipole moment analysis indicate that mechanical stress enhances local piezoelectric response and thus leads to the intriguing mechanoluminescence. Furthermore, this ML (ETP)</w:t>
      </w:r>
      <w:r>
        <w:rPr>
          <w:vertAlign w:val="subscript"/>
        </w:rPr>
        <w:t>2</w:t>
      </w:r>
      <w:r>
        <w:t>MnBr</w:t>
      </w:r>
      <w:r>
        <w:rPr>
          <w:vertAlign w:val="subscript"/>
        </w:rPr>
        <w:t>4</w:t>
      </w:r>
      <w:r>
        <w:t>exhibits multi‐stimuli‐responses with considerable piezochromism of redshift by 174 nm and an abnormal anti‐thermal emission quenching. The increased crystal field strength associated with the decreased Mn–Br bond length leads to the stark piezochromism from green to red under high pressure. This study provides a promising ML manganese halide that enables potential applications in sustainable photochemistry, sensing and anti‐counterfeiting.</w:t>
      </w:r>
    </w:p>
    <w:p>
      <w:pPr>
        <w:spacing w:before="120" w:after="120"/>
      </w:pPr>
      <w:r>
        <w:rPr>
          <w:sz w:val="18"/>
        </w:rPr>
        <w:t>——————————————————————————————————————————————————————————————————————</w:t>
      </w:r>
    </w:p>
    <w:p>
      <w:pPr>
        <w:spacing w:before="160" w:after="40" w:line="240" w:lineRule="auto"/>
      </w:pPr>
      <w:r>
        <w:rPr>
          <w:b/>
        </w:rPr>
        <w:t xml:space="preserve">[534] </w:t>
      </w:r>
      <w:hyperlink r:id="rId1238">
        <w:r>
          <w:rPr>
            <w:color w:val="1155CC"/>
            <w:u w:val="single"/>
          </w:rPr>
          <w:t>亚膦酸酯和手性 Salen-钼催化剂协同作用实现 1,2-二羰基化合物的不对称脱氧双官能化</w:t>
        </w:r>
      </w:hyperlink>
    </w:p>
    <w:p>
      <w:pPr>
        <w:spacing w:before="0" w:after="80"/>
      </w:pPr>
      <w:r>
        <w:rPr>
          <w:i/>
          <w:sz w:val="20"/>
        </w:rPr>
        <w:t>EN: Asymmetric Deoxygenative Difunctionalization of 1,2‐Dicarbonyl Compounds Enabled by Phosphinite and Chiral Salen‐Molybdenum Catalyst Synergy</w:t>
      </w:r>
    </w:p>
    <w:p>
      <w:pPr>
        <w:spacing w:before="0" w:after="120"/>
      </w:pPr>
      <w:r>
        <w:rPr>
          <w:b/>
        </w:rPr>
        <w:t xml:space="preserve">Source: </w:t>
      </w:r>
      <w:r>
        <w:t>Wiley: Angewandte Chemie International Edition: Table of Contents</w:t>
      </w:r>
      <w:r>
        <w:t xml:space="preserve">    </w:t>
      </w:r>
      <w:r>
        <w:rPr>
          <w:b/>
        </w:rPr>
        <w:t xml:space="preserve">Pub date: </w:t>
      </w:r>
      <w:r>
        <w:t>2026-06-18 17:16:59+00:00</w:t>
      </w:r>
      <w:r>
        <w:t xml:space="preserve">    </w:t>
      </w:r>
      <w:r>
        <w:rPr>
          <w:b/>
        </w:rPr>
        <w:t xml:space="preserve">DOI: </w:t>
      </w:r>
      <w:hyperlink r:id="rId1239">
        <w:r>
          <w:rPr>
            <w:color w:val="1155CC"/>
            <w:u w:val="single"/>
          </w:rPr>
          <w:t>10.1002/anie.2472486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2-芳基苯并呋喃-3-酮作为天然产物和生物活性分子的关键支架，但它们的合成和随后的不对称官能化受到多步骤方案的阻碍，并且其衍生物在苯并呋喃-3-酮核的芳环上缺乏富电子取代基，不稳定性。在此，我们报道了1,2-二羰基化合物和3-(甲氧基甲基)吲哚之间的次膦酸酯介导、Mo催化的分子间不对称脱氧偶联反应，从而提供了一系列具有手性季碳中心的手性2-芳基苯并呋喃-3-酮，具有良好的产率和对映选择性。机理研究表明，次膦酸酯和钼配合物协同促进关键中间体的原位生成，而形式上的四价单核钼配合物是控制反应对映选择性的关键物质。这项工作扩大了手性萨伦-钼催化剂在不对称催化中的应用，为有价值的手性苯并呋喃酮衍生物提供了一条有效的途径。</w:t>
      </w:r>
    </w:p>
    <w:p>
      <w:pPr>
        <w:spacing w:before="0" w:after="200" w:lineRule="auto" w:line="276"/>
      </w:pPr>
      <w:r>
        <w:rPr>
          <w:b/>
        </w:rPr>
        <w:t xml:space="preserve">Abstract (EN): </w:t>
      </w:r>
      <w:r>
        <w:t>The 2‐aryl benzofuran‐3‐ones serve as pivotal scaffolds in natural products and bioactive molecules, yet their synthesis and subsequent asymmetric functionalization are hindered by multi‐step protocols and the lability of their derivatives lacking electron‐rich substituents on the aromatic ring of benzofuran‐3‐one core. Herein, we report a phosphinite‐mediated, Mo‐catalyzed intermolecular asymmetric deoxygenative coupling reaction between 1,2‐dicarbonyl compounds and 3‐(methoxymethyl)indoles, thus providing a series of chiral 2‐aryl benzofuran‐3‐ones with a chiral quaternary carbon center with generally good yields and enantioselectivities. Mechanistic studies reveal that phosphinite and the Mo‐complex synergistically promote the in situ generation of key intermediates, while the formally tetravalent mononuclear Mo‐complex serves as the key species governing the enantioselectivity of the reaction. This work expands the application of chiral salen‐Mo catalysts in asymmetric catalysis, offering an efficient route to valuable chiral benzofuranone derivatives.</w:t>
      </w:r>
    </w:p>
    <w:p>
      <w:pPr>
        <w:spacing w:before="120" w:after="120"/>
      </w:pPr>
      <w:r>
        <w:rPr>
          <w:sz w:val="18"/>
        </w:rPr>
        <w:t>——————————————————————————————————————————————————————————————————————</w:t>
      </w:r>
    </w:p>
    <w:p>
      <w:pPr>
        <w:spacing w:before="160" w:after="40" w:line="240" w:lineRule="auto"/>
      </w:pPr>
      <w:r>
        <w:rPr>
          <w:b/>
        </w:rPr>
        <w:t xml:space="preserve">[535] </w:t>
      </w:r>
      <w:hyperlink r:id="rId1240">
        <w:r>
          <w:rPr>
            <w:color w:val="1155CC"/>
            <w:u w:val="single"/>
          </w:rPr>
          <w:t>用于选择性甘油光电氧化和传质增强连续流操作的载流子动力学调节 BiOI/Au/TiO2 Z 型光阳极</w:t>
        </w:r>
      </w:hyperlink>
    </w:p>
    <w:p>
      <w:pPr>
        <w:spacing w:before="0" w:after="80"/>
      </w:pPr>
      <w:r>
        <w:rPr>
          <w:i/>
          <w:sz w:val="20"/>
        </w:rPr>
        <w:t>EN: Carrier‐Dynamics‐Regulated BiOI/Au/TiO2 Z‐Scheme Photoanode for Selective Glycerol Photoelectrooxidation and Mass‐Transfer‐Enhanced Continuous‐Flow Operation</w:t>
      </w:r>
    </w:p>
    <w:p>
      <w:pPr>
        <w:spacing w:before="0" w:after="120"/>
      </w:pPr>
      <w:r>
        <w:rPr>
          <w:b/>
        </w:rPr>
        <w:t xml:space="preserve">Source: </w:t>
      </w:r>
      <w:r>
        <w:t>Wiley: Angewandte Chemie International Edition: Table of Contents</w:t>
      </w:r>
      <w:r>
        <w:t xml:space="preserve">    </w:t>
      </w:r>
      <w:r>
        <w:rPr>
          <w:b/>
        </w:rPr>
        <w:t xml:space="preserve">Pub date: </w:t>
      </w:r>
      <w:r>
        <w:t>2026-06-18 17:17:49+00:00</w:t>
      </w:r>
      <w:r>
        <w:t xml:space="preserve">    </w:t>
      </w:r>
      <w:r>
        <w:rPr>
          <w:b/>
        </w:rPr>
        <w:t xml:space="preserve">DOI: </w:t>
      </w:r>
      <w:hyperlink r:id="rId1241">
        <w:r>
          <w:rPr>
            <w:color w:val="1155CC"/>
            <w:u w:val="single"/>
          </w:rPr>
          <w:t>10.1002/anie.5402705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将生物质衍生的甘油选择性转化为高价值化学品面临选择性差和传质限制的挑战。这里，BiOI/Au/TiO</w:t>
      </w:r>
      <w:r>
        <w:rPr>
          <w:vertAlign w:val="subscript"/>
        </w:rPr>
        <w:t>2</w:t>
      </w:r>
      <w:r>
        <w:t>开发了光阳极，其中等离子体金介体促进从 II 型到 Z 型电荷转移的转变。这种异质结在 TiO2 上保留了强氧化空穴</w:t>
      </w:r>
      <w:r>
        <w:rPr>
          <w:vertAlign w:val="subscript"/>
        </w:rPr>
        <w:t>2</w:t>
      </w:r>
      <w:r>
        <w:t>表面，通过飞秒瞬态吸收光谱和空间分辨 MnO 证实</w:t>
      </w:r>
      <w:r>
        <w:t xml:space="preserve"> </w:t>
      </w:r>
      <w:r>
        <w:t>x</w:t>
      </w:r>
      <w:r>
        <w:t xml:space="preserve"> </w:t>
      </w:r>
      <w:r>
        <w:t>光沉积。原位表征和密度泛函理论（DFT）表明，这种富含空穴的界面增强了特定伯羟基（pri-OH）的吸附，将决定速率的脱氢势垒降低至~0.6 eV。它还促进甘油醛 (GLAD) 快速解吸，抑制过度氧化。在静态 H 电池中，光电阳极的 GLAD 选择性达到 87%，甘油转化率为 341.25 mmol·m</w:t>
      </w:r>
      <w:r>
        <w:t xml:space="preserve"> </w:t>
      </w:r>
      <w:r>
        <w:t>−2</w:t>
      </w:r>
      <w:r>
        <w:t xml:space="preserve"> </w:t>
      </w:r>
      <w:r>
        <w:t>·小时</w:t>
      </w:r>
      <w:r>
        <w:t xml:space="preserve"> </w:t>
      </w:r>
      <w:r>
        <w:t>−1</w:t>
      </w:r>
      <w:r>
        <w:t xml:space="preserve"> </w:t>
      </w:r>
      <w:r>
        <w:t>。为了克服扩散限制，采用计算流体动力学 (CFD) 模拟来设计 100 cm 的连续流反应器</w:t>
      </w:r>
      <w:r>
        <w:rPr>
          <w:vertAlign w:val="subscript"/>
        </w:rPr>
        <w:t>2</w:t>
      </w:r>
      <w:r>
        <w:t>大面积光阳极。该流动系统可防止产物积累，将大面积电极的 GLAD 选择性从 48%（H 电池）提高到 77%，甘油转化率提高（60.34%），并可稳定运行 120 小时。这项工作提供了实验室规模扩大</w:t>
      </w:r>
    </w:p>
    <w:p>
      <w:pPr>
        <w:spacing w:before="0" w:after="200" w:lineRule="auto" w:line="276"/>
      </w:pPr>
      <w:r>
        <w:rPr>
          <w:b/>
        </w:rPr>
        <w:t xml:space="preserve">Abstract (EN): </w:t>
      </w:r>
      <w:r>
        <w:t>Selective conversion of biomass‐derived glycerol into high‐value chemicals is challenged by poor selectivity and mass‐transfer limitations. Here, a BiOI/Au/TiO</w:t>
      </w:r>
      <w:r>
        <w:rPr>
          <w:vertAlign w:val="subscript"/>
        </w:rPr>
        <w:t>2</w:t>
      </w:r>
      <w:r>
        <w:t>photoanode is developed, where plasmonic Au mediators facilitate a transition from Type‐II to Z‐scheme charge transfer. This heterojunction preserves strongly oxidative holes on the TiO</w:t>
      </w:r>
      <w:r>
        <w:rPr>
          <w:vertAlign w:val="subscript"/>
        </w:rPr>
        <w:t>2</w:t>
      </w:r>
      <w:r>
        <w:t>surface, as confirmed by femtosecond transient absorption spectroscopy and spatially resolved MnO</w:t>
      </w:r>
      <w:r>
        <w:t xml:space="preserve"> </w:t>
      </w:r>
      <w:r>
        <w:t>x</w:t>
      </w:r>
      <w:r>
        <w:t xml:space="preserve"> </w:t>
      </w:r>
      <w:r>
        <w:t>photodeposition. In situ characterizations and density functional theory (DFT) reveal that this hole‐rich interface strengthens specific primary hydroxyl (pri‐OH) adsorption, lowering the rate‐determining dehydrogenation barrier to ∼0.6 eV. It also promotes rapid glyceraldehyde (GLAD) desorption, suppressing over‐oxidation. In a static H‐cell, the photoanode achieves 87% GLAD selectivity with a glycerol conversion rate of 341.25 mmol·m</w:t>
      </w:r>
      <w:r>
        <w:t xml:space="preserve"> </w:t>
      </w:r>
      <w:r>
        <w:t>−2</w:t>
      </w:r>
      <w:r>
        <w:t xml:space="preserve"> </w:t>
      </w:r>
      <w:r>
        <w:t>·h</w:t>
      </w:r>
      <w:r>
        <w:t xml:space="preserve"> </w:t>
      </w:r>
      <w:r>
        <w:t>−1</w:t>
      </w:r>
      <w:r>
        <w:t xml:space="preserve"> </w:t>
      </w:r>
      <w:r>
        <w:t>. To overcome diffusion limitations, computational fluid dynamics (CFD) simulations were employed to design a continuous‐flow reactor for the 100 cm</w:t>
      </w:r>
      <w:r>
        <w:rPr>
          <w:vertAlign w:val="subscript"/>
        </w:rPr>
        <w:t>2</w:t>
      </w:r>
      <w:r>
        <w:t>large‐area photoanode. The flow system prevents product accumulation, boosting GLAD selectivity from 48% (H‐cell) to 77% for the large‐area electrode, with enhanced glycerol conversion (60.34%) and stable 120 h operation. This work provides a laboratory scale‐up by integrating nanoscale reprogramming with macroscale reactor engineering.</w:t>
      </w:r>
    </w:p>
    <w:p>
      <w:pPr>
        <w:spacing w:before="120" w:after="120"/>
      </w:pPr>
      <w:r>
        <w:rPr>
          <w:sz w:val="18"/>
        </w:rPr>
        <w:t>——————————————————————————————————————————————————————————————————————</w:t>
      </w:r>
    </w:p>
    <w:p>
      <w:pPr>
        <w:spacing w:before="160" w:after="40" w:line="240" w:lineRule="auto"/>
      </w:pPr>
      <w:r>
        <w:rPr>
          <w:b/>
        </w:rPr>
        <w:t xml:space="preserve">[536] </w:t>
      </w:r>
      <w:hyperlink r:id="rId1242">
        <w:r>
          <w:rPr>
            <w:color w:val="1155CC"/>
            <w:u w:val="single"/>
          </w:rPr>
          <w:t>高碱性介质中甘油的缩酮保护用于选择性电合成甘油酸</w:t>
        </w:r>
      </w:hyperlink>
    </w:p>
    <w:p>
      <w:pPr>
        <w:spacing w:before="0" w:after="80"/>
      </w:pPr>
      <w:r>
        <w:rPr>
          <w:i/>
          <w:sz w:val="20"/>
        </w:rPr>
        <w:t>EN: Ketal Protection of Glycerol for Selective Electrosynthesis of Glyceric Acid in Highly Alkaline Media</w:t>
      </w:r>
    </w:p>
    <w:p>
      <w:pPr>
        <w:spacing w:before="0" w:after="120"/>
      </w:pPr>
      <w:r>
        <w:rPr>
          <w:b/>
        </w:rPr>
        <w:t xml:space="preserve">Source: </w:t>
      </w:r>
      <w:r>
        <w:t>Wiley: Angewandte Chemie International Edition: Table of Contents</w:t>
      </w:r>
      <w:r>
        <w:t xml:space="preserve">    </w:t>
      </w:r>
      <w:r>
        <w:rPr>
          <w:b/>
        </w:rPr>
        <w:t xml:space="preserve">Pub date: </w:t>
      </w:r>
      <w:r>
        <w:t>2026-06-18 17:19:34+00:00</w:t>
      </w:r>
      <w:r>
        <w:t xml:space="preserve">    </w:t>
      </w:r>
      <w:r>
        <w:rPr>
          <w:b/>
        </w:rPr>
        <w:t xml:space="preserve">DOI: </w:t>
      </w:r>
      <w:hyperlink r:id="rId1243">
        <w:r>
          <w:rPr>
            <w:color w:val="1155CC"/>
            <w:u w:val="single"/>
          </w:rPr>
          <w:t>10.1002/anie.5555743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电催化甘油氧化代表了甘油增值的可持续途径，但由于竞争性 C─C 键断裂和复杂的氧化途径，非贵金属催化剂对甘油酸 (GLA) 的高选择性仍然具有挑战性。在这里，我们引入了 solketal（一种缩酮保护的甘油衍生物）来控制反应选择性。其刚性的五元缩酮结构选择性地暴露伯羟基，同时屏蔽邻位二醇，从而实现位点选择性氧化并抑制C-C断裂。使用非贵金属铜</w:t>
      </w:r>
      <w:r>
        <w:rPr>
          <w:vertAlign w:val="subscript"/>
        </w:rPr>
        <w:t>3</w:t>
      </w:r>
      <w:r>
        <w:t>莫</w:t>
      </w:r>
      <w:r>
        <w:rPr>
          <w:vertAlign w:val="subscript"/>
        </w:rPr>
        <w:t>2</w:t>
      </w:r>
      <w:r>
        <w:t>氧</w:t>
      </w:r>
      <w:r>
        <w:rPr>
          <w:vertAlign w:val="subscript"/>
        </w:rPr>
        <w:t>9</w:t>
      </w:r>
      <w:r>
        <w:t>在含有 0.2 M 乙二醇缩酮的 6.0 M KOH 催化剂中，该系统实现了创纪录的 90.1% GLA 选择性，产率为 675.45 µmol cm</w:t>
      </w:r>
      <w:r>
        <w:t xml:space="preserve"> </w:t>
      </w:r>
      <w:r>
        <w:t>−2</w:t>
      </w:r>
      <w:r>
        <w:t xml:space="preserve"> </w:t>
      </w:r>
      <w:r>
        <w:t>小时</w:t>
      </w:r>
      <w:r>
        <w:t xml:space="preserve"> </w:t>
      </w:r>
      <w:r>
        <w:t>−1</w:t>
      </w:r>
      <w:r>
        <w:t xml:space="preserve"> </w:t>
      </w:r>
      <w:r>
        <w:t>在 1.40 V 相对于 RHE 的电压下，在 5 小时内达到约 95% 的底物转化率，并保持稳定运行超过 100 小时。机理研究表明，高碱性条件会促进醇缩酮去质子化为活性醇盐物质，削弱 C</w:t>
      </w:r>
      <w:r>
        <w:t xml:space="preserve"> </w:t>
      </w:r>
      <w:r>
        <w:t>α</w:t>
      </w:r>
      <w:r>
        <w:t xml:space="preserve"> </w:t>
      </w:r>
      <w:r>
        <w:t>─H键加速脱氢动力学，减轻局部界面酸化，从而稳定缩酮保护的中间体并抑制副反应。此外，通过集成上游 solketal 合成（产率 90%，纯度 99%）和下游 GLA 分离证明了实际可行性。</w:t>
      </w:r>
    </w:p>
    <w:p>
      <w:pPr>
        <w:spacing w:before="0" w:after="200" w:lineRule="auto" w:line="276"/>
      </w:pPr>
      <w:r>
        <w:rPr>
          <w:b/>
        </w:rPr>
        <w:t xml:space="preserve">Abstract (EN): </w:t>
      </w:r>
      <w:r>
        <w:t>Electrocatalytic glycerol oxidation represents a sustainable route for glycerol valorization, yet high selectivity toward glyceric acid (GLA) remains challenging on non‐noble‐metal catalysts due to competing C─C bond cleavage and complex oxidation pathways. Herein, we introduce solketal, a ketal‐protected glycerol derivative, to steer reaction selectivity. Its rigid five‐membered ketal structure selectively exposes the primary hydroxyl group while shielding vicinal diols, thereby enforcing site‐selective oxidation and suppressing C–C scission. Using a non‐noble Cu</w:t>
      </w:r>
      <w:r>
        <w:rPr>
          <w:vertAlign w:val="subscript"/>
        </w:rPr>
        <w:t>3</w:t>
      </w:r>
      <w:r>
        <w:t>Mo</w:t>
      </w:r>
      <w:r>
        <w:rPr>
          <w:vertAlign w:val="subscript"/>
        </w:rPr>
        <w:t>2</w:t>
      </w:r>
      <w:r>
        <w:t>O</w:t>
      </w:r>
      <w:r>
        <w:rPr>
          <w:vertAlign w:val="subscript"/>
        </w:rPr>
        <w:t>9</w:t>
      </w:r>
      <w:r>
        <w:t>catalyst in 6.0 M KOH with 0.2 M solketal, the system achieves a record‐high GLA selectivity of 90.1% with a production rate of 675.45 µmol cm</w:t>
      </w:r>
      <w:r>
        <w:t xml:space="preserve"> </w:t>
      </w:r>
      <w:r>
        <w:t>−2</w:t>
      </w:r>
      <w:r>
        <w:t xml:space="preserve"> </w:t>
      </w:r>
      <w:r>
        <w:t>h</w:t>
      </w:r>
      <w:r>
        <w:t xml:space="preserve"> </w:t>
      </w:r>
      <w:r>
        <w:t>−1</w:t>
      </w:r>
      <w:r>
        <w:t xml:space="preserve"> </w:t>
      </w:r>
      <w:r>
        <w:t>at 1.40 V versus RHE, reaching ∼95% substrate conversion within 5 h and maintaining stable operation over 100 h. Mechanistic investigations reveal that highly alkaline conditions promote solketal deprotonation to reactive alkoxide species, weaken the C</w:t>
      </w:r>
      <w:r>
        <w:t xml:space="preserve"> </w:t>
      </w:r>
      <w:r>
        <w:t>α</w:t>
      </w:r>
      <w:r>
        <w:t xml:space="preserve"> </w:t>
      </w:r>
      <w:r>
        <w:t>─H bond to accelerate dehydrogenation kinetics, and mitigate local interfacial acidification, thus stabilizing the ketal‐protected intermediate and suppressing side reactions. Furthermore, practical feasibility is demonstrated through integrated upstream solketal synthesis (90% yield, 99% purity) and downstream GLA isolation (99% purity). This work establishes a substrate‐protection strategy for steering reaction pathways, offering new insights into the selective conversion of biomass‐derived polyols into value‐added oxygenates.</w:t>
      </w:r>
    </w:p>
    <w:p>
      <w:pPr>
        <w:spacing w:before="120" w:after="120"/>
      </w:pPr>
      <w:r>
        <w:rPr>
          <w:sz w:val="18"/>
        </w:rPr>
        <w:t>——————————————————————————————————————————————————————————————————————</w:t>
      </w:r>
    </w:p>
    <w:p>
      <w:pPr>
        <w:spacing w:before="160" w:after="40" w:line="240" w:lineRule="auto"/>
      </w:pPr>
      <w:r>
        <w:rPr>
          <w:b/>
        </w:rPr>
        <w:t xml:space="preserve">[537] </w:t>
      </w:r>
      <w:hyperlink r:id="rId1244">
        <w:r>
          <w:rPr>
            <w:color w:val="1155CC"/>
            <w:u w:val="single"/>
          </w:rPr>
          <w:t>三基序共价有机框架中的 π 桥调制，实现水和空气中 H2O2 的高效光合作用</w:t>
        </w:r>
      </w:hyperlink>
    </w:p>
    <w:p>
      <w:pPr>
        <w:spacing w:before="0" w:after="80"/>
      </w:pPr>
      <w:r>
        <w:rPr>
          <w:i/>
          <w:sz w:val="20"/>
        </w:rPr>
        <w:t>EN: π‐Bridge Modulation in Three‐Motif Covalent Organic Framework for Efficient H2O2 Photosynthesis From Water and Air</w:t>
      </w:r>
    </w:p>
    <w:p>
      <w:pPr>
        <w:spacing w:before="0" w:after="120"/>
      </w:pPr>
      <w:r>
        <w:rPr>
          <w:b/>
        </w:rPr>
        <w:t xml:space="preserve">Source: </w:t>
      </w:r>
      <w:r>
        <w:t>Wiley: Angewandte Chemie International Edition: Table of Contents</w:t>
      </w:r>
      <w:r>
        <w:t xml:space="preserve">    </w:t>
      </w:r>
      <w:r>
        <w:rPr>
          <w:b/>
        </w:rPr>
        <w:t xml:space="preserve">Pub date: </w:t>
      </w:r>
      <w:r>
        <w:t>2026-06-18 17:28:45+00:00</w:t>
      </w:r>
      <w:r>
        <w:t xml:space="preserve">    </w:t>
      </w:r>
      <w:r>
        <w:rPr>
          <w:b/>
        </w:rPr>
        <w:t xml:space="preserve">DOI: </w:t>
      </w:r>
      <w:hyperlink r:id="rId1245">
        <w:r>
          <w:rPr>
            <w:color w:val="1155CC"/>
            <w:u w:val="single"/>
          </w:rPr>
          <w:t>10.1002/anie.4188400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由于不可控的交叉电荷转移，将强光敏部分和多个活性位点合理集成到高性能光催化剂中具有挑战性。本文研究了一系列亚胺键合的双基元和三基元共价有机框架 USTB-65∼USTB-68，其特征是三苯胺单元作为电子给体 (D) 以及苯并噻二唑和/或 2,4,6-三苯基-1,3,5-三嗪部分作为电子受体 (A)。将苯环作为 π 桥引入三基序 USTB-65 的 D-A-A 晶格中，得到 D-A-π-A USTB-66，从而导致三个基序之间更容易的激子解离和有效的逐步电荷转移，正如各种光物理研究和理论计算所揭示的那样。这与强光吸收和多个光催化位点相结合，导致 USTB-66 在 H 中具有出色的活性。</w:t>
      </w:r>
      <w:r>
        <w:rPr>
          <w:vertAlign w:val="subscript"/>
        </w:rPr>
        <w:t>2</w:t>
      </w:r>
      <w:r>
        <w:t>氧</w:t>
      </w:r>
      <w:r>
        <w:rPr>
          <w:vertAlign w:val="subscript"/>
        </w:rPr>
        <w:t>2</w:t>
      </w:r>
      <w:r>
        <w:t>利用水和空气进行光生产，生产率达到 11.2 mmol g</w:t>
      </w:r>
      <w:r>
        <w:t xml:space="preserve"> </w:t>
      </w:r>
      <w:r>
        <w:t>−1</w:t>
      </w:r>
      <w:r>
        <w:t xml:space="preserve"> </w:t>
      </w:r>
      <w:r>
        <w:t>小时</w:t>
      </w:r>
      <w:r>
        <w:t xml:space="preserve"> </w:t>
      </w:r>
      <w:r>
        <w:t>−1</w:t>
      </w:r>
      <w:r>
        <w:t xml:space="preserve"> </w:t>
      </w:r>
      <w:r>
        <w:t>，在 550 nm 处具有 27.3% 的出色表观量子产率，太阳能到化学物质的转化效率为 2.71%。在太阳能聚光器下，H</w:t>
      </w:r>
      <w:r>
        <w:rPr>
          <w:vertAlign w:val="subscript"/>
        </w:rPr>
        <w:t>2</w:t>
      </w:r>
      <w:r>
        <w:t>氧</w:t>
      </w:r>
      <w:r>
        <w:rPr>
          <w:vertAlign w:val="subscript"/>
        </w:rPr>
        <w:t>2</w:t>
      </w:r>
      <w:r>
        <w:t>基于 USTB-66 在流动反应器中的生产率进一步提高至 33.8 mmol g</w:t>
      </w:r>
      <w:r>
        <w:t xml:space="preserve"> </w:t>
      </w:r>
      <w:r>
        <w:t>−1</w:t>
      </w:r>
      <w:r>
        <w:t xml:space="preserve"> </w:t>
      </w:r>
      <w:r>
        <w:t>小时</w:t>
      </w:r>
      <w:r>
        <w:t xml:space="preserve"> </w:t>
      </w:r>
      <w:r>
        <w:t>−1</w:t>
      </w:r>
    </w:p>
    <w:p>
      <w:pPr>
        <w:spacing w:before="0" w:after="200" w:lineRule="auto" w:line="276"/>
      </w:pPr>
      <w:r>
        <w:rPr>
          <w:b/>
        </w:rPr>
        <w:t xml:space="preserve">Abstract (EN): </w:t>
      </w:r>
      <w:r>
        <w:t>Rational integration of strong photosensitive moieties and multiple active sites into high performance photocatalysts is challenging due to uncontrollable intercrossing charge transfer. Herein, a series of imine‐bonded two‐ and three‐motif covalent organic frameworks, USTB‐65∼USTB‐68, have been studied, which feature triphenylamine unit as electron‐donor (D) together with benzothiadiazole and/or 2,4,6‐triphenyl‐1,3,5‐triazine moieties as electron‐acceptor (A). Introduction of benzene rings as π‐bridge into the D–A–A lattice of three‐motif USTB‐65 affords D–A–π–A USTB‐66, leading to more facile exciton dissociation and efficient step‐wise charge transfer among three motifs as revealed by various photophysical investigations and theoretical calculations. This, in combination with strong light absorption and multiple photocatalytic sites, results in the outstanding activity of USTB‐66 in H</w:t>
      </w:r>
      <w:r>
        <w:rPr>
          <w:vertAlign w:val="subscript"/>
        </w:rPr>
        <w:t>2</w:t>
      </w:r>
      <w:r>
        <w:t>O</w:t>
      </w:r>
      <w:r>
        <w:rPr>
          <w:vertAlign w:val="subscript"/>
        </w:rPr>
        <w:t>2</w:t>
      </w:r>
      <w:r>
        <w:t>photoproduction from water and air, achieving a production rate of 11.2 mmol g</w:t>
      </w:r>
      <w:r>
        <w:t xml:space="preserve"> </w:t>
      </w:r>
      <w:r>
        <w:t>‒1</w:t>
      </w:r>
      <w:r>
        <w:t xml:space="preserve"> </w:t>
      </w:r>
      <w:r>
        <w:t>h</w:t>
      </w:r>
      <w:r>
        <w:t xml:space="preserve"> </w:t>
      </w:r>
      <w:r>
        <w:t>‒1</w:t>
      </w:r>
      <w:r>
        <w:t xml:space="preserve"> </w:t>
      </w:r>
      <w:r>
        <w:t>, an outstanding apparent quantum yield of 27.3% at 550 nm, and a solar‐to‐chemical conversion efficiency of 2.71%. Under solar concentrator, the H</w:t>
      </w:r>
      <w:r>
        <w:rPr>
          <w:vertAlign w:val="subscript"/>
        </w:rPr>
        <w:t>2</w:t>
      </w:r>
      <w:r>
        <w:t>O</w:t>
      </w:r>
      <w:r>
        <w:rPr>
          <w:vertAlign w:val="subscript"/>
        </w:rPr>
        <w:t>2</w:t>
      </w:r>
      <w:r>
        <w:t>production rate based on USTB‐66 in a flow reactor is further increased to 33.8 mmol g</w:t>
      </w:r>
      <w:r>
        <w:t xml:space="preserve"> </w:t>
      </w:r>
      <w:r>
        <w:t>‒1</w:t>
      </w:r>
      <w:r>
        <w:t xml:space="preserve"> </w:t>
      </w:r>
      <w:r>
        <w:t>h</w:t>
      </w:r>
      <w:r>
        <w:t xml:space="preserve"> </w:t>
      </w:r>
      <w:r>
        <w:t>‒1</w:t>
      </w:r>
      <w:r>
        <w:t xml:space="preserve"> </w:t>
      </w:r>
      <w:r>
        <w:t>during 24 h irradiation.</w:t>
      </w:r>
    </w:p>
    <w:p>
      <w:pPr>
        <w:spacing w:before="120" w:after="120"/>
      </w:pPr>
      <w:r>
        <w:rPr>
          <w:sz w:val="18"/>
        </w:rPr>
        <w:t>——————————————————————————————————————————————————————————————————————</w:t>
      </w:r>
    </w:p>
    <w:p>
      <w:pPr>
        <w:spacing w:before="160" w:after="40" w:line="240" w:lineRule="auto"/>
      </w:pPr>
      <w:r>
        <w:rPr>
          <w:b/>
        </w:rPr>
        <w:t xml:space="preserve">[538] </w:t>
      </w:r>
      <w:hyperlink r:id="rId1246">
        <w:r>
          <w:rPr>
            <w:color w:val="1155CC"/>
            <w:u w:val="single"/>
          </w:rPr>
          <w:t>定制铜局部微环境以创建工业级甲醛电氧化的甲酸盐转化-解吸平衡</w:t>
        </w:r>
      </w:hyperlink>
    </w:p>
    <w:p>
      <w:pPr>
        <w:spacing w:before="0" w:after="80"/>
      </w:pPr>
      <w:r>
        <w:rPr>
          <w:i/>
          <w:sz w:val="20"/>
        </w:rPr>
        <w:t>EN: Tailoring the Cu Local Microenvironment to Create Formate Conversion‐Desorption Equilibrium for Industrial Level Formaldehyde Electrooxidation</w:t>
      </w:r>
    </w:p>
    <w:p>
      <w:pPr>
        <w:spacing w:before="0" w:after="120"/>
      </w:pPr>
      <w:r>
        <w:rPr>
          <w:b/>
        </w:rPr>
        <w:t xml:space="preserve">Source: </w:t>
      </w:r>
      <w:r>
        <w:t>Wiley: Angewandte Chemie International Edition: Table of Contents</w:t>
      </w:r>
      <w:r>
        <w:t xml:space="preserve">    </w:t>
      </w:r>
      <w:r>
        <w:rPr>
          <w:b/>
        </w:rPr>
        <w:t xml:space="preserve">Pub date: </w:t>
      </w:r>
      <w:r>
        <w:t>2026-06-18 17:30:35+00:00</w:t>
      </w:r>
      <w:r>
        <w:t xml:space="preserve">    </w:t>
      </w:r>
      <w:r>
        <w:rPr>
          <w:b/>
        </w:rPr>
        <w:t xml:space="preserve">DOI: </w:t>
      </w:r>
      <w:hyperlink r:id="rId1247">
        <w:r>
          <w:rPr>
            <w:color w:val="1155CC"/>
            <w:u w:val="single"/>
          </w:rPr>
          <w:t>10.1002/anie.9923674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铜基电催化剂对甲醛氧化表现出较高的初始活性，但在工业相关的电流密度下会快速失活。虽然这种不稳定性传统上被归因于铜的自氧化，但性能下降的根本原因仍然存在争议。在这里，我们表明，甲酸盐中间体的持续积累而不是铜的氧化构成了主要的失活途径，并且可以通过局部电子微环境工程建立动态转化-解吸平衡来克服这一瓶颈。我们开发了一种 AgCu 微球催化剂 (AgCu-MSs/CF)，优化的银负载量为 4.1 wt.%，电流密度达到 1068 mA cm</w:t>
      </w:r>
      <w:r>
        <w:t xml:space="preserve"> </w:t>
      </w:r>
      <w:r>
        <w:t>−2</w:t>
      </w:r>
      <w:r>
        <w:t xml:space="preserve"> </w:t>
      </w:r>
      <w:r>
        <w:t>在相对于 RHE 为 1.0 V 的电压下工作，并在高达 1.3 V 相对于 RHE 的电压下稳定运行，远远超出了铜的热力学氧化极限。结合原位光谱和密度泛函理论表明，Ag 的掺入会诱导电子从 Ag 转移到 Cu，从而使 Cu 的 d 带中心下移。这种电子调节削弱了甲酸的吸附，从而防止活性位点阻塞并确保持续的催化活性。利用这一设计原理，双极 FOR||HER 电解槽可稳定运行超过 312 小时。这项工作表明，设计中间体形成和去除之间的动态平衡为减轻复杂氧化反应的铜基催化剂中毒提供了一种通用策略。</w:t>
      </w:r>
    </w:p>
    <w:p>
      <w:pPr>
        <w:spacing w:before="0" w:after="200" w:lineRule="auto" w:line="276"/>
      </w:pPr>
      <w:r>
        <w:rPr>
          <w:b/>
        </w:rPr>
        <w:t xml:space="preserve">Abstract (EN): </w:t>
      </w:r>
      <w:r>
        <w:t>Copper‐based electrocatalysts exhibit high initial activity for formaldehyde oxidation but suffer rapid deactivation under industrially relevant current densities. While this instability has traditionally been attributed to copper self‐oxidation, the fundamental origin of performance decay remains debated. Here we show that the persistent accumulation of formate intermediates rather than Cu oxidation constitutes the primary deactivation pathway, and that this bottleneck can be overcome by establishing a dynamic conversion‐desorption equilibrium through local electronic microenvironment engineering. We develop an AgCu microsphere catalyst (AgCu‐MSs/CF) with an optimized Ag loading of 4.1 wt.%, which achieves a current density of 1068 mA cm</w:t>
      </w:r>
      <w:r>
        <w:t xml:space="preserve"> </w:t>
      </w:r>
      <w:r>
        <w:t>−2</w:t>
      </w:r>
      <w:r>
        <w:t xml:space="preserve"> </w:t>
      </w:r>
      <w:r>
        <w:t>at 1.0 V versus RHE and operates stably up to 1.3 V versus RHE, well beyond the thermodynamic oxidation limit of Cu. Combined in situ spectroscopy and density functional theory reveal that Ag incorporation induces electron transfer from Ag to Cu, downshifting the d‐band center of Cu. This electronic modulation weakens formate adsorption, thus preventing active‐site blocking and ensuring the sustained catalytic activity. Leveraging this design principle, a bipolar FOR||HER electrolyzer operates stably for over 312 h. This work establishes that engineering the dynamic equilibrium between intermediate formation and removal offers a generalizable strategy to mitigate poisoning in Cu‐based catalysts for complex oxidation reactions.</w:t>
      </w:r>
    </w:p>
    <w:p>
      <w:pPr>
        <w:spacing w:before="120" w:after="120"/>
      </w:pPr>
      <w:r>
        <w:rPr>
          <w:sz w:val="18"/>
        </w:rPr>
        <w:t>——————————————————————————————————————————————————————————————————————</w:t>
      </w:r>
    </w:p>
    <w:p>
      <w:pPr>
        <w:spacing w:before="160" w:after="40" w:line="240" w:lineRule="auto"/>
      </w:pPr>
      <w:r>
        <w:rPr>
          <w:b/>
        </w:rPr>
        <w:t xml:space="preserve">[539] </w:t>
      </w:r>
      <w:hyperlink r:id="rId1248">
        <w:r>
          <w:rPr>
            <w:color w:val="1155CC"/>
            <w:u w:val="single"/>
          </w:rPr>
          <w:t>环丙烯-丙二烯复分解法非对映选择性合成含有四元立构中心的轴向手性跳跃烯-丙二烯</w:t>
        </w:r>
      </w:hyperlink>
    </w:p>
    <w:p>
      <w:pPr>
        <w:spacing w:before="0" w:after="80"/>
      </w:pPr>
      <w:r>
        <w:rPr>
          <w:i/>
          <w:sz w:val="20"/>
        </w:rPr>
        <w:t>EN: Diastereoselective Synthesis of Axially Chiral Skipped Ene–Allenes Containing a Quaternary Stereocenter by Cyclopropene–Allene Metathesis</w:t>
      </w:r>
    </w:p>
    <w:p>
      <w:pPr>
        <w:spacing w:before="0" w:after="120"/>
      </w:pPr>
      <w:r>
        <w:rPr>
          <w:b/>
        </w:rPr>
        <w:t xml:space="preserve">Source: </w:t>
      </w:r>
      <w:r>
        <w:t>Wiley: Angewandte Chemie International Edition: Table of Contents</w:t>
      </w:r>
      <w:r>
        <w:t xml:space="preserve">    </w:t>
      </w:r>
      <w:r>
        <w:rPr>
          <w:b/>
        </w:rPr>
        <w:t xml:space="preserve">Pub date: </w:t>
      </w:r>
      <w:r>
        <w:t>2026-06-18 17:37:31+00:00</w:t>
      </w:r>
      <w:r>
        <w:t xml:space="preserve">    </w:t>
      </w:r>
      <w:r>
        <w:rPr>
          <w:b/>
        </w:rPr>
        <w:t xml:space="preserve">DOI: </w:t>
      </w:r>
      <w:hyperlink r:id="rId1249">
        <w:r>
          <w:rPr>
            <w:color w:val="1155CC"/>
            <w:u w:val="single"/>
          </w:rPr>
          <w:t>10.1002/anie.6899304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首次通过介观环丙烯和丙二烯的非对映选择性开环复分解制备了带有全碳四元立构中心的官能化跳跃烯-丙二烯（1,4-烯丙二烯）。多种丙二烯与环丙烯的战略配对揭示了一种获得高反应活性和化学选择性的新方法，并在低 Ru 催化剂负载量下提供了具有优异非对映选择性的产品。机理研究描述了复分解伙伴的反应顺序，确定了关键的非对映选择性决定步骤，并阐明了控制交叉/同复分解比率和非对映选择性的主要因素。丙二烯基-Bpin、-甲硅烷基和-甲锗基基团的存在使得丙二烯在末端烯烃上能够进行高度化学选择性的官能化，证明了该产品作为有机合成中多功能中间体的合成效用</w:t>
      </w:r>
    </w:p>
    <w:p>
      <w:pPr>
        <w:spacing w:before="0" w:after="200" w:lineRule="auto" w:line="276"/>
      </w:pPr>
      <w:r>
        <w:rPr>
          <w:b/>
        </w:rPr>
        <w:t xml:space="preserve">Abstract (EN): </w:t>
      </w:r>
      <w:r>
        <w:t>Functionalized skipped ene–allenes (1,4‐enallenes) bearing an all‑carbon quaternary stereocenter were prepared by a diastereoselective ring‐opening metathesis of mesomeric cyclopropene and allene for the first time. A strategic pairing of a broad range of allenes with cyclopropenes revealed a new way to access high reactivity and chemoselectivity, and delivered products with excellent diastereoselectivity at low Ru catalyst loading. Mechanistic studies delineate the reactivity order of the metathesis partners, identify the key diastereoselectivity‐determining step, and clarify the main factors governing the cross‐/homo‐metathesis ratio and diastereoselectivity. The presence of allenyl–Bpin, –silyl, and –germanyl groups allows highly chemoselective functionalization at the allene over the terminal alkene, demonstrating the synthetic utility of the products as versatile intermediates in organic synthesis</w:t>
      </w:r>
    </w:p>
    <w:p>
      <w:pPr>
        <w:spacing w:before="120" w:after="120"/>
      </w:pPr>
      <w:r>
        <w:rPr>
          <w:sz w:val="18"/>
        </w:rPr>
        <w:t>——————————————————————————————————————————————————————————————————————</w:t>
      </w:r>
    </w:p>
    <w:p>
      <w:pPr>
        <w:spacing w:before="160" w:after="40" w:line="240" w:lineRule="auto"/>
      </w:pPr>
      <w:r>
        <w:rPr>
          <w:b/>
        </w:rPr>
        <w:t xml:space="preserve">[540] </w:t>
      </w:r>
      <w:hyperlink r:id="rId1250">
        <w:r>
          <w:rPr>
            <w:color w:val="1155CC"/>
            <w:u w:val="single"/>
          </w:rPr>
          <w:t>通过界面连接对 DNA 砖晶体中的维度转变进行编程</w:t>
        </w:r>
      </w:hyperlink>
    </w:p>
    <w:p>
      <w:pPr>
        <w:spacing w:before="0" w:after="80"/>
      </w:pPr>
      <w:r>
        <w:rPr>
          <w:i/>
          <w:sz w:val="20"/>
        </w:rPr>
        <w:t>EN: Programming Dimensional Transitions in DNA Brick Crystals via Interfacial Connectivity</w:t>
      </w:r>
    </w:p>
    <w:p>
      <w:pPr>
        <w:spacing w:before="0" w:after="120"/>
      </w:pPr>
      <w:r>
        <w:rPr>
          <w:b/>
        </w:rPr>
        <w:t xml:space="preserve">Source: </w:t>
      </w:r>
      <w:r>
        <w:t>Wiley: Angewandte Chemie International Edition: Table of Contents</w:t>
      </w:r>
      <w:r>
        <w:t xml:space="preserve">    </w:t>
      </w:r>
      <w:r>
        <w:rPr>
          <w:b/>
        </w:rPr>
        <w:t xml:space="preserve">Pub date: </w:t>
      </w:r>
      <w:r>
        <w:t>2026-06-18 17:39:42+00:00</w:t>
      </w:r>
      <w:r>
        <w:t xml:space="preserve">    </w:t>
      </w:r>
      <w:r>
        <w:rPr>
          <w:b/>
        </w:rPr>
        <w:t xml:space="preserve">DOI: </w:t>
      </w:r>
      <w:hyperlink r:id="rId1251">
        <w:r>
          <w:rPr>
            <w:color w:val="1155CC"/>
            <w:u w:val="single"/>
          </w:rPr>
          <w:t>10.1002/anie.2278382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组装维数和宏观结构参数的精确控制仍然是分子自组装的基本挑战。在这里，我们引入了一种可编程策略，通过设计连接接口来控制 DNA 砖晶体的 1D 到 2D 维度转变和结构宽度。使用接口连接股数（</w:t>
      </w:r>
      <w:r>
        <w:t xml:space="preserve"> </w:t>
      </w:r>
      <w:r>
        <w:t>氮</w:t>
      </w:r>
      <w:r>
        <w:t xml:space="preserve"> </w:t>
      </w:r>
      <w:r>
        <w:t>x</w:t>
      </w:r>
      <w:r>
        <w:t xml:space="preserve"> </w:t>
      </w:r>
      <w:r>
        <w:t>）作为定量设计参数，我们发现蜂窝状和方形晶格中都保留了尖锐的尺寸阈值。在</w:t>
      </w:r>
      <w:r>
        <w:t xml:space="preserve"> </w:t>
      </w:r>
      <w:r>
        <w:t>氮</w:t>
      </w:r>
      <w:r>
        <w:t xml:space="preserve"> </w:t>
      </w:r>
      <w:r>
        <w:t>x</w:t>
      </w:r>
      <w:r>
        <w:t xml:space="preserve"> </w:t>
      </w:r>
      <w:r>
        <w:t>≤ 8，组装严格限制在一维纳米带；而在</w:t>
      </w:r>
      <w:r>
        <w:t xml:space="preserve"> </w:t>
      </w:r>
      <w:r>
        <w:t>氮</w:t>
      </w:r>
      <w:r>
        <w:t xml:space="preserve"> </w:t>
      </w:r>
      <w:r>
        <w:t>x</w:t>
      </w:r>
      <w:r>
        <w:t xml:space="preserve"> </w:t>
      </w:r>
      <w:r>
        <w:t>≥ 12，横向耦合激活扩展的二维数组，其结构宽度随着</w:t>
      </w:r>
      <w:r>
        <w:t xml:space="preserve"> </w:t>
      </w:r>
      <w:r>
        <w:t>氮</w:t>
      </w:r>
      <w:r>
        <w:t xml:space="preserve"> </w:t>
      </w:r>
      <w:r>
        <w:t>x</w:t>
      </w:r>
      <w:r>
        <w:t xml:space="preserve"> </w:t>
      </w:r>
      <w:r>
        <w:t>。热和热力学分析表明，这种尖锐的阈值行为与晶格无关，并且源于横向连接域的尺寸依赖性热稳定性。我们的工作建立了界面连接作为具有可编程维度和规定宽度的自组装纳米结构的按需工程的预测处理。</w:t>
      </w:r>
    </w:p>
    <w:p>
      <w:pPr>
        <w:spacing w:before="0" w:after="200" w:lineRule="auto" w:line="276"/>
      </w:pPr>
      <w:r>
        <w:rPr>
          <w:b/>
        </w:rPr>
        <w:t xml:space="preserve">Abstract (EN): </w:t>
      </w:r>
      <w:r>
        <w:t>The precise control of assembly dimensionality and macroscopic structural parameters remains a fundamental challenge in molecular self‐assembly. Here, we introduce a programmable strategy to govern the 1D‐to‐2D dimensional transition and structural width of DNA brick crystals by engineering their connecting interfaces. Using the number of interface connecting strands (</w:t>
      </w:r>
      <w:r>
        <w:t xml:space="preserve"> </w:t>
      </w:r>
      <w:r>
        <w:t>N</w:t>
      </w:r>
      <w:r>
        <w:t xml:space="preserve"> </w:t>
      </w:r>
      <w:r>
        <w:t>x</w:t>
      </w:r>
      <w:r>
        <w:t xml:space="preserve"> </w:t>
      </w:r>
      <w:r>
        <w:t>) as a quantitative design parameter, we discover a sharp dimensional threshold that is preserved across both honeycomb and square lattices. At</w:t>
      </w:r>
      <w:r>
        <w:t xml:space="preserve"> </w:t>
      </w:r>
      <w:r>
        <w:t>N</w:t>
      </w:r>
      <w:r>
        <w:t xml:space="preserve"> </w:t>
      </w:r>
      <w:r>
        <w:t>x</w:t>
      </w:r>
      <w:r>
        <w:t xml:space="preserve"> </w:t>
      </w:r>
      <w:r>
        <w:t>≤ 8, the assembly is strictly confined to one‐dimensional nanoribbons; whereas at</w:t>
      </w:r>
      <w:r>
        <w:t xml:space="preserve"> </w:t>
      </w:r>
      <w:r>
        <w:t>N</w:t>
      </w:r>
      <w:r>
        <w:t xml:space="preserve"> </w:t>
      </w:r>
      <w:r>
        <w:t>x</w:t>
      </w:r>
      <w:r>
        <w:t xml:space="preserve"> </w:t>
      </w:r>
      <w:r>
        <w:t>≥ 12, lateral coupling activates extended two‐dimensional arrays whose structural width increases monotonically with</w:t>
      </w:r>
      <w:r>
        <w:t xml:space="preserve"> </w:t>
      </w:r>
      <w:r>
        <w:t>N</w:t>
      </w:r>
      <w:r>
        <w:t xml:space="preserve"> </w:t>
      </w:r>
      <w:r>
        <w:t>x</w:t>
      </w:r>
      <w:r>
        <w:t xml:space="preserve"> </w:t>
      </w:r>
      <w:r>
        <w:t>. Thermal and thermodynamic analyses reveal that this sharp threshold behavior is lattice‐independent and originates from the size‐dependent thermal stability of the laterally connected domains. Our work establishes interfacial connectivity as a predictive handle for the on‐demand engineering of self‐assembled nanostructures with programmable dimensionality and prescribed widths.</w:t>
      </w:r>
    </w:p>
    <w:p>
      <w:pPr>
        <w:spacing w:before="120" w:after="120"/>
      </w:pPr>
      <w:r>
        <w:rPr>
          <w:sz w:val="18"/>
        </w:rPr>
        <w:t>——————————————————————————————————————————————————————————————————————</w:t>
      </w:r>
    </w:p>
    <w:p>
      <w:pPr>
        <w:spacing w:before="160" w:after="40" w:line="240" w:lineRule="auto"/>
      </w:pPr>
      <w:r>
        <w:rPr>
          <w:b/>
        </w:rPr>
        <w:t xml:space="preserve">[541] </w:t>
      </w:r>
      <w:hyperlink r:id="rId1252">
        <w:r>
          <w:rPr>
            <w:color w:val="1155CC"/>
            <w:u w:val="single"/>
          </w:rPr>
          <w:t>新型碳硼烷基金属有机框架，用于通过分子筛纯化电子特种气体 C2F6</w:t>
        </w:r>
      </w:hyperlink>
    </w:p>
    <w:p>
      <w:pPr>
        <w:spacing w:before="0" w:after="80"/>
      </w:pPr>
      <w:r>
        <w:rPr>
          <w:i/>
          <w:sz w:val="20"/>
        </w:rPr>
        <w:t>EN: Novel Carborane Based Metal Organic Framework for Record Electronic Specialty Gas C2F6 Purification via Molecular Sieving</w:t>
      </w:r>
    </w:p>
    <w:p>
      <w:pPr>
        <w:spacing w:before="0" w:after="120"/>
      </w:pPr>
      <w:r>
        <w:rPr>
          <w:b/>
        </w:rPr>
        <w:t xml:space="preserve">Source: </w:t>
      </w:r>
      <w:r>
        <w:t>Wiley: Angewandte Chemie International Edition: Table of Contents</w:t>
      </w:r>
      <w:r>
        <w:t xml:space="preserve">    </w:t>
      </w:r>
      <w:r>
        <w:rPr>
          <w:b/>
        </w:rPr>
        <w:t xml:space="preserve">Pub date: </w:t>
      </w:r>
      <w:r>
        <w:t>2026-06-18 17:40:32+00:00</w:t>
      </w:r>
      <w:r>
        <w:t xml:space="preserve">    </w:t>
      </w:r>
      <w:r>
        <w:rPr>
          <w:b/>
        </w:rPr>
        <w:t xml:space="preserve">DOI: </w:t>
      </w:r>
      <w:hyperlink r:id="rId1253">
        <w:r>
          <w:rPr>
            <w:color w:val="1155CC"/>
            <w:u w:val="single"/>
          </w:rPr>
          <w:t>10.1002/anie.7710650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高纯全氟乙烷（C</w:t>
      </w:r>
      <w:r>
        <w:rPr>
          <w:vertAlign w:val="subscript"/>
        </w:rPr>
        <w:t>2</w:t>
      </w:r>
      <w:r>
        <w:t>F</w:t>
      </w:r>
      <w:r>
        <w:rPr>
          <w:vertAlign w:val="subscript"/>
        </w:rPr>
        <w:t>6</w:t>
      </w:r>
      <w:r>
        <w:t>），一种重要的电子特种气体，需要去除其部分氟化的类似物五氟乙烷 C</w:t>
      </w:r>
      <w:r>
        <w:rPr>
          <w:vertAlign w:val="subscript"/>
        </w:rPr>
        <w:t>2</w:t>
      </w:r>
      <w:r>
        <w:t>F</w:t>
      </w:r>
      <w:r>
        <w:rPr>
          <w:vertAlign w:val="subscript"/>
        </w:rPr>
        <w:t>5</w:t>
      </w:r>
      <w:r>
        <w:t>H. 由于它们相似的物理化学性质，这种分离非常具有挑战性。在此，我们报告了一种新型的基于碳硼烷的金属有机框架，ZNU-23（Ni-CB-HPBTA），采用珍珠链状孔隙结构设计，以实现前所未有的分子筛分分离。 ZNU-23中狭窄的孔道和大的空腔有利于C的快速吸收</w:t>
      </w:r>
      <w:r>
        <w:rPr>
          <w:vertAlign w:val="subscript"/>
        </w:rPr>
        <w:t>2</w:t>
      </w:r>
      <w:r>
        <w:t>F</w:t>
      </w:r>
      <w:r>
        <w:rPr>
          <w:vertAlign w:val="subscript"/>
        </w:rPr>
        <w:t>5</w:t>
      </w:r>
      <w:r>
        <w:t>高（65.2 厘米</w:t>
      </w:r>
      <w:r>
        <w:rPr>
          <w:vertAlign w:val="subscript"/>
        </w:rPr>
        <w:t>3</w:t>
      </w:r>
      <w:r>
        <w:t>·g</w:t>
      </w:r>
      <w:r>
        <w:t xml:space="preserve"> </w:t>
      </w:r>
      <w:r>
        <w:t>−1</w:t>
      </w:r>
      <w:r>
        <w:t xml:space="preserve"> </w:t>
      </w:r>
      <w:r>
        <w:t>在 298 K 和 1 bar 下），同时几乎完全排除 C</w:t>
      </w:r>
      <w:r>
        <w:rPr>
          <w:vertAlign w:val="subscript"/>
        </w:rPr>
        <w:t>2</w:t>
      </w:r>
      <w:r>
        <w:t>F</w:t>
      </w:r>
      <w:r>
        <w:rPr>
          <w:vertAlign w:val="subscript"/>
        </w:rPr>
        <w:t>6</w:t>
      </w:r>
      <w:r>
        <w:t>，导致 C 的 IAST 选择性超过 5000 创历史新高</w:t>
      </w:r>
      <w:r>
        <w:rPr>
          <w:vertAlign w:val="subscript"/>
        </w:rPr>
        <w:t>2</w:t>
      </w:r>
      <w:r>
        <w:t>F</w:t>
      </w:r>
      <w:r>
        <w:rPr>
          <w:vertAlign w:val="subscript"/>
        </w:rPr>
        <w:t>5</w:t>
      </w:r>
      <w:r>
        <w:t>热/碳</w:t>
      </w:r>
      <w:r>
        <w:rPr>
          <w:vertAlign w:val="subscript"/>
        </w:rPr>
        <w:t>2</w:t>
      </w:r>
      <w:r>
        <w:t>F</w:t>
      </w:r>
      <w:r>
        <w:rPr>
          <w:vertAlign w:val="subscript"/>
        </w:rPr>
        <w:t>6</w:t>
      </w:r>
      <w:r>
        <w:t>(1/99) 混合物。动态突破性实验证实了其在各种混合比例下的优异分离性能、在潮湿和高温条件下的卓越稳定性以及出色的可回收性。通过 GCMC 模拟进行机理研究</w:t>
      </w:r>
    </w:p>
    <w:p>
      <w:pPr>
        <w:spacing w:before="0" w:after="200" w:lineRule="auto" w:line="276"/>
      </w:pPr>
      <w:r>
        <w:rPr>
          <w:b/>
        </w:rPr>
        <w:t xml:space="preserve">Abstract (EN): </w:t>
      </w:r>
      <w:r>
        <w:t>The production of high‐purity perfluoroethane (C</w:t>
      </w:r>
      <w:r>
        <w:rPr>
          <w:vertAlign w:val="subscript"/>
        </w:rPr>
        <w:t>2</w:t>
      </w:r>
      <w:r>
        <w:t>F</w:t>
      </w:r>
      <w:r>
        <w:rPr>
          <w:vertAlign w:val="subscript"/>
        </w:rPr>
        <w:t>6</w:t>
      </w:r>
      <w:r>
        <w:t>), an essential electronic specialty gas, requires the removal of its partially‐fluorinated analog, pentafluoroethane C</w:t>
      </w:r>
      <w:r>
        <w:rPr>
          <w:vertAlign w:val="subscript"/>
        </w:rPr>
        <w:t>2</w:t>
      </w:r>
      <w:r>
        <w:t>F</w:t>
      </w:r>
      <w:r>
        <w:rPr>
          <w:vertAlign w:val="subscript"/>
        </w:rPr>
        <w:t>5</w:t>
      </w:r>
      <w:r>
        <w:t>H. This separation is exceptionally challenging due to their similar physicochemical properties. Herein, we report a novel carborane‐based metal‐organic framework, ZNU‐23 (Ni‐CB‐HPBTA), engineered with a pearl‐chain‐like pore architecture to achieve unprecedented molecular sieving separation. The narrow pore channel and large cavity in ZNU‐23 facilitate the high and fast uptake of C</w:t>
      </w:r>
      <w:r>
        <w:rPr>
          <w:vertAlign w:val="subscript"/>
        </w:rPr>
        <w:t>2</w:t>
      </w:r>
      <w:r>
        <w:t>F</w:t>
      </w:r>
      <w:r>
        <w:rPr>
          <w:vertAlign w:val="subscript"/>
        </w:rPr>
        <w:t>5</w:t>
      </w:r>
      <w:r>
        <w:t>H (65.2 cm</w:t>
      </w:r>
      <w:r>
        <w:rPr>
          <w:vertAlign w:val="subscript"/>
        </w:rPr>
        <w:t>3</w:t>
      </w:r>
      <w:r>
        <w:t>·g</w:t>
      </w:r>
      <w:r>
        <w:t xml:space="preserve"> </w:t>
      </w:r>
      <w:r>
        <w:t>−1</w:t>
      </w:r>
      <w:r>
        <w:t xml:space="preserve"> </w:t>
      </w:r>
      <w:r>
        <w:t>at 298 K and 1 bar) while nearly completely excluding C</w:t>
      </w:r>
      <w:r>
        <w:rPr>
          <w:vertAlign w:val="subscript"/>
        </w:rPr>
        <w:t>2</w:t>
      </w:r>
      <w:r>
        <w:t>F</w:t>
      </w:r>
      <w:r>
        <w:rPr>
          <w:vertAlign w:val="subscript"/>
        </w:rPr>
        <w:t>6</w:t>
      </w:r>
      <w:r>
        <w:t>, leading to a record‐high IAST selectivity exceeding 5000 for a C</w:t>
      </w:r>
      <w:r>
        <w:rPr>
          <w:vertAlign w:val="subscript"/>
        </w:rPr>
        <w:t>2</w:t>
      </w:r>
      <w:r>
        <w:t>F</w:t>
      </w:r>
      <w:r>
        <w:rPr>
          <w:vertAlign w:val="subscript"/>
        </w:rPr>
        <w:t>5</w:t>
      </w:r>
      <w:r>
        <w:t>H/C</w:t>
      </w:r>
      <w:r>
        <w:rPr>
          <w:vertAlign w:val="subscript"/>
        </w:rPr>
        <w:t>2</w:t>
      </w:r>
      <w:r>
        <w:t>F</w:t>
      </w:r>
      <w:r>
        <w:rPr>
          <w:vertAlign w:val="subscript"/>
        </w:rPr>
        <w:t>6</w:t>
      </w:r>
      <w:r>
        <w:t>(1/99) mixture. Dynamic breakthrough experiments confirm its excellent separation performance across various mixture ratios, remarkable stability under humid and elevated‐temperature conditions, and superb recyclability. Mechanistic studies via GCMC simulations and DFT calculations attribute this performance to the multi‐site confinement of C</w:t>
      </w:r>
      <w:r>
        <w:rPr>
          <w:vertAlign w:val="subscript"/>
        </w:rPr>
        <w:t>2</w:t>
      </w:r>
      <w:r>
        <w:t>F</w:t>
      </w:r>
      <w:r>
        <w:rPr>
          <w:vertAlign w:val="subscript"/>
        </w:rPr>
        <w:t>5</w:t>
      </w:r>
      <w:r>
        <w:t>H within the pearl‐chain pores and the complete steric exclusion of the larger C</w:t>
      </w:r>
      <w:r>
        <w:rPr>
          <w:vertAlign w:val="subscript"/>
        </w:rPr>
        <w:t>2</w:t>
      </w:r>
      <w:r>
        <w:t>F</w:t>
      </w:r>
      <w:r>
        <w:rPr>
          <w:vertAlign w:val="subscript"/>
        </w:rPr>
        <w:t>6</w:t>
      </w:r>
      <w:r>
        <w:t>molecule. The potential C</w:t>
      </w:r>
      <w:r>
        <w:rPr>
          <w:vertAlign w:val="subscript"/>
        </w:rPr>
        <w:t>2</w:t>
      </w:r>
      <w:r>
        <w:t>F</w:t>
      </w:r>
      <w:r>
        <w:rPr>
          <w:vertAlign w:val="subscript"/>
        </w:rPr>
        <w:t>5</w:t>
      </w:r>
      <w:r>
        <w:t>H binding sites within the framework were further revealed by C</w:t>
      </w:r>
      <w:r>
        <w:rPr>
          <w:vertAlign w:val="subscript"/>
        </w:rPr>
        <w:t>2</w:t>
      </w:r>
      <w:r>
        <w:t>F</w:t>
      </w:r>
      <w:r>
        <w:rPr>
          <w:vertAlign w:val="subscript"/>
        </w:rPr>
        <w:t>5</w:t>
      </w:r>
      <w:r>
        <w:t>H‐loaded single crystal structure of ZNU‐23.</w:t>
      </w:r>
    </w:p>
    <w:p>
      <w:pPr>
        <w:spacing w:before="120" w:after="120"/>
      </w:pPr>
      <w:r>
        <w:rPr>
          <w:sz w:val="18"/>
        </w:rPr>
        <w:t>——————————————————————————————————————————————————————————————————————</w:t>
      </w:r>
    </w:p>
    <w:p>
      <w:pPr>
        <w:spacing w:before="160" w:after="40" w:line="240" w:lineRule="auto"/>
      </w:pPr>
      <w:r>
        <w:rPr>
          <w:b/>
        </w:rPr>
        <w:t xml:space="preserve">[542] </w:t>
      </w:r>
      <w:hyperlink r:id="rId1254">
        <w:r>
          <w:rPr>
            <w:color w:val="1155CC"/>
            <w:u w:val="single"/>
          </w:rPr>
          <w:t>膦催化烯基膦酸酯不对称[2 + 2]成环反应生成高取代环丁烯</w:t>
        </w:r>
      </w:hyperlink>
    </w:p>
    <w:p>
      <w:pPr>
        <w:spacing w:before="0" w:after="80"/>
      </w:pPr>
      <w:r>
        <w:rPr>
          <w:i/>
          <w:sz w:val="20"/>
        </w:rPr>
        <w:t>EN: Phosphine‐Catalyzed Unsymmetric [2 + 2] Annulation of Allenyl Phosphonates for Highly Substituted Cyclobutenes</w:t>
      </w:r>
    </w:p>
    <w:p>
      <w:pPr>
        <w:spacing w:before="0" w:after="120"/>
      </w:pPr>
      <w:r>
        <w:rPr>
          <w:b/>
        </w:rPr>
        <w:t xml:space="preserve">Source: </w:t>
      </w:r>
      <w:r>
        <w:t>Wiley: Angewandte Chemie International Edition: Table of Contents</w:t>
      </w:r>
      <w:r>
        <w:t xml:space="preserve">    </w:t>
      </w:r>
      <w:r>
        <w:rPr>
          <w:b/>
        </w:rPr>
        <w:t xml:space="preserve">Pub date: </w:t>
      </w:r>
      <w:r>
        <w:t>2026-06-18 17:42:04+00:00</w:t>
      </w:r>
      <w:r>
        <w:t xml:space="preserve">    </w:t>
      </w:r>
      <w:r>
        <w:rPr>
          <w:b/>
        </w:rPr>
        <w:t xml:space="preserve">DOI: </w:t>
      </w:r>
      <w:hyperlink r:id="rId1255">
        <w:r>
          <w:rPr>
            <w:color w:val="1155CC"/>
            <w:u w:val="single"/>
          </w:rPr>
          <w:t>10.1002/anie.7982002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丙二烯作为具有独特累积双键系统的多功能中间体，已广泛用于环加成反应以构建各种环状骨架，但通过双丙二烯[2 + 2]成环选择性合成环丁烯仍然是一个长期存在的挑战。在此，我们报道了膦催化的丙二烯基膦酸酯的不对称[2 + 2]环化，用于有效构建高度取代的环丁烯。该反应表现出广泛的底物范围，以中等至良好的产率提供目标环丁烯，并具有优异的产率</w:t>
      </w:r>
      <w:r>
        <w:t xml:space="preserve"> </w:t>
      </w:r>
      <w:r>
        <w:t>Z</w:t>
      </w:r>
      <w:r>
        <w:t xml:space="preserve"> </w:t>
      </w:r>
      <w:r>
        <w:t>/</w:t>
      </w:r>
      <w:r>
        <w:t>乙</w:t>
      </w:r>
      <w:r>
        <w:t xml:space="preserve"> </w:t>
      </w:r>
      <w:r>
        <w:t>选择性和非对映选择性。机理研究表明，该反应是通过膦诱导的两性离子形成和丙二烯的去质子化进行的。路易斯酸能够精确控制非对映选择性，而硅烷则有效抑制丙二烯异构化为共轭二烯，防止催化剂失活，从而保证反应效率。此外，合成的环丁烯衍生物通过多种转化表现出良好的结构修饰性。这项工作丰富了膦催化丙二烯化学领域，填补了基于丙二烯的[2+2]环化模式的空白，扩展了环丁烯合成的方法工具箱，并为获取复杂的含环丁烯分子提供了一个通用平台。</w:t>
      </w:r>
    </w:p>
    <w:p>
      <w:pPr>
        <w:spacing w:before="0" w:after="200" w:lineRule="auto" w:line="276"/>
      </w:pPr>
      <w:r>
        <w:rPr>
          <w:b/>
        </w:rPr>
        <w:t xml:space="preserve">Abstract (EN): </w:t>
      </w:r>
      <w:r>
        <w:t>Allenes, as versatile intermediates with unique cumulative double bond systems, have been widely used in cycloaddition reactions for constructing various cyclic skeletons, yet the selective synthesis of cyclobutenes via double allenes [2 + 2] annulation still remains a long‐standing challenge. Herein, we report a phosphine‐catalyzed unsymmetric [2 + 2] annulation of allenyl phosphonates for the efficient construction of highly substituted cyclobutenes. The reaction exhibits broad substrate scope, delivering the target cyclobutenes in moderate to good yields with exceptional</w:t>
      </w:r>
      <w:r>
        <w:t xml:space="preserve"> </w:t>
      </w:r>
      <w:r>
        <w:t>Z</w:t>
      </w:r>
      <w:r>
        <w:t xml:space="preserve"> </w:t>
      </w:r>
      <w:r>
        <w:t>/</w:t>
      </w:r>
      <w:r>
        <w:t>E</w:t>
      </w:r>
      <w:r>
        <w:t xml:space="preserve"> </w:t>
      </w:r>
      <w:r>
        <w:t>selectivities and diastereoselectivities. Mechanistic studies reveal that the reaction proceeds via phosphine‐induced zwitterion formation and deprotonation of allene. The Lewis acid enables precise control of diastereoselectivity, while silane effectively suppresses allene isomerization to conjugated dienes and prevents catalyst deactivation, thus ensuring reaction efficiency. Furthermore, the synthesized cyclobutene derivatives demonstrate good structural modifiability through diverse transformations. This work enriches the field of phosphine‐catalyzed allene chemistry, fills a gap in allene‐based [2 + 2] cyclization modes, expands the methodological toolbox for cyclobutene synthesis, and provides a versatile platform for accessing complex cyclobutene‐containing molecules.</w:t>
      </w:r>
    </w:p>
    <w:p>
      <w:pPr>
        <w:spacing w:before="120" w:after="120"/>
      </w:pPr>
      <w:r>
        <w:rPr>
          <w:sz w:val="18"/>
        </w:rPr>
        <w:t>——————————————————————————————————————————————————————————————————————</w:t>
      </w:r>
    </w:p>
    <w:p>
      <w:pPr>
        <w:spacing w:before="160" w:after="40" w:line="240" w:lineRule="auto"/>
      </w:pPr>
      <w:r>
        <w:rPr>
          <w:b/>
        </w:rPr>
        <w:t xml:space="preserve">[543] </w:t>
      </w:r>
      <w:hyperlink r:id="rId1256">
        <w:r>
          <w:rPr>
            <w:color w:val="1155CC"/>
            <w:u w:val="single"/>
          </w:rPr>
          <w:t>金属酚醛涂层使球形核酸的通用设计成为可能</w:t>
        </w:r>
      </w:hyperlink>
    </w:p>
    <w:p>
      <w:pPr>
        <w:spacing w:before="0" w:after="80"/>
      </w:pPr>
      <w:r>
        <w:rPr>
          <w:i/>
          <w:sz w:val="20"/>
        </w:rPr>
        <w:t>EN: Metal–Phenolic Coatings Enable Universal Design of Spherical Nucleic Acids</w:t>
      </w:r>
    </w:p>
    <w:p>
      <w:pPr>
        <w:spacing w:before="0" w:after="120"/>
      </w:pPr>
      <w:r>
        <w:rPr>
          <w:b/>
        </w:rPr>
        <w:t xml:space="preserve">Source: </w:t>
      </w:r>
      <w:r>
        <w:t>Wiley: Angewandte Chemie International Edition: Table of Contents</w:t>
      </w:r>
      <w:r>
        <w:t xml:space="preserve">    </w:t>
      </w:r>
      <w:r>
        <w:rPr>
          <w:b/>
        </w:rPr>
        <w:t xml:space="preserve">Pub date: </w:t>
      </w:r>
      <w:r>
        <w:t>2026-06-18 17:42:07+00:00</w:t>
      </w:r>
      <w:r>
        <w:t xml:space="preserve">    </w:t>
      </w:r>
      <w:r>
        <w:rPr>
          <w:b/>
        </w:rPr>
        <w:t xml:space="preserve">DOI: </w:t>
      </w:r>
      <w:hyperlink r:id="rId1257">
        <w:r>
          <w:rPr>
            <w:color w:val="1155CC"/>
            <w:u w:val="single"/>
          </w:rPr>
          <w:t>10.1002/anie.7693760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球形核酸 (SNA) 是由经过化学修饰的纳米颗粒核心和致密核酸外壳组成的结构，是结构纳米医学和 DNA 胶体晶体工程领域的核心。然而，用于制备它们的合成方法通常需要针对每种类型的核心使用不同的寡核苷酸固定化学物质。在此，介绍了使用金属酚醛 (MP) 涂层构建 SNA 的一般策略。通过多酚和金属离子（例如，Fe</w:t>
      </w:r>
      <w:r>
        <w:t xml:space="preserve"> </w:t>
      </w:r>
      <w:r>
        <w:t>3+</w:t>
      </w:r>
      <w:r>
        <w:t xml:space="preserve"> </w:t>
      </w:r>
      <w:r>
        <w:t>）可用于修饰各种颗粒的表面，涵盖各种尺寸、形状、成分和表面电荷（例如，金球体和立方体、二氧化硅、聚苯乙烯和三聚氰胺树脂）。重要的是，无论纳米颗粒核心如何，这些壳都可以通过迈克尔加成化学与硫醇化 DNA 缀合。 MP-SNA 保留了传统 SNA 的许多标志性特性，包括增强的细胞摄取，并可作为多功能构建块，用于将不同的纳米颗粒和微米颗粒库可编程组装成更大、更复杂的超结构。</w:t>
      </w:r>
    </w:p>
    <w:p>
      <w:pPr>
        <w:spacing w:before="0" w:after="200" w:lineRule="auto" w:line="276"/>
      </w:pPr>
      <w:r>
        <w:rPr>
          <w:b/>
        </w:rPr>
        <w:t xml:space="preserve">Abstract (EN): </w:t>
      </w:r>
      <w:r>
        <w:t>Spherical nucleic acids (SNAs), structures consisting of a nanoparticle core chemically modified with a dense shell of nucleic acids, are central to the fields of structural nanomedicine and colloidal crystal engineering with DNA. However, the synthetic methods used to prepare them often require different oligonucleotide immobilization chemistries for each type of core. Here, a general strategy to construct SNAs using metal–phenolic (MP) coatings is introduced. The polymeric shell formed through coordination bonds between polyphenols and metal ions (e.g., Fe</w:t>
      </w:r>
      <w:r>
        <w:t xml:space="preserve"> </w:t>
      </w:r>
      <w:r>
        <w:t>3+</w:t>
      </w:r>
      <w:r>
        <w:t xml:space="preserve"> </w:t>
      </w:r>
      <w:r>
        <w:t>) can be used to modify the surfaces of a wide variety of particles, spanning a diverse range of sizes, shapes, compositions, and surface charges (e.g., gold spheres and cubes, silica, polystyrene, and melamine resin). Importantly, these shells, regardless of nanoparticle core, can be conjugated to thiolated DNA via Michael addition chemistry. MP‐SNAs retain many of the hallmark properties of conventional SNAs, including enhanced cellular uptake, and serve as versatile building blocks for the programmable assembly of a diverse library of nanoparticles and microparticles into larger and more sophisticated superstructures.</w:t>
      </w:r>
    </w:p>
    <w:p>
      <w:pPr>
        <w:spacing w:before="120" w:after="120"/>
      </w:pPr>
      <w:r>
        <w:rPr>
          <w:sz w:val="18"/>
        </w:rPr>
        <w:t>——————————————————————————————————————————————————————————————————————</w:t>
      </w:r>
    </w:p>
    <w:p>
      <w:pPr>
        <w:spacing w:before="160" w:after="40" w:line="240" w:lineRule="auto"/>
      </w:pPr>
      <w:r>
        <w:rPr>
          <w:b/>
        </w:rPr>
        <w:t xml:space="preserve">[544] </w:t>
      </w:r>
      <w:hyperlink r:id="rId1258">
        <w:r>
          <w:rPr>
            <w:color w:val="1155CC"/>
            <w:u w:val="single"/>
          </w:rPr>
          <w:t>镍配位层中氟化镓的形成</w:t>
        </w:r>
      </w:hyperlink>
    </w:p>
    <w:p>
      <w:pPr>
        <w:spacing w:before="0" w:after="80"/>
      </w:pPr>
      <w:r>
        <w:rPr>
          <w:i/>
          <w:sz w:val="20"/>
        </w:rPr>
        <w:t>EN: Formation of Gallium Monofluoride in the Coordination Sphere of Nickel</w:t>
      </w:r>
    </w:p>
    <w:p>
      <w:pPr>
        <w:spacing w:before="0" w:after="120"/>
      </w:pPr>
      <w:r>
        <w:rPr>
          <w:b/>
        </w:rPr>
        <w:t xml:space="preserve">Source: </w:t>
      </w:r>
      <w:r>
        <w:t>Wiley: Angewandte Chemie International Edition: Table of Contents</w:t>
      </w:r>
      <w:r>
        <w:t xml:space="preserve">    </w:t>
      </w:r>
      <w:r>
        <w:rPr>
          <w:b/>
        </w:rPr>
        <w:t xml:space="preserve">Pub date: </w:t>
      </w:r>
      <w:r>
        <w:t>2026-06-18 17:45:18+00:00</w:t>
      </w:r>
      <w:r>
        <w:t xml:space="preserve">    </w:t>
      </w:r>
      <w:r>
        <w:rPr>
          <w:b/>
        </w:rPr>
        <w:t xml:space="preserve">DOI: </w:t>
      </w:r>
      <w:hyperlink r:id="rId1259">
        <w:r>
          <w:rPr>
            <w:color w:val="1155CC"/>
            <w:u w:val="single"/>
          </w:rPr>
          <w:t>10.1002/anie.1189853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一价卤化镓在室温下本质上是不稳定的化合物，只能在约 1000 °C 的温度下以气相形式生成。尽管一氧化碳、二氮和氰化物离子是配位化学中的关键配体，但它们与一氧化碳、二氮和氰化物离子等电子，但一价卤化镓作为过渡金属的配体在很大程度上尚未被探索。在此，我们报道了带有一氟化镓配体的二价镍络合物的分离。镓中心的+I氧化态得到NMR波谱方法、X射线光电子能谱以及密度泛函理论计算的支持。对 GaF 配体和中心镍原子之间的键合情况的分析表明，所支持的 GaF 片段具有很强的 σ 供体特性，但可以忽略不计的 π 接受特性。 GaF 部分形成为 C(sp</w:t>
      </w:r>
      <w:r>
        <w:rPr>
          <w:vertAlign w:val="subscript"/>
        </w:rPr>
        <w:t>3</w:t>
      </w:r>
      <w:r>
        <w:t>)–弱配位BAr的F键活化</w:t>
      </w:r>
      <w:r>
        <w:t xml:space="preserve"> </w:t>
      </w:r>
      <w:r>
        <w:t>F24</w:t>
      </w:r>
      <w:r>
        <w:t xml:space="preserve"> </w:t>
      </w:r>
      <w:r>
        <w:t>(四[(双-3,5-三氟甲基)苯基]硼酸根)阴离子，用作硅和碳亲电子试剂的氟源。这导致容易脱氟，形成无氟络合物和氟化产品，例如氟三甲基硅烷或苯甲酰氟。</w:t>
      </w:r>
    </w:p>
    <w:p>
      <w:pPr>
        <w:spacing w:before="0" w:after="200" w:lineRule="auto" w:line="276"/>
      </w:pPr>
      <w:r>
        <w:rPr>
          <w:b/>
        </w:rPr>
        <w:t xml:space="preserve">Abstract (EN): </w:t>
      </w:r>
      <w:r>
        <w:t>Monovalent gallium halides are intrinsically unstable compounds at room temperature and can only be generated in the gas phase at temperatures of about 1000 °C. Although they are isoelectronic to carbon monoxide, dinitrogen, and the cyanide ion, which are pivotal ligands in coordination chemistry, monovalent gallium halides are largely unexplored as ligands with transition metals. Herein, we report the isolation of a dicationic nickel complex bearing a gallium monofluoride ligand. The +I oxidation state of the gallium centre is supported by NMR‐spectroscopic methods, X‐ray photoelectron spectroscopy, as well as density functional theory calculations. Analysis of the bonding situation between the GaF ligand and the central nickel atom suggests strong σ‐donating, but negligible π‐accepting properties for the supported GaF fragment. The GaF moiety forms as a product of C(sp</w:t>
      </w:r>
      <w:r>
        <w:rPr>
          <w:vertAlign w:val="subscript"/>
        </w:rPr>
        <w:t>3</w:t>
      </w:r>
      <w:r>
        <w:t>)–F bond activation of the weakly coordinating BAr</w:t>
      </w:r>
      <w:r>
        <w:t xml:space="preserve"> </w:t>
      </w:r>
      <w:r>
        <w:t>F24</w:t>
      </w:r>
      <w:r>
        <w:t xml:space="preserve"> </w:t>
      </w:r>
      <w:r>
        <w:t>(tetrakis[(bis‐3,5‐trifluoromethyl)phenyl]borate) anion and serves as a fluorine source for silicon and carbon electrophiles. This leads to facile defluorination, forming the fluoride‐free complex and fluorinated products such as fluorotrimethylsilane or benzoyl fluoride.</w:t>
      </w:r>
    </w:p>
    <w:p>
      <w:pPr>
        <w:spacing w:before="120" w:after="120"/>
      </w:pPr>
      <w:r>
        <w:rPr>
          <w:sz w:val="18"/>
        </w:rPr>
        <w:t>——————————————————————————————————————————————————————————————————————</w:t>
      </w:r>
    </w:p>
    <w:p>
      <w:pPr>
        <w:spacing w:before="160" w:after="40" w:line="240" w:lineRule="auto"/>
      </w:pPr>
      <w:r>
        <w:rPr>
          <w:b/>
        </w:rPr>
        <w:t xml:space="preserve">[545] </w:t>
      </w:r>
      <w:hyperlink r:id="rId1260">
        <w:r>
          <w:rPr>
            <w:color w:val="1155CC"/>
            <w:u w:val="single"/>
          </w:rPr>
          <w:t>双膦烷稳定的硼烯：解锁硼烯转移反应性</w:t>
        </w:r>
      </w:hyperlink>
    </w:p>
    <w:p>
      <w:pPr>
        <w:spacing w:before="0" w:after="80"/>
      </w:pPr>
      <w:r>
        <w:rPr>
          <w:i/>
          <w:sz w:val="20"/>
        </w:rPr>
        <w:t>EN: Bisphosphane‐Stabilized Borylenes: Unlocking Borylene Transfer Reactivities</w:t>
      </w:r>
    </w:p>
    <w:p>
      <w:pPr>
        <w:spacing w:before="0" w:after="120"/>
      </w:pPr>
      <w:r>
        <w:rPr>
          <w:b/>
        </w:rPr>
        <w:t xml:space="preserve">Source: </w:t>
      </w:r>
      <w:r>
        <w:t>Wiley: Angewandte Chemie International Edition: Table of Contents</w:t>
      </w:r>
      <w:r>
        <w:t xml:space="preserve">    </w:t>
      </w:r>
      <w:r>
        <w:rPr>
          <w:b/>
        </w:rPr>
        <w:t xml:space="preserve">Pub date: </w:t>
      </w:r>
      <w:r>
        <w:t>2026-06-18 17:47:46+00:00</w:t>
      </w:r>
      <w:r>
        <w:t xml:space="preserve">    </w:t>
      </w:r>
      <w:r>
        <w:rPr>
          <w:b/>
        </w:rPr>
        <w:t xml:space="preserve">DOI: </w:t>
      </w:r>
      <w:hyperlink r:id="rId1261">
        <w:r>
          <w:rPr>
            <w:color w:val="1155CC"/>
            <w:u w:val="single"/>
          </w:rPr>
          <w:t>10.1002/anie.2903979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硼烯转移反应是一种有效构建含硼化合物的强大但尚未开发的策略，其发展因可靠试剂的稀缺而受到阻碍。一个根本的挑战在于平衡转移所需的高双亲反应性与必需的分子稳定性。在此，我们报告了一系列双膦稳定的硼烯的合成，并公开了它们卓越的硼烯转移能力。目标硼烯（</w:t>
      </w:r>
      <w:r>
        <w:rPr>
          <w:vertAlign w:val="subscript"/>
        </w:rPr>
        <w:t>3</w:t>
      </w:r>
      <w:r>
        <w:t>）是通过使用 KHMDS（双（三甲基甲硅烷基）酰胺钾）对相应的双膦配位氢硼前体进行轻松去质子化来制备的。值得注意的是，硼烯</w:t>
      </w:r>
      <w:r>
        <w:t xml:space="preserve"> </w:t>
      </w:r>
      <w:r>
        <w:t>3a</w:t>
      </w:r>
      <w:r>
        <w:t xml:space="preserve"> </w:t>
      </w:r>
      <w:r>
        <w:t>与氢硼烷进行正式的 B─H 键插入，生成乙硼烷 (6) 衍生物。此外，</w:t>
      </w:r>
      <w:r>
        <w:t xml:space="preserve"> </w:t>
      </w:r>
      <w:r>
        <w:t>3a</w:t>
      </w:r>
      <w:r>
        <w:t xml:space="preserve"> </w:t>
      </w:r>
      <w:r>
        <w:t>促进前所未有的硼烯转移到极性π系统，包括苯甲醛和查耳酮，提供有效获得三元氧杂硼烷和硼烷的途径。实验和计算研究表明，不稳定的磷-硼（P-B）配位对于维持硼烯的高转移能力至关重要。</w:t>
      </w:r>
      <w:r>
        <w:t xml:space="preserve"> </w:t>
      </w:r>
      <w:r>
        <w:t>3a</w:t>
      </w:r>
      <w:r>
        <w:t xml:space="preserve"> </w:t>
      </w:r>
      <w:r>
        <w:t>。这些初步结果为使用稳定的氢硼化合物作为合成化学中实用的硼烯转移试剂前体奠定了基础。</w:t>
      </w:r>
    </w:p>
    <w:p>
      <w:pPr>
        <w:spacing w:before="0" w:after="200" w:lineRule="auto" w:line="276"/>
      </w:pPr>
      <w:r>
        <w:rPr>
          <w:b/>
        </w:rPr>
        <w:t xml:space="preserve">Abstract (EN): </w:t>
      </w:r>
      <w:r>
        <w:t>The development of borylene‐transfer reactions—a powerful yet underdeveloped strategy for the efficient construction of boron‐containing compounds—has been hindered by the scarcity of reliable reagents. A fundamental challenge lies in balancing the high ambiphilic reactivity required for transfer with the requisite molecular stability. Herein, we report the synthesis of a series of bisphosphane‐stabilized borylenes and disclose their exceptional borylene‐transfer capabilities. The target borylenes (</w:t>
      </w:r>
      <w:r>
        <w:rPr>
          <w:vertAlign w:val="subscript"/>
        </w:rPr>
        <w:t>3</w:t>
      </w:r>
      <w:r>
        <w:t>) were prepared via facile deprotonation of the corresponding bisphosphane‐coordinated hydroboronium precursors using KHMDS (potassium bis(trimethylsilyl)amide). Notably, borylene</w:t>
      </w:r>
      <w:r>
        <w:t xml:space="preserve"> </w:t>
      </w:r>
      <w:r>
        <w:t>3a</w:t>
      </w:r>
      <w:r>
        <w:t xml:space="preserve"> </w:t>
      </w:r>
      <w:r>
        <w:t>undergoes formal B─H bond insertion with hydroboranes to yield diborane (6) derivatives. Furthermore,</w:t>
      </w:r>
      <w:r>
        <w:t xml:space="preserve"> </w:t>
      </w:r>
      <w:r>
        <w:t>3a</w:t>
      </w:r>
      <w:r>
        <w:t xml:space="preserve"> </w:t>
      </w:r>
      <w:r>
        <w:t>facilitates unprecedented borylene transfer to polar π systems, including benzaldehyde and chalcone, providing efficient access to three‐membered oxaboriranes and boriranes. Experimental and computational studies reveal that the labile phosphorus–boron (P–B) coordination is pivotal in maintaining the high borylene‐transfer capability of</w:t>
      </w:r>
      <w:r>
        <w:t xml:space="preserve"> </w:t>
      </w:r>
      <w:r>
        <w:t>3a</w:t>
      </w:r>
      <w:r>
        <w:t xml:space="preserve"> </w:t>
      </w:r>
      <w:r>
        <w:t>. These preliminary results set the stage for the use of stable hydroboronium compounds as practical borylene‐transfer reagent precursors in synthetic chemistry.</w:t>
      </w:r>
    </w:p>
    <w:p>
      <w:pPr>
        <w:spacing w:before="120" w:after="120"/>
      </w:pPr>
      <w:r>
        <w:rPr>
          <w:sz w:val="18"/>
        </w:rPr>
        <w:t>——————————————————————————————————————————————————————————————————————</w:t>
      </w:r>
    </w:p>
    <w:p>
      <w:pPr>
        <w:spacing w:before="160" w:after="40" w:line="240" w:lineRule="auto"/>
      </w:pPr>
      <w:r>
        <w:rPr>
          <w:b/>
        </w:rPr>
        <w:t xml:space="preserve">[546] </w:t>
      </w:r>
      <w:hyperlink r:id="rId1262">
        <w:r>
          <w:rPr>
            <w:color w:val="1155CC"/>
            <w:u w:val="single"/>
          </w:rPr>
          <w:t>基于苝的分子间π-π二聚体向静态和动态多色发射的几何演化</w:t>
        </w:r>
      </w:hyperlink>
    </w:p>
    <w:p>
      <w:pPr>
        <w:spacing w:before="0" w:after="80"/>
      </w:pPr>
      <w:r>
        <w:rPr>
          <w:i/>
          <w:sz w:val="20"/>
        </w:rPr>
        <w:t>EN: Geometric Evolution of Perylene‐Based Intermolecular π–π Dimers Toward Static and Dynamic Multicolor Emission</w:t>
      </w:r>
    </w:p>
    <w:p>
      <w:pPr>
        <w:spacing w:before="0" w:after="120"/>
      </w:pPr>
      <w:r>
        <w:rPr>
          <w:b/>
        </w:rPr>
        <w:t xml:space="preserve">Source: </w:t>
      </w:r>
      <w:r>
        <w:t>Wiley: Angewandte Chemie International Edition: Table of Contents</w:t>
      </w:r>
      <w:r>
        <w:t xml:space="preserve">    </w:t>
      </w:r>
      <w:r>
        <w:rPr>
          <w:b/>
        </w:rPr>
        <w:t xml:space="preserve">Pub date: </w:t>
      </w:r>
      <w:r>
        <w:t>2026-06-18 17:49:17+00:00</w:t>
      </w:r>
      <w:r>
        <w:t xml:space="preserve">    </w:t>
      </w:r>
      <w:r>
        <w:rPr>
          <w:b/>
        </w:rPr>
        <w:t xml:space="preserve">DOI: </w:t>
      </w:r>
      <w:hyperlink r:id="rId1263">
        <w:r>
          <w:rPr>
            <w:color w:val="1155CC"/>
            <w:u w:val="single"/>
          </w:rPr>
          <w:t>10.1002/anie.8118945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可控地实现单分子有机固体的多色发射具有重要意义，但由于分子堆积图案固有的复杂性，这仍然是一个挑战。在此，多色发射是通过调整 π-π 二聚体的几何形状来控制的。使用苝（PE）作为平面π荧光团，我们策略性地设计了一种化合物3-（4-（1,2,2-三苯基乙烯基）苯基）苝（pTPE-PE），它将四苯乙烯（TPE）取代基与多个可旋转苯环结合在一起，以调节基于PE的π-π二聚体的形成。一方面，pTPE-PE结晶产生四种具有绿色、黄色、橙色和红色发射颜色的多晶型物，这是二聚体模型的静态呈现。这种静态多色发射与二聚体内的 π-π 相互作用直接相关：较小的面间距离和 π-π PE 单元之间较大的重叠比导致更加强的相互作用和更多的红移发射。另一方面，通过二聚体压缩和热刺激（天蓝色→绿色→橙色）通过二聚体（解）组装在压力下观察到的多色转变（黄色→橙色→红色）提供了二聚体模型的动态呈现。因此，多态性/压致变色/热致变色不仅从最简单的超分子二聚体模型的角度为激子调制提供了直接的实验证据，而且为设计智能光学材料提供了见解。</w:t>
      </w:r>
    </w:p>
    <w:p>
      <w:pPr>
        <w:spacing w:before="0" w:after="200" w:lineRule="auto" w:line="276"/>
      </w:pPr>
      <w:r>
        <w:rPr>
          <w:b/>
        </w:rPr>
        <w:t xml:space="preserve">Abstract (EN): </w:t>
      </w:r>
      <w:r>
        <w:t>Controllably achieving multicolor emission from single‐molecule‐based organic solids is of great significance, yet it remains a challenge because of the inherent complexity of molecular packing motifs. Herein, multicolor emission is governed by tailoring the geometries of π–π dimers. Using perylene (PE) as a planar π‐fluorophore, we strategically design a compound, 3‐(4‐(1,2,2‐triphenylvinyl)phenyl)perylene (pTPE‐PE), which integrates a tetraphenyl ethylene (TPE) substituent with multiple rotatable phenyl rings to modulate the PE‐based π–π dimer formation. On the one hand, pTPE‐PE crystallization produces four polymorphs exhibiting green, yellow, orange, and red emission color, which are static presentations of the dimer model. This static multicolor emission is directly linked to π–π interactions within the dimers: a smaller interplanar distance and a larger overlap ratio between π–π PE units result in more strengthened interactions and more red‐shifted emission. On the other hand, the observed multicolor transitions under pressure (yellow → orange → red) via dimer compression and thermal stimuli (sky‐blue → green → orange) through dimer (dis)assembly provide dynamic presentation of the dimer model. Consequently, polymorphism/piezochromism/thermochromism not only provides direct experimental evidence for exciton modulation from the perspective of the simplest supramolecular dimer model, but also offers insights for designing intelligent optical materials.</w:t>
      </w:r>
    </w:p>
    <w:p>
      <w:pPr>
        <w:spacing w:before="120" w:after="120"/>
      </w:pPr>
      <w:r>
        <w:rPr>
          <w:sz w:val="18"/>
        </w:rPr>
        <w:t>——————————————————————————————————————————————————————————————————————</w:t>
      </w:r>
    </w:p>
    <w:p>
      <w:pPr>
        <w:spacing w:before="160" w:after="40" w:line="240" w:lineRule="auto"/>
      </w:pPr>
      <w:r>
        <w:rPr>
          <w:b/>
        </w:rPr>
        <w:t xml:space="preserve">[547] </w:t>
      </w:r>
      <w:hyperlink r:id="rId1264">
        <w:r>
          <w:rPr>
            <w:color w:val="1155CC"/>
            <w:u w:val="single"/>
          </w:rPr>
          <w:t>阳离子-阴离子同步开环聚合中金属依赖性动力学控制</w:t>
        </w:r>
      </w:hyperlink>
    </w:p>
    <w:p>
      <w:pPr>
        <w:spacing w:before="0" w:after="80"/>
      </w:pPr>
      <w:r>
        <w:rPr>
          <w:i/>
          <w:sz w:val="20"/>
        </w:rPr>
        <w:t>EN: Metal‐Dependent Kinetic Control in Cationic‐Anionic Synchronous Ring‐Opening Polymerization</w:t>
      </w:r>
    </w:p>
    <w:p>
      <w:pPr>
        <w:spacing w:before="0" w:after="120"/>
      </w:pPr>
      <w:r>
        <w:rPr>
          <w:b/>
        </w:rPr>
        <w:t xml:space="preserve">Source: </w:t>
      </w:r>
      <w:r>
        <w:t>Wiley: Angewandte Chemie International Edition: Table of Contents</w:t>
      </w:r>
      <w:r>
        <w:t xml:space="preserve">    </w:t>
      </w:r>
      <w:r>
        <w:rPr>
          <w:b/>
        </w:rPr>
        <w:t xml:space="preserve">Pub date: </w:t>
      </w:r>
      <w:r>
        <w:t>2026-06-18 17:52:03+00:00</w:t>
      </w:r>
      <w:r>
        <w:t xml:space="preserve">    </w:t>
      </w:r>
      <w:r>
        <w:rPr>
          <w:b/>
        </w:rPr>
        <w:t xml:space="preserve">DOI: </w:t>
      </w:r>
      <w:hyperlink r:id="rId1265">
        <w:r>
          <w:rPr>
            <w:color w:val="1155CC"/>
            <w:u w:val="single"/>
          </w:rPr>
          <w:t>10.1002/anie.5992061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在单一催化系统内结合机械正交途径的同步聚合为明确的嵌段共聚物提供了一条有吸引力的途径，但仍然具有挑战性，因为它需要平衡电子相反的反应。在这里，我们系统地研究如何</w:t>
      </w:r>
      <w:r>
        <w:t xml:space="preserve"> </w:t>
      </w:r>
      <w:r>
        <w:t>p</w:t>
      </w:r>
      <w:r>
        <w:t xml:space="preserve"> </w:t>
      </w:r>
      <w:r>
        <w:t>嵌段金属氯化物调节2-恶唑啉和环酯的阳离子-阴离子同步开环聚合（CAP）。通过比较氯化镓</w:t>
      </w:r>
      <w:r>
        <w:rPr>
          <w:vertAlign w:val="subscript"/>
        </w:rPr>
        <w:t>3</w:t>
      </w:r>
      <w:r>
        <w:t>, 氯化铟</w:t>
      </w:r>
      <w:r>
        <w:rPr>
          <w:vertAlign w:val="subscript"/>
        </w:rPr>
        <w:t>3</w:t>
      </w:r>
      <w:r>
        <w:t>, 氯化亚锡</w:t>
      </w:r>
      <w:r>
        <w:rPr>
          <w:vertAlign w:val="subscript"/>
        </w:rPr>
        <w:t>4</w:t>
      </w:r>
      <w:r>
        <w:t>,氯化锑</w:t>
      </w:r>
      <w:r>
        <w:rPr>
          <w:vertAlign w:val="subscript"/>
        </w:rPr>
        <w:t>3</w:t>
      </w:r>
      <w:r>
        <w:t>、和氯化铋</w:t>
      </w:r>
      <w:r>
        <w:rPr>
          <w:vertAlign w:val="subscript"/>
        </w:rPr>
        <w:t>3</w:t>
      </w:r>
      <w:r>
        <w:t>，我们发现同步共聚在该系列中广泛存在，证明了 CAP 框架的通用性和稳健性。与共聚物形成的总体可行性相反，恶唑啉聚合速率对金属中心的特性高度敏感，导致传播动力学的显着差异。动力学分析、路易斯酸度测量和密度泛函理论计算共同表明，增长链末端的金属依赖性电子相互作用调节恶唑啉活化，而环酯聚合受到的影响相对较小。这些发现表明</w:t>
      </w:r>
      <w:r>
        <w:t xml:space="preserve"> </w:t>
      </w:r>
      <w:r>
        <w:t>p</w:t>
      </w:r>
      <w:r>
        <w:t xml:space="preserve"> </w:t>
      </w:r>
      <w:r>
        <w:t>‐阻断金属氯化物主要充当同步 CAP 系统中的动力学调节剂。通过 解耦</w:t>
      </w:r>
    </w:p>
    <w:p>
      <w:pPr>
        <w:spacing w:before="0" w:after="200" w:lineRule="auto" w:line="276"/>
      </w:pPr>
      <w:r>
        <w:rPr>
          <w:b/>
        </w:rPr>
        <w:t xml:space="preserve">Abstract (EN): </w:t>
      </w:r>
      <w:r>
        <w:t>Synchronous polymerization that combines mechanistically orthogonal pathways within a single catalytic system offers an attractive route to well‐defined block copolymers, yet remains challenging because it requires balancing electronically opposing reactions. Here, we systematically investigate how</w:t>
      </w:r>
      <w:r>
        <w:t xml:space="preserve"> </w:t>
      </w:r>
      <w:r>
        <w:t>p</w:t>
      </w:r>
      <w:r>
        <w:t xml:space="preserve"> </w:t>
      </w:r>
      <w:r>
        <w:t>‐block metal chlorides regulate cationic–anionic synchronous ring‐opening polymerization (CAP) of 2‐oxazolines and cyclic esters. By comparing GaCl</w:t>
      </w:r>
      <w:r>
        <w:rPr>
          <w:vertAlign w:val="subscript"/>
        </w:rPr>
        <w:t>3</w:t>
      </w:r>
      <w:r>
        <w:t>, InCl</w:t>
      </w:r>
      <w:r>
        <w:rPr>
          <w:vertAlign w:val="subscript"/>
        </w:rPr>
        <w:t>3</w:t>
      </w:r>
      <w:r>
        <w:t>, SnCl</w:t>
      </w:r>
      <w:r>
        <w:rPr>
          <w:vertAlign w:val="subscript"/>
        </w:rPr>
        <w:t>4</w:t>
      </w:r>
      <w:r>
        <w:t>, SbCl</w:t>
      </w:r>
      <w:r>
        <w:rPr>
          <w:vertAlign w:val="subscript"/>
        </w:rPr>
        <w:t>3</w:t>
      </w:r>
      <w:r>
        <w:t>, and BiCl</w:t>
      </w:r>
      <w:r>
        <w:rPr>
          <w:vertAlign w:val="subscript"/>
        </w:rPr>
        <w:t>3</w:t>
      </w:r>
      <w:r>
        <w:t>, we found that synchronous copolymerization is broadly accessible across this series, demonstrating the generality and robustness of the CAP framework. In contrast to the overall feasibility of copolymer formation, the rate of oxazoline polymerization is highly sensitive to the identity of the metal center, leading to pronounced differences in propagation kinetics. Kinetic analyses, Lewis acidity measurements, and density functional theory calculations collectively indicate that metal‐dependent electronic interactions at the propagating chain end modulate oxazoline activation, whereas cyclic ester polymerization is comparatively less affected. These findings reveal that</w:t>
      </w:r>
      <w:r>
        <w:t xml:space="preserve"> </w:t>
      </w:r>
      <w:r>
        <w:t>p</w:t>
      </w:r>
      <w:r>
        <w:t xml:space="preserve"> </w:t>
      </w:r>
      <w:r>
        <w:t>‐block metal chlorides primarily act as kinetic regulators in synchronous CAP systems. By decoupling polymerization feasibility from rate control, this work clarifies the role of metal identity in multi‐mechanistic polymerizations and provides a general strategy for tuning polymer growth without compromising architectural precision.</w:t>
      </w:r>
    </w:p>
    <w:p>
      <w:pPr>
        <w:spacing w:before="120" w:after="120"/>
      </w:pPr>
      <w:r>
        <w:rPr>
          <w:sz w:val="18"/>
        </w:rPr>
        <w:t>——————————————————————————————————————————————————————————————————————</w:t>
      </w:r>
    </w:p>
    <w:p>
      <w:pPr>
        <w:spacing w:before="160" w:after="40" w:line="240" w:lineRule="auto"/>
      </w:pPr>
      <w:r>
        <w:rPr>
          <w:b/>
        </w:rPr>
        <w:t xml:space="preserve">[548] </w:t>
      </w:r>
      <w:hyperlink r:id="rId1266">
        <w:r>
          <w:rPr>
            <w:color w:val="1155CC"/>
            <w:u w:val="single"/>
          </w:rPr>
          <w:t>烯醛的化学、非对映和对映选择性自由基环化以获得带有 α-四元中心的环戊醇</w:t>
        </w:r>
      </w:hyperlink>
    </w:p>
    <w:p>
      <w:pPr>
        <w:spacing w:before="0" w:after="80"/>
      </w:pPr>
      <w:r>
        <w:rPr>
          <w:i/>
          <w:sz w:val="20"/>
        </w:rPr>
        <w:t>EN: Chemo‐, Diastereo‐, and Enantioselective Radical Cyclization of Enals to Access Cyclopentanols Bearing an α‐Quaternary Center</w:t>
      </w:r>
    </w:p>
    <w:p>
      <w:pPr>
        <w:spacing w:before="0" w:after="120"/>
      </w:pPr>
      <w:r>
        <w:rPr>
          <w:b/>
        </w:rPr>
        <w:t xml:space="preserve">Source: </w:t>
      </w:r>
      <w:r>
        <w:t>Wiley: Angewandte Chemie International Edition: Table of Contents</w:t>
      </w:r>
      <w:r>
        <w:t xml:space="preserve">    </w:t>
      </w:r>
      <w:r>
        <w:rPr>
          <w:b/>
        </w:rPr>
        <w:t xml:space="preserve">Pub date: </w:t>
      </w:r>
      <w:r>
        <w:t>2026-06-18 17:54:45+00:00</w:t>
      </w:r>
      <w:r>
        <w:t xml:space="preserve">    </w:t>
      </w:r>
      <w:r>
        <w:rPr>
          <w:b/>
        </w:rPr>
        <w:t xml:space="preserve">DOI: </w:t>
      </w:r>
      <w:hyperlink r:id="rId1267">
        <w:r>
          <w:rPr>
            <w:color w:val="1155CC"/>
            <w:u w:val="single"/>
          </w:rPr>
          <w:t>10.1002/anie.6111354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控制空间要求自由基反应中的化学选择性和立体选择性仍然是构建邻位立体中心的一个基本挑战，特别是那些带有α-季碳中心的立体中心。尽管它们具有合成价值，但将庞大的碳中心自由基在烯醛上进行不对称自由基环化以获得α-季环醇的技术仍未开发出来。在这里，我们报道了烯醛与未活化的空间拥挤的烷基碘的立体会聚不对称自由基烷基化/环化级联，这是由手性双恶唑啉配体支持的地球丰富的铬催化剂实现的。该方法可直接获得环戊醇和 2,3-二氢-1</w:t>
      </w:r>
      <w:r>
        <w:t xml:space="preserve"> </w:t>
      </w:r>
      <w:r>
        <w:t>H</w:t>
      </w:r>
      <w:r>
        <w:t xml:space="preserve"> </w:t>
      </w:r>
      <w:r>
        <w:t>带有 α-四元立构中心的-茚-1-醇衍生物，产率良好，具有优异的非对映和对映选择性（&gt;20:1 d.r.，高达 99% ee）。该反应在温和条件下进行，表现出广泛的官能团耐受性，并完全抑制烷基亲电子试剂与醛的竞争性直接偶联。实验和 DFT 研究支持催化歧管，其中手性 Cr(II) 络合物介导烷基自由基的单电子生成以加成到烯醛上，并控制所得大叔自由基在羰基上的对映决定外球环化。</w:t>
      </w:r>
    </w:p>
    <w:p>
      <w:pPr>
        <w:spacing w:before="0" w:after="200" w:lineRule="auto" w:line="276"/>
      </w:pPr>
      <w:r>
        <w:rPr>
          <w:b/>
        </w:rPr>
        <w:t xml:space="preserve">Abstract (EN): </w:t>
      </w:r>
      <w:r>
        <w:t>Controlling both chemo‐ and stereoselectivity in reactions of sterically demanding radicals remains a fundamental challenge in the construction of vicinal stereocenters, particularly those bearing an α‐quaternary carbon center. Despite their synthetic value, asymmetric radical cyclization of bulky carbon‐centered radicals onto enals to access α‐quaternary cyclic alcohols remained undeveloped. Here we report a stereoconvergent asymmetric radical alkylation/cyclization cascade of enals with unactivated, sterically congested alkyl iodides, enabled by an earth‐abundant chromium catalyst supported by a chiral bisoxazoline ligand. This method provides direct access to cyclopentanol and 2,3‐dihydro‐1</w:t>
      </w:r>
      <w:r>
        <w:t xml:space="preserve"> </w:t>
      </w:r>
      <w:r>
        <w:t>H</w:t>
      </w:r>
      <w:r>
        <w:t xml:space="preserve"> </w:t>
      </w:r>
      <w:r>
        <w:t>‐inden‐1‐ol derivatives bearing an α‐quaternary stereocenter in good yields with excellent diastereo‐ and enantioselectivities (&amp;gt;20:1 d.r., up to 99% ee). The reaction proceeds under mild conditions, exhibits broad functional‐group tolerance, and completely suppresses the competing direct coupling of alkyl electrophiles with aldehydes. Experimental and DFT studies support a catalytic manifold in which a chiral Cr(II) complex mediates single‐electron generation of alkyl radicals for addition to enals and controls the enantiodetermining outer‐sphere cyclization of the resulting bulky tertiary radical onto the carbonyl group.</w:t>
      </w:r>
    </w:p>
    <w:p>
      <w:pPr>
        <w:spacing w:before="120" w:after="120"/>
      </w:pPr>
      <w:r>
        <w:rPr>
          <w:sz w:val="18"/>
        </w:rPr>
        <w:t>——————————————————————————————————————————————————————————————————————</w:t>
      </w:r>
    </w:p>
    <w:p>
      <w:pPr>
        <w:spacing w:before="160" w:after="40" w:line="240" w:lineRule="auto"/>
      </w:pPr>
      <w:r>
        <w:rPr>
          <w:b/>
        </w:rPr>
        <w:t xml:space="preserve">[549] </w:t>
      </w:r>
      <w:hyperlink r:id="rId1268">
        <w:r>
          <w:rPr>
            <w:color w:val="1155CC"/>
            <w:u w:val="single"/>
          </w:rPr>
          <w:t>通过收入叠加最大化可再生能源和电池存储混合动力的经济价值</w:t>
        </w:r>
      </w:hyperlink>
    </w:p>
    <w:p>
      <w:pPr>
        <w:spacing w:before="0" w:after="80"/>
      </w:pPr>
      <w:r>
        <w:rPr>
          <w:i/>
          <w:sz w:val="20"/>
        </w:rPr>
        <w:t>EN: Maximising the economic value of renewable and battery storage hybrids with revenue stacking</w:t>
      </w:r>
    </w:p>
    <w:p>
      <w:pPr>
        <w:spacing w:before="0" w:after="120"/>
      </w:pPr>
      <w:r>
        <w:rPr>
          <w:b/>
        </w:rPr>
        <w:t xml:space="preserve">Source: </w:t>
      </w:r>
      <w:r>
        <w:t>RSC - Energy Environ. Sci. latest articles</w:t>
      </w:r>
      <w:r>
        <w:t xml:space="preserve">    </w:t>
      </w:r>
      <w:r>
        <w:rPr>
          <w:b/>
        </w:rPr>
        <w:t xml:space="preserve">Pub date: </w:t>
      </w:r>
      <w:r>
        <w:t>2026-06-18 23:00:00+00:00</w:t>
      </w:r>
    </w:p>
    <w:p>
      <w:pPr>
        <w:spacing w:before="0" w:after="120"/>
      </w:pPr>
      <w:r>
        <w:rPr>
          <w:b/>
        </w:rPr>
        <w:t xml:space="preserve">Notes: </w:t>
      </w:r>
      <w:r>
        <w:t>abstract_source=rsc_html</w:t>
      </w:r>
    </w:p>
    <w:p>
      <w:pPr>
        <w:spacing w:before="0" w:after="80" w:lineRule="auto" w:line="276"/>
      </w:pPr>
      <w:r>
        <w:rPr>
          <w:b/>
        </w:rPr>
        <w:t xml:space="preserve">摘要（ZH）: </w:t>
      </w:r>
      <w:r>
        <w:t>随着电力系统增加更多的风能和太阳能，电力供应变得更加难以控制，市场价格变得更加波动。一个日益严峻的挑战是，可再生能源发电商的收入越来越低于平均市场价格，因为它们的产量高度相关，这种效应被称为“收入蚕食”或“捕获率下降”。人们广泛提议将电池存储与可再生能源放在一起，以将输出转移到更高价值的时间，减少弃电，并共享电网连接基础设施，但在市场和监管设计中，最有利可图的配置仍不清楚。这项研究询问何时可再生能源存储混合项目在经济上优于独立的可再生能源或存储，以及哪些设计和运营策略最能保护收入。我们开发了一个收入叠加优化模型，其中包含明确的效率损失和电池退化，以表明盈利能力更多地取决于市场准入和运营限制，而不仅仅是位置。考虑到英国的案例研究，我们发现，只有当储能既能从电网充电又能在整个市场上积累收入时，它才能实现强劲的盈利。四小时的放电持续时间是最具成本效益的，独立存储往往比共置或混合系统更有利可图。将分析扩展到世界多个地区显示出广泛的地理差异。独立储能在澳大利亚、北欧和大多数美国市场很受欢迎，而可再生能源混合储能在欧洲、德克萨斯州和日本部分地区更受欢迎。这些结果为市场设计和</w:t>
      </w:r>
    </w:p>
    <w:p>
      <w:pPr>
        <w:spacing w:before="0" w:after="200" w:lineRule="auto" w:line="276"/>
      </w:pPr>
      <w:r>
        <w:rPr>
          <w:b/>
        </w:rPr>
        <w:t xml:space="preserve">Abstract (EN): </w:t>
      </w:r>
      <w:r>
        <w:t>As power systems add more wind and solar, electricity supply becomes less controllable and market prices become more volatile. A growing challenge is that renewable generators increasingly earn below-average market prices because their production is highly correlated, an effect known as “revenue cannibalisation” or declining “capture rates”. Co-locating battery storage with renewables is widely proposed to shift output to higher-value hours, reduce curtailment, and share grid-connection infrastructure, but the most profitable configurations remain unclear across markets and regulatory designs. This study asks when renewable-storage hybrid projects are economically superior to stand-alone renewables or storage, and which designs and operating strategies best protect revenues. We develop a revenue-stacking optimisation model with explicit efficiency losses and battery degradation to show that profitability depends more on market access and operating constraints than on location alone. Considering a UK case study, we find storage only becomes strongly profitable when it can both charge from the grid and stack revenues across markets. Four-hour discharge duration was most cost-effective, and stand-alone storage tends to be more profitable than co-located or hybridised systems. Extending the analysis across several world regions shows wide geographic variation. Stand-alone storage is favourable in Australian, Nordic and most US markets, while renewable-storage hybrids are superior in Europe, Texas, and parts of Japan. These results provide a practical map from market design and regulation to profitable hybrid architectures, helping investors and policymakers target storage where it most effectively stabilises renewable revenues and supports reliable decarbonisation.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ciencedirect.com/science/article/pii/S0306261926008536?dgcid=rss_sd_all" TargetMode="External"/><Relationship Id="rId10" Type="http://schemas.openxmlformats.org/officeDocument/2006/relationships/hyperlink" Target="https://www.sciencedirect.com/science/article/pii/S0306261926008883?dgcid=rss_sd_all" TargetMode="External"/><Relationship Id="rId11" Type="http://schemas.openxmlformats.org/officeDocument/2006/relationships/hyperlink" Target="https://onlinelibrary.wiley.com/doi/10.1002/anie.5495010?af=R" TargetMode="External"/><Relationship Id="rId12" Type="http://schemas.openxmlformats.org/officeDocument/2006/relationships/hyperlink" Target="https://doi.org/10.1002/anie.5495010" TargetMode="External"/><Relationship Id="rId13" Type="http://schemas.openxmlformats.org/officeDocument/2006/relationships/hyperlink" Target="https://advanced.onlinelibrary.wiley.com/doi/10.1002/aenm.71194?af=R" TargetMode="External"/><Relationship Id="rId14" Type="http://schemas.openxmlformats.org/officeDocument/2006/relationships/hyperlink" Target="https://doi.org/10.1002/aenm.71194" TargetMode="External"/><Relationship Id="rId15" Type="http://schemas.openxmlformats.org/officeDocument/2006/relationships/hyperlink" Target="https://www.nature.com/articles/s41563-026-02668-6" TargetMode="External"/><Relationship Id="rId16" Type="http://schemas.openxmlformats.org/officeDocument/2006/relationships/hyperlink" Target="https://doi.org/10.1038/s41563-026-02668-6" TargetMode="External"/><Relationship Id="rId17" Type="http://schemas.openxmlformats.org/officeDocument/2006/relationships/hyperlink" Target="https://www.nature.com/articles/s41893-026-01854-3" TargetMode="External"/><Relationship Id="rId18" Type="http://schemas.openxmlformats.org/officeDocument/2006/relationships/hyperlink" Target="https://doi.org/10.1038/s41893-026-01854-3" TargetMode="External"/><Relationship Id="rId19" Type="http://schemas.openxmlformats.org/officeDocument/2006/relationships/hyperlink" Target="https://www.cell.com/joule/fulltext/S2542-4351(26)00205-9?rss=yes" TargetMode="External"/><Relationship Id="rId20" Type="http://schemas.openxmlformats.org/officeDocument/2006/relationships/hyperlink" Target="https://doi.org/10.1016/j.joule.2026.102521" TargetMode="External"/><Relationship Id="rId21" Type="http://schemas.openxmlformats.org/officeDocument/2006/relationships/hyperlink" Target="https://advanced.onlinelibrary.wiley.com/doi/10.1002/adma.73696?af=R" TargetMode="External"/><Relationship Id="rId22" Type="http://schemas.openxmlformats.org/officeDocument/2006/relationships/hyperlink" Target="https://doi.org/10.1002/adma.73696" TargetMode="External"/><Relationship Id="rId23" Type="http://schemas.openxmlformats.org/officeDocument/2006/relationships/hyperlink" Target="https://www.sciencedirect.com/science/article/pii/S0306261926008676?dgcid=rss_sd_all" TargetMode="External"/><Relationship Id="rId24" Type="http://schemas.openxmlformats.org/officeDocument/2006/relationships/hyperlink" Target="https://www.sciencedirect.com/science/article/pii/S0306261926008664?dgcid=rss_sd_all" TargetMode="External"/><Relationship Id="rId25" Type="http://schemas.openxmlformats.org/officeDocument/2006/relationships/hyperlink" Target="https://advanced.onlinelibrary.wiley.com/doi/10.1002/aenm.71208?af=R" TargetMode="External"/><Relationship Id="rId26" Type="http://schemas.openxmlformats.org/officeDocument/2006/relationships/hyperlink" Target="https://doi.org/10.1002/aenm.71208" TargetMode="External"/><Relationship Id="rId27" Type="http://schemas.openxmlformats.org/officeDocument/2006/relationships/hyperlink" Target="http://pubs.rsc.org/en/Content/ArticleLanding/2026/EE/D6EE01631F" TargetMode="External"/><Relationship Id="rId28" Type="http://schemas.openxmlformats.org/officeDocument/2006/relationships/hyperlink" Target="https://www.nature.com/articles/s41467-026-74509-8" TargetMode="External"/><Relationship Id="rId29" Type="http://schemas.openxmlformats.org/officeDocument/2006/relationships/hyperlink" Target="https://onlinelibrary.wiley.com/doi/10.1002/anie.2535666?af=R" TargetMode="External"/><Relationship Id="rId30" Type="http://schemas.openxmlformats.org/officeDocument/2006/relationships/hyperlink" Target="https://doi.org/10.1002/anie.2535666" TargetMode="External"/><Relationship Id="rId31" Type="http://schemas.openxmlformats.org/officeDocument/2006/relationships/hyperlink" Target="https://academic.oup.com/nsr/advance-article/doi/10.1093/nsr/nwag369/8707691?rss=1" TargetMode="External"/><Relationship Id="rId32" Type="http://schemas.openxmlformats.org/officeDocument/2006/relationships/hyperlink" Target="https://doi.org/10.1093/nsr/nwag369" TargetMode="External"/><Relationship Id="rId33" Type="http://schemas.openxmlformats.org/officeDocument/2006/relationships/hyperlink" Target="https://advanced.onlinelibrary.wiley.com/doi/10.1002/adma.73710?af=R" TargetMode="External"/><Relationship Id="rId34" Type="http://schemas.openxmlformats.org/officeDocument/2006/relationships/hyperlink" Target="https://doi.org/10.1002/adma.73710" TargetMode="External"/><Relationship Id="rId35" Type="http://schemas.openxmlformats.org/officeDocument/2006/relationships/hyperlink" Target="https://onlinelibrary.wiley.com/doi/10.1002/anie.5222656?af=R" TargetMode="External"/><Relationship Id="rId36" Type="http://schemas.openxmlformats.org/officeDocument/2006/relationships/hyperlink" Target="https://doi.org/10.1002/anie.5222656" TargetMode="External"/><Relationship Id="rId37" Type="http://schemas.openxmlformats.org/officeDocument/2006/relationships/hyperlink" Target="https://onlinelibrary.wiley.com/doi/10.1002/anie.1641255?af=R" TargetMode="External"/><Relationship Id="rId38" Type="http://schemas.openxmlformats.org/officeDocument/2006/relationships/hyperlink" Target="https://doi.org/10.1002/anie.1641255" TargetMode="External"/><Relationship Id="rId39" Type="http://schemas.openxmlformats.org/officeDocument/2006/relationships/hyperlink" Target="http://pubs.rsc.org/en/Content/ArticleLanding/2026/EE/D6EE01622G" TargetMode="External"/><Relationship Id="rId40" Type="http://schemas.openxmlformats.org/officeDocument/2006/relationships/hyperlink" Target="http://pubs.rsc.org/en/Content/ArticleLanding/2026/EE/D6EE02570F" TargetMode="External"/><Relationship Id="rId41" Type="http://schemas.openxmlformats.org/officeDocument/2006/relationships/hyperlink" Target="https://onlinelibrary.wiley.com/doi/10.1002/anie.6355664?af=R" TargetMode="External"/><Relationship Id="rId42" Type="http://schemas.openxmlformats.org/officeDocument/2006/relationships/hyperlink" Target="https://doi.org/10.1002/anie.6355664" TargetMode="External"/><Relationship Id="rId43" Type="http://schemas.openxmlformats.org/officeDocument/2006/relationships/hyperlink" Target="https://advanced.onlinelibrary.wiley.com/doi/10.1002/adma.73731?af=R" TargetMode="External"/><Relationship Id="rId44" Type="http://schemas.openxmlformats.org/officeDocument/2006/relationships/hyperlink" Target="https://doi.org/10.1002/adma.73731" TargetMode="External"/><Relationship Id="rId45" Type="http://schemas.openxmlformats.org/officeDocument/2006/relationships/hyperlink" Target="https://onlinelibrary.wiley.com/doi/10.1002/anie.6558145?af=R" TargetMode="External"/><Relationship Id="rId46" Type="http://schemas.openxmlformats.org/officeDocument/2006/relationships/hyperlink" Target="https://doi.org/10.1002/anie.6558145" TargetMode="External"/><Relationship Id="rId47" Type="http://schemas.openxmlformats.org/officeDocument/2006/relationships/hyperlink" Target="https://www.nature.com/articles/s41586-025-09473-2" TargetMode="External"/><Relationship Id="rId48" Type="http://schemas.openxmlformats.org/officeDocument/2006/relationships/hyperlink" Target="https://doi.org/10.1038/s41586-025-09473-2" TargetMode="External"/><Relationship Id="rId49" Type="http://schemas.openxmlformats.org/officeDocument/2006/relationships/hyperlink" Target="https://www.nature.com/articles/s41586-025-09553-3" TargetMode="External"/><Relationship Id="rId50" Type="http://schemas.openxmlformats.org/officeDocument/2006/relationships/hyperlink" Target="https://doi.org/10.1038/s41586-025-09553-3" TargetMode="External"/><Relationship Id="rId51" Type="http://schemas.openxmlformats.org/officeDocument/2006/relationships/hyperlink" Target="https://advanced.onlinelibrary.wiley.com/doi/10.1002/adma.73617?af=R" TargetMode="External"/><Relationship Id="rId52" Type="http://schemas.openxmlformats.org/officeDocument/2006/relationships/hyperlink" Target="https://doi.org/10.1002/adma.73617" TargetMode="External"/><Relationship Id="rId53" Type="http://schemas.openxmlformats.org/officeDocument/2006/relationships/hyperlink" Target="http://pubs.rsc.org/en/Content/ArticleLanding/2026/EE/D6EE00605A" TargetMode="External"/><Relationship Id="rId54" Type="http://schemas.openxmlformats.org/officeDocument/2006/relationships/hyperlink" Target="https://advanced.onlinelibrary.wiley.com/doi/10.1002/aenm.71198?af=R" TargetMode="External"/><Relationship Id="rId55" Type="http://schemas.openxmlformats.org/officeDocument/2006/relationships/hyperlink" Target="https://doi.org/10.1002/aenm.71198" TargetMode="External"/><Relationship Id="rId56" Type="http://schemas.openxmlformats.org/officeDocument/2006/relationships/hyperlink" Target="https://onlinelibrary.wiley.com/doi/10.1002/anie.4480770?af=R" TargetMode="External"/><Relationship Id="rId57" Type="http://schemas.openxmlformats.org/officeDocument/2006/relationships/hyperlink" Target="https://doi.org/10.1002/anie.4480770" TargetMode="External"/><Relationship Id="rId58" Type="http://schemas.openxmlformats.org/officeDocument/2006/relationships/hyperlink" Target="https://onlinelibrary.wiley.com/doi/10.1002/anie.7135283?af=R" TargetMode="External"/><Relationship Id="rId59" Type="http://schemas.openxmlformats.org/officeDocument/2006/relationships/hyperlink" Target="https://doi.org/10.1002/anie.7135283" TargetMode="External"/><Relationship Id="rId60" Type="http://schemas.openxmlformats.org/officeDocument/2006/relationships/hyperlink" Target="https://www.nature.com/articles/s41467-026-74340-1" TargetMode="External"/><Relationship Id="rId61" Type="http://schemas.openxmlformats.org/officeDocument/2006/relationships/hyperlink" Target="https://advanced.onlinelibrary.wiley.com/doi/10.1002/aenm.71179?af=R" TargetMode="External"/><Relationship Id="rId62" Type="http://schemas.openxmlformats.org/officeDocument/2006/relationships/hyperlink" Target="https://doi.org/10.1002/aenm.71179" TargetMode="External"/><Relationship Id="rId63" Type="http://schemas.openxmlformats.org/officeDocument/2006/relationships/hyperlink" Target="https://advanced.onlinelibrary.wiley.com/doi/10.1002/aenm.71196?af=R" TargetMode="External"/><Relationship Id="rId64" Type="http://schemas.openxmlformats.org/officeDocument/2006/relationships/hyperlink" Target="https://doi.org/10.1002/aenm.71196" TargetMode="External"/><Relationship Id="rId65" Type="http://schemas.openxmlformats.org/officeDocument/2006/relationships/hyperlink" Target="https://advanced.onlinelibrary.wiley.com/doi/10.1002/adma.73744?af=R" TargetMode="External"/><Relationship Id="rId66" Type="http://schemas.openxmlformats.org/officeDocument/2006/relationships/hyperlink" Target="https://doi.org/10.1002/adma.73744" TargetMode="External"/><Relationship Id="rId67" Type="http://schemas.openxmlformats.org/officeDocument/2006/relationships/hyperlink" Target="http://pubs.rsc.org/en/Content/ArticleLanding/2026/EE/D6EE01449F" TargetMode="External"/><Relationship Id="rId68" Type="http://schemas.openxmlformats.org/officeDocument/2006/relationships/hyperlink" Target="https://advanced.onlinelibrary.wiley.com/doi/10.1002/aenm.71185?af=R" TargetMode="External"/><Relationship Id="rId69" Type="http://schemas.openxmlformats.org/officeDocument/2006/relationships/hyperlink" Target="https://doi.org/10.1002/aenm.71185" TargetMode="External"/><Relationship Id="rId70" Type="http://schemas.openxmlformats.org/officeDocument/2006/relationships/hyperlink" Target="https://advanced.onlinelibrary.wiley.com/doi/10.1002/aenm.71200?af=R" TargetMode="External"/><Relationship Id="rId71" Type="http://schemas.openxmlformats.org/officeDocument/2006/relationships/hyperlink" Target="https://doi.org/10.1002/aenm.71200" TargetMode="External"/><Relationship Id="rId72" Type="http://schemas.openxmlformats.org/officeDocument/2006/relationships/hyperlink" Target="https://advanced.onlinelibrary.wiley.com/doi/10.1002/aenm.71158?af=R" TargetMode="External"/><Relationship Id="rId73" Type="http://schemas.openxmlformats.org/officeDocument/2006/relationships/hyperlink" Target="https://doi.org/10.1002/aenm.71158" TargetMode="External"/><Relationship Id="rId74" Type="http://schemas.openxmlformats.org/officeDocument/2006/relationships/hyperlink" Target="https://advanced.onlinelibrary.wiley.com/doi/10.1002/aenm.71168?af=R" TargetMode="External"/><Relationship Id="rId75" Type="http://schemas.openxmlformats.org/officeDocument/2006/relationships/hyperlink" Target="https://doi.org/10.1002/aenm.71168" TargetMode="External"/><Relationship Id="rId76" Type="http://schemas.openxmlformats.org/officeDocument/2006/relationships/hyperlink" Target="https://advanced.onlinelibrary.wiley.com/doi/10.1002/adma.73736?af=R" TargetMode="External"/><Relationship Id="rId77" Type="http://schemas.openxmlformats.org/officeDocument/2006/relationships/hyperlink" Target="https://doi.org/10.1002/adma.73736" TargetMode="External"/><Relationship Id="rId78" Type="http://schemas.openxmlformats.org/officeDocument/2006/relationships/hyperlink" Target="http://pubs.rsc.org/en/Content/ArticleLanding/2026/EE/D6EE02521H" TargetMode="External"/><Relationship Id="rId79" Type="http://schemas.openxmlformats.org/officeDocument/2006/relationships/hyperlink" Target="https://onlinelibrary.wiley.com/doi/10.1002/anie.7967447?af=R" TargetMode="External"/><Relationship Id="rId80" Type="http://schemas.openxmlformats.org/officeDocument/2006/relationships/hyperlink" Target="https://doi.org/10.1002/anie.7967447" TargetMode="External"/><Relationship Id="rId81" Type="http://schemas.openxmlformats.org/officeDocument/2006/relationships/hyperlink" Target="https://onlinelibrary.wiley.com/doi/10.1002/anie.1244287?af=R" TargetMode="External"/><Relationship Id="rId82" Type="http://schemas.openxmlformats.org/officeDocument/2006/relationships/hyperlink" Target="https://doi.org/10.1002/anie.1244287" TargetMode="External"/><Relationship Id="rId83" Type="http://schemas.openxmlformats.org/officeDocument/2006/relationships/hyperlink" Target="https://onlinelibrary.wiley.com/doi/10.1002/anie.7827578?af=R" TargetMode="External"/><Relationship Id="rId84" Type="http://schemas.openxmlformats.org/officeDocument/2006/relationships/hyperlink" Target="https://doi.org/10.1002/anie.7827578" TargetMode="External"/><Relationship Id="rId85" Type="http://schemas.openxmlformats.org/officeDocument/2006/relationships/hyperlink" Target="https://advanced.onlinelibrary.wiley.com/doi/10.1002/adma.73671?af=R" TargetMode="External"/><Relationship Id="rId86" Type="http://schemas.openxmlformats.org/officeDocument/2006/relationships/hyperlink" Target="https://doi.org/10.1002/adma.73671" TargetMode="External"/><Relationship Id="rId87" Type="http://schemas.openxmlformats.org/officeDocument/2006/relationships/hyperlink" Target="https://onlinelibrary.wiley.com/doi/10.1002/anie.3797296?af=R" TargetMode="External"/><Relationship Id="rId88" Type="http://schemas.openxmlformats.org/officeDocument/2006/relationships/hyperlink" Target="https://doi.org/10.1002/anie.3797296" TargetMode="External"/><Relationship Id="rId89" Type="http://schemas.openxmlformats.org/officeDocument/2006/relationships/hyperlink" Target="http://pubs.rsc.org/en/Content/ArticleLanding/2026/EE/D6EE02417C" TargetMode="External"/><Relationship Id="rId90" Type="http://schemas.openxmlformats.org/officeDocument/2006/relationships/hyperlink" Target="https://www.nature.com/articles/s41586-026-10666-6" TargetMode="External"/><Relationship Id="rId91" Type="http://schemas.openxmlformats.org/officeDocument/2006/relationships/hyperlink" Target="https://doi.org/10.1038/s41586-026-10666-6" TargetMode="External"/><Relationship Id="rId92" Type="http://schemas.openxmlformats.org/officeDocument/2006/relationships/hyperlink" Target="https://advanced.onlinelibrary.wiley.com/doi/10.1002/adma.73754?af=R" TargetMode="External"/><Relationship Id="rId93" Type="http://schemas.openxmlformats.org/officeDocument/2006/relationships/hyperlink" Target="https://doi.org/10.1002/adma.73754" TargetMode="External"/><Relationship Id="rId94" Type="http://schemas.openxmlformats.org/officeDocument/2006/relationships/hyperlink" Target="https://www.cell.com/chem/fulltext/S2451-9294(26)00170-1?rss=yes" TargetMode="External"/><Relationship Id="rId95" Type="http://schemas.openxmlformats.org/officeDocument/2006/relationships/hyperlink" Target="https://doi.org/10.1016/j.chempr.2026.103104" TargetMode="External"/><Relationship Id="rId96" Type="http://schemas.openxmlformats.org/officeDocument/2006/relationships/hyperlink" Target="https://advanced.onlinelibrary.wiley.com/doi/10.1002/adma.73748?af=R" TargetMode="External"/><Relationship Id="rId97" Type="http://schemas.openxmlformats.org/officeDocument/2006/relationships/hyperlink" Target="https://doi.org/10.1002/adma.73748" TargetMode="External"/><Relationship Id="rId98" Type="http://schemas.openxmlformats.org/officeDocument/2006/relationships/hyperlink" Target="http://pubs.rsc.org/en/Content/ArticleLanding/2026/CS/D6CS00326E" TargetMode="External"/><Relationship Id="rId99" Type="http://schemas.openxmlformats.org/officeDocument/2006/relationships/hyperlink" Target="https://www.sciencedirect.com/science/article/pii/S0306261926008123?dgcid=rss_sd_all" TargetMode="External"/><Relationship Id="rId100" Type="http://schemas.openxmlformats.org/officeDocument/2006/relationships/hyperlink" Target="https://www.sciencedirect.com/science/article/pii/S0306261926008652?dgcid=rss_sd_all" TargetMode="External"/><Relationship Id="rId101" Type="http://schemas.openxmlformats.org/officeDocument/2006/relationships/hyperlink" Target="https://www.sciencedirect.com/science/article/pii/S0306261926008718?dgcid=rss_sd_all" TargetMode="External"/><Relationship Id="rId102" Type="http://schemas.openxmlformats.org/officeDocument/2006/relationships/hyperlink" Target="https://www.sciencedirect.com/science/article/pii/S0306261926008263?dgcid=rss_sd_all" TargetMode="External"/><Relationship Id="rId103" Type="http://schemas.openxmlformats.org/officeDocument/2006/relationships/hyperlink" Target="https://www.sciencedirect.com/science/article/pii/S0306261926008871?dgcid=rss_sd_all" TargetMode="External"/><Relationship Id="rId104" Type="http://schemas.openxmlformats.org/officeDocument/2006/relationships/hyperlink" Target="https://www.nature.com/articles/s41467-026-74496-w" TargetMode="External"/><Relationship Id="rId105" Type="http://schemas.openxmlformats.org/officeDocument/2006/relationships/hyperlink" Target="https://www.nature.com/articles/s41467-026-74524-9" TargetMode="External"/><Relationship Id="rId106" Type="http://schemas.openxmlformats.org/officeDocument/2006/relationships/hyperlink" Target="http://pubs.rsc.org/en/Content/ArticleLanding/2026/EE/D6EE02209J" TargetMode="External"/><Relationship Id="rId107" Type="http://schemas.openxmlformats.org/officeDocument/2006/relationships/hyperlink" Target="https://www.sciencedirect.com/science/article/pii/S030626192600886X?dgcid=rss_sd_all" TargetMode="External"/><Relationship Id="rId108" Type="http://schemas.openxmlformats.org/officeDocument/2006/relationships/hyperlink" Target="https://www.sciencedirect.com/science/article/pii/S0306261926009037?dgcid=rss_sd_all" TargetMode="External"/><Relationship Id="rId109" Type="http://schemas.openxmlformats.org/officeDocument/2006/relationships/hyperlink" Target="https://www.sciencedirect.com/science/article/pii/S0306261926009049?dgcid=rss_sd_all" TargetMode="External"/><Relationship Id="rId110" Type="http://schemas.openxmlformats.org/officeDocument/2006/relationships/hyperlink" Target="https://www.sciencedirect.com/science/article/pii/S0306261926009153?dgcid=rss_sd_all" TargetMode="External"/><Relationship Id="rId111" Type="http://schemas.openxmlformats.org/officeDocument/2006/relationships/hyperlink" Target="https://advanced.onlinelibrary.wiley.com/doi/10.1002/adma.73763?af=R" TargetMode="External"/><Relationship Id="rId112" Type="http://schemas.openxmlformats.org/officeDocument/2006/relationships/hyperlink" Target="https://doi.org/10.1002/adma.73763" TargetMode="External"/><Relationship Id="rId113" Type="http://schemas.openxmlformats.org/officeDocument/2006/relationships/hyperlink" Target="https://onlinelibrary.wiley.com/doi/10.1002/anie.1780372?af=R" TargetMode="External"/><Relationship Id="rId114" Type="http://schemas.openxmlformats.org/officeDocument/2006/relationships/hyperlink" Target="https://doi.org/10.1002/anie.1780372" TargetMode="External"/><Relationship Id="rId115" Type="http://schemas.openxmlformats.org/officeDocument/2006/relationships/hyperlink" Target="https://onlinelibrary.wiley.com/doi/10.1002/anie.8420715?af=R" TargetMode="External"/><Relationship Id="rId116" Type="http://schemas.openxmlformats.org/officeDocument/2006/relationships/hyperlink" Target="https://doi.org/10.1002/anie.8420715" TargetMode="External"/><Relationship Id="rId117" Type="http://schemas.openxmlformats.org/officeDocument/2006/relationships/hyperlink" Target="https://onlinelibrary.wiley.com/doi/10.1002/anie.7329130?af=R" TargetMode="External"/><Relationship Id="rId118" Type="http://schemas.openxmlformats.org/officeDocument/2006/relationships/hyperlink" Target="https://doi.org/10.1002/anie.7329130" TargetMode="External"/><Relationship Id="rId119" Type="http://schemas.openxmlformats.org/officeDocument/2006/relationships/hyperlink" Target="https://www.sciencedirect.com/science/article/pii/S0306261926007087?dgcid=rss_sd_all" TargetMode="External"/><Relationship Id="rId120" Type="http://schemas.openxmlformats.org/officeDocument/2006/relationships/hyperlink" Target="https://advanced.onlinelibrary.wiley.com/doi/10.1002/adma.73739?af=R" TargetMode="External"/><Relationship Id="rId121" Type="http://schemas.openxmlformats.org/officeDocument/2006/relationships/hyperlink" Target="https://doi.org/10.1002/adma.73739" TargetMode="External"/><Relationship Id="rId122" Type="http://schemas.openxmlformats.org/officeDocument/2006/relationships/hyperlink" Target="https://www.nature.com/articles/s41467-026-74642-4" TargetMode="External"/><Relationship Id="rId123" Type="http://schemas.openxmlformats.org/officeDocument/2006/relationships/hyperlink" Target="https://www.sciencedirect.com/science/article/pii/S0306261926009050?dgcid=rss_sd_all" TargetMode="External"/><Relationship Id="rId124" Type="http://schemas.openxmlformats.org/officeDocument/2006/relationships/hyperlink" Target="http://pubs.rsc.org/en/Content/ArticleLanding/2026/CS/D5CS00746A" TargetMode="External"/><Relationship Id="rId125" Type="http://schemas.openxmlformats.org/officeDocument/2006/relationships/hyperlink" Target="https://advanced.onlinelibrary.wiley.com/doi/10.1002/aenm.71210?af=R" TargetMode="External"/><Relationship Id="rId126" Type="http://schemas.openxmlformats.org/officeDocument/2006/relationships/hyperlink" Target="https://doi.org/10.1002/aenm.71210" TargetMode="External"/><Relationship Id="rId127" Type="http://schemas.openxmlformats.org/officeDocument/2006/relationships/hyperlink" Target="https://advanced.onlinelibrary.wiley.com/doi/10.1002/aenm.71195?af=R" TargetMode="External"/><Relationship Id="rId128" Type="http://schemas.openxmlformats.org/officeDocument/2006/relationships/hyperlink" Target="https://doi.org/10.1002/aenm.71195" TargetMode="External"/><Relationship Id="rId129" Type="http://schemas.openxmlformats.org/officeDocument/2006/relationships/hyperlink" Target="https://advanced.onlinelibrary.wiley.com/doi/10.1002/adma.73758?af=R" TargetMode="External"/><Relationship Id="rId130" Type="http://schemas.openxmlformats.org/officeDocument/2006/relationships/hyperlink" Target="https://doi.org/10.1002/adma.73758" TargetMode="External"/><Relationship Id="rId131" Type="http://schemas.openxmlformats.org/officeDocument/2006/relationships/hyperlink" Target="https://www.sciencedirect.com/science/article/pii/S0301421526003824?dgcid=rss_sd_all" TargetMode="External"/><Relationship Id="rId132" Type="http://schemas.openxmlformats.org/officeDocument/2006/relationships/hyperlink" Target="https://www.sciencedirect.com/science/article/pii/S0306261926008779?dgcid=rss_sd_all" TargetMode="External"/><Relationship Id="rId133" Type="http://schemas.openxmlformats.org/officeDocument/2006/relationships/hyperlink" Target="https://advanced.onlinelibrary.wiley.com/doi/10.1002/adma.73728?af=R" TargetMode="External"/><Relationship Id="rId134" Type="http://schemas.openxmlformats.org/officeDocument/2006/relationships/hyperlink" Target="https://doi.org/10.1002/adma.73728" TargetMode="External"/><Relationship Id="rId135" Type="http://schemas.openxmlformats.org/officeDocument/2006/relationships/hyperlink" Target="https://advanced.onlinelibrary.wiley.com/doi/10.1002/adma.73697?af=R" TargetMode="External"/><Relationship Id="rId136" Type="http://schemas.openxmlformats.org/officeDocument/2006/relationships/hyperlink" Target="https://doi.org/10.1002/adma.73697" TargetMode="External"/><Relationship Id="rId137" Type="http://schemas.openxmlformats.org/officeDocument/2006/relationships/hyperlink" Target="https://www.nature.com/articles/s41467-026-74459-1" TargetMode="External"/><Relationship Id="rId138" Type="http://schemas.openxmlformats.org/officeDocument/2006/relationships/hyperlink" Target="https://www.sciencedirect.com/science/article/pii/S0306261926008846?dgcid=rss_sd_all" TargetMode="External"/><Relationship Id="rId139" Type="http://schemas.openxmlformats.org/officeDocument/2006/relationships/hyperlink" Target="https://www.sciencedirect.com/science/article/pii/S0306261926008950?dgcid=rss_sd_all" TargetMode="External"/><Relationship Id="rId140" Type="http://schemas.openxmlformats.org/officeDocument/2006/relationships/hyperlink" Target="https://www.cell.com/one-earth/fulltext/S2590-3322(26)00140-5?rss=yes" TargetMode="External"/><Relationship Id="rId141" Type="http://schemas.openxmlformats.org/officeDocument/2006/relationships/hyperlink" Target="https://doi.org/10.1016/j.oneear.2026.101739" TargetMode="External"/><Relationship Id="rId142" Type="http://schemas.openxmlformats.org/officeDocument/2006/relationships/hyperlink" Target="https://www.sciencedirect.com/science/article/pii/S0306261926008949?dgcid=rss_sd_all" TargetMode="External"/><Relationship Id="rId143" Type="http://schemas.openxmlformats.org/officeDocument/2006/relationships/hyperlink" Target="https://www.nature.com/articles/s41467-026-74145-2" TargetMode="External"/><Relationship Id="rId144" Type="http://schemas.openxmlformats.org/officeDocument/2006/relationships/hyperlink" Target="https://www.nature.com/articles/s41467-026-74376-3" TargetMode="External"/><Relationship Id="rId145" Type="http://schemas.openxmlformats.org/officeDocument/2006/relationships/hyperlink" Target="https://www.nature.com/articles/s41560-026-02070-1" TargetMode="External"/><Relationship Id="rId146" Type="http://schemas.openxmlformats.org/officeDocument/2006/relationships/hyperlink" Target="https://doi.org/10.1038/s41560-026-02070-1" TargetMode="External"/><Relationship Id="rId147" Type="http://schemas.openxmlformats.org/officeDocument/2006/relationships/hyperlink" Target="https://www.sciencedirect.com/science/article/pii/S0306261926008500?dgcid=rss_sd_all" TargetMode="External"/><Relationship Id="rId148" Type="http://schemas.openxmlformats.org/officeDocument/2006/relationships/hyperlink" Target="https://www.science.org/doi/abs/10.1126/sciadv.aef4765?af=R" TargetMode="External"/><Relationship Id="rId149" Type="http://schemas.openxmlformats.org/officeDocument/2006/relationships/hyperlink" Target="https://doi.org/10.1126/sciadv.aef4765" TargetMode="External"/><Relationship Id="rId150" Type="http://schemas.openxmlformats.org/officeDocument/2006/relationships/hyperlink" Target="http://link.aps.org/doi/10.1103/nqcw-pz8v" TargetMode="External"/><Relationship Id="rId151" Type="http://schemas.openxmlformats.org/officeDocument/2006/relationships/hyperlink" Target="https://doi.org/10.1103/nqcw-pz8v" TargetMode="External"/><Relationship Id="rId152" Type="http://schemas.openxmlformats.org/officeDocument/2006/relationships/hyperlink" Target="https://www.nature.com/articles/s41467-026-74580-1" TargetMode="External"/><Relationship Id="rId153" Type="http://schemas.openxmlformats.org/officeDocument/2006/relationships/hyperlink" Target="https://iopscience.iop.org/article/10.1088/1741-4326/ae7585" TargetMode="External"/><Relationship Id="rId154" Type="http://schemas.openxmlformats.org/officeDocument/2006/relationships/hyperlink" Target="https://doi.org/10.1088/1741-4326/ae7585" TargetMode="External"/><Relationship Id="rId155" Type="http://schemas.openxmlformats.org/officeDocument/2006/relationships/hyperlink" Target="https://iopscience.iop.org/article/10.1088/1741-4326/ae7584" TargetMode="External"/><Relationship Id="rId156" Type="http://schemas.openxmlformats.org/officeDocument/2006/relationships/hyperlink" Target="https://doi.org/10.1088/1741-4326/ae7584" TargetMode="External"/><Relationship Id="rId157" Type="http://schemas.openxmlformats.org/officeDocument/2006/relationships/hyperlink" Target="https://iopscience.iop.org/article/10.1088/1741-4326/ae72a1" TargetMode="External"/><Relationship Id="rId158" Type="http://schemas.openxmlformats.org/officeDocument/2006/relationships/hyperlink" Target="https://doi.org/10.1088/1741-4326/ae72a1" TargetMode="External"/><Relationship Id="rId159" Type="http://schemas.openxmlformats.org/officeDocument/2006/relationships/hyperlink" Target="https://iopscience.iop.org/article/10.1088/1741-4326/ae70a1" TargetMode="External"/><Relationship Id="rId160" Type="http://schemas.openxmlformats.org/officeDocument/2006/relationships/hyperlink" Target="https://doi.org/10.1088/1741-4326/ae70a1" TargetMode="External"/><Relationship Id="rId161" Type="http://schemas.openxmlformats.org/officeDocument/2006/relationships/hyperlink" Target="https://iopscience.iop.org/article/10.1088/1741-4326/ae738c" TargetMode="External"/><Relationship Id="rId162" Type="http://schemas.openxmlformats.org/officeDocument/2006/relationships/hyperlink" Target="https://doi.org/10.1088/1741-4326/ae738c" TargetMode="External"/><Relationship Id="rId163" Type="http://schemas.openxmlformats.org/officeDocument/2006/relationships/hyperlink" Target="http://link.aps.org/doi/10.1103/pvf9-6nrt" TargetMode="External"/><Relationship Id="rId164" Type="http://schemas.openxmlformats.org/officeDocument/2006/relationships/hyperlink" Target="https://doi.org/10.1103/pvf9-6nrt" TargetMode="External"/><Relationship Id="rId165" Type="http://schemas.openxmlformats.org/officeDocument/2006/relationships/hyperlink" Target="https://iopscience.iop.org/article/10.1088/1741-4326/ae7583" TargetMode="External"/><Relationship Id="rId166" Type="http://schemas.openxmlformats.org/officeDocument/2006/relationships/hyperlink" Target="https://doi.org/10.1088/1741-4326/ae7583" TargetMode="External"/><Relationship Id="rId167" Type="http://schemas.openxmlformats.org/officeDocument/2006/relationships/hyperlink" Target="https://iopscience.iop.org/article/10.1088/1741-4326/ae7736" TargetMode="External"/><Relationship Id="rId168" Type="http://schemas.openxmlformats.org/officeDocument/2006/relationships/hyperlink" Target="https://doi.org/10.1088/1741-4326/ae7736" TargetMode="External"/><Relationship Id="rId169" Type="http://schemas.openxmlformats.org/officeDocument/2006/relationships/hyperlink" Target="https://iopscience.iop.org/article/10.1088/1741-4326/ae72a6" TargetMode="External"/><Relationship Id="rId170" Type="http://schemas.openxmlformats.org/officeDocument/2006/relationships/hyperlink" Target="https://doi.org/10.1088/1741-4326/ae72a6" TargetMode="External"/><Relationship Id="rId171" Type="http://schemas.openxmlformats.org/officeDocument/2006/relationships/hyperlink" Target="https://iopscience.iop.org/article/10.1088/1741-4326/ae7613" TargetMode="External"/><Relationship Id="rId172" Type="http://schemas.openxmlformats.org/officeDocument/2006/relationships/hyperlink" Target="https://doi.org/10.1088/1741-4326/ae7613" TargetMode="External"/><Relationship Id="rId173" Type="http://schemas.openxmlformats.org/officeDocument/2006/relationships/hyperlink" Target="https://iopscience.iop.org/article/10.1088/1741-4326/ae7614" TargetMode="External"/><Relationship Id="rId174" Type="http://schemas.openxmlformats.org/officeDocument/2006/relationships/hyperlink" Target="https://doi.org/10.1088/1741-4326/ae7614" TargetMode="External"/><Relationship Id="rId175" Type="http://schemas.openxmlformats.org/officeDocument/2006/relationships/hyperlink" Target="https://www.nature.com/articles/s41467-026-74449-3" TargetMode="External"/><Relationship Id="rId176" Type="http://schemas.openxmlformats.org/officeDocument/2006/relationships/hyperlink" Target="https://iopscience.iop.org/article/10.1088/1741-4326/ae6f30" TargetMode="External"/><Relationship Id="rId177" Type="http://schemas.openxmlformats.org/officeDocument/2006/relationships/hyperlink" Target="https://doi.org/10.1088/1741-4326/ae6f30" TargetMode="External"/><Relationship Id="rId178" Type="http://schemas.openxmlformats.org/officeDocument/2006/relationships/hyperlink" Target="https://www.sciencedirect.com/science/article/pii/S0306261926009062?dgcid=rss_sd_all" TargetMode="External"/><Relationship Id="rId179" Type="http://schemas.openxmlformats.org/officeDocument/2006/relationships/hyperlink" Target="https://www.sciencedirect.com/science/article/pii/S0306261926008858?dgcid=rss_sd_all" TargetMode="External"/><Relationship Id="rId180" Type="http://schemas.openxmlformats.org/officeDocument/2006/relationships/hyperlink" Target="https://www.sciencedirect.com/science/article/pii/S0306261926008433?dgcid=rss_sd_all" TargetMode="External"/><Relationship Id="rId181" Type="http://schemas.openxmlformats.org/officeDocument/2006/relationships/hyperlink" Target="https://www.sciencedirect.com/science/article/pii/S030142152600323X?dgcid=rss_sd_all" TargetMode="External"/><Relationship Id="rId182" Type="http://schemas.openxmlformats.org/officeDocument/2006/relationships/hyperlink" Target="https://onlinelibrary.wiley.com/doi/10.1002/anie.3006166?af=R" TargetMode="External"/><Relationship Id="rId183" Type="http://schemas.openxmlformats.org/officeDocument/2006/relationships/hyperlink" Target="https://doi.org/10.1002/anie.3006166" TargetMode="External"/><Relationship Id="rId184" Type="http://schemas.openxmlformats.org/officeDocument/2006/relationships/hyperlink" Target="https://onlinelibrary.wiley.com/doi/10.1002/anie.4126002?af=R" TargetMode="External"/><Relationship Id="rId185" Type="http://schemas.openxmlformats.org/officeDocument/2006/relationships/hyperlink" Target="https://doi.org/10.1002/anie.4126002" TargetMode="External"/><Relationship Id="rId186" Type="http://schemas.openxmlformats.org/officeDocument/2006/relationships/hyperlink" Target="https://onlinelibrary.wiley.com/doi/10.1002/anie.7341900?af=R" TargetMode="External"/><Relationship Id="rId187" Type="http://schemas.openxmlformats.org/officeDocument/2006/relationships/hyperlink" Target="https://doi.org/10.1002/anie.7341900" TargetMode="External"/><Relationship Id="rId188" Type="http://schemas.openxmlformats.org/officeDocument/2006/relationships/hyperlink" Target="https://www.sciencedirect.com/science/article/pii/S0306261926008639?dgcid=rss_sd_all" TargetMode="External"/><Relationship Id="rId189" Type="http://schemas.openxmlformats.org/officeDocument/2006/relationships/hyperlink" Target="https://www.sciencedirect.com/science/article/pii/S0306261926008706?dgcid=rss_sd_all" TargetMode="External"/><Relationship Id="rId190" Type="http://schemas.openxmlformats.org/officeDocument/2006/relationships/hyperlink" Target="https://advanced.onlinelibrary.wiley.com/doi/10.1002/aenm.71182?af=R" TargetMode="External"/><Relationship Id="rId191" Type="http://schemas.openxmlformats.org/officeDocument/2006/relationships/hyperlink" Target="https://doi.org/10.1002/aenm.71182" TargetMode="External"/><Relationship Id="rId192" Type="http://schemas.openxmlformats.org/officeDocument/2006/relationships/hyperlink" Target="https://www.sciencedirect.com/science/article/pii/S0306261926008792?dgcid=rss_sd_all" TargetMode="External"/><Relationship Id="rId193" Type="http://schemas.openxmlformats.org/officeDocument/2006/relationships/hyperlink" Target="https://www.nature.com/articles/s41467-026-74205-7" TargetMode="External"/><Relationship Id="rId194" Type="http://schemas.openxmlformats.org/officeDocument/2006/relationships/hyperlink" Target="https://www.sciencedirect.com/science/article/pii/S0306261926008238?dgcid=rss_sd_all" TargetMode="External"/><Relationship Id="rId195" Type="http://schemas.openxmlformats.org/officeDocument/2006/relationships/hyperlink" Target="https://www.pnas.org/doi/abs/10.1073/pnas.2531408123?mi=eymic2&amp;af=R&amp;access=on&amp;content=articlesChapters&amp;publication=pnas&amp;sortBy=Earliest&amp;target=default" TargetMode="External"/><Relationship Id="rId196" Type="http://schemas.openxmlformats.org/officeDocument/2006/relationships/hyperlink" Target="https://doi.org/10.1073/pnas.2531408123" TargetMode="External"/><Relationship Id="rId197" Type="http://schemas.openxmlformats.org/officeDocument/2006/relationships/hyperlink" Target="https://www.pnas.org/doi/abs/10.1073/pnas.2619149123?mi=eymic2&amp;af=R&amp;access=on&amp;content=articlesChapters&amp;publication=pnas&amp;sortBy=Earliest&amp;target=default" TargetMode="External"/><Relationship Id="rId198" Type="http://schemas.openxmlformats.org/officeDocument/2006/relationships/hyperlink" Target="https://doi.org/10.1073/pnas.2619149123" TargetMode="External"/><Relationship Id="rId199" Type="http://schemas.openxmlformats.org/officeDocument/2006/relationships/hyperlink" Target="https://onlinelibrary.wiley.com/doi/10.1002/anie.8462106?af=R" TargetMode="External"/><Relationship Id="rId200" Type="http://schemas.openxmlformats.org/officeDocument/2006/relationships/hyperlink" Target="https://doi.org/10.1002/anie.8462106" TargetMode="External"/><Relationship Id="rId201" Type="http://schemas.openxmlformats.org/officeDocument/2006/relationships/hyperlink" Target="https://www.nature.com/articles/s44286-026-00407-x" TargetMode="External"/><Relationship Id="rId202" Type="http://schemas.openxmlformats.org/officeDocument/2006/relationships/hyperlink" Target="https://doi.org/10.1038/s44286-026-00407-x" TargetMode="External"/><Relationship Id="rId203" Type="http://schemas.openxmlformats.org/officeDocument/2006/relationships/hyperlink" Target="https://onlinelibrary.wiley.com/doi/10.1002/anie.4980930?af=R" TargetMode="External"/><Relationship Id="rId204" Type="http://schemas.openxmlformats.org/officeDocument/2006/relationships/hyperlink" Target="https://doi.org/10.1002/anie.4980930" TargetMode="External"/><Relationship Id="rId205" Type="http://schemas.openxmlformats.org/officeDocument/2006/relationships/hyperlink" Target="https://www.nature.com/articles/s41467-026-74540-9" TargetMode="External"/><Relationship Id="rId206" Type="http://schemas.openxmlformats.org/officeDocument/2006/relationships/hyperlink" Target="https://www.sciencedirect.com/science/article/pii/S0306261926008743?dgcid=rss_sd_all" TargetMode="External"/><Relationship Id="rId207" Type="http://schemas.openxmlformats.org/officeDocument/2006/relationships/hyperlink" Target="https://www.sciencedirect.com/science/article/pii/S0306261926008925?dgcid=rss_sd_all" TargetMode="External"/><Relationship Id="rId208" Type="http://schemas.openxmlformats.org/officeDocument/2006/relationships/hyperlink" Target="https://academic.oup.com/nsr/advance-article/doi/10.1093/nsr/nwag375/8709799?rss=1" TargetMode="External"/><Relationship Id="rId209" Type="http://schemas.openxmlformats.org/officeDocument/2006/relationships/hyperlink" Target="https://doi.org/10.1093/nsr/nwag375" TargetMode="External"/><Relationship Id="rId210" Type="http://schemas.openxmlformats.org/officeDocument/2006/relationships/hyperlink" Target="https://advanced.onlinelibrary.wiley.com/doi/10.1002/aenm.71199?af=R" TargetMode="External"/><Relationship Id="rId211" Type="http://schemas.openxmlformats.org/officeDocument/2006/relationships/hyperlink" Target="https://doi.org/10.1002/aenm.71199" TargetMode="External"/><Relationship Id="rId212" Type="http://schemas.openxmlformats.org/officeDocument/2006/relationships/hyperlink" Target="https://advanced.onlinelibrary.wiley.com/doi/10.1002/adma.73778?af=R" TargetMode="External"/><Relationship Id="rId213" Type="http://schemas.openxmlformats.org/officeDocument/2006/relationships/hyperlink" Target="https://doi.org/10.1002/adma.73778" TargetMode="External"/><Relationship Id="rId214" Type="http://schemas.openxmlformats.org/officeDocument/2006/relationships/hyperlink" Target="http://pubs.rsc.org/en/Content/ArticleLanding/2026/EE/D6EE01570K" TargetMode="External"/><Relationship Id="rId215" Type="http://schemas.openxmlformats.org/officeDocument/2006/relationships/hyperlink" Target="https://www.nature.com/articles/s41563-026-02621-7" TargetMode="External"/><Relationship Id="rId216" Type="http://schemas.openxmlformats.org/officeDocument/2006/relationships/hyperlink" Target="https://doi.org/10.1038/s41563-026-02621-7" TargetMode="External"/><Relationship Id="rId217" Type="http://schemas.openxmlformats.org/officeDocument/2006/relationships/hyperlink" Target="https://www.sciencedirect.com/science/article/pii/S0306261926009128?dgcid=rss_sd_all" TargetMode="External"/><Relationship Id="rId218" Type="http://schemas.openxmlformats.org/officeDocument/2006/relationships/hyperlink" Target="https://advanced.onlinelibrary.wiley.com/doi/10.1002/adma.73648?af=R" TargetMode="External"/><Relationship Id="rId219" Type="http://schemas.openxmlformats.org/officeDocument/2006/relationships/hyperlink" Target="https://doi.org/10.1002/adma.73648" TargetMode="External"/><Relationship Id="rId220" Type="http://schemas.openxmlformats.org/officeDocument/2006/relationships/hyperlink" Target="https://advanced.onlinelibrary.wiley.com/doi/10.1002/aenm.70998?af=R" TargetMode="External"/><Relationship Id="rId221" Type="http://schemas.openxmlformats.org/officeDocument/2006/relationships/hyperlink" Target="https://doi.org/10.1002/aenm.70998" TargetMode="External"/><Relationship Id="rId222" Type="http://schemas.openxmlformats.org/officeDocument/2006/relationships/hyperlink" Target="https://onlinelibrary.wiley.com/doi/10.1002/anie.2026858?af=R" TargetMode="External"/><Relationship Id="rId223" Type="http://schemas.openxmlformats.org/officeDocument/2006/relationships/hyperlink" Target="https://doi.org/10.1002/anie.2026858" TargetMode="External"/><Relationship Id="rId224" Type="http://schemas.openxmlformats.org/officeDocument/2006/relationships/hyperlink" Target="https://onlinelibrary.wiley.com/doi/10.1002/anie.7876559?af=R" TargetMode="External"/><Relationship Id="rId225" Type="http://schemas.openxmlformats.org/officeDocument/2006/relationships/hyperlink" Target="https://doi.org/10.1002/anie.7876559" TargetMode="External"/><Relationship Id="rId226" Type="http://schemas.openxmlformats.org/officeDocument/2006/relationships/hyperlink" Target="https://onlinelibrary.wiley.com/doi/10.1002/anie.4793272?af=R" TargetMode="External"/><Relationship Id="rId227" Type="http://schemas.openxmlformats.org/officeDocument/2006/relationships/hyperlink" Target="https://doi.org/10.1002/anie.4793272" TargetMode="External"/><Relationship Id="rId228" Type="http://schemas.openxmlformats.org/officeDocument/2006/relationships/hyperlink" Target="https://onlinelibrary.wiley.com/doi/10.1002/anie.5545844?af=R" TargetMode="External"/><Relationship Id="rId229" Type="http://schemas.openxmlformats.org/officeDocument/2006/relationships/hyperlink" Target="https://doi.org/10.1002/anie.5545844" TargetMode="External"/><Relationship Id="rId230" Type="http://schemas.openxmlformats.org/officeDocument/2006/relationships/hyperlink" Target="https://www.sciencedirect.com/science/article/pii/S0306261926008809?dgcid=rss_sd_all" TargetMode="External"/><Relationship Id="rId231" Type="http://schemas.openxmlformats.org/officeDocument/2006/relationships/hyperlink" Target="https://www.sciencedirect.com/science/article/pii/S0306261926008020?dgcid=rss_sd_all" TargetMode="External"/><Relationship Id="rId232" Type="http://schemas.openxmlformats.org/officeDocument/2006/relationships/hyperlink" Target="https://www.sciencedirect.com/science/article/pii/S0306261926008299?dgcid=rss_sd_all" TargetMode="External"/><Relationship Id="rId233" Type="http://schemas.openxmlformats.org/officeDocument/2006/relationships/hyperlink" Target="https://www.sciencedirect.com/science/article/pii/S0306261926007877?dgcid=rss_sd_all" TargetMode="External"/><Relationship Id="rId234" Type="http://schemas.openxmlformats.org/officeDocument/2006/relationships/hyperlink" Target="https://www.sciencedirect.com/science/article/pii/S0301421526003551?dgcid=rss_sd_all" TargetMode="External"/><Relationship Id="rId235" Type="http://schemas.openxmlformats.org/officeDocument/2006/relationships/hyperlink" Target="https://www.nature.com/articles/s41467-026-74155-0" TargetMode="External"/><Relationship Id="rId236" Type="http://schemas.openxmlformats.org/officeDocument/2006/relationships/hyperlink" Target="https://www.nature.com/articles/s41467-026-74387-0" TargetMode="External"/><Relationship Id="rId237" Type="http://schemas.openxmlformats.org/officeDocument/2006/relationships/hyperlink" Target="https://www.nature.com/articles/s44286-026-00410-2" TargetMode="External"/><Relationship Id="rId238" Type="http://schemas.openxmlformats.org/officeDocument/2006/relationships/hyperlink" Target="https://doi.org/10.1038/s44286-026-00410-2" TargetMode="External"/><Relationship Id="rId239" Type="http://schemas.openxmlformats.org/officeDocument/2006/relationships/hyperlink" Target="https://www.sciencedirect.com/science/article/pii/S0306261926008524?dgcid=rss_sd_all" TargetMode="External"/><Relationship Id="rId240" Type="http://schemas.openxmlformats.org/officeDocument/2006/relationships/hyperlink" Target="https://onlinelibrary.wiley.com/doi/10.1002/anie.7624038?af=R" TargetMode="External"/><Relationship Id="rId241" Type="http://schemas.openxmlformats.org/officeDocument/2006/relationships/hyperlink" Target="https://doi.org/10.1002/anie.7624038" TargetMode="External"/><Relationship Id="rId242" Type="http://schemas.openxmlformats.org/officeDocument/2006/relationships/hyperlink" Target="https://www.nature.com/articles/s41467-026-74424-y" TargetMode="External"/><Relationship Id="rId243" Type="http://schemas.openxmlformats.org/officeDocument/2006/relationships/hyperlink" Target="https://www.nature.com/articles/s41893-026-01842-7" TargetMode="External"/><Relationship Id="rId244" Type="http://schemas.openxmlformats.org/officeDocument/2006/relationships/hyperlink" Target="https://doi.org/10.1038/s41893-026-01842-7" TargetMode="External"/><Relationship Id="rId245" Type="http://schemas.openxmlformats.org/officeDocument/2006/relationships/hyperlink" Target="https://www.nature.com/articles/s41928-026-01652-x" TargetMode="External"/><Relationship Id="rId246" Type="http://schemas.openxmlformats.org/officeDocument/2006/relationships/hyperlink" Target="https://doi.org/10.1038/s41928-026-01652-x" TargetMode="External"/><Relationship Id="rId247" Type="http://schemas.openxmlformats.org/officeDocument/2006/relationships/hyperlink" Target="https://www.science.org/doi/abs/10.1126/science.aed1111?af=R" TargetMode="External"/><Relationship Id="rId248" Type="http://schemas.openxmlformats.org/officeDocument/2006/relationships/hyperlink" Target="https://doi.org/10.1126/science.aed1111" TargetMode="External"/><Relationship Id="rId249" Type="http://schemas.openxmlformats.org/officeDocument/2006/relationships/hyperlink" Target="https://www.science.org/doi/abs/10.1126/science.aea0869?af=R" TargetMode="External"/><Relationship Id="rId250" Type="http://schemas.openxmlformats.org/officeDocument/2006/relationships/hyperlink" Target="https://doi.org/10.1126/science.aea0869" TargetMode="External"/><Relationship Id="rId251" Type="http://schemas.openxmlformats.org/officeDocument/2006/relationships/hyperlink" Target="https://onlinelibrary.wiley.com/doi/10.1002/anie.8723325?af=R" TargetMode="External"/><Relationship Id="rId252" Type="http://schemas.openxmlformats.org/officeDocument/2006/relationships/hyperlink" Target="https://doi.org/10.1002/anie.8723325" TargetMode="External"/><Relationship Id="rId253" Type="http://schemas.openxmlformats.org/officeDocument/2006/relationships/hyperlink" Target="https://onlinelibrary.wiley.com/doi/10.1002/anie.7784249?af=R" TargetMode="External"/><Relationship Id="rId254" Type="http://schemas.openxmlformats.org/officeDocument/2006/relationships/hyperlink" Target="https://doi.org/10.1002/anie.7784249" TargetMode="External"/><Relationship Id="rId255" Type="http://schemas.openxmlformats.org/officeDocument/2006/relationships/hyperlink" Target="https://onlinelibrary.wiley.com/doi/10.1002/anie.7002606?af=R" TargetMode="External"/><Relationship Id="rId256" Type="http://schemas.openxmlformats.org/officeDocument/2006/relationships/hyperlink" Target="https://doi.org/10.1002/anie.7002606" TargetMode="External"/><Relationship Id="rId257" Type="http://schemas.openxmlformats.org/officeDocument/2006/relationships/hyperlink" Target="https://www.nature.com/articles/s44286-026-00409-9" TargetMode="External"/><Relationship Id="rId258" Type="http://schemas.openxmlformats.org/officeDocument/2006/relationships/hyperlink" Target="https://doi.org/10.1038/s44286-026-00409-9" TargetMode="External"/><Relationship Id="rId259" Type="http://schemas.openxmlformats.org/officeDocument/2006/relationships/hyperlink" Target="https://www.nature.com/articles/s41893-026-01869-w" TargetMode="External"/><Relationship Id="rId260" Type="http://schemas.openxmlformats.org/officeDocument/2006/relationships/hyperlink" Target="https://doi.org/10.1038/s41893-026-01869-w" TargetMode="External"/><Relationship Id="rId261" Type="http://schemas.openxmlformats.org/officeDocument/2006/relationships/hyperlink" Target="https://www.nature.com/articles/s41467-026-74410-4" TargetMode="External"/><Relationship Id="rId262" Type="http://schemas.openxmlformats.org/officeDocument/2006/relationships/hyperlink" Target="https://www.cell.com/one-earth/fulltext/S2590-3322(26)00141-7?rss=yes" TargetMode="External"/><Relationship Id="rId263" Type="http://schemas.openxmlformats.org/officeDocument/2006/relationships/hyperlink" Target="https://doi.org/10.1016/j.oneear.2026.101740" TargetMode="External"/><Relationship Id="rId264" Type="http://schemas.openxmlformats.org/officeDocument/2006/relationships/hyperlink" Target="https://www.nature.com/articles/s41467-026-74091-z" TargetMode="External"/><Relationship Id="rId265" Type="http://schemas.openxmlformats.org/officeDocument/2006/relationships/hyperlink" Target="https://www.cell.com/chem/fulltext/S2451-9294(26)00139-7?rss=yes" TargetMode="External"/><Relationship Id="rId266" Type="http://schemas.openxmlformats.org/officeDocument/2006/relationships/hyperlink" Target="https://doi.org/10.1016/j.chempr.2026.103073" TargetMode="External"/><Relationship Id="rId267" Type="http://schemas.openxmlformats.org/officeDocument/2006/relationships/hyperlink" Target="https://www.nature.com/articles/s41467-026-74667-9" TargetMode="External"/><Relationship Id="rId268" Type="http://schemas.openxmlformats.org/officeDocument/2006/relationships/hyperlink" Target="https://www.pnas.org/doi/abs/10.1073/pnas.2527157123?mi=eymic2&amp;af=R&amp;access=on&amp;content=articlesChapters&amp;publication=pnas&amp;sortBy=Earliest&amp;target=default" TargetMode="External"/><Relationship Id="rId269" Type="http://schemas.openxmlformats.org/officeDocument/2006/relationships/hyperlink" Target="https://doi.org/10.1073/pnas.2527157123" TargetMode="External"/><Relationship Id="rId270" Type="http://schemas.openxmlformats.org/officeDocument/2006/relationships/hyperlink" Target="https://advanced.onlinelibrary.wiley.com/doi/10.1002/adma.73759?af=R" TargetMode="External"/><Relationship Id="rId271" Type="http://schemas.openxmlformats.org/officeDocument/2006/relationships/hyperlink" Target="https://doi.org/10.1002/adma.73759" TargetMode="External"/><Relationship Id="rId272" Type="http://schemas.openxmlformats.org/officeDocument/2006/relationships/hyperlink" Target="https://www.nature.com/articles/s41586-026-10664-8" TargetMode="External"/><Relationship Id="rId273" Type="http://schemas.openxmlformats.org/officeDocument/2006/relationships/hyperlink" Target="https://doi.org/10.1038/s41586-026-10664-8" TargetMode="External"/><Relationship Id="rId274" Type="http://schemas.openxmlformats.org/officeDocument/2006/relationships/hyperlink" Target="https://www.nature.com/articles/s41467-026-73904-5" TargetMode="External"/><Relationship Id="rId275" Type="http://schemas.openxmlformats.org/officeDocument/2006/relationships/hyperlink" Target="https://www.sciencedirect.com/science/article/pii/S030626192600869X?dgcid=rss_sd_all" TargetMode="External"/><Relationship Id="rId276" Type="http://schemas.openxmlformats.org/officeDocument/2006/relationships/hyperlink" Target="https://www.cell.com/joule/fulltext/S2542-4351(26)00213-8?rss=yes" TargetMode="External"/><Relationship Id="rId277" Type="http://schemas.openxmlformats.org/officeDocument/2006/relationships/hyperlink" Target="https://doi.org/10.1016/j.joule.2026.102529" TargetMode="External"/><Relationship Id="rId278" Type="http://schemas.openxmlformats.org/officeDocument/2006/relationships/hyperlink" Target="https://advanced.onlinelibrary.wiley.com/doi/10.1002/adma.73738?af=R" TargetMode="External"/><Relationship Id="rId279" Type="http://schemas.openxmlformats.org/officeDocument/2006/relationships/hyperlink" Target="https://doi.org/10.1002/adma.73738" TargetMode="External"/><Relationship Id="rId280" Type="http://schemas.openxmlformats.org/officeDocument/2006/relationships/hyperlink" Target="https://advanced.onlinelibrary.wiley.com/doi/10.1002/aenm.71201?af=R" TargetMode="External"/><Relationship Id="rId281" Type="http://schemas.openxmlformats.org/officeDocument/2006/relationships/hyperlink" Target="https://doi.org/10.1002/aenm.71201" TargetMode="External"/><Relationship Id="rId282" Type="http://schemas.openxmlformats.org/officeDocument/2006/relationships/hyperlink" Target="https://onlinelibrary.wiley.com/doi/10.1002/anie.3158178?af=R" TargetMode="External"/><Relationship Id="rId283" Type="http://schemas.openxmlformats.org/officeDocument/2006/relationships/hyperlink" Target="https://doi.org/10.1002/anie.3158178" TargetMode="External"/><Relationship Id="rId284" Type="http://schemas.openxmlformats.org/officeDocument/2006/relationships/hyperlink" Target="https://onlinelibrary.wiley.com/doi/10.1002/anie.9655199?af=R" TargetMode="External"/><Relationship Id="rId285" Type="http://schemas.openxmlformats.org/officeDocument/2006/relationships/hyperlink" Target="https://doi.org/10.1002/anie.9655199" TargetMode="External"/><Relationship Id="rId286" Type="http://schemas.openxmlformats.org/officeDocument/2006/relationships/hyperlink" Target="https://www.nature.com/articles/s41563-026-02646-y" TargetMode="External"/><Relationship Id="rId287" Type="http://schemas.openxmlformats.org/officeDocument/2006/relationships/hyperlink" Target="https://doi.org/10.1038/s41563-026-02646-y" TargetMode="External"/><Relationship Id="rId288" Type="http://schemas.openxmlformats.org/officeDocument/2006/relationships/hyperlink" Target="https://advanced.onlinelibrary.wiley.com/doi/10.1002/adma.73725?af=R" TargetMode="External"/><Relationship Id="rId289" Type="http://schemas.openxmlformats.org/officeDocument/2006/relationships/hyperlink" Target="https://doi.org/10.1002/adma.73725" TargetMode="External"/><Relationship Id="rId290" Type="http://schemas.openxmlformats.org/officeDocument/2006/relationships/hyperlink" Target="https://www.science.org/doi/abs/10.1126/sciadv.aed9124?af=R" TargetMode="External"/><Relationship Id="rId291" Type="http://schemas.openxmlformats.org/officeDocument/2006/relationships/hyperlink" Target="https://doi.org/10.1126/sciadv.aed9124" TargetMode="External"/><Relationship Id="rId292" Type="http://schemas.openxmlformats.org/officeDocument/2006/relationships/hyperlink" Target="https://www.science.org/doi/abs/10.1126/sciadv.aed5675?af=R" TargetMode="External"/><Relationship Id="rId293" Type="http://schemas.openxmlformats.org/officeDocument/2006/relationships/hyperlink" Target="https://doi.org/10.1126/sciadv.aed5675" TargetMode="External"/><Relationship Id="rId294" Type="http://schemas.openxmlformats.org/officeDocument/2006/relationships/hyperlink" Target="https://onlinelibrary.wiley.com/doi/10.1002/anie.4035800?af=R" TargetMode="External"/><Relationship Id="rId295" Type="http://schemas.openxmlformats.org/officeDocument/2006/relationships/hyperlink" Target="https://doi.org/10.1002/anie.4035800" TargetMode="External"/><Relationship Id="rId296" Type="http://schemas.openxmlformats.org/officeDocument/2006/relationships/hyperlink" Target="https://www.nature.com/articles/s41467-026-73931-2" TargetMode="External"/><Relationship Id="rId297" Type="http://schemas.openxmlformats.org/officeDocument/2006/relationships/hyperlink" Target="https://www.nature.com/articles/s41467-026-74356-7" TargetMode="External"/><Relationship Id="rId298" Type="http://schemas.openxmlformats.org/officeDocument/2006/relationships/hyperlink" Target="https://www.nature.com/articles/s41467-026-74318-z" TargetMode="External"/><Relationship Id="rId299" Type="http://schemas.openxmlformats.org/officeDocument/2006/relationships/hyperlink" Target="https://www.nature.com/articles/s41467-026-74224-4" TargetMode="External"/><Relationship Id="rId300" Type="http://schemas.openxmlformats.org/officeDocument/2006/relationships/hyperlink" Target="https://www.sciencedirect.com/science/article/pii/S0306261926008834?dgcid=rss_sd_all" TargetMode="External"/><Relationship Id="rId301" Type="http://schemas.openxmlformats.org/officeDocument/2006/relationships/hyperlink" Target="https://www.nature.com/articles/s41467-026-74331-2" TargetMode="External"/><Relationship Id="rId302" Type="http://schemas.openxmlformats.org/officeDocument/2006/relationships/hyperlink" Target="https://www.sciencedirect.com/science/article/pii/S030626192600855X?dgcid=rss_sd_all" TargetMode="External"/><Relationship Id="rId303" Type="http://schemas.openxmlformats.org/officeDocument/2006/relationships/hyperlink" Target="https://www.sciencedirect.com/science/article/pii/S0306261926008147?dgcid=rss_sd_all" TargetMode="External"/><Relationship Id="rId304" Type="http://schemas.openxmlformats.org/officeDocument/2006/relationships/hyperlink" Target="https://www.sciencedirect.com/science/article/pii/S0306261926008287?dgcid=rss_sd_all" TargetMode="External"/><Relationship Id="rId305" Type="http://schemas.openxmlformats.org/officeDocument/2006/relationships/hyperlink" Target="https://www.sciencedirect.com/science/article/pii/S0306261926008573?dgcid=rss_sd_all" TargetMode="External"/><Relationship Id="rId306" Type="http://schemas.openxmlformats.org/officeDocument/2006/relationships/hyperlink" Target="https://www.sciencedirect.com/science/article/pii/S0306261926008597?dgcid=rss_sd_all" TargetMode="External"/><Relationship Id="rId307" Type="http://schemas.openxmlformats.org/officeDocument/2006/relationships/hyperlink" Target="https://www.sciencedirect.com/science/article/pii/S0306261926008214?dgcid=rss_sd_all" TargetMode="External"/><Relationship Id="rId308" Type="http://schemas.openxmlformats.org/officeDocument/2006/relationships/hyperlink" Target="https://www.sciencedirect.com/science/article/pii/S0306261926008937?dgcid=rss_sd_all" TargetMode="External"/><Relationship Id="rId309" Type="http://schemas.openxmlformats.org/officeDocument/2006/relationships/hyperlink" Target="https://www.sciencedirect.com/science/article/pii/S0301421526003563?dgcid=rss_sd_all" TargetMode="External"/><Relationship Id="rId310" Type="http://schemas.openxmlformats.org/officeDocument/2006/relationships/hyperlink" Target="https://www.nature.com/articles/s41467-026-74274-8" TargetMode="External"/><Relationship Id="rId311" Type="http://schemas.openxmlformats.org/officeDocument/2006/relationships/hyperlink" Target="https://www.nature.com/articles/s41467-026-74061-5" TargetMode="External"/><Relationship Id="rId312" Type="http://schemas.openxmlformats.org/officeDocument/2006/relationships/hyperlink" Target="https://academic.oup.com/nsr/advance-article/doi/10.1093/nsr/nwag335/8707690?rss=1" TargetMode="External"/><Relationship Id="rId313" Type="http://schemas.openxmlformats.org/officeDocument/2006/relationships/hyperlink" Target="https://doi.org/10.1093/nsr/nwag335" TargetMode="External"/><Relationship Id="rId314" Type="http://schemas.openxmlformats.org/officeDocument/2006/relationships/hyperlink" Target="https://www.nature.com/articles/s41467-026-74101-0" TargetMode="External"/><Relationship Id="rId315" Type="http://schemas.openxmlformats.org/officeDocument/2006/relationships/hyperlink" Target="https://www.nature.com/articles/s41467-026-74143-4" TargetMode="External"/><Relationship Id="rId316" Type="http://schemas.openxmlformats.org/officeDocument/2006/relationships/hyperlink" Target="https://www.nature.com/articles/s41467-026-74219-1" TargetMode="External"/><Relationship Id="rId317" Type="http://schemas.openxmlformats.org/officeDocument/2006/relationships/hyperlink" Target="https://academic.oup.com/nsr/advance-article/doi/10.1093/nsr/nwag371/8707689?rss=1" TargetMode="External"/><Relationship Id="rId318" Type="http://schemas.openxmlformats.org/officeDocument/2006/relationships/hyperlink" Target="https://doi.org/10.1093/nsr/nwag371" TargetMode="External"/><Relationship Id="rId319" Type="http://schemas.openxmlformats.org/officeDocument/2006/relationships/hyperlink" Target="https://www.nature.com/articles/s41467-026-74043-7" TargetMode="External"/><Relationship Id="rId320" Type="http://schemas.openxmlformats.org/officeDocument/2006/relationships/hyperlink" Target="https://www.nature.com/articles/s41467-026-74448-4" TargetMode="External"/><Relationship Id="rId321" Type="http://schemas.openxmlformats.org/officeDocument/2006/relationships/hyperlink" Target="https://www.nature.com/articles/s41467-026-74218-2" TargetMode="External"/><Relationship Id="rId322" Type="http://schemas.openxmlformats.org/officeDocument/2006/relationships/hyperlink" Target="https://www.nature.com/articles/s41467-026-74323-2" TargetMode="External"/><Relationship Id="rId323" Type="http://schemas.openxmlformats.org/officeDocument/2006/relationships/hyperlink" Target="https://www.nature.com/articles/s41467-026-73579-y" TargetMode="External"/><Relationship Id="rId324" Type="http://schemas.openxmlformats.org/officeDocument/2006/relationships/hyperlink" Target="https://www.nature.com/articles/s41467-026-74402-4" TargetMode="External"/><Relationship Id="rId325" Type="http://schemas.openxmlformats.org/officeDocument/2006/relationships/hyperlink" Target="https://www.nature.com/articles/s41467-026-73396-3" TargetMode="External"/><Relationship Id="rId326" Type="http://schemas.openxmlformats.org/officeDocument/2006/relationships/hyperlink" Target="https://academic.oup.com/nsr/advance-article/doi/10.1093/nsr/nwag339/8707688?rss=1" TargetMode="External"/><Relationship Id="rId327" Type="http://schemas.openxmlformats.org/officeDocument/2006/relationships/hyperlink" Target="https://doi.org/10.1093/nsr/nwag339" TargetMode="External"/><Relationship Id="rId328" Type="http://schemas.openxmlformats.org/officeDocument/2006/relationships/hyperlink" Target="https://www.nature.com/articles/s41467-026-74384-3" TargetMode="External"/><Relationship Id="rId329" Type="http://schemas.openxmlformats.org/officeDocument/2006/relationships/hyperlink" Target="https://www.nature.com/articles/s41467-026-74401-5" TargetMode="External"/><Relationship Id="rId330" Type="http://schemas.openxmlformats.org/officeDocument/2006/relationships/hyperlink" Target="https://www.nature.com/articles/s41467-026-73638-4" TargetMode="External"/><Relationship Id="rId331" Type="http://schemas.openxmlformats.org/officeDocument/2006/relationships/hyperlink" Target="https://www.nature.com/articles/s41467-026-74162-1" TargetMode="External"/><Relationship Id="rId332" Type="http://schemas.openxmlformats.org/officeDocument/2006/relationships/hyperlink" Target="https://www.nature.com/articles/s41467-026-74320-5" TargetMode="External"/><Relationship Id="rId333" Type="http://schemas.openxmlformats.org/officeDocument/2006/relationships/hyperlink" Target="https://www.nature.com/articles/s41467-026-74263-x" TargetMode="External"/><Relationship Id="rId334" Type="http://schemas.openxmlformats.org/officeDocument/2006/relationships/hyperlink" Target="https://advanced.onlinelibrary.wiley.com/doi/10.1002/adma.73723?af=R" TargetMode="External"/><Relationship Id="rId335" Type="http://schemas.openxmlformats.org/officeDocument/2006/relationships/hyperlink" Target="https://doi.org/10.1002/adma.73723" TargetMode="External"/><Relationship Id="rId336" Type="http://schemas.openxmlformats.org/officeDocument/2006/relationships/hyperlink" Target="https://advanced.onlinelibrary.wiley.com/doi/10.1002/adma.73727?af=R" TargetMode="External"/><Relationship Id="rId337" Type="http://schemas.openxmlformats.org/officeDocument/2006/relationships/hyperlink" Target="https://doi.org/10.1002/adma.73727" TargetMode="External"/><Relationship Id="rId338" Type="http://schemas.openxmlformats.org/officeDocument/2006/relationships/hyperlink" Target="https://advanced.onlinelibrary.wiley.com/doi/10.1002/adma.73701?af=R" TargetMode="External"/><Relationship Id="rId339" Type="http://schemas.openxmlformats.org/officeDocument/2006/relationships/hyperlink" Target="https://doi.org/10.1002/adma.73701" TargetMode="External"/><Relationship Id="rId340" Type="http://schemas.openxmlformats.org/officeDocument/2006/relationships/hyperlink" Target="https://advanced.onlinelibrary.wiley.com/doi/10.1002/adma.202521667?af=R" TargetMode="External"/><Relationship Id="rId341" Type="http://schemas.openxmlformats.org/officeDocument/2006/relationships/hyperlink" Target="https://doi.org/10.1002/adma.202521667" TargetMode="External"/><Relationship Id="rId342" Type="http://schemas.openxmlformats.org/officeDocument/2006/relationships/hyperlink" Target="https://advanced.onlinelibrary.wiley.com/doi/10.1002/adma.73742?af=R" TargetMode="External"/><Relationship Id="rId343" Type="http://schemas.openxmlformats.org/officeDocument/2006/relationships/hyperlink" Target="https://doi.org/10.1002/adma.73742" TargetMode="External"/><Relationship Id="rId344" Type="http://schemas.openxmlformats.org/officeDocument/2006/relationships/hyperlink" Target="https://advanced.onlinelibrary.wiley.com/doi/10.1002/adma.73722?af=R" TargetMode="External"/><Relationship Id="rId345" Type="http://schemas.openxmlformats.org/officeDocument/2006/relationships/hyperlink" Target="https://doi.org/10.1002/adma.73722" TargetMode="External"/><Relationship Id="rId346" Type="http://schemas.openxmlformats.org/officeDocument/2006/relationships/hyperlink" Target="https://advanced.onlinelibrary.wiley.com/doi/10.1002/adma.73698?af=R" TargetMode="External"/><Relationship Id="rId347" Type="http://schemas.openxmlformats.org/officeDocument/2006/relationships/hyperlink" Target="https://doi.org/10.1002/adma.73698" TargetMode="External"/><Relationship Id="rId348" Type="http://schemas.openxmlformats.org/officeDocument/2006/relationships/hyperlink" Target="https://advanced.onlinelibrary.wiley.com/doi/10.1002/adma.73646?af=R" TargetMode="External"/><Relationship Id="rId349" Type="http://schemas.openxmlformats.org/officeDocument/2006/relationships/hyperlink" Target="https://doi.org/10.1002/adma.73646" TargetMode="External"/><Relationship Id="rId350" Type="http://schemas.openxmlformats.org/officeDocument/2006/relationships/hyperlink" Target="https://advanced.onlinelibrary.wiley.com/doi/10.1002/adma.73711?af=R" TargetMode="External"/><Relationship Id="rId351" Type="http://schemas.openxmlformats.org/officeDocument/2006/relationships/hyperlink" Target="https://doi.org/10.1002/adma.73711" TargetMode="External"/><Relationship Id="rId352" Type="http://schemas.openxmlformats.org/officeDocument/2006/relationships/hyperlink" Target="https://advanced.onlinelibrary.wiley.com/doi/10.1002/adma.73746?af=R" TargetMode="External"/><Relationship Id="rId353" Type="http://schemas.openxmlformats.org/officeDocument/2006/relationships/hyperlink" Target="https://doi.org/10.1002/adma.73746" TargetMode="External"/><Relationship Id="rId354" Type="http://schemas.openxmlformats.org/officeDocument/2006/relationships/hyperlink" Target="https://onlinelibrary.wiley.com/doi/10.1002/anie.7232106?af=R" TargetMode="External"/><Relationship Id="rId355" Type="http://schemas.openxmlformats.org/officeDocument/2006/relationships/hyperlink" Target="https://doi.org/10.1002/anie.7232106" TargetMode="External"/><Relationship Id="rId356" Type="http://schemas.openxmlformats.org/officeDocument/2006/relationships/hyperlink" Target="https://onlinelibrary.wiley.com/doi/10.1002/anie.1876863?af=R" TargetMode="External"/><Relationship Id="rId357" Type="http://schemas.openxmlformats.org/officeDocument/2006/relationships/hyperlink" Target="https://doi.org/10.1002/anie.1876863" TargetMode="External"/><Relationship Id="rId358" Type="http://schemas.openxmlformats.org/officeDocument/2006/relationships/hyperlink" Target="https://onlinelibrary.wiley.com/doi/10.1002/anie.1846299?af=R" TargetMode="External"/><Relationship Id="rId359" Type="http://schemas.openxmlformats.org/officeDocument/2006/relationships/hyperlink" Target="https://doi.org/10.1002/anie.1846299" TargetMode="External"/><Relationship Id="rId360" Type="http://schemas.openxmlformats.org/officeDocument/2006/relationships/hyperlink" Target="https://onlinelibrary.wiley.com/doi/10.1002/anie.4887237?af=R" TargetMode="External"/><Relationship Id="rId361" Type="http://schemas.openxmlformats.org/officeDocument/2006/relationships/hyperlink" Target="https://doi.org/10.1002/anie.4887237" TargetMode="External"/><Relationship Id="rId362" Type="http://schemas.openxmlformats.org/officeDocument/2006/relationships/hyperlink" Target="https://onlinelibrary.wiley.com/doi/10.1002/anie.9245386?af=R" TargetMode="External"/><Relationship Id="rId363" Type="http://schemas.openxmlformats.org/officeDocument/2006/relationships/hyperlink" Target="https://doi.org/10.1002/anie.9245386" TargetMode="External"/><Relationship Id="rId364" Type="http://schemas.openxmlformats.org/officeDocument/2006/relationships/hyperlink" Target="https://onlinelibrary.wiley.com/doi/10.1002/anie.7876229?af=R" TargetMode="External"/><Relationship Id="rId365" Type="http://schemas.openxmlformats.org/officeDocument/2006/relationships/hyperlink" Target="https://doi.org/10.1002/anie.7876229" TargetMode="External"/><Relationship Id="rId366" Type="http://schemas.openxmlformats.org/officeDocument/2006/relationships/hyperlink" Target="https://onlinelibrary.wiley.com/doi/10.1002/anie.1693717?af=R" TargetMode="External"/><Relationship Id="rId367" Type="http://schemas.openxmlformats.org/officeDocument/2006/relationships/hyperlink" Target="https://doi.org/10.1002/anie.1693717" TargetMode="External"/><Relationship Id="rId368" Type="http://schemas.openxmlformats.org/officeDocument/2006/relationships/hyperlink" Target="https://onlinelibrary.wiley.com/doi/10.1002/anie.8900381?af=R" TargetMode="External"/><Relationship Id="rId369" Type="http://schemas.openxmlformats.org/officeDocument/2006/relationships/hyperlink" Target="https://doi.org/10.1002/anie.8900381" TargetMode="External"/><Relationship Id="rId370" Type="http://schemas.openxmlformats.org/officeDocument/2006/relationships/hyperlink" Target="https://onlinelibrary.wiley.com/doi/10.1002/anie.1516189?af=R" TargetMode="External"/><Relationship Id="rId371" Type="http://schemas.openxmlformats.org/officeDocument/2006/relationships/hyperlink" Target="https://doi.org/10.1002/anie.1516189" TargetMode="External"/><Relationship Id="rId372" Type="http://schemas.openxmlformats.org/officeDocument/2006/relationships/hyperlink" Target="https://onlinelibrary.wiley.com/doi/10.1002/anie.202524638?af=R" TargetMode="External"/><Relationship Id="rId373" Type="http://schemas.openxmlformats.org/officeDocument/2006/relationships/hyperlink" Target="https://doi.org/10.1002/anie.202524638" TargetMode="External"/><Relationship Id="rId374" Type="http://schemas.openxmlformats.org/officeDocument/2006/relationships/hyperlink" Target="https://onlinelibrary.wiley.com/doi/10.1002/anie.3532271?af=R" TargetMode="External"/><Relationship Id="rId375" Type="http://schemas.openxmlformats.org/officeDocument/2006/relationships/hyperlink" Target="https://doi.org/10.1002/anie.3532271" TargetMode="External"/><Relationship Id="rId376" Type="http://schemas.openxmlformats.org/officeDocument/2006/relationships/hyperlink" Target="https://onlinelibrary.wiley.com/doi/10.1002/anie.8227484?af=R" TargetMode="External"/><Relationship Id="rId377" Type="http://schemas.openxmlformats.org/officeDocument/2006/relationships/hyperlink" Target="https://doi.org/10.1002/anie.8227484" TargetMode="External"/><Relationship Id="rId378" Type="http://schemas.openxmlformats.org/officeDocument/2006/relationships/hyperlink" Target="https://onlinelibrary.wiley.com/doi/10.1002/anie.6127627?af=R" TargetMode="External"/><Relationship Id="rId379" Type="http://schemas.openxmlformats.org/officeDocument/2006/relationships/hyperlink" Target="https://doi.org/10.1002/anie.6127627" TargetMode="External"/><Relationship Id="rId380" Type="http://schemas.openxmlformats.org/officeDocument/2006/relationships/hyperlink" Target="https://onlinelibrary.wiley.com/doi/10.1002/anie.8176990?af=R" TargetMode="External"/><Relationship Id="rId381" Type="http://schemas.openxmlformats.org/officeDocument/2006/relationships/hyperlink" Target="https://doi.org/10.1002/anie.8176990" TargetMode="External"/><Relationship Id="rId382" Type="http://schemas.openxmlformats.org/officeDocument/2006/relationships/hyperlink" Target="https://www.nature.com/articles/d41586-026-01834-9" TargetMode="External"/><Relationship Id="rId383" Type="http://schemas.openxmlformats.org/officeDocument/2006/relationships/hyperlink" Target="https://doi.org/10.1038/d41586-026-01834-9" TargetMode="External"/><Relationship Id="rId384" Type="http://schemas.openxmlformats.org/officeDocument/2006/relationships/hyperlink" Target="https://www.sciencedirect.com/science/article/pii/S0301421526003654?dgcid=rss_sd_all" TargetMode="External"/><Relationship Id="rId385" Type="http://schemas.openxmlformats.org/officeDocument/2006/relationships/hyperlink" Target="https://www.sciencedirect.com/science/article/pii/S0301421526003605?dgcid=rss_sd_all" TargetMode="External"/><Relationship Id="rId386" Type="http://schemas.openxmlformats.org/officeDocument/2006/relationships/hyperlink" Target="https://www.sciencedirect.com/science/article/pii/S0301421526003691?dgcid=rss_sd_all" TargetMode="External"/><Relationship Id="rId387" Type="http://schemas.openxmlformats.org/officeDocument/2006/relationships/hyperlink" Target="https://www.sciencedirect.com/science/article/pii/S0306261926007816?dgcid=rss_sd_all" TargetMode="External"/><Relationship Id="rId388" Type="http://schemas.openxmlformats.org/officeDocument/2006/relationships/hyperlink" Target="https://www.sciencedirect.com/science/article/pii/S030626192600824X?dgcid=rss_sd_all" TargetMode="External"/><Relationship Id="rId389" Type="http://schemas.openxmlformats.org/officeDocument/2006/relationships/hyperlink" Target="https://www.sciencedirect.com/science/article/pii/S030626192600797X?dgcid=rss_sd_all" TargetMode="External"/><Relationship Id="rId390" Type="http://schemas.openxmlformats.org/officeDocument/2006/relationships/hyperlink" Target="https://www.sciencedirect.com/science/article/pii/S0306261926008081?dgcid=rss_sd_all" TargetMode="External"/><Relationship Id="rId391" Type="http://schemas.openxmlformats.org/officeDocument/2006/relationships/hyperlink" Target="https://www.sciencedirect.com/science/article/pii/S0306261926008329?dgcid=rss_sd_all" TargetMode="External"/><Relationship Id="rId392" Type="http://schemas.openxmlformats.org/officeDocument/2006/relationships/hyperlink" Target="https://www.sciencedirect.com/science/article/pii/S0301421526003617?dgcid=rss_sd_all" TargetMode="External"/><Relationship Id="rId393" Type="http://schemas.openxmlformats.org/officeDocument/2006/relationships/hyperlink" Target="https://www.sciencedirect.com/science/article/pii/S0306261926008317?dgcid=rss_sd_all" TargetMode="External"/><Relationship Id="rId394" Type="http://schemas.openxmlformats.org/officeDocument/2006/relationships/hyperlink" Target="http://pubs.rsc.org/en/Content/ArticleLanding/2026/CS/D6CS00036C" TargetMode="External"/><Relationship Id="rId395" Type="http://schemas.openxmlformats.org/officeDocument/2006/relationships/hyperlink" Target="https://www.nature.com/articles/d41586-026-01885-y" TargetMode="External"/><Relationship Id="rId396" Type="http://schemas.openxmlformats.org/officeDocument/2006/relationships/hyperlink" Target="https://doi.org/10.1038/d41586-026-01885-y" TargetMode="External"/><Relationship Id="rId397" Type="http://schemas.openxmlformats.org/officeDocument/2006/relationships/hyperlink" Target="https://www.nature.com/articles/d41586-026-01889-8" TargetMode="External"/><Relationship Id="rId398" Type="http://schemas.openxmlformats.org/officeDocument/2006/relationships/hyperlink" Target="https://doi.org/10.1038/d41586-026-01889-8" TargetMode="External"/><Relationship Id="rId399" Type="http://schemas.openxmlformats.org/officeDocument/2006/relationships/hyperlink" Target="https://www.nature.com/articles/d41586-026-01917-7" TargetMode="External"/><Relationship Id="rId400" Type="http://schemas.openxmlformats.org/officeDocument/2006/relationships/hyperlink" Target="https://doi.org/10.1038/d41586-026-01917-7" TargetMode="External"/><Relationship Id="rId401" Type="http://schemas.openxmlformats.org/officeDocument/2006/relationships/hyperlink" Target="https://www.nature.com/articles/d41586-026-01863-4" TargetMode="External"/><Relationship Id="rId402" Type="http://schemas.openxmlformats.org/officeDocument/2006/relationships/hyperlink" Target="https://doi.org/10.1038/d41586-026-01863-4" TargetMode="External"/><Relationship Id="rId403" Type="http://schemas.openxmlformats.org/officeDocument/2006/relationships/hyperlink" Target="https://www.nature.com/articles/d41586-026-01887-w" TargetMode="External"/><Relationship Id="rId404" Type="http://schemas.openxmlformats.org/officeDocument/2006/relationships/hyperlink" Target="https://doi.org/10.1038/d41586-026-01887-w" TargetMode="External"/><Relationship Id="rId405" Type="http://schemas.openxmlformats.org/officeDocument/2006/relationships/hyperlink" Target="https://academic.oup.com/nsr/advance-article/doi/10.1093/nsr/nwag372/8708460?rss=1" TargetMode="External"/><Relationship Id="rId406" Type="http://schemas.openxmlformats.org/officeDocument/2006/relationships/hyperlink" Target="https://doi.org/10.1093/nsr/nwag372" TargetMode="External"/><Relationship Id="rId407" Type="http://schemas.openxmlformats.org/officeDocument/2006/relationships/hyperlink" Target="https://www.sciencedirect.com/science/article/pii/S030142152600368X?dgcid=rss_sd_all" TargetMode="External"/><Relationship Id="rId408" Type="http://schemas.openxmlformats.org/officeDocument/2006/relationships/hyperlink" Target="https://academic.oup.com/nsr/advance-article/doi/10.1093/nsr/nwag373/8708461?rss=1" TargetMode="External"/><Relationship Id="rId409" Type="http://schemas.openxmlformats.org/officeDocument/2006/relationships/hyperlink" Target="https://doi.org/10.1093/nsr/nwag373" TargetMode="External"/><Relationship Id="rId410" Type="http://schemas.openxmlformats.org/officeDocument/2006/relationships/hyperlink" Target="https://www.nature.com/articles/s41467-026-71453-5" TargetMode="External"/><Relationship Id="rId411" Type="http://schemas.openxmlformats.org/officeDocument/2006/relationships/hyperlink" Target="https://www.nature.com/articles/s41467-026-74510-1" TargetMode="External"/><Relationship Id="rId412" Type="http://schemas.openxmlformats.org/officeDocument/2006/relationships/hyperlink" Target="https://www.nature.com/articles/d41586-026-01929-3" TargetMode="External"/><Relationship Id="rId413" Type="http://schemas.openxmlformats.org/officeDocument/2006/relationships/hyperlink" Target="https://doi.org/10.1038/d41586-026-01929-3" TargetMode="External"/><Relationship Id="rId414" Type="http://schemas.openxmlformats.org/officeDocument/2006/relationships/hyperlink" Target="https://www.nature.com/articles/s41467-026-74317-0" TargetMode="External"/><Relationship Id="rId415" Type="http://schemas.openxmlformats.org/officeDocument/2006/relationships/hyperlink" Target="https://www.nature.com/articles/s41557-026-02178-7" TargetMode="External"/><Relationship Id="rId416" Type="http://schemas.openxmlformats.org/officeDocument/2006/relationships/hyperlink" Target="https://doi.org/10.1038/s41557-026-02178-7" TargetMode="External"/><Relationship Id="rId417" Type="http://schemas.openxmlformats.org/officeDocument/2006/relationships/hyperlink" Target="https://www.nature.com/articles/d41586-026-01833-w" TargetMode="External"/><Relationship Id="rId418" Type="http://schemas.openxmlformats.org/officeDocument/2006/relationships/hyperlink" Target="https://doi.org/10.1038/d41586-026-01833-w" TargetMode="External"/><Relationship Id="rId419" Type="http://schemas.openxmlformats.org/officeDocument/2006/relationships/hyperlink" Target="https://www.cell.com/chem/fulltext/S2451-9294(26)00166-X?rss=yes" TargetMode="External"/><Relationship Id="rId420" Type="http://schemas.openxmlformats.org/officeDocument/2006/relationships/hyperlink" Target="https://doi.org/10.1016/j.chempr.2026.103100" TargetMode="External"/><Relationship Id="rId421" Type="http://schemas.openxmlformats.org/officeDocument/2006/relationships/hyperlink" Target="https://www.nature.com/articles/s41565-026-02155-8" TargetMode="External"/><Relationship Id="rId422" Type="http://schemas.openxmlformats.org/officeDocument/2006/relationships/hyperlink" Target="https://doi.org/10.1038/s41565-026-02155-8" TargetMode="External"/><Relationship Id="rId423" Type="http://schemas.openxmlformats.org/officeDocument/2006/relationships/hyperlink" Target="https://www.nature.com/articles/s41565-026-02198-x" TargetMode="External"/><Relationship Id="rId424" Type="http://schemas.openxmlformats.org/officeDocument/2006/relationships/hyperlink" Target="https://doi.org/10.1038/s41565-026-02198-x" TargetMode="External"/><Relationship Id="rId425" Type="http://schemas.openxmlformats.org/officeDocument/2006/relationships/hyperlink" Target="https://www.nature.com/articles/s41565-026-02200-6" TargetMode="External"/><Relationship Id="rId426" Type="http://schemas.openxmlformats.org/officeDocument/2006/relationships/hyperlink" Target="https://doi.org/10.1038/s41565-026-02200-6" TargetMode="External"/><Relationship Id="rId427" Type="http://schemas.openxmlformats.org/officeDocument/2006/relationships/hyperlink" Target="https://www.nature.com/articles/s41586-026-10768-1" TargetMode="External"/><Relationship Id="rId428" Type="http://schemas.openxmlformats.org/officeDocument/2006/relationships/hyperlink" Target="https://doi.org/10.1038/s41586-026-10768-1" TargetMode="External"/><Relationship Id="rId429" Type="http://schemas.openxmlformats.org/officeDocument/2006/relationships/hyperlink" Target="https://www.nature.com/articles/s41565-026-02196-z" TargetMode="External"/><Relationship Id="rId430" Type="http://schemas.openxmlformats.org/officeDocument/2006/relationships/hyperlink" Target="https://doi.org/10.1038/s41565-026-02196-z" TargetMode="External"/><Relationship Id="rId431" Type="http://schemas.openxmlformats.org/officeDocument/2006/relationships/hyperlink" Target="https://www.nature.com/articles/s41893-026-01875-y" TargetMode="External"/><Relationship Id="rId432" Type="http://schemas.openxmlformats.org/officeDocument/2006/relationships/hyperlink" Target="https://doi.org/10.1038/s41893-026-01875-y" TargetMode="External"/><Relationship Id="rId433" Type="http://schemas.openxmlformats.org/officeDocument/2006/relationships/hyperlink" Target="https://www.nature.com/articles/s41563-026-02634-2" TargetMode="External"/><Relationship Id="rId434" Type="http://schemas.openxmlformats.org/officeDocument/2006/relationships/hyperlink" Target="https://doi.org/10.1038/s41563-026-02634-2" TargetMode="External"/><Relationship Id="rId435" Type="http://schemas.openxmlformats.org/officeDocument/2006/relationships/hyperlink" Target="https://www.nature.com/articles/s41563-026-02643-1" TargetMode="External"/><Relationship Id="rId436" Type="http://schemas.openxmlformats.org/officeDocument/2006/relationships/hyperlink" Target="https://doi.org/10.1038/s41563-026-02643-1" TargetMode="External"/><Relationship Id="rId437" Type="http://schemas.openxmlformats.org/officeDocument/2006/relationships/hyperlink" Target="https://www.nature.com/articles/d41586-026-01867-0" TargetMode="External"/><Relationship Id="rId438" Type="http://schemas.openxmlformats.org/officeDocument/2006/relationships/hyperlink" Target="https://doi.org/10.1038/d41586-026-01867-0" TargetMode="External"/><Relationship Id="rId439" Type="http://schemas.openxmlformats.org/officeDocument/2006/relationships/hyperlink" Target="https://www.nature.com/articles/s41467-026-74546-3" TargetMode="External"/><Relationship Id="rId440" Type="http://schemas.openxmlformats.org/officeDocument/2006/relationships/hyperlink" Target="https://www.nature.com/articles/s41467-026-74298-0" TargetMode="External"/><Relationship Id="rId441" Type="http://schemas.openxmlformats.org/officeDocument/2006/relationships/hyperlink" Target="https://www.nature.com/articles/s41565-026-02192-3" TargetMode="External"/><Relationship Id="rId442" Type="http://schemas.openxmlformats.org/officeDocument/2006/relationships/hyperlink" Target="https://doi.org/10.1038/s41565-026-02192-3" TargetMode="External"/><Relationship Id="rId443" Type="http://schemas.openxmlformats.org/officeDocument/2006/relationships/hyperlink" Target="https://www.sciencedirect.com/science/article/pii/S0306261926008780?dgcid=rss_sd_all" TargetMode="External"/><Relationship Id="rId444" Type="http://schemas.openxmlformats.org/officeDocument/2006/relationships/hyperlink" Target="https://www.cell.com/matter/fulltext/S2590-2385(26)00228-6?rss=yes" TargetMode="External"/><Relationship Id="rId445" Type="http://schemas.openxmlformats.org/officeDocument/2006/relationships/hyperlink" Target="https://doi.org/10.1016/j.matt.2026.102865" TargetMode="External"/><Relationship Id="rId446" Type="http://schemas.openxmlformats.org/officeDocument/2006/relationships/hyperlink" Target="https://www.nature.com/articles/s41928-026-01651-y" TargetMode="External"/><Relationship Id="rId447" Type="http://schemas.openxmlformats.org/officeDocument/2006/relationships/hyperlink" Target="https://doi.org/10.1038/s41928-026-01651-y" TargetMode="External"/><Relationship Id="rId448" Type="http://schemas.openxmlformats.org/officeDocument/2006/relationships/hyperlink" Target="https://www.nature.com/articles/s41928-026-01643-y" TargetMode="External"/><Relationship Id="rId449" Type="http://schemas.openxmlformats.org/officeDocument/2006/relationships/hyperlink" Target="https://doi.org/10.1038/s41928-026-01643-y" TargetMode="External"/><Relationship Id="rId450" Type="http://schemas.openxmlformats.org/officeDocument/2006/relationships/hyperlink" Target="https://www.cell.com/joule/fulltext/S2542-4351(26)00204-7?rss=yes" TargetMode="External"/><Relationship Id="rId451" Type="http://schemas.openxmlformats.org/officeDocument/2006/relationships/hyperlink" Target="https://doi.org/10.1016/j.joule.2026.102520" TargetMode="External"/><Relationship Id="rId452" Type="http://schemas.openxmlformats.org/officeDocument/2006/relationships/hyperlink" Target="https://www.cell.com/joule/fulltext/S2542-4351(26)00206-0?rss=yes" TargetMode="External"/><Relationship Id="rId453" Type="http://schemas.openxmlformats.org/officeDocument/2006/relationships/hyperlink" Target="https://doi.org/10.1016/j.joule.2026.102522" TargetMode="External"/><Relationship Id="rId454" Type="http://schemas.openxmlformats.org/officeDocument/2006/relationships/hyperlink" Target="https://www.nature.com/articles/s41467-026-74328-x" TargetMode="External"/><Relationship Id="rId455" Type="http://schemas.openxmlformats.org/officeDocument/2006/relationships/hyperlink" Target="https://www.nature.com/articles/s41467-026-74512-z" TargetMode="External"/><Relationship Id="rId456" Type="http://schemas.openxmlformats.org/officeDocument/2006/relationships/hyperlink" Target="https://www.nature.com/articles/s41467-026-74393-2" TargetMode="External"/><Relationship Id="rId457" Type="http://schemas.openxmlformats.org/officeDocument/2006/relationships/hyperlink" Target="https://www.nature.com/articles/s41467-026-74109-6" TargetMode="External"/><Relationship Id="rId458" Type="http://schemas.openxmlformats.org/officeDocument/2006/relationships/hyperlink" Target="https://www.nature.com/articles/s41467-026-74426-w" TargetMode="External"/><Relationship Id="rId459" Type="http://schemas.openxmlformats.org/officeDocument/2006/relationships/hyperlink" Target="https://www.nature.com/articles/s41467-026-74336-x" TargetMode="External"/><Relationship Id="rId460" Type="http://schemas.openxmlformats.org/officeDocument/2006/relationships/hyperlink" Target="https://www.nature.com/articles/s41467-026-74583-y" TargetMode="External"/><Relationship Id="rId461" Type="http://schemas.openxmlformats.org/officeDocument/2006/relationships/hyperlink" Target="https://www.nature.com/articles/s41467-026-74349-6" TargetMode="External"/><Relationship Id="rId462" Type="http://schemas.openxmlformats.org/officeDocument/2006/relationships/hyperlink" Target="https://advanced.onlinelibrary.wiley.com/doi/10.1002/adma.73733?af=R" TargetMode="External"/><Relationship Id="rId463" Type="http://schemas.openxmlformats.org/officeDocument/2006/relationships/hyperlink" Target="https://doi.org/10.1002/adma.73733" TargetMode="External"/><Relationship Id="rId464" Type="http://schemas.openxmlformats.org/officeDocument/2006/relationships/hyperlink" Target="https://advanced.onlinelibrary.wiley.com/doi/10.1002/adma.73666?af=R" TargetMode="External"/><Relationship Id="rId465" Type="http://schemas.openxmlformats.org/officeDocument/2006/relationships/hyperlink" Target="https://doi.org/10.1002/adma.73666" TargetMode="External"/><Relationship Id="rId466" Type="http://schemas.openxmlformats.org/officeDocument/2006/relationships/hyperlink" Target="https://advanced.onlinelibrary.wiley.com/doi/10.1002/adma.73709?af=R" TargetMode="External"/><Relationship Id="rId467" Type="http://schemas.openxmlformats.org/officeDocument/2006/relationships/hyperlink" Target="https://doi.org/10.1002/adma.73709" TargetMode="External"/><Relationship Id="rId468" Type="http://schemas.openxmlformats.org/officeDocument/2006/relationships/hyperlink" Target="https://www.pnas.org/doi/abs/10.1073/pnas.2526777123?mi=eymic2&amp;af=R&amp;access=on&amp;content=articlesChapters&amp;publication=pnas&amp;sortBy=Earliest&amp;target=default" TargetMode="External"/><Relationship Id="rId469" Type="http://schemas.openxmlformats.org/officeDocument/2006/relationships/hyperlink" Target="https://doi.org/10.1073/pnas.2526777123" TargetMode="External"/><Relationship Id="rId470" Type="http://schemas.openxmlformats.org/officeDocument/2006/relationships/hyperlink" Target="https://www.pnas.org/doi/abs/10.1073/pnas.2528901123?mi=eymic2&amp;af=R&amp;access=on&amp;content=articlesChapters&amp;publication=pnas&amp;sortBy=Earliest&amp;target=default" TargetMode="External"/><Relationship Id="rId471" Type="http://schemas.openxmlformats.org/officeDocument/2006/relationships/hyperlink" Target="https://doi.org/10.1073/pnas.2528901123" TargetMode="External"/><Relationship Id="rId472" Type="http://schemas.openxmlformats.org/officeDocument/2006/relationships/hyperlink" Target="https://www.pnas.org/doi/abs/10.1073/pnas.2532309123?mi=eymic2&amp;af=R&amp;access=on&amp;content=articlesChapters&amp;publication=pnas&amp;sortBy=Earliest&amp;target=default" TargetMode="External"/><Relationship Id="rId473" Type="http://schemas.openxmlformats.org/officeDocument/2006/relationships/hyperlink" Target="https://doi.org/10.1073/pnas.2532309123" TargetMode="External"/><Relationship Id="rId474" Type="http://schemas.openxmlformats.org/officeDocument/2006/relationships/hyperlink" Target="https://www.pnas.org/doi/abs/10.1073/pnas.2530458123?mi=eymic2&amp;af=R&amp;access=on&amp;content=articlesChapters&amp;publication=pnas&amp;sortBy=Earliest&amp;target=default" TargetMode="External"/><Relationship Id="rId475" Type="http://schemas.openxmlformats.org/officeDocument/2006/relationships/hyperlink" Target="https://doi.org/10.1073/pnas.2530458123" TargetMode="External"/><Relationship Id="rId476" Type="http://schemas.openxmlformats.org/officeDocument/2006/relationships/hyperlink" Target="https://www.pnas.org/doi/abs/10.1073/pnas.2619000123?mi=eymic2&amp;af=R&amp;access=on&amp;content=articlesChapters&amp;publication=pnas&amp;sortBy=Earliest&amp;target=default" TargetMode="External"/><Relationship Id="rId477" Type="http://schemas.openxmlformats.org/officeDocument/2006/relationships/hyperlink" Target="https://doi.org/10.1073/pnas.2619000123" TargetMode="External"/><Relationship Id="rId478" Type="http://schemas.openxmlformats.org/officeDocument/2006/relationships/hyperlink" Target="https://www.pnas.org/doi/abs/10.1073/pnas.2525452123?mi=eymic2&amp;af=R&amp;access=on&amp;content=articlesChapters&amp;publication=pnas&amp;sortBy=Earliest&amp;target=default" TargetMode="External"/><Relationship Id="rId479" Type="http://schemas.openxmlformats.org/officeDocument/2006/relationships/hyperlink" Target="https://doi.org/10.1073/pnas.2525452123" TargetMode="External"/><Relationship Id="rId480" Type="http://schemas.openxmlformats.org/officeDocument/2006/relationships/hyperlink" Target="https://www.pnas.org/doi/abs/10.1073/pnas.2534029123?mi=eymic2&amp;af=R&amp;access=on&amp;content=articlesChapters&amp;publication=pnas&amp;sortBy=Earliest&amp;target=default" TargetMode="External"/><Relationship Id="rId481" Type="http://schemas.openxmlformats.org/officeDocument/2006/relationships/hyperlink" Target="https://doi.org/10.1073/pnas.2534029123" TargetMode="External"/><Relationship Id="rId482" Type="http://schemas.openxmlformats.org/officeDocument/2006/relationships/hyperlink" Target="https://www.pnas.org/doi/abs/10.1073/pnas.2514455123?mi=eymic2&amp;af=R&amp;access=on&amp;content=articlesChapters&amp;publication=pnas&amp;sortBy=Earliest&amp;target=default" TargetMode="External"/><Relationship Id="rId483" Type="http://schemas.openxmlformats.org/officeDocument/2006/relationships/hyperlink" Target="https://doi.org/10.1073/pnas.2514455123" TargetMode="External"/><Relationship Id="rId484" Type="http://schemas.openxmlformats.org/officeDocument/2006/relationships/hyperlink" Target="https://www.pnas.org/doi/abs/10.1073/pnas.2523984123?mi=eymic2&amp;af=R&amp;access=on&amp;content=articlesChapters&amp;publication=pnas&amp;sortBy=Earliest&amp;target=default" TargetMode="External"/><Relationship Id="rId485" Type="http://schemas.openxmlformats.org/officeDocument/2006/relationships/hyperlink" Target="https://doi.org/10.1073/pnas.2523984123" TargetMode="External"/><Relationship Id="rId486" Type="http://schemas.openxmlformats.org/officeDocument/2006/relationships/hyperlink" Target="https://www.pnas.org/doi/abs/10.1073/pnas.2534340123?mi=eymic2&amp;af=R&amp;access=on&amp;content=articlesChapters&amp;publication=pnas&amp;sortBy=Earliest&amp;target=default" TargetMode="External"/><Relationship Id="rId487" Type="http://schemas.openxmlformats.org/officeDocument/2006/relationships/hyperlink" Target="https://doi.org/10.1073/pnas.2534340123" TargetMode="External"/><Relationship Id="rId488" Type="http://schemas.openxmlformats.org/officeDocument/2006/relationships/hyperlink" Target="https://www.pnas.org/doi/abs/10.1073/pnas.2524478123?mi=eymic2&amp;af=R&amp;access=on&amp;content=articlesChapters&amp;publication=pnas&amp;sortBy=Earliest&amp;target=default" TargetMode="External"/><Relationship Id="rId489" Type="http://schemas.openxmlformats.org/officeDocument/2006/relationships/hyperlink" Target="https://doi.org/10.1073/pnas.2524478123" TargetMode="External"/><Relationship Id="rId490" Type="http://schemas.openxmlformats.org/officeDocument/2006/relationships/hyperlink" Target="https://www.pnas.org/doi/abs/10.1073/pnas.2532562123?mi=eymic2&amp;af=R&amp;access=on&amp;content=articlesChapters&amp;publication=pnas&amp;sortBy=Earliest&amp;target=default" TargetMode="External"/><Relationship Id="rId491" Type="http://schemas.openxmlformats.org/officeDocument/2006/relationships/hyperlink" Target="https://doi.org/10.1073/pnas.2532562123" TargetMode="External"/><Relationship Id="rId492" Type="http://schemas.openxmlformats.org/officeDocument/2006/relationships/hyperlink" Target="https://www.pnas.org/doi/abs/10.1073/pnas.2533418123?mi=eymic2&amp;af=R&amp;access=on&amp;content=articlesChapters&amp;publication=pnas&amp;sortBy=Earliest&amp;target=default" TargetMode="External"/><Relationship Id="rId493" Type="http://schemas.openxmlformats.org/officeDocument/2006/relationships/hyperlink" Target="https://doi.org/10.1073/pnas.2533418123" TargetMode="External"/><Relationship Id="rId494" Type="http://schemas.openxmlformats.org/officeDocument/2006/relationships/hyperlink" Target="https://www.pnas.org/doi/abs/10.1073/pnas.2536577123?mi=eymic2&amp;af=R&amp;access=on&amp;content=articlesChapters&amp;publication=pnas&amp;sortBy=Earliest&amp;target=default" TargetMode="External"/><Relationship Id="rId495" Type="http://schemas.openxmlformats.org/officeDocument/2006/relationships/hyperlink" Target="https://doi.org/10.1073/pnas.2536577123" TargetMode="External"/><Relationship Id="rId496" Type="http://schemas.openxmlformats.org/officeDocument/2006/relationships/hyperlink" Target="https://www.pnas.org/doi/abs/10.1073/pnas.2535398123?mi=eymic2&amp;af=R&amp;access=on&amp;content=articlesChapters&amp;publication=pnas&amp;sortBy=Earliest&amp;target=default" TargetMode="External"/><Relationship Id="rId497" Type="http://schemas.openxmlformats.org/officeDocument/2006/relationships/hyperlink" Target="https://doi.org/10.1073/pnas.2535398123" TargetMode="External"/><Relationship Id="rId498" Type="http://schemas.openxmlformats.org/officeDocument/2006/relationships/hyperlink" Target="https://www.pnas.org/doi/abs/10.1073/pnas.2606871123?mi=eymic2&amp;af=R&amp;access=on&amp;content=articlesChapters&amp;publication=pnas&amp;sortBy=Earliest&amp;target=default" TargetMode="External"/><Relationship Id="rId499" Type="http://schemas.openxmlformats.org/officeDocument/2006/relationships/hyperlink" Target="https://doi.org/10.1073/pnas.2606871123" TargetMode="External"/><Relationship Id="rId500" Type="http://schemas.openxmlformats.org/officeDocument/2006/relationships/hyperlink" Target="https://www.pnas.org/doi/abs/10.1073/pnas.2611090123?mi=eymic2&amp;af=R&amp;access=on&amp;content=articlesChapters&amp;publication=pnas&amp;sortBy=Earliest&amp;target=default" TargetMode="External"/><Relationship Id="rId501" Type="http://schemas.openxmlformats.org/officeDocument/2006/relationships/hyperlink" Target="https://doi.org/10.1073/pnas.2611090123" TargetMode="External"/><Relationship Id="rId502" Type="http://schemas.openxmlformats.org/officeDocument/2006/relationships/hyperlink" Target="https://www.pnas.org/doi/abs/10.1073/pnas.2601235123?mi=eymic2&amp;af=R&amp;access=on&amp;content=articlesChapters&amp;publication=pnas&amp;sortBy=Earliest&amp;target=default" TargetMode="External"/><Relationship Id="rId503" Type="http://schemas.openxmlformats.org/officeDocument/2006/relationships/hyperlink" Target="https://doi.org/10.1073/pnas.2601235123" TargetMode="External"/><Relationship Id="rId504" Type="http://schemas.openxmlformats.org/officeDocument/2006/relationships/hyperlink" Target="https://www.pnas.org/doi/abs/10.1073/pnas.2513158123?mi=eymic2&amp;af=R&amp;access=on&amp;content=articlesChapters&amp;publication=pnas&amp;sortBy=Earliest&amp;target=default" TargetMode="External"/><Relationship Id="rId505" Type="http://schemas.openxmlformats.org/officeDocument/2006/relationships/hyperlink" Target="https://doi.org/10.1073/pnas.2513158123" TargetMode="External"/><Relationship Id="rId506" Type="http://schemas.openxmlformats.org/officeDocument/2006/relationships/hyperlink" Target="https://www.pnas.org/doi/abs/10.1073/pnas.2512031123?mi=eymic2&amp;af=R&amp;access=on&amp;content=articlesChapters&amp;publication=pnas&amp;sortBy=Earliest&amp;target=default" TargetMode="External"/><Relationship Id="rId507" Type="http://schemas.openxmlformats.org/officeDocument/2006/relationships/hyperlink" Target="https://doi.org/10.1073/pnas.2512031123" TargetMode="External"/><Relationship Id="rId508" Type="http://schemas.openxmlformats.org/officeDocument/2006/relationships/hyperlink" Target="https://www.pnas.org/doi/abs/10.1073/pnas.2537760123?mi=eymic2&amp;af=R&amp;access=on&amp;content=articlesChapters&amp;publication=pnas&amp;sortBy=Earliest&amp;target=default" TargetMode="External"/><Relationship Id="rId509" Type="http://schemas.openxmlformats.org/officeDocument/2006/relationships/hyperlink" Target="https://doi.org/10.1073/pnas.2537760123" TargetMode="External"/><Relationship Id="rId510" Type="http://schemas.openxmlformats.org/officeDocument/2006/relationships/hyperlink" Target="https://www.pnas.org/doi/abs/10.1073/pnas.2514309123?mi=eymic2&amp;af=R&amp;access=on&amp;content=articlesChapters&amp;publication=pnas&amp;sortBy=Earliest&amp;target=default" TargetMode="External"/><Relationship Id="rId511" Type="http://schemas.openxmlformats.org/officeDocument/2006/relationships/hyperlink" Target="https://doi.org/10.1073/pnas.2514309123" TargetMode="External"/><Relationship Id="rId512" Type="http://schemas.openxmlformats.org/officeDocument/2006/relationships/hyperlink" Target="https://www.pnas.org/doi/abs/10.1073/pnas.2619012123?mi=eymic2&amp;af=R&amp;access=on&amp;content=articlesChapters&amp;publication=pnas&amp;sortBy=Earliest&amp;target=default" TargetMode="External"/><Relationship Id="rId513" Type="http://schemas.openxmlformats.org/officeDocument/2006/relationships/hyperlink" Target="https://doi.org/10.1073/pnas.2619012123" TargetMode="External"/><Relationship Id="rId514" Type="http://schemas.openxmlformats.org/officeDocument/2006/relationships/hyperlink" Target="https://www.pnas.org/doi/abs/10.1073/pnas.2536902123?mi=eymic2&amp;af=R&amp;access=on&amp;content=articlesChapters&amp;publication=pnas&amp;sortBy=Earliest&amp;target=default" TargetMode="External"/><Relationship Id="rId515" Type="http://schemas.openxmlformats.org/officeDocument/2006/relationships/hyperlink" Target="https://doi.org/10.1073/pnas.2536902123" TargetMode="External"/><Relationship Id="rId516" Type="http://schemas.openxmlformats.org/officeDocument/2006/relationships/hyperlink" Target="https://www.pnas.org/doi/abs/10.1073/pnas.2616705123?mi=eymic2&amp;af=R&amp;access=on&amp;content=articlesChapters&amp;publication=pnas&amp;sortBy=Earliest&amp;target=default" TargetMode="External"/><Relationship Id="rId517" Type="http://schemas.openxmlformats.org/officeDocument/2006/relationships/hyperlink" Target="https://doi.org/10.1073/pnas.2616705123" TargetMode="External"/><Relationship Id="rId518" Type="http://schemas.openxmlformats.org/officeDocument/2006/relationships/hyperlink" Target="https://www.pnas.org/doi/abs/10.1073/pnas.2513285123?mi=eymic2&amp;af=R&amp;access=on&amp;content=articlesChapters&amp;publication=pnas&amp;sortBy=Earliest&amp;target=default" TargetMode="External"/><Relationship Id="rId519" Type="http://schemas.openxmlformats.org/officeDocument/2006/relationships/hyperlink" Target="https://doi.org/10.1073/pnas.2513285123" TargetMode="External"/><Relationship Id="rId520" Type="http://schemas.openxmlformats.org/officeDocument/2006/relationships/hyperlink" Target="https://www.pnas.org/doi/abs/10.1073/pnas.2611975123?mi=eymic2&amp;af=R&amp;access=on&amp;content=articlesChapters&amp;publication=pnas&amp;sortBy=Earliest&amp;target=default" TargetMode="External"/><Relationship Id="rId521" Type="http://schemas.openxmlformats.org/officeDocument/2006/relationships/hyperlink" Target="https://doi.org/10.1073/pnas.2611975123" TargetMode="External"/><Relationship Id="rId522" Type="http://schemas.openxmlformats.org/officeDocument/2006/relationships/hyperlink" Target="https://www.pnas.org/doi/abs/10.1073/pnas.2614012123?mi=eymic2&amp;af=R&amp;access=on&amp;content=articlesChapters&amp;publication=pnas&amp;sortBy=Earliest&amp;target=default" TargetMode="External"/><Relationship Id="rId523" Type="http://schemas.openxmlformats.org/officeDocument/2006/relationships/hyperlink" Target="https://doi.org/10.1073/pnas.2614012123" TargetMode="External"/><Relationship Id="rId524" Type="http://schemas.openxmlformats.org/officeDocument/2006/relationships/hyperlink" Target="https://www.pnas.org/doi/abs/10.1073/pnas.2601752123?mi=eymic2&amp;af=R&amp;access=on&amp;content=articlesChapters&amp;publication=pnas&amp;sortBy=Earliest&amp;target=default" TargetMode="External"/><Relationship Id="rId525" Type="http://schemas.openxmlformats.org/officeDocument/2006/relationships/hyperlink" Target="https://doi.org/10.1073/pnas.2601752123" TargetMode="External"/><Relationship Id="rId526" Type="http://schemas.openxmlformats.org/officeDocument/2006/relationships/hyperlink" Target="https://www.pnas.org/doi/abs/10.1073/pnas.2602964123?mi=eymic2&amp;af=R&amp;access=on&amp;content=articlesChapters&amp;publication=pnas&amp;sortBy=Earliest&amp;target=default" TargetMode="External"/><Relationship Id="rId527" Type="http://schemas.openxmlformats.org/officeDocument/2006/relationships/hyperlink" Target="https://doi.org/10.1073/pnas.2602964123" TargetMode="External"/><Relationship Id="rId528" Type="http://schemas.openxmlformats.org/officeDocument/2006/relationships/hyperlink" Target="https://www.pnas.org/doi/abs/10.1073/pnas.2537030123?mi=eymic2&amp;af=R&amp;access=on&amp;content=articlesChapters&amp;publication=pnas&amp;sortBy=Earliest&amp;target=default" TargetMode="External"/><Relationship Id="rId529" Type="http://schemas.openxmlformats.org/officeDocument/2006/relationships/hyperlink" Target="https://doi.org/10.1073/pnas.2537030123" TargetMode="External"/><Relationship Id="rId530" Type="http://schemas.openxmlformats.org/officeDocument/2006/relationships/hyperlink" Target="https://www.pnas.org/doi/abs/10.1073/pnas.2605425123?mi=eymic2&amp;af=R&amp;access=on&amp;content=articlesChapters&amp;publication=pnas&amp;sortBy=Earliest&amp;target=default" TargetMode="External"/><Relationship Id="rId531" Type="http://schemas.openxmlformats.org/officeDocument/2006/relationships/hyperlink" Target="https://doi.org/10.1073/pnas.2605425123" TargetMode="External"/><Relationship Id="rId532" Type="http://schemas.openxmlformats.org/officeDocument/2006/relationships/hyperlink" Target="https://www.pnas.org/doi/abs/10.1073/pnas.2537796123?mi=eymic2&amp;af=R&amp;access=on&amp;content=articlesChapters&amp;publication=pnas&amp;sortBy=Earliest&amp;target=default" TargetMode="External"/><Relationship Id="rId533" Type="http://schemas.openxmlformats.org/officeDocument/2006/relationships/hyperlink" Target="https://doi.org/10.1073/pnas.2537796123" TargetMode="External"/><Relationship Id="rId534" Type="http://schemas.openxmlformats.org/officeDocument/2006/relationships/hyperlink" Target="https://www.pnas.org/doi/abs/10.1073/pnas.2513679123?mi=eymic2&amp;af=R&amp;access=on&amp;content=articlesChapters&amp;publication=pnas&amp;sortBy=Earliest&amp;target=default" TargetMode="External"/><Relationship Id="rId535" Type="http://schemas.openxmlformats.org/officeDocument/2006/relationships/hyperlink" Target="https://doi.org/10.1073/pnas.2513679123" TargetMode="External"/><Relationship Id="rId536" Type="http://schemas.openxmlformats.org/officeDocument/2006/relationships/hyperlink" Target="https://www.pnas.org/doi/abs/10.1073/pnas.2603171123?mi=eymic2&amp;af=R&amp;access=on&amp;content=articlesChapters&amp;publication=pnas&amp;sortBy=Earliest&amp;target=default" TargetMode="External"/><Relationship Id="rId537" Type="http://schemas.openxmlformats.org/officeDocument/2006/relationships/hyperlink" Target="https://doi.org/10.1073/pnas.2603171123" TargetMode="External"/><Relationship Id="rId538" Type="http://schemas.openxmlformats.org/officeDocument/2006/relationships/hyperlink" Target="http://link.aps.org/doi/10.1103/7g5s-hsd6" TargetMode="External"/><Relationship Id="rId539" Type="http://schemas.openxmlformats.org/officeDocument/2006/relationships/hyperlink" Target="https://doi.org/10.1103/7g5s-hsd6" TargetMode="External"/><Relationship Id="rId540" Type="http://schemas.openxmlformats.org/officeDocument/2006/relationships/hyperlink" Target="http://link.aps.org/doi/10.1103/375b-8dw5" TargetMode="External"/><Relationship Id="rId541" Type="http://schemas.openxmlformats.org/officeDocument/2006/relationships/hyperlink" Target="https://doi.org/10.1103/375b-8dw5" TargetMode="External"/><Relationship Id="rId542" Type="http://schemas.openxmlformats.org/officeDocument/2006/relationships/hyperlink" Target="http://link.aps.org/doi/10.1103/ydym-5t5p" TargetMode="External"/><Relationship Id="rId543" Type="http://schemas.openxmlformats.org/officeDocument/2006/relationships/hyperlink" Target="https://doi.org/10.1103/ydym-5t5p" TargetMode="External"/><Relationship Id="rId544" Type="http://schemas.openxmlformats.org/officeDocument/2006/relationships/hyperlink" Target="http://link.aps.org/doi/10.1103/5cks-j4ht" TargetMode="External"/><Relationship Id="rId545" Type="http://schemas.openxmlformats.org/officeDocument/2006/relationships/hyperlink" Target="https://doi.org/10.1103/5cks-j4ht" TargetMode="External"/><Relationship Id="rId546" Type="http://schemas.openxmlformats.org/officeDocument/2006/relationships/hyperlink" Target="http://link.aps.org/doi/10.1103/b2t4-km2r" TargetMode="External"/><Relationship Id="rId547" Type="http://schemas.openxmlformats.org/officeDocument/2006/relationships/hyperlink" Target="https://doi.org/10.1103/b2t4-km2r" TargetMode="External"/><Relationship Id="rId548" Type="http://schemas.openxmlformats.org/officeDocument/2006/relationships/hyperlink" Target="http://link.aps.org/doi/10.1103/pyt8-d7rt" TargetMode="External"/><Relationship Id="rId549" Type="http://schemas.openxmlformats.org/officeDocument/2006/relationships/hyperlink" Target="https://doi.org/10.1103/pyt8-d7rt" TargetMode="External"/><Relationship Id="rId550" Type="http://schemas.openxmlformats.org/officeDocument/2006/relationships/hyperlink" Target="http://link.aps.org/doi/10.1103/y5rf-ssw3" TargetMode="External"/><Relationship Id="rId551" Type="http://schemas.openxmlformats.org/officeDocument/2006/relationships/hyperlink" Target="https://doi.org/10.1103/y5rf-ssw3" TargetMode="External"/><Relationship Id="rId552" Type="http://schemas.openxmlformats.org/officeDocument/2006/relationships/hyperlink" Target="http://link.aps.org/doi/10.1103/3vk5-483c" TargetMode="External"/><Relationship Id="rId553" Type="http://schemas.openxmlformats.org/officeDocument/2006/relationships/hyperlink" Target="https://doi.org/10.1103/3vk5-483c" TargetMode="External"/><Relationship Id="rId554" Type="http://schemas.openxmlformats.org/officeDocument/2006/relationships/hyperlink" Target="http://link.aps.org/doi/10.1103/6r9h-jgwy" TargetMode="External"/><Relationship Id="rId555" Type="http://schemas.openxmlformats.org/officeDocument/2006/relationships/hyperlink" Target="https://doi.org/10.1103/6r9h-jgwy" TargetMode="External"/><Relationship Id="rId556" Type="http://schemas.openxmlformats.org/officeDocument/2006/relationships/hyperlink" Target="http://link.aps.org/doi/10.1103/nty7-gh72" TargetMode="External"/><Relationship Id="rId557" Type="http://schemas.openxmlformats.org/officeDocument/2006/relationships/hyperlink" Target="https://doi.org/10.1103/nty7-gh72" TargetMode="External"/><Relationship Id="rId558" Type="http://schemas.openxmlformats.org/officeDocument/2006/relationships/hyperlink" Target="http://link.aps.org/doi/10.1103/cmyg-pfsw" TargetMode="External"/><Relationship Id="rId559" Type="http://schemas.openxmlformats.org/officeDocument/2006/relationships/hyperlink" Target="https://doi.org/10.1103/cmyg-pfsw" TargetMode="External"/><Relationship Id="rId560" Type="http://schemas.openxmlformats.org/officeDocument/2006/relationships/hyperlink" Target="https://advanced.onlinelibrary.wiley.com/doi/10.1002/adma.73664?af=R" TargetMode="External"/><Relationship Id="rId561" Type="http://schemas.openxmlformats.org/officeDocument/2006/relationships/hyperlink" Target="https://doi.org/10.1002/adma.73664" TargetMode="External"/><Relationship Id="rId562" Type="http://schemas.openxmlformats.org/officeDocument/2006/relationships/hyperlink" Target="https://onlinelibrary.wiley.com/doi/10.1002/anie.7728005?af=R" TargetMode="External"/><Relationship Id="rId563" Type="http://schemas.openxmlformats.org/officeDocument/2006/relationships/hyperlink" Target="https://doi.org/10.1002/anie.7728005" TargetMode="External"/><Relationship Id="rId564" Type="http://schemas.openxmlformats.org/officeDocument/2006/relationships/hyperlink" Target="https://onlinelibrary.wiley.com/doi/10.1002/anie.9587119?af=R" TargetMode="External"/><Relationship Id="rId565" Type="http://schemas.openxmlformats.org/officeDocument/2006/relationships/hyperlink" Target="https://doi.org/10.1002/anie.9587119" TargetMode="External"/><Relationship Id="rId566" Type="http://schemas.openxmlformats.org/officeDocument/2006/relationships/hyperlink" Target="https://onlinelibrary.wiley.com/doi/10.1002/anie.7887240?af=R" TargetMode="External"/><Relationship Id="rId567" Type="http://schemas.openxmlformats.org/officeDocument/2006/relationships/hyperlink" Target="https://doi.org/10.1002/anie.7887240" TargetMode="External"/><Relationship Id="rId568" Type="http://schemas.openxmlformats.org/officeDocument/2006/relationships/hyperlink" Target="http://pubs.rsc.org/en/Content/ArticleLanding/2026/CS/D6CS00145A" TargetMode="External"/><Relationship Id="rId569" Type="http://schemas.openxmlformats.org/officeDocument/2006/relationships/hyperlink" Target="http://pubs.rsc.org/en/Content/ArticleLanding/2026/CS/D5CS01539A" TargetMode="External"/><Relationship Id="rId570" Type="http://schemas.openxmlformats.org/officeDocument/2006/relationships/hyperlink" Target="http://pubs.rsc.org/en/Content/ArticleLanding/2026/EE/D6EE90045C" TargetMode="External"/><Relationship Id="rId571" Type="http://schemas.openxmlformats.org/officeDocument/2006/relationships/hyperlink" Target="https://www.nature.com/articles/d41586-026-01884-z" TargetMode="External"/><Relationship Id="rId572" Type="http://schemas.openxmlformats.org/officeDocument/2006/relationships/hyperlink" Target="https://doi.org/10.1038/d41586-026-01884-z" TargetMode="External"/><Relationship Id="rId573" Type="http://schemas.openxmlformats.org/officeDocument/2006/relationships/hyperlink" Target="https://academic.oup.com/nsr/advance-article/doi/10.1093/nsr/nwag365/8708937?rss=1" TargetMode="External"/><Relationship Id="rId574" Type="http://schemas.openxmlformats.org/officeDocument/2006/relationships/hyperlink" Target="https://doi.org/10.1093/nsr/nwag365" TargetMode="External"/><Relationship Id="rId575" Type="http://schemas.openxmlformats.org/officeDocument/2006/relationships/hyperlink" Target="https://www.nature.com/articles/s41557-026-02174-x" TargetMode="External"/><Relationship Id="rId576" Type="http://schemas.openxmlformats.org/officeDocument/2006/relationships/hyperlink" Target="https://doi.org/10.1038/s41557-026-02174-x" TargetMode="External"/><Relationship Id="rId577" Type="http://schemas.openxmlformats.org/officeDocument/2006/relationships/hyperlink" Target="https://www.nature.com/articles/d41586-026-01877-y" TargetMode="External"/><Relationship Id="rId578" Type="http://schemas.openxmlformats.org/officeDocument/2006/relationships/hyperlink" Target="https://doi.org/10.1038/d41586-026-01877-y" TargetMode="External"/><Relationship Id="rId579" Type="http://schemas.openxmlformats.org/officeDocument/2006/relationships/hyperlink" Target="https://www.nature.com/articles/s41557-026-02182-x" TargetMode="External"/><Relationship Id="rId580" Type="http://schemas.openxmlformats.org/officeDocument/2006/relationships/hyperlink" Target="https://doi.org/10.1038/s41557-026-02182-x" TargetMode="External"/><Relationship Id="rId581" Type="http://schemas.openxmlformats.org/officeDocument/2006/relationships/hyperlink" Target="https://academic.oup.com/nsr/advance-article/doi/10.1093/nsr/nwag374/8708935?rss=1" TargetMode="External"/><Relationship Id="rId582" Type="http://schemas.openxmlformats.org/officeDocument/2006/relationships/hyperlink" Target="https://doi.org/10.1093/nsr/nwag374" TargetMode="External"/><Relationship Id="rId583" Type="http://schemas.openxmlformats.org/officeDocument/2006/relationships/hyperlink" Target="https://academic.oup.com/nsr/advance-article/doi/10.1093/nsr/nwag366/8709281?rss=1" TargetMode="External"/><Relationship Id="rId584" Type="http://schemas.openxmlformats.org/officeDocument/2006/relationships/hyperlink" Target="https://doi.org/10.1093/nsr/nwag366" TargetMode="External"/><Relationship Id="rId585" Type="http://schemas.openxmlformats.org/officeDocument/2006/relationships/hyperlink" Target="https://www.nature.com/articles/d41586-026-01811-2" TargetMode="External"/><Relationship Id="rId586" Type="http://schemas.openxmlformats.org/officeDocument/2006/relationships/hyperlink" Target="https://doi.org/10.1038/d41586-026-01811-2" TargetMode="External"/><Relationship Id="rId587" Type="http://schemas.openxmlformats.org/officeDocument/2006/relationships/hyperlink" Target="https://www.nature.com/articles/s41586-026-10770-7" TargetMode="External"/><Relationship Id="rId588" Type="http://schemas.openxmlformats.org/officeDocument/2006/relationships/hyperlink" Target="https://doi.org/10.1038/s41586-026-10770-7" TargetMode="External"/><Relationship Id="rId589" Type="http://schemas.openxmlformats.org/officeDocument/2006/relationships/hyperlink" Target="https://www.nature.com/articles/d41586-026-01914-w" TargetMode="External"/><Relationship Id="rId590" Type="http://schemas.openxmlformats.org/officeDocument/2006/relationships/hyperlink" Target="https://doi.org/10.1038/d41586-026-01914-w" TargetMode="External"/><Relationship Id="rId591" Type="http://schemas.openxmlformats.org/officeDocument/2006/relationships/hyperlink" Target="https://www.nature.com/articles/d41586-026-01939-1" TargetMode="External"/><Relationship Id="rId592" Type="http://schemas.openxmlformats.org/officeDocument/2006/relationships/hyperlink" Target="https://doi.org/10.1038/d41586-026-01939-1" TargetMode="External"/><Relationship Id="rId593" Type="http://schemas.openxmlformats.org/officeDocument/2006/relationships/hyperlink" Target="https://www.nature.com/articles/d41586-026-01916-8" TargetMode="External"/><Relationship Id="rId594" Type="http://schemas.openxmlformats.org/officeDocument/2006/relationships/hyperlink" Target="https://doi.org/10.1038/d41586-026-01916-8" TargetMode="External"/><Relationship Id="rId595" Type="http://schemas.openxmlformats.org/officeDocument/2006/relationships/hyperlink" Target="https://www.nature.com/articles/d41586-026-01915-9" TargetMode="External"/><Relationship Id="rId596" Type="http://schemas.openxmlformats.org/officeDocument/2006/relationships/hyperlink" Target="https://doi.org/10.1038/d41586-026-01915-9" TargetMode="External"/><Relationship Id="rId597" Type="http://schemas.openxmlformats.org/officeDocument/2006/relationships/hyperlink" Target="https://www.nature.com/articles/s41565-026-02197-y" TargetMode="External"/><Relationship Id="rId598" Type="http://schemas.openxmlformats.org/officeDocument/2006/relationships/hyperlink" Target="https://doi.org/10.1038/s41565-026-02197-y" TargetMode="External"/><Relationship Id="rId599" Type="http://schemas.openxmlformats.org/officeDocument/2006/relationships/hyperlink" Target="https://www.sciencedirect.com/science/article/pii/S0306261926008688?dgcid=rss_sd_all" TargetMode="External"/><Relationship Id="rId600" Type="http://schemas.openxmlformats.org/officeDocument/2006/relationships/hyperlink" Target="https://www.nmlett.org/index.php/nml/article/view/2548" TargetMode="External"/><Relationship Id="rId601" Type="http://schemas.openxmlformats.org/officeDocument/2006/relationships/hyperlink" Target="https://doi.org/10.1007/s40820-026-02263-z" TargetMode="External"/><Relationship Id="rId602" Type="http://schemas.openxmlformats.org/officeDocument/2006/relationships/hyperlink" Target="https://www.nature.com/articles/s41563-026-02592-9" TargetMode="External"/><Relationship Id="rId603" Type="http://schemas.openxmlformats.org/officeDocument/2006/relationships/hyperlink" Target="https://doi.org/10.1038/s41563-026-02592-9" TargetMode="External"/><Relationship Id="rId604" Type="http://schemas.openxmlformats.org/officeDocument/2006/relationships/hyperlink" Target="https://www.nature.com/articles/s41928-026-01660-x" TargetMode="External"/><Relationship Id="rId605" Type="http://schemas.openxmlformats.org/officeDocument/2006/relationships/hyperlink" Target="https://doi.org/10.1038/s41928-026-01660-x" TargetMode="External"/><Relationship Id="rId606" Type="http://schemas.openxmlformats.org/officeDocument/2006/relationships/hyperlink" Target="https://www.nature.com/articles/s41928-026-01655-8" TargetMode="External"/><Relationship Id="rId607" Type="http://schemas.openxmlformats.org/officeDocument/2006/relationships/hyperlink" Target="https://doi.org/10.1038/s41928-026-01655-8" TargetMode="External"/><Relationship Id="rId608" Type="http://schemas.openxmlformats.org/officeDocument/2006/relationships/hyperlink" Target="https://www.nature.com/articles/d41586-026-01881-2" TargetMode="External"/><Relationship Id="rId609" Type="http://schemas.openxmlformats.org/officeDocument/2006/relationships/hyperlink" Target="https://doi.org/10.1038/d41586-026-01881-2" TargetMode="External"/><Relationship Id="rId610" Type="http://schemas.openxmlformats.org/officeDocument/2006/relationships/hyperlink" Target="https://www.nmlett.org/index.php/nml/article/view/2549" TargetMode="External"/><Relationship Id="rId611" Type="http://schemas.openxmlformats.org/officeDocument/2006/relationships/hyperlink" Target="https://doi.org/10.1007/s40820-026-02247-z" TargetMode="External"/><Relationship Id="rId612" Type="http://schemas.openxmlformats.org/officeDocument/2006/relationships/hyperlink" Target="https://www.sciencedirect.com/science/article/pii/S0306261926008974?dgcid=rss_sd_all" TargetMode="External"/><Relationship Id="rId613" Type="http://schemas.openxmlformats.org/officeDocument/2006/relationships/hyperlink" Target="https://www.nature.com/articles/s41467-026-73563-6" TargetMode="External"/><Relationship Id="rId614" Type="http://schemas.openxmlformats.org/officeDocument/2006/relationships/hyperlink" Target="https://www.nature.com/articles/s41467-026-74439-5" TargetMode="External"/><Relationship Id="rId615" Type="http://schemas.openxmlformats.org/officeDocument/2006/relationships/hyperlink" Target="https://www.nature.com/articles/s41467-026-74368-3" TargetMode="External"/><Relationship Id="rId616" Type="http://schemas.openxmlformats.org/officeDocument/2006/relationships/hyperlink" Target="https://www.nature.com/articles/s41467-026-73733-6" TargetMode="External"/><Relationship Id="rId617" Type="http://schemas.openxmlformats.org/officeDocument/2006/relationships/hyperlink" Target="https://www.pnas.org/doi/abs/10.1073/pnas.2526969123?mi=eymic2&amp;af=R&amp;access=on&amp;content=articlesChapters&amp;publication=pnas&amp;sortBy=Earliest&amp;target=default" TargetMode="External"/><Relationship Id="rId618" Type="http://schemas.openxmlformats.org/officeDocument/2006/relationships/hyperlink" Target="https://doi.org/10.1073/pnas.2526969123" TargetMode="External"/><Relationship Id="rId619" Type="http://schemas.openxmlformats.org/officeDocument/2006/relationships/hyperlink" Target="https://www.pnas.org/doi/abs/10.1073/pnas.2524858123?mi=eymic2&amp;af=R&amp;access=on&amp;content=articlesChapters&amp;publication=pnas&amp;sortBy=Earliest&amp;target=default" TargetMode="External"/><Relationship Id="rId620" Type="http://schemas.openxmlformats.org/officeDocument/2006/relationships/hyperlink" Target="https://doi.org/10.1073/pnas.2524858123" TargetMode="External"/><Relationship Id="rId621" Type="http://schemas.openxmlformats.org/officeDocument/2006/relationships/hyperlink" Target="https://www.pnas.org/doi/abs/10.1073/iti2426123?mi=eymic2&amp;af=R&amp;access=on&amp;content=articlesChapters&amp;publication=pnas&amp;sortBy=Earliest&amp;target=default" TargetMode="External"/><Relationship Id="rId622" Type="http://schemas.openxmlformats.org/officeDocument/2006/relationships/hyperlink" Target="https://doi.org/10.1073/iti2426123" TargetMode="External"/><Relationship Id="rId623" Type="http://schemas.openxmlformats.org/officeDocument/2006/relationships/hyperlink" Target="https://www.pnas.org/doi/abs/10.1073/pnas.2600028123?mi=eymic2&amp;af=R&amp;access=on&amp;content=articlesChapters&amp;publication=pnas&amp;sortBy=Earliest&amp;target=default" TargetMode="External"/><Relationship Id="rId624" Type="http://schemas.openxmlformats.org/officeDocument/2006/relationships/hyperlink" Target="https://doi.org/10.1073/pnas.2600028123" TargetMode="External"/><Relationship Id="rId625" Type="http://schemas.openxmlformats.org/officeDocument/2006/relationships/hyperlink" Target="https://www.pnas.org/doi/abs/10.1073/pnas.2529899123?mi=eymic2&amp;af=R&amp;access=on&amp;content=articlesChapters&amp;publication=pnas&amp;sortBy=Earliest&amp;target=default" TargetMode="External"/><Relationship Id="rId626" Type="http://schemas.openxmlformats.org/officeDocument/2006/relationships/hyperlink" Target="https://doi.org/10.1073/pnas.2529899123" TargetMode="External"/><Relationship Id="rId627" Type="http://schemas.openxmlformats.org/officeDocument/2006/relationships/hyperlink" Target="https://onlinelibrary.wiley.com/doi/10.1002/anie.8304737?af=R" TargetMode="External"/><Relationship Id="rId628" Type="http://schemas.openxmlformats.org/officeDocument/2006/relationships/hyperlink" Target="https://doi.org/10.1002/anie.8304737" TargetMode="External"/><Relationship Id="rId629" Type="http://schemas.openxmlformats.org/officeDocument/2006/relationships/hyperlink" Target="https://www.pnas.org/doi/abs/10.1073/pnas.2530774123?mi=eymic2&amp;af=R&amp;access=on&amp;content=articlesChapters&amp;publication=pnas&amp;sortBy=Earliest&amp;target=default" TargetMode="External"/><Relationship Id="rId630" Type="http://schemas.openxmlformats.org/officeDocument/2006/relationships/hyperlink" Target="https://doi.org/10.1073/pnas.2530774123" TargetMode="External"/><Relationship Id="rId631" Type="http://schemas.openxmlformats.org/officeDocument/2006/relationships/hyperlink" Target="https://www.pnas.org/doi/abs/10.1073/pnas.2532791123?mi=eymic2&amp;af=R&amp;access=on&amp;content=articlesChapters&amp;publication=pnas&amp;sortBy=Earliest&amp;target=default" TargetMode="External"/><Relationship Id="rId632" Type="http://schemas.openxmlformats.org/officeDocument/2006/relationships/hyperlink" Target="https://doi.org/10.1073/pnas.2532791123" TargetMode="External"/><Relationship Id="rId633" Type="http://schemas.openxmlformats.org/officeDocument/2006/relationships/hyperlink" Target="https://www.pnas.org/doi/abs/10.1073/pnas.2507932123?mi=eymic2&amp;af=R&amp;access=on&amp;content=articlesChapters&amp;publication=pnas&amp;sortBy=Earliest&amp;target=default" TargetMode="External"/><Relationship Id="rId634" Type="http://schemas.openxmlformats.org/officeDocument/2006/relationships/hyperlink" Target="https://doi.org/10.1073/pnas.2507932123" TargetMode="External"/><Relationship Id="rId635" Type="http://schemas.openxmlformats.org/officeDocument/2006/relationships/hyperlink" Target="https://www.pnas.org/doi/abs/10.1073/pnas.2536303123?mi=eymic2&amp;af=R&amp;access=on&amp;content=articlesChapters&amp;publication=pnas&amp;sortBy=Earliest&amp;target=default" TargetMode="External"/><Relationship Id="rId636" Type="http://schemas.openxmlformats.org/officeDocument/2006/relationships/hyperlink" Target="https://doi.org/10.1073/pnas.2536303123" TargetMode="External"/><Relationship Id="rId637" Type="http://schemas.openxmlformats.org/officeDocument/2006/relationships/hyperlink" Target="https://www.pnas.org/doi/abs/10.1073/pnas.2536973123?mi=eymic2&amp;af=R&amp;access=on&amp;content=articlesChapters&amp;publication=pnas&amp;sortBy=Earliest&amp;target=default" TargetMode="External"/><Relationship Id="rId638" Type="http://schemas.openxmlformats.org/officeDocument/2006/relationships/hyperlink" Target="https://doi.org/10.1073/pnas.2536973123" TargetMode="External"/><Relationship Id="rId639" Type="http://schemas.openxmlformats.org/officeDocument/2006/relationships/hyperlink" Target="https://www.pnas.org/doi/abs/10.1073/pnas.2537891123?mi=eymic2&amp;af=R&amp;access=on&amp;content=articlesChapters&amp;publication=pnas&amp;sortBy=Earliest&amp;target=default" TargetMode="External"/><Relationship Id="rId640" Type="http://schemas.openxmlformats.org/officeDocument/2006/relationships/hyperlink" Target="https://doi.org/10.1073/pnas.2537891123" TargetMode="External"/><Relationship Id="rId641" Type="http://schemas.openxmlformats.org/officeDocument/2006/relationships/hyperlink" Target="https://www.pnas.org/doi/abs/10.1073/pnas.2535587123?mi=eymic2&amp;af=R&amp;access=on&amp;content=articlesChapters&amp;publication=pnas&amp;sortBy=Earliest&amp;target=default" TargetMode="External"/><Relationship Id="rId642" Type="http://schemas.openxmlformats.org/officeDocument/2006/relationships/hyperlink" Target="https://doi.org/10.1073/pnas.2535587123" TargetMode="External"/><Relationship Id="rId643" Type="http://schemas.openxmlformats.org/officeDocument/2006/relationships/hyperlink" Target="https://www.pnas.org/doi/abs/10.1073/pnas.2618232123?mi=eymic2&amp;af=R&amp;access=on&amp;content=articlesChapters&amp;publication=pnas&amp;sortBy=Earliest&amp;target=default" TargetMode="External"/><Relationship Id="rId644" Type="http://schemas.openxmlformats.org/officeDocument/2006/relationships/hyperlink" Target="https://doi.org/10.1073/pnas.2618232123" TargetMode="External"/><Relationship Id="rId645" Type="http://schemas.openxmlformats.org/officeDocument/2006/relationships/hyperlink" Target="https://www.pnas.org/doi/abs/10.1073/pnas.2602053123?mi=eymic2&amp;af=R&amp;access=on&amp;content=articlesChapters&amp;publication=pnas&amp;sortBy=Earliest&amp;target=default" TargetMode="External"/><Relationship Id="rId646" Type="http://schemas.openxmlformats.org/officeDocument/2006/relationships/hyperlink" Target="https://doi.org/10.1073/pnas.2602053123" TargetMode="External"/><Relationship Id="rId647" Type="http://schemas.openxmlformats.org/officeDocument/2006/relationships/hyperlink" Target="https://www.pnas.org/doi/abs/10.1073/pnas.2602559123?mi=eymic2&amp;af=R&amp;access=on&amp;content=articlesChapters&amp;publication=pnas&amp;sortBy=Earliest&amp;target=default" TargetMode="External"/><Relationship Id="rId648" Type="http://schemas.openxmlformats.org/officeDocument/2006/relationships/hyperlink" Target="https://doi.org/10.1073/pnas.2602559123" TargetMode="External"/><Relationship Id="rId649" Type="http://schemas.openxmlformats.org/officeDocument/2006/relationships/hyperlink" Target="https://www.pnas.org/doi/abs/10.1073/pnas.2605749123?mi=eymic2&amp;af=R&amp;access=on&amp;content=articlesChapters&amp;publication=pnas&amp;sortBy=Earliest&amp;target=default" TargetMode="External"/><Relationship Id="rId650" Type="http://schemas.openxmlformats.org/officeDocument/2006/relationships/hyperlink" Target="https://doi.org/10.1073/pnas.2605749123" TargetMode="External"/><Relationship Id="rId651" Type="http://schemas.openxmlformats.org/officeDocument/2006/relationships/hyperlink" Target="https://www.pnas.org/doi/abs/10.1073/pnas.2606703123?mi=eymic2&amp;af=R&amp;access=on&amp;content=articlesChapters&amp;publication=pnas&amp;sortBy=Earliest&amp;target=default" TargetMode="External"/><Relationship Id="rId652" Type="http://schemas.openxmlformats.org/officeDocument/2006/relationships/hyperlink" Target="https://doi.org/10.1073/pnas.2606703123" TargetMode="External"/><Relationship Id="rId653" Type="http://schemas.openxmlformats.org/officeDocument/2006/relationships/hyperlink" Target="https://www.pnas.org/doi/abs/10.1073/pnas.2606749123?mi=eymic2&amp;af=R&amp;access=on&amp;content=articlesChapters&amp;publication=pnas&amp;sortBy=Earliest&amp;target=default" TargetMode="External"/><Relationship Id="rId654" Type="http://schemas.openxmlformats.org/officeDocument/2006/relationships/hyperlink" Target="https://doi.org/10.1073/pnas.2606749123" TargetMode="External"/><Relationship Id="rId655" Type="http://schemas.openxmlformats.org/officeDocument/2006/relationships/hyperlink" Target="https://www.pnas.org/doi/abs/10.1073/pnas.2607264123?mi=eymic2&amp;af=R&amp;access=on&amp;content=articlesChapters&amp;publication=pnas&amp;sortBy=Earliest&amp;target=default" TargetMode="External"/><Relationship Id="rId656" Type="http://schemas.openxmlformats.org/officeDocument/2006/relationships/hyperlink" Target="https://doi.org/10.1073/pnas.2607264123" TargetMode="External"/><Relationship Id="rId657" Type="http://schemas.openxmlformats.org/officeDocument/2006/relationships/hyperlink" Target="https://www.pnas.org/doi/abs/10.1073/pnas.2601750123?mi=eymic2&amp;af=R&amp;access=on&amp;content=articlesChapters&amp;publication=pnas&amp;sortBy=Earliest&amp;target=default" TargetMode="External"/><Relationship Id="rId658" Type="http://schemas.openxmlformats.org/officeDocument/2006/relationships/hyperlink" Target="https://doi.org/10.1073/pnas.2601750123" TargetMode="External"/><Relationship Id="rId659" Type="http://schemas.openxmlformats.org/officeDocument/2006/relationships/hyperlink" Target="https://www.pnas.org/doi/abs/10.1073/pnas.2534981123?mi=eymic2&amp;af=R&amp;access=on&amp;content=articlesChapters&amp;publication=pnas&amp;sortBy=Earliest&amp;target=default" TargetMode="External"/><Relationship Id="rId660" Type="http://schemas.openxmlformats.org/officeDocument/2006/relationships/hyperlink" Target="https://doi.org/10.1073/pnas.2534981123" TargetMode="External"/><Relationship Id="rId661" Type="http://schemas.openxmlformats.org/officeDocument/2006/relationships/hyperlink" Target="https://www.pnas.org/doi/abs/10.1073/pnas.2600410123?mi=eymic2&amp;af=R&amp;access=on&amp;content=articlesChapters&amp;publication=pnas&amp;sortBy=Earliest&amp;target=default" TargetMode="External"/><Relationship Id="rId662" Type="http://schemas.openxmlformats.org/officeDocument/2006/relationships/hyperlink" Target="https://doi.org/10.1073/pnas.2600410123" TargetMode="External"/><Relationship Id="rId663" Type="http://schemas.openxmlformats.org/officeDocument/2006/relationships/hyperlink" Target="https://onlinelibrary.wiley.com/doi/10.1002/anie.3574068?af=R" TargetMode="External"/><Relationship Id="rId664" Type="http://schemas.openxmlformats.org/officeDocument/2006/relationships/hyperlink" Target="https://doi.org/10.1002/anie.3574068" TargetMode="External"/><Relationship Id="rId665" Type="http://schemas.openxmlformats.org/officeDocument/2006/relationships/hyperlink" Target="https://onlinelibrary.wiley.com/doi/10.1002/anie.7155694?af=R" TargetMode="External"/><Relationship Id="rId666" Type="http://schemas.openxmlformats.org/officeDocument/2006/relationships/hyperlink" Target="https://doi.org/10.1002/anie.7155694" TargetMode="External"/><Relationship Id="rId667" Type="http://schemas.openxmlformats.org/officeDocument/2006/relationships/hyperlink" Target="https://onlinelibrary.wiley.com/doi/10.1002/anie.1852444?af=R" TargetMode="External"/><Relationship Id="rId668" Type="http://schemas.openxmlformats.org/officeDocument/2006/relationships/hyperlink" Target="https://doi.org/10.1002/anie.1852444" TargetMode="External"/><Relationship Id="rId669" Type="http://schemas.openxmlformats.org/officeDocument/2006/relationships/hyperlink" Target="https://advanced.onlinelibrary.wiley.com/doi/10.1002/adma.73683?af=R" TargetMode="External"/><Relationship Id="rId670" Type="http://schemas.openxmlformats.org/officeDocument/2006/relationships/hyperlink" Target="https://doi.org/10.1002/adma.73683" TargetMode="External"/><Relationship Id="rId671" Type="http://schemas.openxmlformats.org/officeDocument/2006/relationships/hyperlink" Target="https://onlinelibrary.wiley.com/doi/10.1002/anie.9060680?af=R" TargetMode="External"/><Relationship Id="rId672" Type="http://schemas.openxmlformats.org/officeDocument/2006/relationships/hyperlink" Target="https://doi.org/10.1002/anie.9060680" TargetMode="External"/><Relationship Id="rId673" Type="http://schemas.openxmlformats.org/officeDocument/2006/relationships/hyperlink" Target="https://onlinelibrary.wiley.com/doi/10.1002/anie.2408585?af=R" TargetMode="External"/><Relationship Id="rId674" Type="http://schemas.openxmlformats.org/officeDocument/2006/relationships/hyperlink" Target="https://doi.org/10.1002/anie.2408585" TargetMode="External"/><Relationship Id="rId675" Type="http://schemas.openxmlformats.org/officeDocument/2006/relationships/hyperlink" Target="https://advanced.onlinelibrary.wiley.com/doi/10.1002/adma.202522853?af=R" TargetMode="External"/><Relationship Id="rId676" Type="http://schemas.openxmlformats.org/officeDocument/2006/relationships/hyperlink" Target="https://doi.org/10.1002/adma.202522853" TargetMode="External"/><Relationship Id="rId677" Type="http://schemas.openxmlformats.org/officeDocument/2006/relationships/hyperlink" Target="http://link.aps.org/doi/10.1103/2w94-rymn" TargetMode="External"/><Relationship Id="rId678" Type="http://schemas.openxmlformats.org/officeDocument/2006/relationships/hyperlink" Target="https://doi.org/10.1103/2w94-rymn" TargetMode="External"/><Relationship Id="rId679" Type="http://schemas.openxmlformats.org/officeDocument/2006/relationships/hyperlink" Target="http://link.aps.org/doi/10.1103/ns3s-ld4k" TargetMode="External"/><Relationship Id="rId680" Type="http://schemas.openxmlformats.org/officeDocument/2006/relationships/hyperlink" Target="https://doi.org/10.1103/ns3s-ld4k" TargetMode="External"/><Relationship Id="rId681" Type="http://schemas.openxmlformats.org/officeDocument/2006/relationships/hyperlink" Target="http://link.aps.org/doi/10.1103/vcld-225s" TargetMode="External"/><Relationship Id="rId682" Type="http://schemas.openxmlformats.org/officeDocument/2006/relationships/hyperlink" Target="https://doi.org/10.1103/vcld-225s" TargetMode="External"/><Relationship Id="rId683" Type="http://schemas.openxmlformats.org/officeDocument/2006/relationships/hyperlink" Target="http://link.aps.org/doi/10.1103/3js1-2zc1" TargetMode="External"/><Relationship Id="rId684" Type="http://schemas.openxmlformats.org/officeDocument/2006/relationships/hyperlink" Target="https://doi.org/10.1103/3js1-2zc1" TargetMode="External"/><Relationship Id="rId685" Type="http://schemas.openxmlformats.org/officeDocument/2006/relationships/hyperlink" Target="http://link.aps.org/doi/10.1103/ky7q-nbr7" TargetMode="External"/><Relationship Id="rId686" Type="http://schemas.openxmlformats.org/officeDocument/2006/relationships/hyperlink" Target="https://doi.org/10.1103/ky7q-nbr7" TargetMode="External"/><Relationship Id="rId687" Type="http://schemas.openxmlformats.org/officeDocument/2006/relationships/hyperlink" Target="http://link.aps.org/doi/10.1103/723d-pspf" TargetMode="External"/><Relationship Id="rId688" Type="http://schemas.openxmlformats.org/officeDocument/2006/relationships/hyperlink" Target="https://doi.org/10.1103/723d-pspf" TargetMode="External"/><Relationship Id="rId689" Type="http://schemas.openxmlformats.org/officeDocument/2006/relationships/hyperlink" Target="http://link.aps.org/doi/10.1103/4759-7qj2" TargetMode="External"/><Relationship Id="rId690" Type="http://schemas.openxmlformats.org/officeDocument/2006/relationships/hyperlink" Target="https://doi.org/10.1103/4759-7qj2" TargetMode="External"/><Relationship Id="rId691" Type="http://schemas.openxmlformats.org/officeDocument/2006/relationships/hyperlink" Target="http://link.aps.org/doi/10.1103/gpyx-z281" TargetMode="External"/><Relationship Id="rId692" Type="http://schemas.openxmlformats.org/officeDocument/2006/relationships/hyperlink" Target="https://doi.org/10.1103/gpyx-z281" TargetMode="External"/><Relationship Id="rId693" Type="http://schemas.openxmlformats.org/officeDocument/2006/relationships/hyperlink" Target="http://link.aps.org/doi/10.1103/ydch-vgmy" TargetMode="External"/><Relationship Id="rId694" Type="http://schemas.openxmlformats.org/officeDocument/2006/relationships/hyperlink" Target="https://doi.org/10.1103/ydch-vgmy" TargetMode="External"/><Relationship Id="rId695" Type="http://schemas.openxmlformats.org/officeDocument/2006/relationships/hyperlink" Target="http://link.aps.org/doi/10.1103/rbzb-km7n" TargetMode="External"/><Relationship Id="rId696" Type="http://schemas.openxmlformats.org/officeDocument/2006/relationships/hyperlink" Target="https://doi.org/10.1103/rbzb-km7n" TargetMode="External"/><Relationship Id="rId697" Type="http://schemas.openxmlformats.org/officeDocument/2006/relationships/hyperlink" Target="http://link.aps.org/doi/10.1103/p8yf-12yz" TargetMode="External"/><Relationship Id="rId698" Type="http://schemas.openxmlformats.org/officeDocument/2006/relationships/hyperlink" Target="https://doi.org/10.1103/p8yf-12yz" TargetMode="External"/><Relationship Id="rId699" Type="http://schemas.openxmlformats.org/officeDocument/2006/relationships/hyperlink" Target="http://link.aps.org/doi/10.1103/cpp1-j6lc" TargetMode="External"/><Relationship Id="rId700" Type="http://schemas.openxmlformats.org/officeDocument/2006/relationships/hyperlink" Target="https://doi.org/10.1103/cpp1-j6lc" TargetMode="External"/><Relationship Id="rId701" Type="http://schemas.openxmlformats.org/officeDocument/2006/relationships/hyperlink" Target="http://link.aps.org/doi/10.1103/1t2q-qm97" TargetMode="External"/><Relationship Id="rId702" Type="http://schemas.openxmlformats.org/officeDocument/2006/relationships/hyperlink" Target="https://doi.org/10.1103/1t2q-qm97" TargetMode="External"/><Relationship Id="rId703" Type="http://schemas.openxmlformats.org/officeDocument/2006/relationships/hyperlink" Target="http://link.aps.org/doi/10.1103/5rk7-zljb" TargetMode="External"/><Relationship Id="rId704" Type="http://schemas.openxmlformats.org/officeDocument/2006/relationships/hyperlink" Target="https://doi.org/10.1103/5rk7-zljb" TargetMode="External"/><Relationship Id="rId705" Type="http://schemas.openxmlformats.org/officeDocument/2006/relationships/hyperlink" Target="http://link.aps.org/doi/10.1103/66pp-4rdj" TargetMode="External"/><Relationship Id="rId706" Type="http://schemas.openxmlformats.org/officeDocument/2006/relationships/hyperlink" Target="https://doi.org/10.1103/66pp-4rdj" TargetMode="External"/><Relationship Id="rId707" Type="http://schemas.openxmlformats.org/officeDocument/2006/relationships/hyperlink" Target="http://link.aps.org/doi/10.1103/ndsf-kyr4" TargetMode="External"/><Relationship Id="rId708" Type="http://schemas.openxmlformats.org/officeDocument/2006/relationships/hyperlink" Target="https://doi.org/10.1103/ndsf-kyr4" TargetMode="External"/><Relationship Id="rId709" Type="http://schemas.openxmlformats.org/officeDocument/2006/relationships/hyperlink" Target="http://link.aps.org/doi/10.1103/5qrd-28df" TargetMode="External"/><Relationship Id="rId710" Type="http://schemas.openxmlformats.org/officeDocument/2006/relationships/hyperlink" Target="https://doi.org/10.1103/5qrd-28df" TargetMode="External"/><Relationship Id="rId711" Type="http://schemas.openxmlformats.org/officeDocument/2006/relationships/hyperlink" Target="https://advanced.onlinelibrary.wiley.com/doi/10.1002/adma.73523?af=R" TargetMode="External"/><Relationship Id="rId712" Type="http://schemas.openxmlformats.org/officeDocument/2006/relationships/hyperlink" Target="https://doi.org/10.1002/adma.73523" TargetMode="External"/><Relationship Id="rId713" Type="http://schemas.openxmlformats.org/officeDocument/2006/relationships/hyperlink" Target="https://advanced.onlinelibrary.wiley.com/doi/10.1002/adma.73753?af=R" TargetMode="External"/><Relationship Id="rId714" Type="http://schemas.openxmlformats.org/officeDocument/2006/relationships/hyperlink" Target="https://doi.org/10.1002/adma.73753" TargetMode="External"/><Relationship Id="rId715" Type="http://schemas.openxmlformats.org/officeDocument/2006/relationships/hyperlink" Target="https://onlinelibrary.wiley.com/doi/10.1002/anie.1252628?af=R" TargetMode="External"/><Relationship Id="rId716" Type="http://schemas.openxmlformats.org/officeDocument/2006/relationships/hyperlink" Target="https://doi.org/10.1002/anie.1252628" TargetMode="External"/><Relationship Id="rId717" Type="http://schemas.openxmlformats.org/officeDocument/2006/relationships/hyperlink" Target="https://onlinelibrary.wiley.com/doi/10.1002/anie.1594313?af=R" TargetMode="External"/><Relationship Id="rId718" Type="http://schemas.openxmlformats.org/officeDocument/2006/relationships/hyperlink" Target="https://doi.org/10.1002/anie.1594313" TargetMode="External"/><Relationship Id="rId719" Type="http://schemas.openxmlformats.org/officeDocument/2006/relationships/hyperlink" Target="https://onlinelibrary.wiley.com/doi/10.1002/anie.6666833?af=R" TargetMode="External"/><Relationship Id="rId720" Type="http://schemas.openxmlformats.org/officeDocument/2006/relationships/hyperlink" Target="https://doi.org/10.1002/anie.6666833" TargetMode="External"/><Relationship Id="rId721" Type="http://schemas.openxmlformats.org/officeDocument/2006/relationships/hyperlink" Target="https://onlinelibrary.wiley.com/doi/10.1002/anie.2889387?af=R" TargetMode="External"/><Relationship Id="rId722" Type="http://schemas.openxmlformats.org/officeDocument/2006/relationships/hyperlink" Target="https://doi.org/10.1002/anie.2889387" TargetMode="External"/><Relationship Id="rId723" Type="http://schemas.openxmlformats.org/officeDocument/2006/relationships/hyperlink" Target="http://pubs.rsc.org/en/Content/ArticleLanding/2026/CS/D5CS01399B" TargetMode="External"/><Relationship Id="rId724" Type="http://schemas.openxmlformats.org/officeDocument/2006/relationships/hyperlink" Target="http://pubs.rsc.org/en/Content/ArticleLanding/2026/CS/D6CS90053D" TargetMode="External"/><Relationship Id="rId725" Type="http://schemas.openxmlformats.org/officeDocument/2006/relationships/hyperlink" Target="https://www.nature.com/articles/s41467-026-74570-3" TargetMode="External"/><Relationship Id="rId726" Type="http://schemas.openxmlformats.org/officeDocument/2006/relationships/hyperlink" Target="https://www.nature.com/articles/s41586-026-10638-w" TargetMode="External"/><Relationship Id="rId727" Type="http://schemas.openxmlformats.org/officeDocument/2006/relationships/hyperlink" Target="https://doi.org/10.1038/s41586-026-10638-w" TargetMode="External"/><Relationship Id="rId728" Type="http://schemas.openxmlformats.org/officeDocument/2006/relationships/hyperlink" Target="https://www.nature.com/articles/s41586-026-10679-1" TargetMode="External"/><Relationship Id="rId729" Type="http://schemas.openxmlformats.org/officeDocument/2006/relationships/hyperlink" Target="https://doi.org/10.1038/s41586-026-10679-1" TargetMode="External"/><Relationship Id="rId730" Type="http://schemas.openxmlformats.org/officeDocument/2006/relationships/hyperlink" Target="https://www.nature.com/articles/s41586-026-10650-0" TargetMode="External"/><Relationship Id="rId731" Type="http://schemas.openxmlformats.org/officeDocument/2006/relationships/hyperlink" Target="https://doi.org/10.1038/s41586-026-10650-0" TargetMode="External"/><Relationship Id="rId732" Type="http://schemas.openxmlformats.org/officeDocument/2006/relationships/hyperlink" Target="https://www.nature.com/articles/s41586-026-10676-4" TargetMode="External"/><Relationship Id="rId733" Type="http://schemas.openxmlformats.org/officeDocument/2006/relationships/hyperlink" Target="https://doi.org/10.1038/s41586-026-10676-4" TargetMode="External"/><Relationship Id="rId734" Type="http://schemas.openxmlformats.org/officeDocument/2006/relationships/hyperlink" Target="https://www.nature.com/articles/s41586-026-10657-7" TargetMode="External"/><Relationship Id="rId735" Type="http://schemas.openxmlformats.org/officeDocument/2006/relationships/hyperlink" Target="https://doi.org/10.1038/s41586-026-10657-7" TargetMode="External"/><Relationship Id="rId736" Type="http://schemas.openxmlformats.org/officeDocument/2006/relationships/hyperlink" Target="https://www.nature.com/articles/s41586-026-10586-5" TargetMode="External"/><Relationship Id="rId737" Type="http://schemas.openxmlformats.org/officeDocument/2006/relationships/hyperlink" Target="https://doi.org/10.1038/s41586-026-10586-5" TargetMode="External"/><Relationship Id="rId738" Type="http://schemas.openxmlformats.org/officeDocument/2006/relationships/hyperlink" Target="https://www.nature.com/articles/s41586-026-10673-7" TargetMode="External"/><Relationship Id="rId739" Type="http://schemas.openxmlformats.org/officeDocument/2006/relationships/hyperlink" Target="https://doi.org/10.1038/s41586-026-10673-7" TargetMode="External"/><Relationship Id="rId740" Type="http://schemas.openxmlformats.org/officeDocument/2006/relationships/hyperlink" Target="https://www.nature.com/articles/s41586-026-10648-8" TargetMode="External"/><Relationship Id="rId741" Type="http://schemas.openxmlformats.org/officeDocument/2006/relationships/hyperlink" Target="https://doi.org/10.1038/s41586-026-10648-8" TargetMode="External"/><Relationship Id="rId742" Type="http://schemas.openxmlformats.org/officeDocument/2006/relationships/hyperlink" Target="https://www.nature.com/articles/s41586-026-10614-4" TargetMode="External"/><Relationship Id="rId743" Type="http://schemas.openxmlformats.org/officeDocument/2006/relationships/hyperlink" Target="https://doi.org/10.1038/s41586-026-10614-4" TargetMode="External"/><Relationship Id="rId744" Type="http://schemas.openxmlformats.org/officeDocument/2006/relationships/hyperlink" Target="https://www.nature.com/articles/d41586-026-01941-7" TargetMode="External"/><Relationship Id="rId745" Type="http://schemas.openxmlformats.org/officeDocument/2006/relationships/hyperlink" Target="https://doi.org/10.1038/d41586-026-01941-7" TargetMode="External"/><Relationship Id="rId746" Type="http://schemas.openxmlformats.org/officeDocument/2006/relationships/hyperlink" Target="https://www.nature.com/articles/d41586-026-01870-5" TargetMode="External"/><Relationship Id="rId747" Type="http://schemas.openxmlformats.org/officeDocument/2006/relationships/hyperlink" Target="https://doi.org/10.1038/d41586-026-01870-5" TargetMode="External"/><Relationship Id="rId748" Type="http://schemas.openxmlformats.org/officeDocument/2006/relationships/hyperlink" Target="https://www.nature.com/articles/d41586-026-01868-z" TargetMode="External"/><Relationship Id="rId749" Type="http://schemas.openxmlformats.org/officeDocument/2006/relationships/hyperlink" Target="https://doi.org/10.1038/d41586-026-01868-z" TargetMode="External"/><Relationship Id="rId750" Type="http://schemas.openxmlformats.org/officeDocument/2006/relationships/hyperlink" Target="https://www.nature.com/articles/s41586-026-10764-5" TargetMode="External"/><Relationship Id="rId751" Type="http://schemas.openxmlformats.org/officeDocument/2006/relationships/hyperlink" Target="https://doi.org/10.1038/s41586-026-10764-5" TargetMode="External"/><Relationship Id="rId752" Type="http://schemas.openxmlformats.org/officeDocument/2006/relationships/hyperlink" Target="https://www.nature.com/articles/s41467-026-74355-8" TargetMode="External"/><Relationship Id="rId753" Type="http://schemas.openxmlformats.org/officeDocument/2006/relationships/hyperlink" Target="https://www.nature.com/articles/s41586-026-10617-1" TargetMode="External"/><Relationship Id="rId754" Type="http://schemas.openxmlformats.org/officeDocument/2006/relationships/hyperlink" Target="https://doi.org/10.1038/s41586-026-10617-1" TargetMode="External"/><Relationship Id="rId755" Type="http://schemas.openxmlformats.org/officeDocument/2006/relationships/hyperlink" Target="https://www.nature.com/articles/d41586-026-01960-4" TargetMode="External"/><Relationship Id="rId756" Type="http://schemas.openxmlformats.org/officeDocument/2006/relationships/hyperlink" Target="https://doi.org/10.1038/d41586-026-01960-4" TargetMode="External"/><Relationship Id="rId757" Type="http://schemas.openxmlformats.org/officeDocument/2006/relationships/hyperlink" Target="https://www.nature.com/articles/s41563-026-02629-z" TargetMode="External"/><Relationship Id="rId758" Type="http://schemas.openxmlformats.org/officeDocument/2006/relationships/hyperlink" Target="https://doi.org/10.1038/s41563-026-02629-z" TargetMode="External"/><Relationship Id="rId759" Type="http://schemas.openxmlformats.org/officeDocument/2006/relationships/hyperlink" Target="https://www.nature.com/articles/s41467-026-74302-7" TargetMode="External"/><Relationship Id="rId760" Type="http://schemas.openxmlformats.org/officeDocument/2006/relationships/hyperlink" Target="https://www.nature.com/articles/s41467-026-73991-4" TargetMode="External"/><Relationship Id="rId761" Type="http://schemas.openxmlformats.org/officeDocument/2006/relationships/hyperlink" Target="https://www.nature.com/articles/s41467-026-73974-5" TargetMode="External"/><Relationship Id="rId762" Type="http://schemas.openxmlformats.org/officeDocument/2006/relationships/hyperlink" Target="https://www.nature.com/articles/s41467-026-74520-z" TargetMode="External"/><Relationship Id="rId763" Type="http://schemas.openxmlformats.org/officeDocument/2006/relationships/hyperlink" Target="https://www.nature.com/articles/s41467-026-74430-0" TargetMode="External"/><Relationship Id="rId764" Type="http://schemas.openxmlformats.org/officeDocument/2006/relationships/hyperlink" Target="https://www.nature.com/articles/s41467-026-74409-x" TargetMode="External"/><Relationship Id="rId765" Type="http://schemas.openxmlformats.org/officeDocument/2006/relationships/hyperlink" Target="https://www.nature.com/articles/s41467-026-74437-7" TargetMode="External"/><Relationship Id="rId766" Type="http://schemas.openxmlformats.org/officeDocument/2006/relationships/hyperlink" Target="https://www.nature.com/articles/s41467-026-74264-w" TargetMode="External"/><Relationship Id="rId767" Type="http://schemas.openxmlformats.org/officeDocument/2006/relationships/hyperlink" Target="https://www.nature.com/articles/s41467-026-74506-x" TargetMode="External"/><Relationship Id="rId768" Type="http://schemas.openxmlformats.org/officeDocument/2006/relationships/hyperlink" Target="https://www.nature.com/articles/s41467-026-74250-2" TargetMode="External"/><Relationship Id="rId769" Type="http://schemas.openxmlformats.org/officeDocument/2006/relationships/hyperlink" Target="https://www.nature.com/articles/s41467-026-74316-1" TargetMode="External"/><Relationship Id="rId770" Type="http://schemas.openxmlformats.org/officeDocument/2006/relationships/hyperlink" Target="https://www.nature.com/articles/s41467-026-74440-y" TargetMode="External"/><Relationship Id="rId771" Type="http://schemas.openxmlformats.org/officeDocument/2006/relationships/hyperlink" Target="https://www.nature.com/articles/s41467-026-74380-7" TargetMode="External"/><Relationship Id="rId772" Type="http://schemas.openxmlformats.org/officeDocument/2006/relationships/hyperlink" Target="https://www.nature.com/articles/s41467-026-74151-4" TargetMode="External"/><Relationship Id="rId773" Type="http://schemas.openxmlformats.org/officeDocument/2006/relationships/hyperlink" Target="https://www.nature.com/articles/s41467-026-73873-9" TargetMode="External"/><Relationship Id="rId774" Type="http://schemas.openxmlformats.org/officeDocument/2006/relationships/hyperlink" Target="https://www.nature.com/articles/s41563-026-02635-1" TargetMode="External"/><Relationship Id="rId775" Type="http://schemas.openxmlformats.org/officeDocument/2006/relationships/hyperlink" Target="https://doi.org/10.1038/s41563-026-02635-1" TargetMode="External"/><Relationship Id="rId776" Type="http://schemas.openxmlformats.org/officeDocument/2006/relationships/hyperlink" Target="https://www.nature.com/articles/s41893-026-01861-4" TargetMode="External"/><Relationship Id="rId777" Type="http://schemas.openxmlformats.org/officeDocument/2006/relationships/hyperlink" Target="https://doi.org/10.1038/s41893-026-01861-4" TargetMode="External"/><Relationship Id="rId778" Type="http://schemas.openxmlformats.org/officeDocument/2006/relationships/hyperlink" Target="https://www.cell.com/matter/fulltext/S2590-2385(26)00238-9?rss=yes" TargetMode="External"/><Relationship Id="rId779" Type="http://schemas.openxmlformats.org/officeDocument/2006/relationships/hyperlink" Target="https://doi.org/10.1016/j.matt.2026.102875" TargetMode="External"/><Relationship Id="rId780" Type="http://schemas.openxmlformats.org/officeDocument/2006/relationships/hyperlink" Target="https://www.nature.com/articles/s41928-026-01654-9" TargetMode="External"/><Relationship Id="rId781" Type="http://schemas.openxmlformats.org/officeDocument/2006/relationships/hyperlink" Target="https://doi.org/10.1038/s41928-026-01654-9" TargetMode="External"/><Relationship Id="rId782" Type="http://schemas.openxmlformats.org/officeDocument/2006/relationships/hyperlink" Target="https://www.nature.com/articles/s41928-026-01662-9" TargetMode="External"/><Relationship Id="rId783" Type="http://schemas.openxmlformats.org/officeDocument/2006/relationships/hyperlink" Target="https://doi.org/10.1038/s41928-026-01662-9" TargetMode="External"/><Relationship Id="rId784" Type="http://schemas.openxmlformats.org/officeDocument/2006/relationships/hyperlink" Target="https://www.nature.com/articles/s41565-026-02188-z" TargetMode="External"/><Relationship Id="rId785" Type="http://schemas.openxmlformats.org/officeDocument/2006/relationships/hyperlink" Target="https://doi.org/10.1038/s41565-026-02188-z" TargetMode="External"/><Relationship Id="rId786" Type="http://schemas.openxmlformats.org/officeDocument/2006/relationships/hyperlink" Target="https://www.nature.com/articles/s41586-026-10691-5" TargetMode="External"/><Relationship Id="rId787" Type="http://schemas.openxmlformats.org/officeDocument/2006/relationships/hyperlink" Target="https://doi.org/10.1038/s41586-026-10691-5" TargetMode="External"/><Relationship Id="rId788" Type="http://schemas.openxmlformats.org/officeDocument/2006/relationships/hyperlink" Target="https://www.nature.com/articles/s41586-026-10540-5" TargetMode="External"/><Relationship Id="rId789" Type="http://schemas.openxmlformats.org/officeDocument/2006/relationships/hyperlink" Target="https://doi.org/10.1038/s41586-026-10540-5" TargetMode="External"/><Relationship Id="rId790" Type="http://schemas.openxmlformats.org/officeDocument/2006/relationships/hyperlink" Target="https://www.nature.com/articles/s41586-026-10675-5" TargetMode="External"/><Relationship Id="rId791" Type="http://schemas.openxmlformats.org/officeDocument/2006/relationships/hyperlink" Target="https://doi.org/10.1038/s41586-026-10675-5" TargetMode="External"/><Relationship Id="rId792" Type="http://schemas.openxmlformats.org/officeDocument/2006/relationships/hyperlink" Target="https://www.nature.com/articles/s41586-026-10635-z" TargetMode="External"/><Relationship Id="rId793" Type="http://schemas.openxmlformats.org/officeDocument/2006/relationships/hyperlink" Target="https://doi.org/10.1038/s41586-026-10635-z" TargetMode="External"/><Relationship Id="rId794" Type="http://schemas.openxmlformats.org/officeDocument/2006/relationships/hyperlink" Target="https://www.nature.com/articles/s41586-026-10654-w" TargetMode="External"/><Relationship Id="rId795" Type="http://schemas.openxmlformats.org/officeDocument/2006/relationships/hyperlink" Target="https://doi.org/10.1038/s41586-026-10654-w" TargetMode="External"/><Relationship Id="rId796" Type="http://schemas.openxmlformats.org/officeDocument/2006/relationships/hyperlink" Target="https://www.sciencedirect.com/science/article/pii/S0306261926009025?dgcid=rss_sd_all" TargetMode="External"/><Relationship Id="rId797" Type="http://schemas.openxmlformats.org/officeDocument/2006/relationships/hyperlink" Target="https://www.nature.com/articles/d41586-026-01756-6" TargetMode="External"/><Relationship Id="rId798" Type="http://schemas.openxmlformats.org/officeDocument/2006/relationships/hyperlink" Target="https://doi.org/10.1038/d41586-026-01756-6" TargetMode="External"/><Relationship Id="rId799" Type="http://schemas.openxmlformats.org/officeDocument/2006/relationships/hyperlink" Target="https://www.nature.com/articles/d41586-026-01923-9" TargetMode="External"/><Relationship Id="rId800" Type="http://schemas.openxmlformats.org/officeDocument/2006/relationships/hyperlink" Target="https://doi.org/10.1038/d41586-026-01923-9" TargetMode="External"/><Relationship Id="rId801" Type="http://schemas.openxmlformats.org/officeDocument/2006/relationships/hyperlink" Target="https://www.nature.com/articles/d41586-026-01938-2" TargetMode="External"/><Relationship Id="rId802" Type="http://schemas.openxmlformats.org/officeDocument/2006/relationships/hyperlink" Target="https://doi.org/10.1038/d41586-026-01938-2" TargetMode="External"/><Relationship Id="rId803" Type="http://schemas.openxmlformats.org/officeDocument/2006/relationships/hyperlink" Target="https://www.nature.com/articles/d41586-026-01719-x" TargetMode="External"/><Relationship Id="rId804" Type="http://schemas.openxmlformats.org/officeDocument/2006/relationships/hyperlink" Target="https://doi.org/10.1038/d41586-026-01719-x" TargetMode="External"/><Relationship Id="rId805" Type="http://schemas.openxmlformats.org/officeDocument/2006/relationships/hyperlink" Target="https://www.nature.com/articles/s41586-026-10660-y" TargetMode="External"/><Relationship Id="rId806" Type="http://schemas.openxmlformats.org/officeDocument/2006/relationships/hyperlink" Target="https://doi.org/10.1038/s41586-026-10660-y" TargetMode="External"/><Relationship Id="rId807" Type="http://schemas.openxmlformats.org/officeDocument/2006/relationships/hyperlink" Target="https://www.nature.com/articles/d41586-026-01702-6" TargetMode="External"/><Relationship Id="rId808" Type="http://schemas.openxmlformats.org/officeDocument/2006/relationships/hyperlink" Target="https://doi.org/10.1038/d41586-026-01702-6" TargetMode="External"/><Relationship Id="rId809" Type="http://schemas.openxmlformats.org/officeDocument/2006/relationships/hyperlink" Target="https://www.nature.com/articles/d41586-026-01705-3" TargetMode="External"/><Relationship Id="rId810" Type="http://schemas.openxmlformats.org/officeDocument/2006/relationships/hyperlink" Target="https://doi.org/10.1038/d41586-026-01705-3" TargetMode="External"/><Relationship Id="rId811" Type="http://schemas.openxmlformats.org/officeDocument/2006/relationships/hyperlink" Target="https://www.nature.com/articles/d41586-026-01882-1" TargetMode="External"/><Relationship Id="rId812" Type="http://schemas.openxmlformats.org/officeDocument/2006/relationships/hyperlink" Target="https://doi.org/10.1038/d41586-026-01882-1" TargetMode="External"/><Relationship Id="rId813" Type="http://schemas.openxmlformats.org/officeDocument/2006/relationships/hyperlink" Target="https://www.nature.com/articles/d41586-026-01922-w" TargetMode="External"/><Relationship Id="rId814" Type="http://schemas.openxmlformats.org/officeDocument/2006/relationships/hyperlink" Target="https://doi.org/10.1038/d41586-026-01922-w" TargetMode="External"/><Relationship Id="rId815" Type="http://schemas.openxmlformats.org/officeDocument/2006/relationships/hyperlink" Target="https://www.nature.com/articles/d41586-026-01703-5" TargetMode="External"/><Relationship Id="rId816" Type="http://schemas.openxmlformats.org/officeDocument/2006/relationships/hyperlink" Target="https://doi.org/10.1038/d41586-026-01703-5" TargetMode="External"/><Relationship Id="rId817" Type="http://schemas.openxmlformats.org/officeDocument/2006/relationships/hyperlink" Target="https://www.nature.com/articles/d41586-026-01739-7" TargetMode="External"/><Relationship Id="rId818" Type="http://schemas.openxmlformats.org/officeDocument/2006/relationships/hyperlink" Target="https://doi.org/10.1038/d41586-026-01739-7" TargetMode="External"/><Relationship Id="rId819" Type="http://schemas.openxmlformats.org/officeDocument/2006/relationships/hyperlink" Target="https://www.nature.com/articles/d41586-026-01903-z" TargetMode="External"/><Relationship Id="rId820" Type="http://schemas.openxmlformats.org/officeDocument/2006/relationships/hyperlink" Target="https://doi.org/10.1038/d41586-026-01903-z" TargetMode="External"/><Relationship Id="rId821" Type="http://schemas.openxmlformats.org/officeDocument/2006/relationships/hyperlink" Target="https://academic.oup.com/nsr/advance-article/doi/10.1093/nsr/nwag376/8709798?rss=1" TargetMode="External"/><Relationship Id="rId822" Type="http://schemas.openxmlformats.org/officeDocument/2006/relationships/hyperlink" Target="https://doi.org/10.1093/nsr/nwag376" TargetMode="External"/><Relationship Id="rId823" Type="http://schemas.openxmlformats.org/officeDocument/2006/relationships/hyperlink" Target="https://www.nature.com/articles/d41586-026-01891-0" TargetMode="External"/><Relationship Id="rId824" Type="http://schemas.openxmlformats.org/officeDocument/2006/relationships/hyperlink" Target="https://doi.org/10.1038/d41586-026-01891-0" TargetMode="External"/><Relationship Id="rId825" Type="http://schemas.openxmlformats.org/officeDocument/2006/relationships/hyperlink" Target="https://www.nature.com/articles/s41586-026-10667-5" TargetMode="External"/><Relationship Id="rId826" Type="http://schemas.openxmlformats.org/officeDocument/2006/relationships/hyperlink" Target="https://doi.org/10.1038/s41586-026-10667-5" TargetMode="External"/><Relationship Id="rId827" Type="http://schemas.openxmlformats.org/officeDocument/2006/relationships/hyperlink" Target="https://www.nature.com/articles/s41586-026-10653-x" TargetMode="External"/><Relationship Id="rId828" Type="http://schemas.openxmlformats.org/officeDocument/2006/relationships/hyperlink" Target="https://doi.org/10.1038/s41586-026-10653-x" TargetMode="External"/><Relationship Id="rId829" Type="http://schemas.openxmlformats.org/officeDocument/2006/relationships/hyperlink" Target="https://www.nature.com/articles/s41586-026-10643-z" TargetMode="External"/><Relationship Id="rId830" Type="http://schemas.openxmlformats.org/officeDocument/2006/relationships/hyperlink" Target="https://doi.org/10.1038/s41586-026-10643-z" TargetMode="External"/><Relationship Id="rId831" Type="http://schemas.openxmlformats.org/officeDocument/2006/relationships/hyperlink" Target="https://www.nature.com/articles/s41893-026-01893-w" TargetMode="External"/><Relationship Id="rId832" Type="http://schemas.openxmlformats.org/officeDocument/2006/relationships/hyperlink" Target="https://doi.org/10.1038/s41893-026-01893-w" TargetMode="External"/><Relationship Id="rId833" Type="http://schemas.openxmlformats.org/officeDocument/2006/relationships/hyperlink" Target="https://www.nature.com/articles/d41586-026-01883-0" TargetMode="External"/><Relationship Id="rId834" Type="http://schemas.openxmlformats.org/officeDocument/2006/relationships/hyperlink" Target="https://doi.org/10.1038/d41586-026-01883-0" TargetMode="External"/><Relationship Id="rId835" Type="http://schemas.openxmlformats.org/officeDocument/2006/relationships/hyperlink" Target="https://www.pnas.org/doi/abs/10.1073/pnas.2603729123?mi=eymic2&amp;af=R&amp;access=on&amp;content=articlesChapters&amp;publication=pnas&amp;sortBy=Earliest&amp;target=default" TargetMode="External"/><Relationship Id="rId836" Type="http://schemas.openxmlformats.org/officeDocument/2006/relationships/hyperlink" Target="https://doi.org/10.1073/pnas.2603729123" TargetMode="External"/><Relationship Id="rId837" Type="http://schemas.openxmlformats.org/officeDocument/2006/relationships/hyperlink" Target="https://www.science.org/doi/abs/10.1126/sciadv.aee4069?af=R" TargetMode="External"/><Relationship Id="rId838" Type="http://schemas.openxmlformats.org/officeDocument/2006/relationships/hyperlink" Target="https://doi.org/10.1126/sciadv.aee4069" TargetMode="External"/><Relationship Id="rId839" Type="http://schemas.openxmlformats.org/officeDocument/2006/relationships/hyperlink" Target="https://www.science.org/doi/abs/10.1126/sciadv.aee2291?af=R" TargetMode="External"/><Relationship Id="rId840" Type="http://schemas.openxmlformats.org/officeDocument/2006/relationships/hyperlink" Target="https://doi.org/10.1126/sciadv.aee2291" TargetMode="External"/><Relationship Id="rId841" Type="http://schemas.openxmlformats.org/officeDocument/2006/relationships/hyperlink" Target="https://www.pnas.org/doi/abs/10.1073/pnas.2600726123?mi=eymic2&amp;af=R&amp;access=on&amp;content=articlesChapters&amp;publication=pnas&amp;sortBy=Earliest&amp;target=default" TargetMode="External"/><Relationship Id="rId842" Type="http://schemas.openxmlformats.org/officeDocument/2006/relationships/hyperlink" Target="https://doi.org/10.1073/pnas.2600726123" TargetMode="External"/><Relationship Id="rId843" Type="http://schemas.openxmlformats.org/officeDocument/2006/relationships/hyperlink" Target="https://www.science.org/doi/abs/10.1126/sciadv.aed3887?af=R" TargetMode="External"/><Relationship Id="rId844" Type="http://schemas.openxmlformats.org/officeDocument/2006/relationships/hyperlink" Target="https://doi.org/10.1126/sciadv.aed3887" TargetMode="External"/><Relationship Id="rId845" Type="http://schemas.openxmlformats.org/officeDocument/2006/relationships/hyperlink" Target="https://www.pnas.org/doi/abs/10.1073/pnas.2601563123?mi=eymic2&amp;af=R&amp;access=on&amp;content=articlesChapters&amp;publication=pnas&amp;sortBy=Earliest&amp;target=default" TargetMode="External"/><Relationship Id="rId846" Type="http://schemas.openxmlformats.org/officeDocument/2006/relationships/hyperlink" Target="https://doi.org/10.1073/pnas.2601563123" TargetMode="External"/><Relationship Id="rId847" Type="http://schemas.openxmlformats.org/officeDocument/2006/relationships/hyperlink" Target="https://www.pnas.org/doi/abs/10.1073/pnas.2507773123?mi=eymic2&amp;af=R&amp;access=on&amp;content=articlesChapters&amp;publication=pnas&amp;sortBy=Earliest&amp;target=default" TargetMode="External"/><Relationship Id="rId848" Type="http://schemas.openxmlformats.org/officeDocument/2006/relationships/hyperlink" Target="https://doi.org/10.1073/pnas.2507773123" TargetMode="External"/><Relationship Id="rId849" Type="http://schemas.openxmlformats.org/officeDocument/2006/relationships/hyperlink" Target="https://www.pnas.org/doi/abs/10.1073/pnas.2604163123?mi=eymic2&amp;af=R&amp;access=on&amp;content=articlesChapters&amp;publication=pnas&amp;sortBy=Earliest&amp;target=default" TargetMode="External"/><Relationship Id="rId850" Type="http://schemas.openxmlformats.org/officeDocument/2006/relationships/hyperlink" Target="https://doi.org/10.1073/pnas.2604163123" TargetMode="External"/><Relationship Id="rId851" Type="http://schemas.openxmlformats.org/officeDocument/2006/relationships/hyperlink" Target="https://www.science.org/doi/abs/10.1126/sciadv.aef8585?af=R" TargetMode="External"/><Relationship Id="rId852" Type="http://schemas.openxmlformats.org/officeDocument/2006/relationships/hyperlink" Target="https://doi.org/10.1126/sciadv.aef8585" TargetMode="External"/><Relationship Id="rId853" Type="http://schemas.openxmlformats.org/officeDocument/2006/relationships/hyperlink" Target="https://www.pnas.org/doi/abs/10.1073/pnas.2608700123?mi=eymic2&amp;af=R&amp;access=on&amp;content=articlesChapters&amp;publication=pnas&amp;sortBy=Earliest&amp;target=default" TargetMode="External"/><Relationship Id="rId854" Type="http://schemas.openxmlformats.org/officeDocument/2006/relationships/hyperlink" Target="https://doi.org/10.1073/pnas.2608700123" TargetMode="External"/><Relationship Id="rId855" Type="http://schemas.openxmlformats.org/officeDocument/2006/relationships/hyperlink" Target="https://www.pnas.org/doi/abs/10.1073/pnas.2610619123?mi=eymic2&amp;af=R&amp;access=on&amp;content=articlesChapters&amp;publication=pnas&amp;sortBy=Earliest&amp;target=default" TargetMode="External"/><Relationship Id="rId856" Type="http://schemas.openxmlformats.org/officeDocument/2006/relationships/hyperlink" Target="https://doi.org/10.1073/pnas.2610619123" TargetMode="External"/><Relationship Id="rId857" Type="http://schemas.openxmlformats.org/officeDocument/2006/relationships/hyperlink" Target="https://www.pnas.org/doi/abs/10.1073/pnas.2603440123?mi=eymic2&amp;af=R&amp;access=on&amp;content=articlesChapters&amp;publication=pnas&amp;sortBy=Earliest&amp;target=default" TargetMode="External"/><Relationship Id="rId858" Type="http://schemas.openxmlformats.org/officeDocument/2006/relationships/hyperlink" Target="https://doi.org/10.1073/pnas.2603440123" TargetMode="External"/><Relationship Id="rId859" Type="http://schemas.openxmlformats.org/officeDocument/2006/relationships/hyperlink" Target="https://www.science.org/doi/abs/10.1126/sciadv.aed1407?af=R" TargetMode="External"/><Relationship Id="rId860" Type="http://schemas.openxmlformats.org/officeDocument/2006/relationships/hyperlink" Target="https://doi.org/10.1126/sciadv.aed1407" TargetMode="External"/><Relationship Id="rId861" Type="http://schemas.openxmlformats.org/officeDocument/2006/relationships/hyperlink" Target="https://www.science.org/doi/abs/10.1126/sciadv.aeh2957?af=R" TargetMode="External"/><Relationship Id="rId862" Type="http://schemas.openxmlformats.org/officeDocument/2006/relationships/hyperlink" Target="https://doi.org/10.1126/sciadv.aeh2957" TargetMode="External"/><Relationship Id="rId863" Type="http://schemas.openxmlformats.org/officeDocument/2006/relationships/hyperlink" Target="https://www.science.org/doi/abs/10.1126/sciadv.aec7638?af=R" TargetMode="External"/><Relationship Id="rId864" Type="http://schemas.openxmlformats.org/officeDocument/2006/relationships/hyperlink" Target="https://doi.org/10.1126/sciadv.aec7638" TargetMode="External"/><Relationship Id="rId865" Type="http://schemas.openxmlformats.org/officeDocument/2006/relationships/hyperlink" Target="https://www.science.org/doi/abs/10.1126/sciadv.aee4926?af=R" TargetMode="External"/><Relationship Id="rId866" Type="http://schemas.openxmlformats.org/officeDocument/2006/relationships/hyperlink" Target="https://doi.org/10.1126/sciadv.aee4926" TargetMode="External"/><Relationship Id="rId867" Type="http://schemas.openxmlformats.org/officeDocument/2006/relationships/hyperlink" Target="https://www.pnas.org/doi/abs/10.1073/pnas.2604493123?mi=eymic2&amp;af=R&amp;access=on&amp;content=articlesChapters&amp;publication=pnas&amp;sortBy=Earliest&amp;target=default" TargetMode="External"/><Relationship Id="rId868" Type="http://schemas.openxmlformats.org/officeDocument/2006/relationships/hyperlink" Target="https://doi.org/10.1073/pnas.2604493123" TargetMode="External"/><Relationship Id="rId869" Type="http://schemas.openxmlformats.org/officeDocument/2006/relationships/hyperlink" Target="https://www.pnas.org/doi/abs/10.1073/pnas.2600303123?mi=eymic2&amp;af=R&amp;access=on&amp;content=articlesChapters&amp;publication=pnas&amp;sortBy=Earliest&amp;target=default" TargetMode="External"/><Relationship Id="rId870" Type="http://schemas.openxmlformats.org/officeDocument/2006/relationships/hyperlink" Target="https://doi.org/10.1073/pnas.2600303123" TargetMode="External"/><Relationship Id="rId871" Type="http://schemas.openxmlformats.org/officeDocument/2006/relationships/hyperlink" Target="https://www.science.org/doi/abs/10.1126/sciadv.aee5238?af=R" TargetMode="External"/><Relationship Id="rId872" Type="http://schemas.openxmlformats.org/officeDocument/2006/relationships/hyperlink" Target="https://doi.org/10.1126/sciadv.aee5238" TargetMode="External"/><Relationship Id="rId873" Type="http://schemas.openxmlformats.org/officeDocument/2006/relationships/hyperlink" Target="https://www.science.org/doi/abs/10.1126/sciadv.aee6998?af=R" TargetMode="External"/><Relationship Id="rId874" Type="http://schemas.openxmlformats.org/officeDocument/2006/relationships/hyperlink" Target="https://doi.org/10.1126/sciadv.aee6998" TargetMode="External"/><Relationship Id="rId875" Type="http://schemas.openxmlformats.org/officeDocument/2006/relationships/hyperlink" Target="https://www.science.org/doi/abs/10.1126/sciadv.aeb0766?af=R" TargetMode="External"/><Relationship Id="rId876" Type="http://schemas.openxmlformats.org/officeDocument/2006/relationships/hyperlink" Target="https://doi.org/10.1126/sciadv.aeb0766" TargetMode="External"/><Relationship Id="rId877" Type="http://schemas.openxmlformats.org/officeDocument/2006/relationships/hyperlink" Target="https://www.science.org/doi/abs/10.1126/sciadv.aec1031?af=R" TargetMode="External"/><Relationship Id="rId878" Type="http://schemas.openxmlformats.org/officeDocument/2006/relationships/hyperlink" Target="https://doi.org/10.1126/sciadv.aec1031" TargetMode="External"/><Relationship Id="rId879" Type="http://schemas.openxmlformats.org/officeDocument/2006/relationships/hyperlink" Target="https://www.science.org/doi/abs/10.1126/sciadv.aec2861?af=R" TargetMode="External"/><Relationship Id="rId880" Type="http://schemas.openxmlformats.org/officeDocument/2006/relationships/hyperlink" Target="https://doi.org/10.1126/sciadv.aec2861" TargetMode="External"/><Relationship Id="rId881" Type="http://schemas.openxmlformats.org/officeDocument/2006/relationships/hyperlink" Target="https://www.science.org/doi/abs/10.1126/sciadv.aec3505?af=R" TargetMode="External"/><Relationship Id="rId882" Type="http://schemas.openxmlformats.org/officeDocument/2006/relationships/hyperlink" Target="https://doi.org/10.1126/sciadv.aec3505" TargetMode="External"/><Relationship Id="rId883" Type="http://schemas.openxmlformats.org/officeDocument/2006/relationships/hyperlink" Target="https://www.science.org/doi/abs/10.1126/sciadv.aec4824?af=R" TargetMode="External"/><Relationship Id="rId884" Type="http://schemas.openxmlformats.org/officeDocument/2006/relationships/hyperlink" Target="https://doi.org/10.1126/sciadv.aec4824" TargetMode="External"/><Relationship Id="rId885" Type="http://schemas.openxmlformats.org/officeDocument/2006/relationships/hyperlink" Target="https://www.science.org/doi/abs/10.1126/sciadv.aec7965?af=R" TargetMode="External"/><Relationship Id="rId886" Type="http://schemas.openxmlformats.org/officeDocument/2006/relationships/hyperlink" Target="https://doi.org/10.1126/sciadv.aec7965" TargetMode="External"/><Relationship Id="rId887" Type="http://schemas.openxmlformats.org/officeDocument/2006/relationships/hyperlink" Target="https://www.science.org/doi/abs/10.1126/sciadv.aec8681?af=R" TargetMode="External"/><Relationship Id="rId888" Type="http://schemas.openxmlformats.org/officeDocument/2006/relationships/hyperlink" Target="https://doi.org/10.1126/sciadv.aec8681" TargetMode="External"/><Relationship Id="rId889" Type="http://schemas.openxmlformats.org/officeDocument/2006/relationships/hyperlink" Target="https://www.pnas.org/doi/abs/10.1073/pnas.2519999123?mi=eymic2&amp;af=R&amp;access=on&amp;content=articlesChapters&amp;publication=pnas&amp;sortBy=Earliest&amp;target=default" TargetMode="External"/><Relationship Id="rId890" Type="http://schemas.openxmlformats.org/officeDocument/2006/relationships/hyperlink" Target="https://doi.org/10.1073/pnas.2519999123" TargetMode="External"/><Relationship Id="rId891" Type="http://schemas.openxmlformats.org/officeDocument/2006/relationships/hyperlink" Target="https://www.pnas.org/doi/abs/10.1073/pnas.2612098123?mi=eymic2&amp;af=R&amp;access=on&amp;content=articlesChapters&amp;publication=pnas&amp;sortBy=Earliest&amp;target=default" TargetMode="External"/><Relationship Id="rId892" Type="http://schemas.openxmlformats.org/officeDocument/2006/relationships/hyperlink" Target="https://doi.org/10.1073/pnas.2612098123" TargetMode="External"/><Relationship Id="rId893" Type="http://schemas.openxmlformats.org/officeDocument/2006/relationships/hyperlink" Target="https://www.science.org/doi/abs/10.1126/sciadv.aeg2614?af=R" TargetMode="External"/><Relationship Id="rId894" Type="http://schemas.openxmlformats.org/officeDocument/2006/relationships/hyperlink" Target="https://doi.org/10.1126/sciadv.aeg2614" TargetMode="External"/><Relationship Id="rId895" Type="http://schemas.openxmlformats.org/officeDocument/2006/relationships/hyperlink" Target="https://www.science.org/doi/abs/10.1126/sciadv.adz5090?af=R" TargetMode="External"/><Relationship Id="rId896" Type="http://schemas.openxmlformats.org/officeDocument/2006/relationships/hyperlink" Target="https://doi.org/10.1126/sciadv.adz5090" TargetMode="External"/><Relationship Id="rId897" Type="http://schemas.openxmlformats.org/officeDocument/2006/relationships/hyperlink" Target="https://www.science.org/doi/abs/10.1126/sciadv.aeh1439?af=R" TargetMode="External"/><Relationship Id="rId898" Type="http://schemas.openxmlformats.org/officeDocument/2006/relationships/hyperlink" Target="https://doi.org/10.1126/sciadv.aeh1439" TargetMode="External"/><Relationship Id="rId899" Type="http://schemas.openxmlformats.org/officeDocument/2006/relationships/hyperlink" Target="https://www.pnas.org/doi/abs/10.1073/pnas.2600204123?mi=eymic2&amp;af=R&amp;access=on&amp;content=articlesChapters&amp;publication=pnas&amp;sortBy=Earliest&amp;target=default" TargetMode="External"/><Relationship Id="rId900" Type="http://schemas.openxmlformats.org/officeDocument/2006/relationships/hyperlink" Target="https://doi.org/10.1073/pnas.2600204123" TargetMode="External"/><Relationship Id="rId901" Type="http://schemas.openxmlformats.org/officeDocument/2006/relationships/hyperlink" Target="https://www.science.org/doi/abs/10.1126/sciadv.aeg7124?af=R" TargetMode="External"/><Relationship Id="rId902" Type="http://schemas.openxmlformats.org/officeDocument/2006/relationships/hyperlink" Target="https://doi.org/10.1126/sciadv.aeg7124" TargetMode="External"/><Relationship Id="rId903" Type="http://schemas.openxmlformats.org/officeDocument/2006/relationships/hyperlink" Target="https://www.science.org/doi/abs/10.1126/sciadv.aea6844?af=R" TargetMode="External"/><Relationship Id="rId904" Type="http://schemas.openxmlformats.org/officeDocument/2006/relationships/hyperlink" Target="https://doi.org/10.1126/sciadv.aea6844" TargetMode="External"/><Relationship Id="rId905" Type="http://schemas.openxmlformats.org/officeDocument/2006/relationships/hyperlink" Target="https://www.science.org/doi/abs/10.1126/sciadv.aee6015?af=R" TargetMode="External"/><Relationship Id="rId906" Type="http://schemas.openxmlformats.org/officeDocument/2006/relationships/hyperlink" Target="https://doi.org/10.1126/sciadv.aee6015" TargetMode="External"/><Relationship Id="rId907" Type="http://schemas.openxmlformats.org/officeDocument/2006/relationships/hyperlink" Target="https://www.science.org/doi/abs/10.1126/sciadv.aea1277?af=R" TargetMode="External"/><Relationship Id="rId908" Type="http://schemas.openxmlformats.org/officeDocument/2006/relationships/hyperlink" Target="https://doi.org/10.1126/sciadv.aea1277" TargetMode="External"/><Relationship Id="rId909" Type="http://schemas.openxmlformats.org/officeDocument/2006/relationships/hyperlink" Target="https://www.science.org/doi/abs/10.1126/sciadv.aeh0739?af=R" TargetMode="External"/><Relationship Id="rId910" Type="http://schemas.openxmlformats.org/officeDocument/2006/relationships/hyperlink" Target="https://doi.org/10.1126/sciadv.aeh0739" TargetMode="External"/><Relationship Id="rId911" Type="http://schemas.openxmlformats.org/officeDocument/2006/relationships/hyperlink" Target="https://www.science.org/doi/abs/10.1126/sciadv.aef2491?af=R" TargetMode="External"/><Relationship Id="rId912" Type="http://schemas.openxmlformats.org/officeDocument/2006/relationships/hyperlink" Target="https://doi.org/10.1126/sciadv.aef2491" TargetMode="External"/><Relationship Id="rId913" Type="http://schemas.openxmlformats.org/officeDocument/2006/relationships/hyperlink" Target="https://www.science.org/doi/abs/10.1126/sciadv.aef3610?af=R" TargetMode="External"/><Relationship Id="rId914" Type="http://schemas.openxmlformats.org/officeDocument/2006/relationships/hyperlink" Target="https://doi.org/10.1126/sciadv.aef3610" TargetMode="External"/><Relationship Id="rId915" Type="http://schemas.openxmlformats.org/officeDocument/2006/relationships/hyperlink" Target="https://www.science.org/doi/abs/10.1126/sciadv.aec9247?af=R" TargetMode="External"/><Relationship Id="rId916" Type="http://schemas.openxmlformats.org/officeDocument/2006/relationships/hyperlink" Target="https://doi.org/10.1126/sciadv.aec9247" TargetMode="External"/><Relationship Id="rId917" Type="http://schemas.openxmlformats.org/officeDocument/2006/relationships/hyperlink" Target="https://www.science.org/doi/abs/10.1126/sciadv.aed1856?af=R" TargetMode="External"/><Relationship Id="rId918" Type="http://schemas.openxmlformats.org/officeDocument/2006/relationships/hyperlink" Target="https://doi.org/10.1126/sciadv.aed1856" TargetMode="External"/><Relationship Id="rId919" Type="http://schemas.openxmlformats.org/officeDocument/2006/relationships/hyperlink" Target="https://www.science.org/doi/abs/10.1126/sciadv.aed0418?af=R" TargetMode="External"/><Relationship Id="rId920" Type="http://schemas.openxmlformats.org/officeDocument/2006/relationships/hyperlink" Target="https://doi.org/10.1126/sciadv.aed0418" TargetMode="External"/><Relationship Id="rId921" Type="http://schemas.openxmlformats.org/officeDocument/2006/relationships/hyperlink" Target="https://www.pnas.org/doi/abs/10.1073/pnas.2529211123?mi=eymic2&amp;af=R&amp;access=on&amp;content=articlesChapters&amp;publication=pnas&amp;sortBy=Earliest&amp;target=default" TargetMode="External"/><Relationship Id="rId922" Type="http://schemas.openxmlformats.org/officeDocument/2006/relationships/hyperlink" Target="https://doi.org/10.1073/pnas.2529211123" TargetMode="External"/><Relationship Id="rId923" Type="http://schemas.openxmlformats.org/officeDocument/2006/relationships/hyperlink" Target="https://www.pnas.org/doi/abs/10.1073/pnas.2531095123?mi=eymic2&amp;af=R&amp;access=on&amp;content=articlesChapters&amp;publication=pnas&amp;sortBy=Earliest&amp;target=default" TargetMode="External"/><Relationship Id="rId924" Type="http://schemas.openxmlformats.org/officeDocument/2006/relationships/hyperlink" Target="https://doi.org/10.1073/pnas.2531095123" TargetMode="External"/><Relationship Id="rId925" Type="http://schemas.openxmlformats.org/officeDocument/2006/relationships/hyperlink" Target="https://www.pnas.org/doi/abs/10.1073/pnas.2532811123?mi=eymic2&amp;af=R&amp;access=on&amp;content=articlesChapters&amp;publication=pnas&amp;sortBy=Earliest&amp;target=default" TargetMode="External"/><Relationship Id="rId926" Type="http://schemas.openxmlformats.org/officeDocument/2006/relationships/hyperlink" Target="https://doi.org/10.1073/pnas.2532811123" TargetMode="External"/><Relationship Id="rId927" Type="http://schemas.openxmlformats.org/officeDocument/2006/relationships/hyperlink" Target="https://www.science.org/doi/abs/10.1126/sciadv.aec4450?af=R" TargetMode="External"/><Relationship Id="rId928" Type="http://schemas.openxmlformats.org/officeDocument/2006/relationships/hyperlink" Target="https://doi.org/10.1126/sciadv.aec4450" TargetMode="External"/><Relationship Id="rId929" Type="http://schemas.openxmlformats.org/officeDocument/2006/relationships/hyperlink" Target="https://www.pnas.org/doi/abs/10.1073/pnas.2535245123?mi=eymic2&amp;af=R&amp;access=on&amp;content=articlesChapters&amp;publication=pnas&amp;sortBy=Earliest&amp;target=default" TargetMode="External"/><Relationship Id="rId930" Type="http://schemas.openxmlformats.org/officeDocument/2006/relationships/hyperlink" Target="https://doi.org/10.1073/pnas.2535245123" TargetMode="External"/><Relationship Id="rId931" Type="http://schemas.openxmlformats.org/officeDocument/2006/relationships/hyperlink" Target="https://www.science.org/doi/abs/10.1126/sciadv.aef7659?af=R" TargetMode="External"/><Relationship Id="rId932" Type="http://schemas.openxmlformats.org/officeDocument/2006/relationships/hyperlink" Target="https://doi.org/10.1126/sciadv.aef7659" TargetMode="External"/><Relationship Id="rId933" Type="http://schemas.openxmlformats.org/officeDocument/2006/relationships/hyperlink" Target="https://www.pnas.org/doi/abs/10.1073/pnas.2535464123?mi=eymic2&amp;af=R&amp;access=on&amp;content=articlesChapters&amp;publication=pnas&amp;sortBy=Earliest&amp;target=default" TargetMode="External"/><Relationship Id="rId934" Type="http://schemas.openxmlformats.org/officeDocument/2006/relationships/hyperlink" Target="https://doi.org/10.1073/pnas.2535464123" TargetMode="External"/><Relationship Id="rId935" Type="http://schemas.openxmlformats.org/officeDocument/2006/relationships/hyperlink" Target="https://www.pnas.org/doi/abs/10.1073/pnas.2535931123?mi=eymic2&amp;af=R&amp;access=on&amp;content=articlesChapters&amp;publication=pnas&amp;sortBy=Earliest&amp;target=default" TargetMode="External"/><Relationship Id="rId936" Type="http://schemas.openxmlformats.org/officeDocument/2006/relationships/hyperlink" Target="https://doi.org/10.1073/pnas.2535931123" TargetMode="External"/><Relationship Id="rId937" Type="http://schemas.openxmlformats.org/officeDocument/2006/relationships/hyperlink" Target="https://www.pnas.org/doi/abs/10.1073/pnas.2600183123?mi=eymic2&amp;af=R&amp;access=on&amp;content=articlesChapters&amp;publication=pnas&amp;sortBy=Earliest&amp;target=default" TargetMode="External"/><Relationship Id="rId938" Type="http://schemas.openxmlformats.org/officeDocument/2006/relationships/hyperlink" Target="https://doi.org/10.1073/pnas.2600183123" TargetMode="External"/><Relationship Id="rId939" Type="http://schemas.openxmlformats.org/officeDocument/2006/relationships/hyperlink" Target="https://www.science.org/doi/abs/10.1126/sciadv.adt2527?af=R" TargetMode="External"/><Relationship Id="rId940" Type="http://schemas.openxmlformats.org/officeDocument/2006/relationships/hyperlink" Target="https://doi.org/10.1126/sciadv.adt2527" TargetMode="External"/><Relationship Id="rId941" Type="http://schemas.openxmlformats.org/officeDocument/2006/relationships/hyperlink" Target="https://www.pnas.org/doi/abs/10.1073/pnas.2534463123?mi=eymic2&amp;af=R&amp;access=on&amp;content=articlesChapters&amp;publication=pnas&amp;sortBy=Earliest&amp;target=default" TargetMode="External"/><Relationship Id="rId942" Type="http://schemas.openxmlformats.org/officeDocument/2006/relationships/hyperlink" Target="https://doi.org/10.1073/pnas.2534463123" TargetMode="External"/><Relationship Id="rId943" Type="http://schemas.openxmlformats.org/officeDocument/2006/relationships/hyperlink" Target="http://link.aps.org/doi/10.1103/1757-fx9c" TargetMode="External"/><Relationship Id="rId944" Type="http://schemas.openxmlformats.org/officeDocument/2006/relationships/hyperlink" Target="https://doi.org/10.1103/1757-fx9c" TargetMode="External"/><Relationship Id="rId945" Type="http://schemas.openxmlformats.org/officeDocument/2006/relationships/hyperlink" Target="http://link.aps.org/doi/10.1103/vk51-b476" TargetMode="External"/><Relationship Id="rId946" Type="http://schemas.openxmlformats.org/officeDocument/2006/relationships/hyperlink" Target="https://doi.org/10.1103/vk51-b476" TargetMode="External"/><Relationship Id="rId947" Type="http://schemas.openxmlformats.org/officeDocument/2006/relationships/hyperlink" Target="http://link.aps.org/doi/10.1103/qpzn-h7p9" TargetMode="External"/><Relationship Id="rId948" Type="http://schemas.openxmlformats.org/officeDocument/2006/relationships/hyperlink" Target="https://doi.org/10.1103/qpzn-h7p9" TargetMode="External"/><Relationship Id="rId949" Type="http://schemas.openxmlformats.org/officeDocument/2006/relationships/hyperlink" Target="http://link.aps.org/doi/10.1103/zsg7-r2cm" TargetMode="External"/><Relationship Id="rId950" Type="http://schemas.openxmlformats.org/officeDocument/2006/relationships/hyperlink" Target="https://doi.org/10.1103/zsg7-r2cm" TargetMode="External"/><Relationship Id="rId951" Type="http://schemas.openxmlformats.org/officeDocument/2006/relationships/hyperlink" Target="http://link.aps.org/doi/10.1103/d2vf-fw3v" TargetMode="External"/><Relationship Id="rId952" Type="http://schemas.openxmlformats.org/officeDocument/2006/relationships/hyperlink" Target="https://doi.org/10.1103/d2vf-fw3v" TargetMode="External"/><Relationship Id="rId953" Type="http://schemas.openxmlformats.org/officeDocument/2006/relationships/hyperlink" Target="http://link.aps.org/doi/10.1103/6zt4-vgwj" TargetMode="External"/><Relationship Id="rId954" Type="http://schemas.openxmlformats.org/officeDocument/2006/relationships/hyperlink" Target="https://doi.org/10.1103/6zt4-vgwj" TargetMode="External"/><Relationship Id="rId955" Type="http://schemas.openxmlformats.org/officeDocument/2006/relationships/hyperlink" Target="http://link.aps.org/doi/10.1103/nfk6-8x5s" TargetMode="External"/><Relationship Id="rId956" Type="http://schemas.openxmlformats.org/officeDocument/2006/relationships/hyperlink" Target="https://doi.org/10.1103/nfk6-8x5s" TargetMode="External"/><Relationship Id="rId957" Type="http://schemas.openxmlformats.org/officeDocument/2006/relationships/hyperlink" Target="http://link.aps.org/doi/10.1103/95t3-rvxg" TargetMode="External"/><Relationship Id="rId958" Type="http://schemas.openxmlformats.org/officeDocument/2006/relationships/hyperlink" Target="https://doi.org/10.1103/95t3-rvxg" TargetMode="External"/><Relationship Id="rId959" Type="http://schemas.openxmlformats.org/officeDocument/2006/relationships/hyperlink" Target="http://link.aps.org/doi/10.1103/sslb-bpc9" TargetMode="External"/><Relationship Id="rId960" Type="http://schemas.openxmlformats.org/officeDocument/2006/relationships/hyperlink" Target="https://doi.org/10.1103/sslb-bpc9" TargetMode="External"/><Relationship Id="rId961" Type="http://schemas.openxmlformats.org/officeDocument/2006/relationships/hyperlink" Target="http://link.aps.org/doi/10.1103/tcdb-ldh8" TargetMode="External"/><Relationship Id="rId962" Type="http://schemas.openxmlformats.org/officeDocument/2006/relationships/hyperlink" Target="https://doi.org/10.1103/tcdb-ldh8" TargetMode="External"/><Relationship Id="rId963" Type="http://schemas.openxmlformats.org/officeDocument/2006/relationships/hyperlink" Target="http://link.aps.org/doi/10.1103/g1l7-bvtf" TargetMode="External"/><Relationship Id="rId964" Type="http://schemas.openxmlformats.org/officeDocument/2006/relationships/hyperlink" Target="https://doi.org/10.1103/g1l7-bvtf" TargetMode="External"/><Relationship Id="rId965" Type="http://schemas.openxmlformats.org/officeDocument/2006/relationships/hyperlink" Target="http://link.aps.org/doi/10.1103/h1mg-1phr" TargetMode="External"/><Relationship Id="rId966" Type="http://schemas.openxmlformats.org/officeDocument/2006/relationships/hyperlink" Target="https://doi.org/10.1103/h1mg-1phr" TargetMode="External"/><Relationship Id="rId967" Type="http://schemas.openxmlformats.org/officeDocument/2006/relationships/hyperlink" Target="http://link.aps.org/doi/10.1103/lxv3-jgkq" TargetMode="External"/><Relationship Id="rId968" Type="http://schemas.openxmlformats.org/officeDocument/2006/relationships/hyperlink" Target="https://doi.org/10.1103/lxv3-jgkq" TargetMode="External"/><Relationship Id="rId969" Type="http://schemas.openxmlformats.org/officeDocument/2006/relationships/hyperlink" Target="http://link.aps.org/doi/10.1103/3pq1-5j8l" TargetMode="External"/><Relationship Id="rId970" Type="http://schemas.openxmlformats.org/officeDocument/2006/relationships/hyperlink" Target="https://doi.org/10.1103/3pq1-5j8l" TargetMode="External"/><Relationship Id="rId971" Type="http://schemas.openxmlformats.org/officeDocument/2006/relationships/hyperlink" Target="http://link.aps.org/doi/10.1103/h5h1-xrj2" TargetMode="External"/><Relationship Id="rId972" Type="http://schemas.openxmlformats.org/officeDocument/2006/relationships/hyperlink" Target="https://doi.org/10.1103/h5h1-xrj2" TargetMode="External"/><Relationship Id="rId973" Type="http://schemas.openxmlformats.org/officeDocument/2006/relationships/hyperlink" Target="http://link.aps.org/doi/10.1103/mkh1-r885" TargetMode="External"/><Relationship Id="rId974" Type="http://schemas.openxmlformats.org/officeDocument/2006/relationships/hyperlink" Target="https://doi.org/10.1103/mkh1-r885" TargetMode="External"/><Relationship Id="rId975" Type="http://schemas.openxmlformats.org/officeDocument/2006/relationships/hyperlink" Target="http://link.aps.org/doi/10.1103/x8wp-cf8w" TargetMode="External"/><Relationship Id="rId976" Type="http://schemas.openxmlformats.org/officeDocument/2006/relationships/hyperlink" Target="https://doi.org/10.1103/x8wp-cf8w" TargetMode="External"/><Relationship Id="rId977" Type="http://schemas.openxmlformats.org/officeDocument/2006/relationships/hyperlink" Target="http://link.aps.org/doi/10.1103/43bc-8ypt" TargetMode="External"/><Relationship Id="rId978" Type="http://schemas.openxmlformats.org/officeDocument/2006/relationships/hyperlink" Target="https://doi.org/10.1103/43bc-8ypt" TargetMode="External"/><Relationship Id="rId979" Type="http://schemas.openxmlformats.org/officeDocument/2006/relationships/hyperlink" Target="http://link.aps.org/doi/10.1103/pz7b-k8gd" TargetMode="External"/><Relationship Id="rId980" Type="http://schemas.openxmlformats.org/officeDocument/2006/relationships/hyperlink" Target="https://doi.org/10.1103/pz7b-k8gd" TargetMode="External"/><Relationship Id="rId981" Type="http://schemas.openxmlformats.org/officeDocument/2006/relationships/hyperlink" Target="http://link.aps.org/doi/10.1103/pn9y-g5k7" TargetMode="External"/><Relationship Id="rId982" Type="http://schemas.openxmlformats.org/officeDocument/2006/relationships/hyperlink" Target="https://doi.org/10.1103/pn9y-g5k7" TargetMode="External"/><Relationship Id="rId983" Type="http://schemas.openxmlformats.org/officeDocument/2006/relationships/hyperlink" Target="https://advanced.onlinelibrary.wiley.com/doi/10.1002/adma.73751?af=R" TargetMode="External"/><Relationship Id="rId984" Type="http://schemas.openxmlformats.org/officeDocument/2006/relationships/hyperlink" Target="https://doi.org/10.1002/adma.73751" TargetMode="External"/><Relationship Id="rId985" Type="http://schemas.openxmlformats.org/officeDocument/2006/relationships/hyperlink" Target="https://advanced.onlinelibrary.wiley.com/doi/10.1002/adma.73729?af=R" TargetMode="External"/><Relationship Id="rId986" Type="http://schemas.openxmlformats.org/officeDocument/2006/relationships/hyperlink" Target="https://doi.org/10.1002/adma.73729" TargetMode="External"/><Relationship Id="rId987" Type="http://schemas.openxmlformats.org/officeDocument/2006/relationships/hyperlink" Target="https://advanced.onlinelibrary.wiley.com/doi/10.1002/aenm.71207?af=R" TargetMode="External"/><Relationship Id="rId988" Type="http://schemas.openxmlformats.org/officeDocument/2006/relationships/hyperlink" Target="https://doi.org/10.1002/aenm.71207" TargetMode="External"/><Relationship Id="rId989" Type="http://schemas.openxmlformats.org/officeDocument/2006/relationships/hyperlink" Target="https://advanced.onlinelibrary.wiley.com/doi/10.1002/adma.202512939?af=R" TargetMode="External"/><Relationship Id="rId990" Type="http://schemas.openxmlformats.org/officeDocument/2006/relationships/hyperlink" Target="https://doi.org/10.1002/adma.202512939" TargetMode="External"/><Relationship Id="rId991" Type="http://schemas.openxmlformats.org/officeDocument/2006/relationships/hyperlink" Target="https://advanced.onlinelibrary.wiley.com/doi/10.1002/adma.73752?af=R" TargetMode="External"/><Relationship Id="rId992" Type="http://schemas.openxmlformats.org/officeDocument/2006/relationships/hyperlink" Target="https://doi.org/10.1002/adma.73752" TargetMode="External"/><Relationship Id="rId993" Type="http://schemas.openxmlformats.org/officeDocument/2006/relationships/hyperlink" Target="https://advanced.onlinelibrary.wiley.com/doi/10.1002/adma.73762?af=R" TargetMode="External"/><Relationship Id="rId994" Type="http://schemas.openxmlformats.org/officeDocument/2006/relationships/hyperlink" Target="https://doi.org/10.1002/adma.73762" TargetMode="External"/><Relationship Id="rId995" Type="http://schemas.openxmlformats.org/officeDocument/2006/relationships/hyperlink" Target="https://advanced.onlinelibrary.wiley.com/doi/10.1002/adma.73720?af=R" TargetMode="External"/><Relationship Id="rId996" Type="http://schemas.openxmlformats.org/officeDocument/2006/relationships/hyperlink" Target="https://doi.org/10.1002/adma.73720" TargetMode="External"/><Relationship Id="rId997" Type="http://schemas.openxmlformats.org/officeDocument/2006/relationships/hyperlink" Target="https://advanced.onlinelibrary.wiley.com/doi/10.1002/adma.73735?af=R" TargetMode="External"/><Relationship Id="rId998" Type="http://schemas.openxmlformats.org/officeDocument/2006/relationships/hyperlink" Target="https://doi.org/10.1002/adma.73735" TargetMode="External"/><Relationship Id="rId999" Type="http://schemas.openxmlformats.org/officeDocument/2006/relationships/hyperlink" Target="https://advanced.onlinelibrary.wiley.com/doi/10.1002/adma.73613?af=R" TargetMode="External"/><Relationship Id="rId1000" Type="http://schemas.openxmlformats.org/officeDocument/2006/relationships/hyperlink" Target="https://doi.org/10.1002/adma.73613" TargetMode="External"/><Relationship Id="rId1001" Type="http://schemas.openxmlformats.org/officeDocument/2006/relationships/hyperlink" Target="https://advanced.onlinelibrary.wiley.com/doi/10.1002/adma.73615?af=R" TargetMode="External"/><Relationship Id="rId1002" Type="http://schemas.openxmlformats.org/officeDocument/2006/relationships/hyperlink" Target="https://doi.org/10.1002/adma.73615" TargetMode="External"/><Relationship Id="rId1003" Type="http://schemas.openxmlformats.org/officeDocument/2006/relationships/hyperlink" Target="https://advanced.onlinelibrary.wiley.com/doi/10.1002/adma.73616?af=R" TargetMode="External"/><Relationship Id="rId1004" Type="http://schemas.openxmlformats.org/officeDocument/2006/relationships/hyperlink" Target="https://doi.org/10.1002/adma.73616" TargetMode="External"/><Relationship Id="rId1005" Type="http://schemas.openxmlformats.org/officeDocument/2006/relationships/hyperlink" Target="https://www.nature.com/articles/s41467-026-74665-x" TargetMode="External"/><Relationship Id="rId1006" Type="http://schemas.openxmlformats.org/officeDocument/2006/relationships/hyperlink" Target="https://www.nature.com/articles/s41467-026-74346-9" TargetMode="External"/><Relationship Id="rId1007" Type="http://schemas.openxmlformats.org/officeDocument/2006/relationships/hyperlink" Target="https://www.nature.com/articles/s41467-026-74560-5" TargetMode="External"/><Relationship Id="rId1008" Type="http://schemas.openxmlformats.org/officeDocument/2006/relationships/hyperlink" Target="https://www.nature.com/articles/s41467-026-73870-y" TargetMode="External"/><Relationship Id="rId1009" Type="http://schemas.openxmlformats.org/officeDocument/2006/relationships/hyperlink" Target="https://www.nature.com/articles/s41467-026-74216-4" TargetMode="External"/><Relationship Id="rId1010" Type="http://schemas.openxmlformats.org/officeDocument/2006/relationships/hyperlink" Target="https://www.nature.com/articles/s41467-026-74617-5" TargetMode="External"/><Relationship Id="rId1011" Type="http://schemas.openxmlformats.org/officeDocument/2006/relationships/hyperlink" Target="https://www.nature.com/articles/s41467-026-74572-1" TargetMode="External"/><Relationship Id="rId1012" Type="http://schemas.openxmlformats.org/officeDocument/2006/relationships/hyperlink" Target="https://www.nature.com/articles/s41467-026-74385-2" TargetMode="External"/><Relationship Id="rId1013" Type="http://schemas.openxmlformats.org/officeDocument/2006/relationships/hyperlink" Target="https://www.nature.com/articles/s41467-026-74470-6" TargetMode="External"/><Relationship Id="rId1014" Type="http://schemas.openxmlformats.org/officeDocument/2006/relationships/hyperlink" Target="https://www.nature.com/articles/s41467-026-74082-0" TargetMode="External"/><Relationship Id="rId1015" Type="http://schemas.openxmlformats.org/officeDocument/2006/relationships/hyperlink" Target="https://www.nature.com/articles/s41467-026-74434-w" TargetMode="External"/><Relationship Id="rId1016" Type="http://schemas.openxmlformats.org/officeDocument/2006/relationships/hyperlink" Target="https://www.nature.com/articles/s41467-026-74624-6" TargetMode="External"/><Relationship Id="rId1017" Type="http://schemas.openxmlformats.org/officeDocument/2006/relationships/hyperlink" Target="https://www.nature.com/articles/s41467-026-74059-z" TargetMode="External"/><Relationship Id="rId1018" Type="http://schemas.openxmlformats.org/officeDocument/2006/relationships/hyperlink" Target="https://www.nature.com/articles/s41557-026-02202-w" TargetMode="External"/><Relationship Id="rId1019" Type="http://schemas.openxmlformats.org/officeDocument/2006/relationships/hyperlink" Target="https://doi.org/10.1038/s41557-026-02202-w" TargetMode="External"/><Relationship Id="rId1020" Type="http://schemas.openxmlformats.org/officeDocument/2006/relationships/hyperlink" Target="https://www.nature.com/articles/s41565-026-02204-2" TargetMode="External"/><Relationship Id="rId1021" Type="http://schemas.openxmlformats.org/officeDocument/2006/relationships/hyperlink" Target="https://doi.org/10.1038/s41565-026-02204-2" TargetMode="External"/><Relationship Id="rId1022" Type="http://schemas.openxmlformats.org/officeDocument/2006/relationships/hyperlink" Target="https://www.nature.com/articles/d41586-026-01841-w" TargetMode="External"/><Relationship Id="rId1023" Type="http://schemas.openxmlformats.org/officeDocument/2006/relationships/hyperlink" Target="https://doi.org/10.1038/d41586-026-01841-w" TargetMode="External"/><Relationship Id="rId1024" Type="http://schemas.openxmlformats.org/officeDocument/2006/relationships/hyperlink" Target="https://www.nature.com/articles/d41586-026-01871-4" TargetMode="External"/><Relationship Id="rId1025" Type="http://schemas.openxmlformats.org/officeDocument/2006/relationships/hyperlink" Target="https://doi.org/10.1038/d41586-026-01871-4" TargetMode="External"/><Relationship Id="rId1026" Type="http://schemas.openxmlformats.org/officeDocument/2006/relationships/hyperlink" Target="https://www.nature.com/articles/d41586-026-01869-y" TargetMode="External"/><Relationship Id="rId1027" Type="http://schemas.openxmlformats.org/officeDocument/2006/relationships/hyperlink" Target="https://doi.org/10.1038/d41586-026-01869-y" TargetMode="External"/><Relationship Id="rId1028" Type="http://schemas.openxmlformats.org/officeDocument/2006/relationships/hyperlink" Target="https://www.nature.com/articles/d41586-026-01910-0" TargetMode="External"/><Relationship Id="rId1029" Type="http://schemas.openxmlformats.org/officeDocument/2006/relationships/hyperlink" Target="https://doi.org/10.1038/d41586-026-01910-0" TargetMode="External"/><Relationship Id="rId1030" Type="http://schemas.openxmlformats.org/officeDocument/2006/relationships/hyperlink" Target="https://www.nature.com/articles/d41586-026-01967-x" TargetMode="External"/><Relationship Id="rId1031" Type="http://schemas.openxmlformats.org/officeDocument/2006/relationships/hyperlink" Target="https://doi.org/10.1038/d41586-026-01967-x" TargetMode="External"/><Relationship Id="rId1032" Type="http://schemas.openxmlformats.org/officeDocument/2006/relationships/hyperlink" Target="https://academic.oup.com/nsr/advance-article/doi/10.1093/nsr/nwag379/8711408?rss=1" TargetMode="External"/><Relationship Id="rId1033" Type="http://schemas.openxmlformats.org/officeDocument/2006/relationships/hyperlink" Target="https://doi.org/10.1093/nsr/nwag379" TargetMode="External"/><Relationship Id="rId1034" Type="http://schemas.openxmlformats.org/officeDocument/2006/relationships/hyperlink" Target="https://www.nature.com/articles/d41586-026-01947-1" TargetMode="External"/><Relationship Id="rId1035" Type="http://schemas.openxmlformats.org/officeDocument/2006/relationships/hyperlink" Target="https://doi.org/10.1038/d41586-026-01947-1" TargetMode="External"/><Relationship Id="rId1036" Type="http://schemas.openxmlformats.org/officeDocument/2006/relationships/hyperlink" Target="https://www.nature.com/articles/s41563-026-02623-5" TargetMode="External"/><Relationship Id="rId1037" Type="http://schemas.openxmlformats.org/officeDocument/2006/relationships/hyperlink" Target="https://doi.org/10.1038/s41563-026-02623-5" TargetMode="External"/><Relationship Id="rId1038" Type="http://schemas.openxmlformats.org/officeDocument/2006/relationships/hyperlink" Target="https://www.nature.com/articles/s41557-026-02180-z" TargetMode="External"/><Relationship Id="rId1039" Type="http://schemas.openxmlformats.org/officeDocument/2006/relationships/hyperlink" Target="https://doi.org/10.1038/s41557-026-02180-z" TargetMode="External"/><Relationship Id="rId1040" Type="http://schemas.openxmlformats.org/officeDocument/2006/relationships/hyperlink" Target="https://www.nature.com/articles/s41467-026-74187-6" TargetMode="External"/><Relationship Id="rId1041" Type="http://schemas.openxmlformats.org/officeDocument/2006/relationships/hyperlink" Target="https://www.nature.com/articles/s41467-026-74479-x" TargetMode="External"/><Relationship Id="rId1042" Type="http://schemas.openxmlformats.org/officeDocument/2006/relationships/hyperlink" Target="https://www.cell.com/matter/fulltext/S2590-2385(26)00242-0?rss=yes" TargetMode="External"/><Relationship Id="rId1043" Type="http://schemas.openxmlformats.org/officeDocument/2006/relationships/hyperlink" Target="https://doi.org/10.1016/j.matt.2026.102879" TargetMode="External"/><Relationship Id="rId1044" Type="http://schemas.openxmlformats.org/officeDocument/2006/relationships/hyperlink" Target="https://www.nature.com/articles/s41467-026-74377-2" TargetMode="External"/><Relationship Id="rId1045" Type="http://schemas.openxmlformats.org/officeDocument/2006/relationships/hyperlink" Target="https://www.nature.com/articles/s41467-026-74415-z" TargetMode="External"/><Relationship Id="rId1046" Type="http://schemas.openxmlformats.org/officeDocument/2006/relationships/hyperlink" Target="https://www.nature.com/articles/s41893-026-01867-y" TargetMode="External"/><Relationship Id="rId1047" Type="http://schemas.openxmlformats.org/officeDocument/2006/relationships/hyperlink" Target="https://doi.org/10.1038/s41893-026-01867-y" TargetMode="External"/><Relationship Id="rId1048" Type="http://schemas.openxmlformats.org/officeDocument/2006/relationships/hyperlink" Target="https://www.nature.com/articles/s41467-026-74539-2" TargetMode="External"/><Relationship Id="rId1049" Type="http://schemas.openxmlformats.org/officeDocument/2006/relationships/hyperlink" Target="https://www.nature.com/articles/s41467-026-74611-x" TargetMode="External"/><Relationship Id="rId1050" Type="http://schemas.openxmlformats.org/officeDocument/2006/relationships/hyperlink" Target="https://www.nature.com/articles/s41467-026-74701-w" TargetMode="External"/><Relationship Id="rId1051" Type="http://schemas.openxmlformats.org/officeDocument/2006/relationships/hyperlink" Target="https://www.sciencedirect.com/science/article/pii/S0301421526003836?dgcid=rss_sd_all" TargetMode="External"/><Relationship Id="rId1052" Type="http://schemas.openxmlformats.org/officeDocument/2006/relationships/hyperlink" Target="https://www.nature.com/articles/s41467-026-71752-x" TargetMode="External"/><Relationship Id="rId1053" Type="http://schemas.openxmlformats.org/officeDocument/2006/relationships/hyperlink" Target="https://www.sciencedirect.com/science/article/pii/S0301421526003873?dgcid=rss_sd_all" TargetMode="External"/><Relationship Id="rId1054" Type="http://schemas.openxmlformats.org/officeDocument/2006/relationships/hyperlink" Target="https://www.nature.com/articles/s41467-026-74609-5" TargetMode="External"/><Relationship Id="rId1055" Type="http://schemas.openxmlformats.org/officeDocument/2006/relationships/hyperlink" Target="https://www.sciencedirect.com/science/article/pii/S0306261926008998?dgcid=rss_sd_all" TargetMode="External"/><Relationship Id="rId1056" Type="http://schemas.openxmlformats.org/officeDocument/2006/relationships/hyperlink" Target="https://www.nature.com/articles/s41467-026-73271-1" TargetMode="External"/><Relationship Id="rId1057" Type="http://schemas.openxmlformats.org/officeDocument/2006/relationships/hyperlink" Target="https://www.sciencedirect.com/science/article/pii/S0306261926007580?dgcid=rss_sd_all" TargetMode="External"/><Relationship Id="rId1058" Type="http://schemas.openxmlformats.org/officeDocument/2006/relationships/hyperlink" Target="https://www.cell.com/matter/fulltext/S2590-2385(26)00239-0?rss=yes" TargetMode="External"/><Relationship Id="rId1059" Type="http://schemas.openxmlformats.org/officeDocument/2006/relationships/hyperlink" Target="https://doi.org/10.1016/j.matt.2026.102876" TargetMode="External"/><Relationship Id="rId1060" Type="http://schemas.openxmlformats.org/officeDocument/2006/relationships/hyperlink" Target="https://www.nature.com/articles/s41467-026-74488-w" TargetMode="External"/><Relationship Id="rId1061" Type="http://schemas.openxmlformats.org/officeDocument/2006/relationships/hyperlink" Target="https://www.nature.com/articles/s41467-026-73596-x" TargetMode="External"/><Relationship Id="rId1062" Type="http://schemas.openxmlformats.org/officeDocument/2006/relationships/hyperlink" Target="https://www.nature.com/articles/s41467-026-74478-y" TargetMode="External"/><Relationship Id="rId1063" Type="http://schemas.openxmlformats.org/officeDocument/2006/relationships/hyperlink" Target="https://www.nature.com/articles/s41467-026-74006-y" TargetMode="External"/><Relationship Id="rId1064" Type="http://schemas.openxmlformats.org/officeDocument/2006/relationships/hyperlink" Target="https://www.nature.com/articles/s41467-026-74507-w" TargetMode="External"/><Relationship Id="rId1065" Type="http://schemas.openxmlformats.org/officeDocument/2006/relationships/hyperlink" Target="https://www.sciencedirect.com/science/article/pii/S0306261926008901?dgcid=rss_sd_all" TargetMode="External"/><Relationship Id="rId1066" Type="http://schemas.openxmlformats.org/officeDocument/2006/relationships/hyperlink" Target="https://www.nature.com/articles/s41467-026-74534-7" TargetMode="External"/><Relationship Id="rId1067" Type="http://schemas.openxmlformats.org/officeDocument/2006/relationships/hyperlink" Target="https://www.nature.com/articles/s41467-026-74600-0" TargetMode="External"/><Relationship Id="rId1068" Type="http://schemas.openxmlformats.org/officeDocument/2006/relationships/hyperlink" Target="https://www.nature.com/articles/s41467-026-74607-7" TargetMode="External"/><Relationship Id="rId1069" Type="http://schemas.openxmlformats.org/officeDocument/2006/relationships/hyperlink" Target="https://www.nature.com/articles/s41467-026-74604-w" TargetMode="External"/><Relationship Id="rId1070" Type="http://schemas.openxmlformats.org/officeDocument/2006/relationships/hyperlink" Target="https://www.science.org/doi/abs/10.1126/science.aei3106?af=R" TargetMode="External"/><Relationship Id="rId1071" Type="http://schemas.openxmlformats.org/officeDocument/2006/relationships/hyperlink" Target="https://doi.org/10.1126/science.aei3106" TargetMode="External"/><Relationship Id="rId1072" Type="http://schemas.openxmlformats.org/officeDocument/2006/relationships/hyperlink" Target="https://www.science.org/doi/abs/10.1126/science.aeh4940?af=R" TargetMode="External"/><Relationship Id="rId1073" Type="http://schemas.openxmlformats.org/officeDocument/2006/relationships/hyperlink" Target="https://doi.org/10.1126/science.aeh4940" TargetMode="External"/><Relationship Id="rId1074" Type="http://schemas.openxmlformats.org/officeDocument/2006/relationships/hyperlink" Target="https://www.science.org/doi/abs/10.1126/science.aei1236?af=R" TargetMode="External"/><Relationship Id="rId1075" Type="http://schemas.openxmlformats.org/officeDocument/2006/relationships/hyperlink" Target="https://doi.org/10.1126/science.aei1236" TargetMode="External"/><Relationship Id="rId1076" Type="http://schemas.openxmlformats.org/officeDocument/2006/relationships/hyperlink" Target="https://www.science.org/doi/abs/10.1126/science.aej7459?af=R" TargetMode="External"/><Relationship Id="rId1077" Type="http://schemas.openxmlformats.org/officeDocument/2006/relationships/hyperlink" Target="https://doi.org/10.1126/science.aej7459" TargetMode="External"/><Relationship Id="rId1078" Type="http://schemas.openxmlformats.org/officeDocument/2006/relationships/hyperlink" Target="https://www.science.org/doi/abs/10.1126/science.aej7460?af=R" TargetMode="External"/><Relationship Id="rId1079" Type="http://schemas.openxmlformats.org/officeDocument/2006/relationships/hyperlink" Target="https://doi.org/10.1126/science.aej7460" TargetMode="External"/><Relationship Id="rId1080" Type="http://schemas.openxmlformats.org/officeDocument/2006/relationships/hyperlink" Target="https://www.science.org/doi/abs/10.1126/science.aej7910?af=R" TargetMode="External"/><Relationship Id="rId1081" Type="http://schemas.openxmlformats.org/officeDocument/2006/relationships/hyperlink" Target="https://doi.org/10.1126/science.aej7910" TargetMode="External"/><Relationship Id="rId1082" Type="http://schemas.openxmlformats.org/officeDocument/2006/relationships/hyperlink" Target="https://www.science.org/doi/abs/10.1126/science.aef0941?af=R" TargetMode="External"/><Relationship Id="rId1083" Type="http://schemas.openxmlformats.org/officeDocument/2006/relationships/hyperlink" Target="https://doi.org/10.1126/science.aef0941" TargetMode="External"/><Relationship Id="rId1084" Type="http://schemas.openxmlformats.org/officeDocument/2006/relationships/hyperlink" Target="https://www.science.org/doi/abs/10.1126/science.aej7944?af=R" TargetMode="External"/><Relationship Id="rId1085" Type="http://schemas.openxmlformats.org/officeDocument/2006/relationships/hyperlink" Target="https://doi.org/10.1126/science.aej7944" TargetMode="External"/><Relationship Id="rId1086" Type="http://schemas.openxmlformats.org/officeDocument/2006/relationships/hyperlink" Target="https://www.science.org/doi/abs/10.1126/science.aej7945?af=R" TargetMode="External"/><Relationship Id="rId1087" Type="http://schemas.openxmlformats.org/officeDocument/2006/relationships/hyperlink" Target="https://doi.org/10.1126/science.aej7945" TargetMode="External"/><Relationship Id="rId1088" Type="http://schemas.openxmlformats.org/officeDocument/2006/relationships/hyperlink" Target="https://www.science.org/doi/abs/10.1126/science.aej7947?af=R" TargetMode="External"/><Relationship Id="rId1089" Type="http://schemas.openxmlformats.org/officeDocument/2006/relationships/hyperlink" Target="https://doi.org/10.1126/science.aej7947" TargetMode="External"/><Relationship Id="rId1090" Type="http://schemas.openxmlformats.org/officeDocument/2006/relationships/hyperlink" Target="https://www.science.org/doi/abs/10.1126/science.aej7946?af=R" TargetMode="External"/><Relationship Id="rId1091" Type="http://schemas.openxmlformats.org/officeDocument/2006/relationships/hyperlink" Target="https://doi.org/10.1126/science.aej7946" TargetMode="External"/><Relationship Id="rId1092" Type="http://schemas.openxmlformats.org/officeDocument/2006/relationships/hyperlink" Target="https://www.science.org/doi/abs/10.1126/science.aej7948?af=R" TargetMode="External"/><Relationship Id="rId1093" Type="http://schemas.openxmlformats.org/officeDocument/2006/relationships/hyperlink" Target="https://doi.org/10.1126/science.aej7948" TargetMode="External"/><Relationship Id="rId1094" Type="http://schemas.openxmlformats.org/officeDocument/2006/relationships/hyperlink" Target="https://www.science.org/doi/abs/10.1126/science.aec4190?af=R" TargetMode="External"/><Relationship Id="rId1095" Type="http://schemas.openxmlformats.org/officeDocument/2006/relationships/hyperlink" Target="https://doi.org/10.1126/science.aec4190" TargetMode="External"/><Relationship Id="rId1096" Type="http://schemas.openxmlformats.org/officeDocument/2006/relationships/hyperlink" Target="https://www.science.org/doi/abs/10.1126/science.aej7952?af=R" TargetMode="External"/><Relationship Id="rId1097" Type="http://schemas.openxmlformats.org/officeDocument/2006/relationships/hyperlink" Target="https://doi.org/10.1126/science.aej7952" TargetMode="External"/><Relationship Id="rId1098" Type="http://schemas.openxmlformats.org/officeDocument/2006/relationships/hyperlink" Target="https://www.science.org/doi/abs/10.1126/science.aei4111?af=R" TargetMode="External"/><Relationship Id="rId1099" Type="http://schemas.openxmlformats.org/officeDocument/2006/relationships/hyperlink" Target="https://doi.org/10.1126/science.aei4111" TargetMode="External"/><Relationship Id="rId1100" Type="http://schemas.openxmlformats.org/officeDocument/2006/relationships/hyperlink" Target="https://www.science.org/doi/abs/10.1126/science.aef4214?af=R" TargetMode="External"/><Relationship Id="rId1101" Type="http://schemas.openxmlformats.org/officeDocument/2006/relationships/hyperlink" Target="https://doi.org/10.1126/science.aef4214" TargetMode="External"/><Relationship Id="rId1102" Type="http://schemas.openxmlformats.org/officeDocument/2006/relationships/hyperlink" Target="https://www.science.org/doi/abs/10.1126/science.aej7458?af=R" TargetMode="External"/><Relationship Id="rId1103" Type="http://schemas.openxmlformats.org/officeDocument/2006/relationships/hyperlink" Target="https://doi.org/10.1126/science.aej7458" TargetMode="External"/><Relationship Id="rId1104" Type="http://schemas.openxmlformats.org/officeDocument/2006/relationships/hyperlink" Target="https://www.science.org/doi/abs/10.1126/science.aej7951?af=R" TargetMode="External"/><Relationship Id="rId1105" Type="http://schemas.openxmlformats.org/officeDocument/2006/relationships/hyperlink" Target="https://doi.org/10.1126/science.aej7951" TargetMode="External"/><Relationship Id="rId1106" Type="http://schemas.openxmlformats.org/officeDocument/2006/relationships/hyperlink" Target="https://www.science.org/doi/abs/10.1126/science.aeh7938?af=R" TargetMode="External"/><Relationship Id="rId1107" Type="http://schemas.openxmlformats.org/officeDocument/2006/relationships/hyperlink" Target="https://doi.org/10.1126/science.aeh7938" TargetMode="External"/><Relationship Id="rId1108" Type="http://schemas.openxmlformats.org/officeDocument/2006/relationships/hyperlink" Target="https://www.science.org/doi/abs/10.1126/science.aed2953?af=R" TargetMode="External"/><Relationship Id="rId1109" Type="http://schemas.openxmlformats.org/officeDocument/2006/relationships/hyperlink" Target="https://doi.org/10.1126/science.aed2953" TargetMode="External"/><Relationship Id="rId1110" Type="http://schemas.openxmlformats.org/officeDocument/2006/relationships/hyperlink" Target="https://www.science.org/doi/abs/10.1126/science.aed1493?af=R" TargetMode="External"/><Relationship Id="rId1111" Type="http://schemas.openxmlformats.org/officeDocument/2006/relationships/hyperlink" Target="https://doi.org/10.1126/science.aed1493" TargetMode="External"/><Relationship Id="rId1112" Type="http://schemas.openxmlformats.org/officeDocument/2006/relationships/hyperlink" Target="https://www.science.org/doi/abs/10.1126/science.aej6498?af=R" TargetMode="External"/><Relationship Id="rId1113" Type="http://schemas.openxmlformats.org/officeDocument/2006/relationships/hyperlink" Target="https://doi.org/10.1126/science.aej6498" TargetMode="External"/><Relationship Id="rId1114" Type="http://schemas.openxmlformats.org/officeDocument/2006/relationships/hyperlink" Target="https://www.science.org/doi/abs/10.1126/science.aec4995?af=R" TargetMode="External"/><Relationship Id="rId1115" Type="http://schemas.openxmlformats.org/officeDocument/2006/relationships/hyperlink" Target="https://doi.org/10.1126/science.aec4995" TargetMode="External"/><Relationship Id="rId1116" Type="http://schemas.openxmlformats.org/officeDocument/2006/relationships/hyperlink" Target="https://www.science.org/doi/abs/10.1126/science.aec0503?af=R" TargetMode="External"/><Relationship Id="rId1117" Type="http://schemas.openxmlformats.org/officeDocument/2006/relationships/hyperlink" Target="https://doi.org/10.1126/science.aec0503" TargetMode="External"/><Relationship Id="rId1118" Type="http://schemas.openxmlformats.org/officeDocument/2006/relationships/hyperlink" Target="https://www.science.org/doi/abs/10.1126/science.aeb7635?af=R" TargetMode="External"/><Relationship Id="rId1119" Type="http://schemas.openxmlformats.org/officeDocument/2006/relationships/hyperlink" Target="https://doi.org/10.1126/science.aeb7635" TargetMode="External"/><Relationship Id="rId1120" Type="http://schemas.openxmlformats.org/officeDocument/2006/relationships/hyperlink" Target="https://www.science.org/doi/abs/10.1126/science.aei6084?af=R" TargetMode="External"/><Relationship Id="rId1121" Type="http://schemas.openxmlformats.org/officeDocument/2006/relationships/hyperlink" Target="https://doi.org/10.1126/science.aei6084" TargetMode="External"/><Relationship Id="rId1122" Type="http://schemas.openxmlformats.org/officeDocument/2006/relationships/hyperlink" Target="https://www.science.org/doi/abs/10.1126/science.aeh9238?af=R" TargetMode="External"/><Relationship Id="rId1123" Type="http://schemas.openxmlformats.org/officeDocument/2006/relationships/hyperlink" Target="https://doi.org/10.1126/science.aeh9238" TargetMode="External"/><Relationship Id="rId1124" Type="http://schemas.openxmlformats.org/officeDocument/2006/relationships/hyperlink" Target="https://www.science.org/doi/abs/10.1126/science.aeh4754?af=R" TargetMode="External"/><Relationship Id="rId1125" Type="http://schemas.openxmlformats.org/officeDocument/2006/relationships/hyperlink" Target="https://doi.org/10.1126/science.aeh4754" TargetMode="External"/><Relationship Id="rId1126" Type="http://schemas.openxmlformats.org/officeDocument/2006/relationships/hyperlink" Target="https://advanced.onlinelibrary.wiley.com/doi/10.1002/adma.73730?af=R" TargetMode="External"/><Relationship Id="rId1127" Type="http://schemas.openxmlformats.org/officeDocument/2006/relationships/hyperlink" Target="https://doi.org/10.1002/adma.73730" TargetMode="External"/><Relationship Id="rId1128" Type="http://schemas.openxmlformats.org/officeDocument/2006/relationships/hyperlink" Target="https://www.science.org/doi/abs/10.1126/science.adx1369?af=R" TargetMode="External"/><Relationship Id="rId1129" Type="http://schemas.openxmlformats.org/officeDocument/2006/relationships/hyperlink" Target="https://doi.org/10.1126/science.adx1369" TargetMode="External"/><Relationship Id="rId1130" Type="http://schemas.openxmlformats.org/officeDocument/2006/relationships/hyperlink" Target="https://www.pnas.org/doi/abs/10.1073/pnas.2611558123?mi=eymic2&amp;af=R&amp;access=on&amp;content=articlesChapters&amp;publication=pnas&amp;sortBy=Earliest&amp;target=default" TargetMode="External"/><Relationship Id="rId1131" Type="http://schemas.openxmlformats.org/officeDocument/2006/relationships/hyperlink" Target="https://doi.org/10.1073/pnas.2611558123" TargetMode="External"/><Relationship Id="rId1132" Type="http://schemas.openxmlformats.org/officeDocument/2006/relationships/hyperlink" Target="https://www.pnas.org/doi/abs/10.1073/pnas.2611178123?mi=eymic2&amp;af=R&amp;access=on&amp;content=articlesChapters&amp;publication=pnas&amp;sortBy=Earliest&amp;target=default" TargetMode="External"/><Relationship Id="rId1133" Type="http://schemas.openxmlformats.org/officeDocument/2006/relationships/hyperlink" Target="https://doi.org/10.1073/pnas.2611178123" TargetMode="External"/><Relationship Id="rId1134" Type="http://schemas.openxmlformats.org/officeDocument/2006/relationships/hyperlink" Target="https://www.pnas.org/doi/abs/10.1073/pnas.2610609123?mi=eymic2&amp;af=R&amp;access=on&amp;content=articlesChapters&amp;publication=pnas&amp;sortBy=Earliest&amp;target=default" TargetMode="External"/><Relationship Id="rId1135" Type="http://schemas.openxmlformats.org/officeDocument/2006/relationships/hyperlink" Target="https://doi.org/10.1073/pnas.2610609123" TargetMode="External"/><Relationship Id="rId1136" Type="http://schemas.openxmlformats.org/officeDocument/2006/relationships/hyperlink" Target="https://www.pnas.org/doi/abs/10.1073/pnas.2609538123?mi=eymic2&amp;af=R&amp;access=on&amp;content=articlesChapters&amp;publication=pnas&amp;sortBy=Earliest&amp;target=default" TargetMode="External"/><Relationship Id="rId1137" Type="http://schemas.openxmlformats.org/officeDocument/2006/relationships/hyperlink" Target="https://doi.org/10.1073/pnas.2609538123" TargetMode="External"/><Relationship Id="rId1138" Type="http://schemas.openxmlformats.org/officeDocument/2006/relationships/hyperlink" Target="https://www.pnas.org/doi/abs/10.1073/pnas.2606171123?mi=eymic2&amp;af=R&amp;access=on&amp;content=articlesChapters&amp;publication=pnas&amp;sortBy=Earliest&amp;target=default" TargetMode="External"/><Relationship Id="rId1139" Type="http://schemas.openxmlformats.org/officeDocument/2006/relationships/hyperlink" Target="https://doi.org/10.1073/pnas.2606171123" TargetMode="External"/><Relationship Id="rId1140" Type="http://schemas.openxmlformats.org/officeDocument/2006/relationships/hyperlink" Target="https://www.pnas.org/doi/abs/10.1073/pnas.2605221123?mi=eymic2&amp;af=R&amp;access=on&amp;content=articlesChapters&amp;publication=pnas&amp;sortBy=Earliest&amp;target=default" TargetMode="External"/><Relationship Id="rId1141" Type="http://schemas.openxmlformats.org/officeDocument/2006/relationships/hyperlink" Target="https://doi.org/10.1073/pnas.2605221123" TargetMode="External"/><Relationship Id="rId1142" Type="http://schemas.openxmlformats.org/officeDocument/2006/relationships/hyperlink" Target="https://www.pnas.org/doi/abs/10.1073/pnas.2537482123?mi=eymic2&amp;af=R&amp;access=on&amp;content=articlesChapters&amp;publication=pnas&amp;sortBy=Earliest&amp;target=default" TargetMode="External"/><Relationship Id="rId1143" Type="http://schemas.openxmlformats.org/officeDocument/2006/relationships/hyperlink" Target="https://doi.org/10.1073/pnas.2537482123" TargetMode="External"/><Relationship Id="rId1144" Type="http://schemas.openxmlformats.org/officeDocument/2006/relationships/hyperlink" Target="https://www.pnas.org/doi/abs/10.1073/pnas.2533964123?mi=eymic2&amp;af=R&amp;access=on&amp;content=articlesChapters&amp;publication=pnas&amp;sortBy=Earliest&amp;target=default" TargetMode="External"/><Relationship Id="rId1145" Type="http://schemas.openxmlformats.org/officeDocument/2006/relationships/hyperlink" Target="https://doi.org/10.1073/pnas.2533964123" TargetMode="External"/><Relationship Id="rId1146" Type="http://schemas.openxmlformats.org/officeDocument/2006/relationships/hyperlink" Target="https://www.pnas.org/doi/abs/10.1073/pnas.2529973123?mi=eymic2&amp;af=R&amp;access=on&amp;content=articlesChapters&amp;publication=pnas&amp;sortBy=Earliest&amp;target=default" TargetMode="External"/><Relationship Id="rId1147" Type="http://schemas.openxmlformats.org/officeDocument/2006/relationships/hyperlink" Target="https://doi.org/10.1073/pnas.2529973123" TargetMode="External"/><Relationship Id="rId1148" Type="http://schemas.openxmlformats.org/officeDocument/2006/relationships/hyperlink" Target="https://www.pnas.org/doi/abs/10.1073/pnas.2532992123?mi=eymic2&amp;af=R&amp;access=on&amp;content=articlesChapters&amp;publication=pnas&amp;sortBy=Earliest&amp;target=default" TargetMode="External"/><Relationship Id="rId1149" Type="http://schemas.openxmlformats.org/officeDocument/2006/relationships/hyperlink" Target="https://doi.org/10.1073/pnas.2532992123" TargetMode="External"/><Relationship Id="rId1150" Type="http://schemas.openxmlformats.org/officeDocument/2006/relationships/hyperlink" Target="https://www.pnas.org/doi/abs/10.1073/pnas.2530712123?mi=eymic2&amp;af=R&amp;access=on&amp;content=articlesChapters&amp;publication=pnas&amp;sortBy=Earliest&amp;target=default" TargetMode="External"/><Relationship Id="rId1151" Type="http://schemas.openxmlformats.org/officeDocument/2006/relationships/hyperlink" Target="https://doi.org/10.1073/pnas.2530712123" TargetMode="External"/><Relationship Id="rId1152" Type="http://schemas.openxmlformats.org/officeDocument/2006/relationships/hyperlink" Target="https://www.pnas.org/doi/abs/10.1073/pnas.2530617123?mi=eymic2&amp;af=R&amp;access=on&amp;content=articlesChapters&amp;publication=pnas&amp;sortBy=Earliest&amp;target=default" TargetMode="External"/><Relationship Id="rId1153" Type="http://schemas.openxmlformats.org/officeDocument/2006/relationships/hyperlink" Target="https://doi.org/10.1073/pnas.2530617123" TargetMode="External"/><Relationship Id="rId1154" Type="http://schemas.openxmlformats.org/officeDocument/2006/relationships/hyperlink" Target="https://www.pnas.org/doi/abs/10.1073/pnas.2530456123?mi=eymic2&amp;af=R&amp;access=on&amp;content=articlesChapters&amp;publication=pnas&amp;sortBy=Earliest&amp;target=default" TargetMode="External"/><Relationship Id="rId1155" Type="http://schemas.openxmlformats.org/officeDocument/2006/relationships/hyperlink" Target="https://doi.org/10.1073/pnas.2530456123" TargetMode="External"/><Relationship Id="rId1156" Type="http://schemas.openxmlformats.org/officeDocument/2006/relationships/hyperlink" Target="https://www.science.org/doi/abs/10.1126/science.aeb6410?af=R" TargetMode="External"/><Relationship Id="rId1157" Type="http://schemas.openxmlformats.org/officeDocument/2006/relationships/hyperlink" Target="https://doi.org/10.1126/science.aeb6410" TargetMode="External"/><Relationship Id="rId1158" Type="http://schemas.openxmlformats.org/officeDocument/2006/relationships/hyperlink" Target="https://www.pnas.org/doi/abs/10.1073/pnas.2529171123?mi=eymic2&amp;af=R&amp;access=on&amp;content=articlesChapters&amp;publication=pnas&amp;sortBy=Earliest&amp;target=default" TargetMode="External"/><Relationship Id="rId1159" Type="http://schemas.openxmlformats.org/officeDocument/2006/relationships/hyperlink" Target="https://doi.org/10.1073/pnas.2529171123" TargetMode="External"/><Relationship Id="rId1160" Type="http://schemas.openxmlformats.org/officeDocument/2006/relationships/hyperlink" Target="https://www.pnas.org/doi/abs/10.1073/pnas.2518988123?mi=eymic2&amp;af=R&amp;access=on&amp;content=articlesChapters&amp;publication=pnas&amp;sortBy=Earliest&amp;target=default" TargetMode="External"/><Relationship Id="rId1161" Type="http://schemas.openxmlformats.org/officeDocument/2006/relationships/hyperlink" Target="https://doi.org/10.1073/pnas.2518988123" TargetMode="External"/><Relationship Id="rId1162" Type="http://schemas.openxmlformats.org/officeDocument/2006/relationships/hyperlink" Target="https://www.science.org/doi/abs/10.1126/science.aei6193?af=R" TargetMode="External"/><Relationship Id="rId1163" Type="http://schemas.openxmlformats.org/officeDocument/2006/relationships/hyperlink" Target="https://doi.org/10.1126/science.aei6193" TargetMode="External"/><Relationship Id="rId1164" Type="http://schemas.openxmlformats.org/officeDocument/2006/relationships/hyperlink" Target="https://www.pnas.org/doi/abs/10.1073/pnas.2426990123?mi=eymic2&amp;af=R&amp;access=on&amp;content=articlesChapters&amp;publication=pnas&amp;sortBy=Earliest&amp;target=default" TargetMode="External"/><Relationship Id="rId1165" Type="http://schemas.openxmlformats.org/officeDocument/2006/relationships/hyperlink" Target="https://doi.org/10.1073/pnas.2426990123" TargetMode="External"/><Relationship Id="rId1166" Type="http://schemas.openxmlformats.org/officeDocument/2006/relationships/hyperlink" Target="https://www.science.org/doi/abs/10.1126/science.ads7910?af=R" TargetMode="External"/><Relationship Id="rId1167" Type="http://schemas.openxmlformats.org/officeDocument/2006/relationships/hyperlink" Target="https://doi.org/10.1126/science.ads7910" TargetMode="External"/><Relationship Id="rId1168" Type="http://schemas.openxmlformats.org/officeDocument/2006/relationships/hyperlink" Target="https://www.pnas.org/doi/abs/10.1073/pnas.2612940123?mi=eymic2&amp;af=R&amp;access=on&amp;content=articlesChapters&amp;publication=pnas&amp;sortBy=Earliest&amp;target=default" TargetMode="External"/><Relationship Id="rId1169" Type="http://schemas.openxmlformats.org/officeDocument/2006/relationships/hyperlink" Target="https://doi.org/10.1073/pnas.2612940123" TargetMode="External"/><Relationship Id="rId1170" Type="http://schemas.openxmlformats.org/officeDocument/2006/relationships/hyperlink" Target="https://www.science.org/doi/abs/10.1126/science.aea2535?af=R" TargetMode="External"/><Relationship Id="rId1171" Type="http://schemas.openxmlformats.org/officeDocument/2006/relationships/hyperlink" Target="https://doi.org/10.1126/science.aea2535" TargetMode="External"/><Relationship Id="rId1172" Type="http://schemas.openxmlformats.org/officeDocument/2006/relationships/hyperlink" Target="https://www.science.org/doi/abs/10.1126/science.aea4922?af=R" TargetMode="External"/><Relationship Id="rId1173" Type="http://schemas.openxmlformats.org/officeDocument/2006/relationships/hyperlink" Target="https://doi.org/10.1126/science.aea4922" TargetMode="External"/><Relationship Id="rId1174" Type="http://schemas.openxmlformats.org/officeDocument/2006/relationships/hyperlink" Target="https://www.science.org/doi/abs/10.1126/science.aec6396?af=R" TargetMode="External"/><Relationship Id="rId1175" Type="http://schemas.openxmlformats.org/officeDocument/2006/relationships/hyperlink" Target="https://doi.org/10.1126/science.aec6396" TargetMode="External"/><Relationship Id="rId1176" Type="http://schemas.openxmlformats.org/officeDocument/2006/relationships/hyperlink" Target="https://www.pnas.org/doi/abs/10.1073/pnas.2525431123?mi=eymic2&amp;af=R&amp;access=on&amp;content=articlesChapters&amp;publication=pnas&amp;sortBy=Earliest&amp;target=default" TargetMode="External"/><Relationship Id="rId1177" Type="http://schemas.openxmlformats.org/officeDocument/2006/relationships/hyperlink" Target="https://doi.org/10.1073/pnas.2525431123" TargetMode="External"/><Relationship Id="rId1178" Type="http://schemas.openxmlformats.org/officeDocument/2006/relationships/hyperlink" Target="https://www.science.org/doi/abs/10.1126/science.aea4041?af=R" TargetMode="External"/><Relationship Id="rId1179" Type="http://schemas.openxmlformats.org/officeDocument/2006/relationships/hyperlink" Target="https://doi.org/10.1126/science.aea4041" TargetMode="External"/><Relationship Id="rId1180" Type="http://schemas.openxmlformats.org/officeDocument/2006/relationships/hyperlink" Target="https://www.pnas.org/doi/abs/10.1073/pnas.2527304123?mi=eymic2&amp;af=R&amp;access=on&amp;content=articlesChapters&amp;publication=pnas&amp;sortBy=Earliest&amp;target=default" TargetMode="External"/><Relationship Id="rId1181" Type="http://schemas.openxmlformats.org/officeDocument/2006/relationships/hyperlink" Target="https://doi.org/10.1073/pnas.2527304123" TargetMode="External"/><Relationship Id="rId1182" Type="http://schemas.openxmlformats.org/officeDocument/2006/relationships/hyperlink" Target="https://www.pnas.org/doi/abs/10.1073/pnas.2618819123?mi=eymic2&amp;af=R&amp;access=on&amp;content=articlesChapters&amp;publication=pnas&amp;sortBy=Earliest&amp;target=default" TargetMode="External"/><Relationship Id="rId1183" Type="http://schemas.openxmlformats.org/officeDocument/2006/relationships/hyperlink" Target="https://doi.org/10.1073/pnas.2618819123" TargetMode="External"/><Relationship Id="rId1184" Type="http://schemas.openxmlformats.org/officeDocument/2006/relationships/hyperlink" Target="http://link.aps.org/doi/10.1103/fv7q-vsbn" TargetMode="External"/><Relationship Id="rId1185" Type="http://schemas.openxmlformats.org/officeDocument/2006/relationships/hyperlink" Target="https://doi.org/10.1103/fv7q-vsbn" TargetMode="External"/><Relationship Id="rId1186" Type="http://schemas.openxmlformats.org/officeDocument/2006/relationships/hyperlink" Target="http://link.aps.org/doi/10.1103/7548-pwbt" TargetMode="External"/><Relationship Id="rId1187" Type="http://schemas.openxmlformats.org/officeDocument/2006/relationships/hyperlink" Target="https://doi.org/10.1103/7548-pwbt" TargetMode="External"/><Relationship Id="rId1188" Type="http://schemas.openxmlformats.org/officeDocument/2006/relationships/hyperlink" Target="http://link.aps.org/doi/10.1103/29j9-j57p" TargetMode="External"/><Relationship Id="rId1189" Type="http://schemas.openxmlformats.org/officeDocument/2006/relationships/hyperlink" Target="https://doi.org/10.1103/29j9-j57p" TargetMode="External"/><Relationship Id="rId1190" Type="http://schemas.openxmlformats.org/officeDocument/2006/relationships/hyperlink" Target="http://link.aps.org/doi/10.1103/hw7t-kf32" TargetMode="External"/><Relationship Id="rId1191" Type="http://schemas.openxmlformats.org/officeDocument/2006/relationships/hyperlink" Target="https://doi.org/10.1103/hw7t-kf32" TargetMode="External"/><Relationship Id="rId1192" Type="http://schemas.openxmlformats.org/officeDocument/2006/relationships/hyperlink" Target="http://link.aps.org/doi/10.1103/4k13-sdjh" TargetMode="External"/><Relationship Id="rId1193" Type="http://schemas.openxmlformats.org/officeDocument/2006/relationships/hyperlink" Target="https://doi.org/10.1103/4k13-sdjh" TargetMode="External"/><Relationship Id="rId1194" Type="http://schemas.openxmlformats.org/officeDocument/2006/relationships/hyperlink" Target="http://link.aps.org/doi/10.1103/cbjz-x45n" TargetMode="External"/><Relationship Id="rId1195" Type="http://schemas.openxmlformats.org/officeDocument/2006/relationships/hyperlink" Target="https://doi.org/10.1103/cbjz-x45n" TargetMode="External"/><Relationship Id="rId1196" Type="http://schemas.openxmlformats.org/officeDocument/2006/relationships/hyperlink" Target="http://link.aps.org/doi/10.1103/ntvs-c48s" TargetMode="External"/><Relationship Id="rId1197" Type="http://schemas.openxmlformats.org/officeDocument/2006/relationships/hyperlink" Target="https://doi.org/10.1103/ntvs-c48s" TargetMode="External"/><Relationship Id="rId1198" Type="http://schemas.openxmlformats.org/officeDocument/2006/relationships/hyperlink" Target="http://link.aps.org/doi/10.1103/y7jl-gj2k" TargetMode="External"/><Relationship Id="rId1199" Type="http://schemas.openxmlformats.org/officeDocument/2006/relationships/hyperlink" Target="https://doi.org/10.1103/y7jl-gj2k" TargetMode="External"/><Relationship Id="rId1200" Type="http://schemas.openxmlformats.org/officeDocument/2006/relationships/hyperlink" Target="http://link.aps.org/doi/10.1103/3m26-5y83" TargetMode="External"/><Relationship Id="rId1201" Type="http://schemas.openxmlformats.org/officeDocument/2006/relationships/hyperlink" Target="https://doi.org/10.1103/3m26-5y83" TargetMode="External"/><Relationship Id="rId1202" Type="http://schemas.openxmlformats.org/officeDocument/2006/relationships/hyperlink" Target="http://link.aps.org/doi/10.1103/qf5l-xnln" TargetMode="External"/><Relationship Id="rId1203" Type="http://schemas.openxmlformats.org/officeDocument/2006/relationships/hyperlink" Target="https://doi.org/10.1103/qf5l-xnln" TargetMode="External"/><Relationship Id="rId1204" Type="http://schemas.openxmlformats.org/officeDocument/2006/relationships/hyperlink" Target="http://link.aps.org/doi/10.1103/q5r1-whjr" TargetMode="External"/><Relationship Id="rId1205" Type="http://schemas.openxmlformats.org/officeDocument/2006/relationships/hyperlink" Target="https://doi.org/10.1103/q5r1-whjr" TargetMode="External"/><Relationship Id="rId1206" Type="http://schemas.openxmlformats.org/officeDocument/2006/relationships/hyperlink" Target="http://link.aps.org/doi/10.1103/2831-t3jk" TargetMode="External"/><Relationship Id="rId1207" Type="http://schemas.openxmlformats.org/officeDocument/2006/relationships/hyperlink" Target="https://doi.org/10.1103/2831-t3jk" TargetMode="External"/><Relationship Id="rId1208" Type="http://schemas.openxmlformats.org/officeDocument/2006/relationships/hyperlink" Target="http://link.aps.org/doi/10.1103/v1nk-pfzj" TargetMode="External"/><Relationship Id="rId1209" Type="http://schemas.openxmlformats.org/officeDocument/2006/relationships/hyperlink" Target="https://doi.org/10.1103/v1nk-pfzj" TargetMode="External"/><Relationship Id="rId1210" Type="http://schemas.openxmlformats.org/officeDocument/2006/relationships/hyperlink" Target="http://link.aps.org/doi/10.1103/9hhg-2ddm" TargetMode="External"/><Relationship Id="rId1211" Type="http://schemas.openxmlformats.org/officeDocument/2006/relationships/hyperlink" Target="https://doi.org/10.1103/9hhg-2ddm" TargetMode="External"/><Relationship Id="rId1212" Type="http://schemas.openxmlformats.org/officeDocument/2006/relationships/hyperlink" Target="http://link.aps.org/doi/10.1103/2mvc-8tc4" TargetMode="External"/><Relationship Id="rId1213" Type="http://schemas.openxmlformats.org/officeDocument/2006/relationships/hyperlink" Target="https://doi.org/10.1103/2mvc-8tc4" TargetMode="External"/><Relationship Id="rId1214" Type="http://schemas.openxmlformats.org/officeDocument/2006/relationships/hyperlink" Target="http://link.aps.org/doi/10.1103/yh3v-pwz9" TargetMode="External"/><Relationship Id="rId1215" Type="http://schemas.openxmlformats.org/officeDocument/2006/relationships/hyperlink" Target="https://doi.org/10.1103/yh3v-pwz9" TargetMode="External"/><Relationship Id="rId1216" Type="http://schemas.openxmlformats.org/officeDocument/2006/relationships/hyperlink" Target="http://link.aps.org/doi/10.1103/gbcm-l2qd" TargetMode="External"/><Relationship Id="rId1217" Type="http://schemas.openxmlformats.org/officeDocument/2006/relationships/hyperlink" Target="https://doi.org/10.1103/gbcm-l2qd" TargetMode="External"/><Relationship Id="rId1218" Type="http://schemas.openxmlformats.org/officeDocument/2006/relationships/hyperlink" Target="http://link.aps.org/doi/10.1103/ps4m-5qnb" TargetMode="External"/><Relationship Id="rId1219" Type="http://schemas.openxmlformats.org/officeDocument/2006/relationships/hyperlink" Target="https://doi.org/10.1103/ps4m-5qnb" TargetMode="External"/><Relationship Id="rId1220" Type="http://schemas.openxmlformats.org/officeDocument/2006/relationships/hyperlink" Target="http://link.aps.org/doi/10.1103/lnzm-jzqt" TargetMode="External"/><Relationship Id="rId1221" Type="http://schemas.openxmlformats.org/officeDocument/2006/relationships/hyperlink" Target="https://doi.org/10.1103/lnzm-jzqt" TargetMode="External"/><Relationship Id="rId1222" Type="http://schemas.openxmlformats.org/officeDocument/2006/relationships/hyperlink" Target="http://link.aps.org/doi/10.1103/rwg9-my6x" TargetMode="External"/><Relationship Id="rId1223" Type="http://schemas.openxmlformats.org/officeDocument/2006/relationships/hyperlink" Target="https://doi.org/10.1103/rwg9-my6x" TargetMode="External"/><Relationship Id="rId1224" Type="http://schemas.openxmlformats.org/officeDocument/2006/relationships/hyperlink" Target="http://link.aps.org/doi/10.1103/86cw-8wm5" TargetMode="External"/><Relationship Id="rId1225" Type="http://schemas.openxmlformats.org/officeDocument/2006/relationships/hyperlink" Target="https://doi.org/10.1103/86cw-8wm5" TargetMode="External"/><Relationship Id="rId1226" Type="http://schemas.openxmlformats.org/officeDocument/2006/relationships/hyperlink" Target="https://onlinelibrary.wiley.com/doi/10.1002/anie.9645599?af=R" TargetMode="External"/><Relationship Id="rId1227" Type="http://schemas.openxmlformats.org/officeDocument/2006/relationships/hyperlink" Target="https://doi.org/10.1002/anie.9645599" TargetMode="External"/><Relationship Id="rId1228" Type="http://schemas.openxmlformats.org/officeDocument/2006/relationships/hyperlink" Target="https://onlinelibrary.wiley.com/doi/10.1002/anie.1818551?af=R" TargetMode="External"/><Relationship Id="rId1229" Type="http://schemas.openxmlformats.org/officeDocument/2006/relationships/hyperlink" Target="https://doi.org/10.1002/anie.1818551" TargetMode="External"/><Relationship Id="rId1230" Type="http://schemas.openxmlformats.org/officeDocument/2006/relationships/hyperlink" Target="https://onlinelibrary.wiley.com/doi/10.1002/anie.4653597?af=R" TargetMode="External"/><Relationship Id="rId1231" Type="http://schemas.openxmlformats.org/officeDocument/2006/relationships/hyperlink" Target="https://doi.org/10.1002/anie.4653597" TargetMode="External"/><Relationship Id="rId1232" Type="http://schemas.openxmlformats.org/officeDocument/2006/relationships/hyperlink" Target="https://onlinelibrary.wiley.com/doi/10.1002/anie.1554405?af=R" TargetMode="External"/><Relationship Id="rId1233" Type="http://schemas.openxmlformats.org/officeDocument/2006/relationships/hyperlink" Target="https://doi.org/10.1002/anie.1554405" TargetMode="External"/><Relationship Id="rId1234" Type="http://schemas.openxmlformats.org/officeDocument/2006/relationships/hyperlink" Target="https://onlinelibrary.wiley.com/doi/10.1002/anie.3693605?af=R" TargetMode="External"/><Relationship Id="rId1235" Type="http://schemas.openxmlformats.org/officeDocument/2006/relationships/hyperlink" Target="https://doi.org/10.1002/anie.3693605" TargetMode="External"/><Relationship Id="rId1236" Type="http://schemas.openxmlformats.org/officeDocument/2006/relationships/hyperlink" Target="https://onlinelibrary.wiley.com/doi/10.1002/anie.4311658?af=R" TargetMode="External"/><Relationship Id="rId1237" Type="http://schemas.openxmlformats.org/officeDocument/2006/relationships/hyperlink" Target="https://doi.org/10.1002/anie.4311658" TargetMode="External"/><Relationship Id="rId1238" Type="http://schemas.openxmlformats.org/officeDocument/2006/relationships/hyperlink" Target="https://onlinelibrary.wiley.com/doi/10.1002/anie.2472486?af=R" TargetMode="External"/><Relationship Id="rId1239" Type="http://schemas.openxmlformats.org/officeDocument/2006/relationships/hyperlink" Target="https://doi.org/10.1002/anie.2472486" TargetMode="External"/><Relationship Id="rId1240" Type="http://schemas.openxmlformats.org/officeDocument/2006/relationships/hyperlink" Target="https://onlinelibrary.wiley.com/doi/10.1002/anie.5402705?af=R" TargetMode="External"/><Relationship Id="rId1241" Type="http://schemas.openxmlformats.org/officeDocument/2006/relationships/hyperlink" Target="https://doi.org/10.1002/anie.5402705" TargetMode="External"/><Relationship Id="rId1242" Type="http://schemas.openxmlformats.org/officeDocument/2006/relationships/hyperlink" Target="https://onlinelibrary.wiley.com/doi/10.1002/anie.5555743?af=R" TargetMode="External"/><Relationship Id="rId1243" Type="http://schemas.openxmlformats.org/officeDocument/2006/relationships/hyperlink" Target="https://doi.org/10.1002/anie.5555743" TargetMode="External"/><Relationship Id="rId1244" Type="http://schemas.openxmlformats.org/officeDocument/2006/relationships/hyperlink" Target="https://onlinelibrary.wiley.com/doi/10.1002/anie.4188400?af=R" TargetMode="External"/><Relationship Id="rId1245" Type="http://schemas.openxmlformats.org/officeDocument/2006/relationships/hyperlink" Target="https://doi.org/10.1002/anie.4188400" TargetMode="External"/><Relationship Id="rId1246" Type="http://schemas.openxmlformats.org/officeDocument/2006/relationships/hyperlink" Target="https://onlinelibrary.wiley.com/doi/10.1002/anie.9923674?af=R" TargetMode="External"/><Relationship Id="rId1247" Type="http://schemas.openxmlformats.org/officeDocument/2006/relationships/hyperlink" Target="https://doi.org/10.1002/anie.9923674" TargetMode="External"/><Relationship Id="rId1248" Type="http://schemas.openxmlformats.org/officeDocument/2006/relationships/hyperlink" Target="https://onlinelibrary.wiley.com/doi/10.1002/anie.6899304?af=R" TargetMode="External"/><Relationship Id="rId1249" Type="http://schemas.openxmlformats.org/officeDocument/2006/relationships/hyperlink" Target="https://doi.org/10.1002/anie.6899304" TargetMode="External"/><Relationship Id="rId1250" Type="http://schemas.openxmlformats.org/officeDocument/2006/relationships/hyperlink" Target="https://onlinelibrary.wiley.com/doi/10.1002/anie.2278382?af=R" TargetMode="External"/><Relationship Id="rId1251" Type="http://schemas.openxmlformats.org/officeDocument/2006/relationships/hyperlink" Target="https://doi.org/10.1002/anie.2278382" TargetMode="External"/><Relationship Id="rId1252" Type="http://schemas.openxmlformats.org/officeDocument/2006/relationships/hyperlink" Target="https://onlinelibrary.wiley.com/doi/10.1002/anie.7710650?af=R" TargetMode="External"/><Relationship Id="rId1253" Type="http://schemas.openxmlformats.org/officeDocument/2006/relationships/hyperlink" Target="https://doi.org/10.1002/anie.7710650" TargetMode="External"/><Relationship Id="rId1254" Type="http://schemas.openxmlformats.org/officeDocument/2006/relationships/hyperlink" Target="https://onlinelibrary.wiley.com/doi/10.1002/anie.7982002?af=R" TargetMode="External"/><Relationship Id="rId1255" Type="http://schemas.openxmlformats.org/officeDocument/2006/relationships/hyperlink" Target="https://doi.org/10.1002/anie.7982002" TargetMode="External"/><Relationship Id="rId1256" Type="http://schemas.openxmlformats.org/officeDocument/2006/relationships/hyperlink" Target="https://onlinelibrary.wiley.com/doi/10.1002/anie.7693760?af=R" TargetMode="External"/><Relationship Id="rId1257" Type="http://schemas.openxmlformats.org/officeDocument/2006/relationships/hyperlink" Target="https://doi.org/10.1002/anie.7693760" TargetMode="External"/><Relationship Id="rId1258" Type="http://schemas.openxmlformats.org/officeDocument/2006/relationships/hyperlink" Target="https://onlinelibrary.wiley.com/doi/10.1002/anie.1189853?af=R" TargetMode="External"/><Relationship Id="rId1259" Type="http://schemas.openxmlformats.org/officeDocument/2006/relationships/hyperlink" Target="https://doi.org/10.1002/anie.1189853" TargetMode="External"/><Relationship Id="rId1260" Type="http://schemas.openxmlformats.org/officeDocument/2006/relationships/hyperlink" Target="https://onlinelibrary.wiley.com/doi/10.1002/anie.2903979?af=R" TargetMode="External"/><Relationship Id="rId1261" Type="http://schemas.openxmlformats.org/officeDocument/2006/relationships/hyperlink" Target="https://doi.org/10.1002/anie.2903979" TargetMode="External"/><Relationship Id="rId1262" Type="http://schemas.openxmlformats.org/officeDocument/2006/relationships/hyperlink" Target="https://onlinelibrary.wiley.com/doi/10.1002/anie.8118945?af=R" TargetMode="External"/><Relationship Id="rId1263" Type="http://schemas.openxmlformats.org/officeDocument/2006/relationships/hyperlink" Target="https://doi.org/10.1002/anie.8118945" TargetMode="External"/><Relationship Id="rId1264" Type="http://schemas.openxmlformats.org/officeDocument/2006/relationships/hyperlink" Target="https://onlinelibrary.wiley.com/doi/10.1002/anie.5992061?af=R" TargetMode="External"/><Relationship Id="rId1265" Type="http://schemas.openxmlformats.org/officeDocument/2006/relationships/hyperlink" Target="https://doi.org/10.1002/anie.5992061" TargetMode="External"/><Relationship Id="rId1266" Type="http://schemas.openxmlformats.org/officeDocument/2006/relationships/hyperlink" Target="https://onlinelibrary.wiley.com/doi/10.1002/anie.6111354?af=R" TargetMode="External"/><Relationship Id="rId1267" Type="http://schemas.openxmlformats.org/officeDocument/2006/relationships/hyperlink" Target="https://doi.org/10.1002/anie.6111354" TargetMode="External"/><Relationship Id="rId1268" Type="http://schemas.openxmlformats.org/officeDocument/2006/relationships/hyperlink" Target="http://pubs.rsc.org/en/Content/ArticleLanding/2026/EE/D6EE00776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