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2026-08-28</w:t>
      </w:r>
    </w:p>
    <w:p>
      <w:pPr>
        <w:spacing w:before="160" w:after="120"/>
      </w:pPr>
      <w:r>
        <w:rPr>
          <w:b/>
          <w:sz w:val="28"/>
        </w:rPr>
        <w:t>【光伏】</w:t>
      </w:r>
    </w:p>
    <w:p>
      <w:pPr>
        <w:spacing w:before="160" w:after="40" w:line="240" w:lineRule="auto"/>
      </w:pPr>
      <w:r>
        <w:rPr>
          <w:b/>
        </w:rPr>
        <w:t xml:space="preserve">[1] </w:t>
      </w:r>
      <w:hyperlink r:id="rId9">
        <w:r>
          <w:rPr>
            <w:color w:val="1155CC"/>
            <w:u w:val="single"/>
          </w:rPr>
          <w:t>PV-JSSR：联合超分辨率和分割与跨任务交互，用于多分辨率图像的光伏电池板映射</w:t>
        </w:r>
      </w:hyperlink>
    </w:p>
    <w:p>
      <w:pPr>
        <w:spacing w:before="0" w:after="80"/>
      </w:pPr>
      <w:r>
        <w:rPr>
          <w:i/>
          <w:sz w:val="20"/>
        </w:rPr>
        <w:t>EN: PV-JSSR: Joint super-resolution and segmentation with cross-task interaction for photovoltaic panel mapping from multi-resolution imagery</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10">
        <w:r>
          <w:rPr>
            <w:color w:val="1155CC"/>
            <w:u w:val="single"/>
          </w:rPr>
          <w:t>10.1016/j.apenergy.2026.128627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
        <w:r>
          <w:rPr>
            <w:color w:val="1155CC"/>
            <w:u w:val="single"/>
          </w:rPr>
          <w:t>优化光伏组件清洁频率的进展：灰尘形成机制和清洁策略耦合效应的综述</w:t>
        </w:r>
      </w:hyperlink>
    </w:p>
    <w:p>
      <w:pPr>
        <w:spacing w:before="0" w:after="80"/>
      </w:pPr>
      <w:r>
        <w:rPr>
          <w:i/>
          <w:sz w:val="20"/>
        </w:rPr>
        <w:t>EN: Progress in optimizing cleaning frequency for photovoltaic modules: a review of the coupled effects of dust formation mechanisms and cleaning strategies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12">
        <w:r>
          <w:rPr>
            <w:color w:val="1155CC"/>
            <w:u w:val="single"/>
          </w:rPr>
          <w:t>10.1016/j.apenergy.2026.128676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
        <w:r>
          <w:rPr>
            <w:color w:val="1155CC"/>
            <w:u w:val="single"/>
          </w:rPr>
          <w:t>碘化胍和碘化铯的协同效应可提高混合钙钛矿太阳能电池的钙钛矿晶体质量和器件性能</w:t>
        </w:r>
      </w:hyperlink>
    </w:p>
    <w:p>
      <w:pPr>
        <w:spacing w:before="0" w:after="80"/>
      </w:pPr>
      <w:r>
        <w:rPr>
          <w:i/>
          <w:sz w:val="20"/>
        </w:rPr>
        <w:t>EN: Synergistic Effect of Guanidinium Iodide and Cesium Iodide for Enhanced Perovskite Crystal Quality and Device Performance in Hybrid Perovskite Solar Cells</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14">
        <w:r>
          <w:rPr>
            <w:color w:val="1155CC"/>
            <w:u w:val="single"/>
          </w:rPr>
          <w:t>10.1021/acsami.6c12347</w:t>
        </w:r>
      </w:hyperlink>
    </w:p>
    <w:p>
      <w:pPr>
        <w:spacing w:before="0" w:after="120"/>
      </w:pPr>
      <w:r>
        <w:rPr>
          <w:b/>
        </w:rPr>
        <w:t xml:space="preserve">Notes: </w:t>
      </w:r>
      <w:r>
        <w:t>abstract_source=crossref</w:t>
      </w:r>
    </w:p>
    <w:p>
      <w:pPr>
        <w:spacing w:before="0" w:after="80" w:lineRule="auto" w:line="276"/>
      </w:pPr>
      <w:r>
        <w:rPr>
          <w:b/>
        </w:rPr>
        <w:t xml:space="preserve">摘要（ZH）: </w:t>
      </w:r>
      <w:r>
        <w:t>摘要 碘化胍（GAI）和碘化铯（CsI）已被证明分别是碘化甲脒（FAI）和碘化铅（PbI2）的有效功能添加剂，可显着提高器件的功率转换效率和稳定性。在此，GAI被纳入PbI2溶液中，与Pb-I框架建立氢键相互作用，增强[PbI6]4-八面体结构的稳定性。然而，胍盐阳离子（GA+）的离子尺寸相对较大，需要进一步的晶格调节以实现结构平衡。为了解决这个问题，当前的研究引入了原子半径较小的Cs+离子，以协同调节晶体生长动力学并成功实现晶格应力平衡。实验结果表明，GAI和CsI的协同作用显着增大了钙钛矿晶粒尺寸（从433±141纳米到586±243纳米），钙钛矿薄膜中的针孔更少，有利于稳定性的提高。基于这种方法的 n-i-p 结构器件实现了 24.29% 的效率（对照的效率为 22.66%），并且在室温下相对湿度为 80 ± 5% 的环境条件下表现出出色的存储稳定性，在存储 1000 小时后仍保持其初始效率的 86%。这项研究为通过阳离子尺寸工程策略提高钙钛矿晶体质量和器件性能提供了一条有前途的技术途径。</w:t>
      </w:r>
    </w:p>
    <w:p>
      <w:pPr>
        <w:spacing w:before="0" w:after="200" w:lineRule="auto" w:line="276"/>
      </w:pPr>
      <w:r>
        <w:rPr>
          <w:b/>
        </w:rPr>
        <w:t xml:space="preserve">Abstract (EN): </w:t>
      </w:r>
      <w:r>
        <w:t>Guanidinium iodide (GAI) and cesium iodide (CsI) have been demonstrated as effective functional additives to formamidinium iodide (FAI) and lead iodide (PbI2), respectively, significantly enhancing power conversion efficiency and stability of devices. Herein, GAI was incorporated into the PbI2 solution to establish hydrogen-bonding interactions with the Pb–I framework, enhancing the stability of the [PbI6]4– octahedral structure. However, the relatively large ionic size of the guanidinium cation (GA+) requires further lattice regulation to achieve structural balance. To address this, the current study introduces Cs+ ions, which have smaller atomic radii, to synergistically regulate crystal growth kinetics and successfully achieve lattice stress balance. Experimental results show that the synergistic effect of GAI and CsI significantly enlarges the perovskite grain size (from 433 ± 141 to 586 ± 243 nm) with fewer pinholes in the perovskite films, in favor of stability improvement. An n–i–p structured device based on this approach achieves an efficiency of 24.29% (compared to 22.66% for the control) and exhibits excellent storage stability under ambient conditions with 80 ± 5% relative humidity at room temperature—retaining 86% of its initial efficiency after 1000 hours of storage. This study provides a promising technological pathway for improving perovskite crystal quality and device performance through cation-size-engineering strategies.</w:t>
      </w:r>
    </w:p>
    <w:p>
      <w:pPr>
        <w:spacing w:before="120" w:after="120"/>
      </w:pPr>
      <w:r>
        <w:rPr>
          <w:sz w:val="18"/>
        </w:rPr>
        <w:t>——————————————————————————————————————————————————————————————————————</w:t>
      </w:r>
    </w:p>
    <w:p>
      <w:pPr>
        <w:spacing w:before="160" w:after="40" w:line="240" w:lineRule="auto"/>
      </w:pPr>
      <w:r>
        <w:rPr>
          <w:b/>
        </w:rPr>
        <w:t xml:space="preserve">[4] </w:t>
      </w:r>
      <w:hyperlink r:id="rId15">
        <w:r>
          <w:rPr>
            <w:color w:val="1155CC"/>
            <w:u w:val="single"/>
          </w:rPr>
          <w:t>无线电光伏电池 GAGG:Ce 闪烁波导的光子传输界面优化</w:t>
        </w:r>
      </w:hyperlink>
    </w:p>
    <w:p>
      <w:pPr>
        <w:spacing w:before="0" w:after="80"/>
      </w:pPr>
      <w:r>
        <w:rPr>
          <w:i/>
          <w:sz w:val="20"/>
        </w:rPr>
        <w:t>EN: Photon-Transport Interface Optimization of GAGG:Ce Scintillating Waveguides for Radio-Photovoltaic Cells</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16">
        <w:r>
          <w:rPr>
            <w:color w:val="1155CC"/>
            <w:u w:val="single"/>
          </w:rPr>
          <w:t>10.1021/acsami.6c12790</w:t>
        </w:r>
      </w:hyperlink>
    </w:p>
    <w:p>
      <w:pPr>
        <w:spacing w:before="0" w:after="120"/>
      </w:pPr>
      <w:r>
        <w:rPr>
          <w:b/>
        </w:rPr>
        <w:t xml:space="preserve">Notes: </w:t>
      </w:r>
      <w:r>
        <w:t>abstract_source=crossref</w:t>
      </w:r>
    </w:p>
    <w:p>
      <w:pPr>
        <w:spacing w:before="0" w:after="80" w:lineRule="auto" w:line="276"/>
      </w:pPr>
      <w:r>
        <w:rPr>
          <w:b/>
        </w:rPr>
        <w:t xml:space="preserve">摘要（ZH）: </w:t>
      </w:r>
      <w:r>
        <w:t>摘要 射电光伏（RPV）电池可以为复杂恶劣的环境提供自供电、长寿命的电力，但其能量转换效率受到辐射-光和光-电转换过程中界面损失的限制。在这里，我们提出了一种由放射性同位素辐射源驱动的 RPV 电池的光子传输界面工程策略，使用 GAGG:Ce 闪烁波导作为辐射光转换层。原始闪烁体层在辐射源加载表面处存在辐射发光（RL）吸收和边缘光提取效率低（27.6％）的问题。 Because the refractive index of GAGG:Ce is high, only a limited fraction of isotropically generated RL photons can directly escape from a smooth GAGG:Ce/air interface within one pass.退火的 100 nm Ag 反射膜可减少主表面的光子泄漏，改善 RL 光子传输，并在足够高的入射能量下保持较低的粒子能量吸收，从而使发射强度提高 20.8%。同时，无序的粗糙边缘表面通过改变局部发射角来改善光子提取；在当前的开放边缘配置下，Sa值为434.2 nm的边缘产生最高的测量输出，对应于相对于平滑边缘至少77%的边缘发射增强。这些界面修饰共同改善了边缘发射和电输出，在 30 kV 的 X 射线管电压和 1.0 mA 的电流下产生 0.648 μW 的最大电功率。绝对的E</w:t>
      </w:r>
    </w:p>
    <w:p>
      <w:pPr>
        <w:spacing w:before="0" w:after="200" w:lineRule="auto" w:line="276"/>
      </w:pPr>
      <w:r>
        <w:rPr>
          <w:b/>
        </w:rPr>
        <w:t xml:space="preserve">Abstract (EN): </w:t>
      </w:r>
      <w:r>
        <w:t>Radio-photovoltaic (RPV) cells can provide self-powered and long-lifetime electricity for complex and harsh environments, but their energy conversion efficiency is limited by interfacial losses during radiation-to-light and light-to-electricity conversion. Here, we propose a photon-transport interface engineering strategy for RPV cells driven by radioisotope radiation sources, using a GAGG:Ce scintillating waveguide as the radiation-to-light conversion layer. The original scintillator layer suffers from radioluminescence (RL) absorption at the radiation-source loading surface and low edge light extraction efficiency (27.6%). Because the refractive index of GAGG:Ce is high, only a limited fraction of isotropically generated RL photons can directly escape from a smooth GAGG:Ce/air interface within one pass. An annealed 100 nm Ag reflective film reduces photon leakage from the main surface, improves RL photon transport, and maintains low particle-energy absorption at sufficiently high incident energies, producing a 20.8% enhancement in emission intensity. In parallel, a disordered rough edge surface improves photon extraction by changing local emission angles; Under the present open-edge configuration, the edge with an Sa value of 434.2 nm produces the highest measured output, corresponding to an edge-emission enhancement of at least 77% relative to the smooth edge. Together, these interfacial modifications improve edge emission and electrical output, yielding a maximum electrical power of 0.648 μW at an X-ray tube voltage of 30 kV and current of 1.0 mA. An absolute ECE is not reported because the X-ray power incident on and absorbed by the scintillator was not independently calibrated.</w:t>
      </w:r>
    </w:p>
    <w:p>
      <w:pPr>
        <w:spacing w:before="120" w:after="120"/>
      </w:pPr>
      <w:r>
        <w:rPr>
          <w:sz w:val="18"/>
        </w:rPr>
        <w:t>——————————————————————————————————————————————————————————————————————</w:t>
      </w:r>
    </w:p>
    <w:p>
      <w:pPr>
        <w:spacing w:before="160" w:after="40" w:line="240" w:lineRule="auto"/>
      </w:pPr>
      <w:r>
        <w:rPr>
          <w:b/>
        </w:rPr>
        <w:t xml:space="preserve">[5] </w:t>
      </w:r>
      <w:hyperlink r:id="rId17">
        <w:r>
          <w:rPr>
            <w:color w:val="1155CC"/>
            <w:u w:val="single"/>
          </w:rPr>
          <w:t>基于高分辨率数据和物理模型的我国城市屋顶光伏发展潜力及综合效益评估</w:t>
        </w:r>
      </w:hyperlink>
    </w:p>
    <w:p>
      <w:pPr>
        <w:spacing w:before="0" w:after="80"/>
      </w:pPr>
      <w:r>
        <w:rPr>
          <w:i/>
          <w:sz w:val="20"/>
        </w:rPr>
        <w:t>EN: Assessment of development potential and comprehensive benefits of urban rooftop photovoltaics in China based on high-resolution data and physical model</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18">
        <w:r>
          <w:rPr>
            <w:color w:val="1155CC"/>
            <w:u w:val="single"/>
          </w:rPr>
          <w:t>10.1016/j.apenergy.2026.128700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9">
        <w:r>
          <w:rPr>
            <w:color w:val="1155CC"/>
            <w:u w:val="single"/>
          </w:rPr>
          <w:t>用于评估中国稳定风电和太阳能发电经济潜力的稳定等效LCOE框架</w:t>
        </w:r>
      </w:hyperlink>
    </w:p>
    <w:p>
      <w:pPr>
        <w:spacing w:before="0" w:after="80"/>
      </w:pPr>
      <w:r>
        <w:rPr>
          <w:i/>
          <w:sz w:val="20"/>
        </w:rPr>
        <w:t>EN: A stabilized equivalent LCOE framework for assessing the economic potential of stable wind and solar power in China</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0">
        <w:r>
          <w:rPr>
            <w:color w:val="1155CC"/>
            <w:u w:val="single"/>
          </w:rPr>
          <w:t>10.1016/j.apenergy.2026.128707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1">
        <w:r>
          <w:rPr>
            <w:color w:val="1155CC"/>
            <w:u w:val="single"/>
          </w:rPr>
          <w:t>高效有机太阳能电池双不对称受体的几何互补性和静电涨落控制</w:t>
        </w:r>
      </w:hyperlink>
    </w:p>
    <w:p>
      <w:pPr>
        <w:spacing w:before="0" w:after="80"/>
      </w:pPr>
      <w:r>
        <w:rPr>
          <w:i/>
          <w:sz w:val="20"/>
        </w:rPr>
        <w:t>EN: Geometric Complementarity and Electrostatic Fluctuation Control in Dual‐Asymmetric Acceptors for Efficient Organic Solar Cells</w:t>
      </w:r>
    </w:p>
    <w:p>
      <w:pPr>
        <w:spacing w:before="0" w:after="120"/>
      </w:pPr>
      <w:r>
        <w:rPr>
          <w:b/>
        </w:rPr>
        <w:t xml:space="preserve">Source: </w:t>
      </w:r>
      <w:r>
        <w:t>Wiley: Advanced Materials: Table of Contents</w:t>
      </w:r>
      <w:r>
        <w:t xml:space="preserve">    </w:t>
      </w:r>
      <w:r>
        <w:rPr>
          <w:b/>
        </w:rPr>
        <w:t xml:space="preserve">Pub date: </w:t>
      </w:r>
      <w:r>
        <w:t>2026-08-21 05:09:30+00:00</w:t>
      </w:r>
      <w:r>
        <w:t xml:space="preserve">    </w:t>
      </w:r>
      <w:r>
        <w:rPr>
          <w:b/>
        </w:rPr>
        <w:t xml:space="preserve">DOI: </w:t>
      </w:r>
      <w:hyperlink r:id="rId22">
        <w:r>
          <w:rPr>
            <w:color w:val="1155CC"/>
            <w:u w:val="single"/>
          </w:rPr>
          <w:t>10.1002/adma.74732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对称分子设计已成为开发有机太阳能电池（OSC）高性能受体的有效策略。在这里，我们引入了一种双不对称拓扑策略，其中中心核心和末端基团的立体化学构型是共同设计的。使用这种方法，我们合成了异构体对 Th2Cl-a-2Cl 和 Th2Cl-b-2Cl，并将它们与单不对称 a-CH-Th2Cl 和 Th2Cl-4Cl 进行基准测试。我们发现 Th2Cl-a-2Cl 独特的空间构象促进了晶格内几何互补、互锁的堆积图案。这不仅增强了三维网络连接性，更重要的是，在分子骨架尺度上产生了更均匀的局部静电环境。因此，Th2Cl-a-2Cl沿着主链表现出更弱且更平衡的环境引起的静电波动，这有助于减少电荷传输过程中的局部静电扰动。因此，PM6:Th2Cl-a-2Cl 器件的 PCE 为 20.18%，填充因子 (FF) 为 80.88%，同时显着抑制非辐射复合损失 (Δ</w:t>
      </w:r>
      <w:r>
        <w:t xml:space="preserve"> </w:t>
      </w:r>
      <w:r>
        <w:t>乙</w:t>
      </w:r>
      <w:r>
        <w:rPr>
          <w:vertAlign w:val="subscript"/>
        </w:rPr>
        <w:t>3</w:t>
      </w:r>
      <w:r>
        <w:t>）至 0.190 eV。这些结果确立了通过拓扑工程实现的几何互补性和静电均匀性，作为提高 OSC 效率的有效途径。</w:t>
      </w:r>
    </w:p>
    <w:p>
      <w:pPr>
        <w:spacing w:before="0" w:after="200" w:lineRule="auto" w:line="276"/>
      </w:pPr>
      <w:r>
        <w:rPr>
          <w:b/>
        </w:rPr>
        <w:t xml:space="preserve">Abstract (EN): </w:t>
      </w:r>
      <w:r>
        <w:t>Asymmetric molecular design has emerged as an effective strategy for developing high‐performance acceptors for organic solar cells (OSCs). Here, we introduce a dual‐asymmetric topology strategy, in which the stereochemical configurations of both the central core and terminal groups are co‐engineered. Using this approach, we synthesized an isomeric pair, Th2Cl‐a‐2Cl and Th2Cl‐b‐2Cl and benchmarked them against the singly asymmetric a‐CH‐Th2Cl and Th2Cl‐4Cl. We find that the distinctive steric conformation of Th2Cl‐a‐2Cl promotes a geometrically complementary, interlocked packing motif within the crystal lattice. This not only reinforces the three‐dimensional network connectivity but, more importantly, gives rise to a more uniform local electrostatic environment at the molecular‐skeleton scale. As a result, Th2Cl‐a‐2Cl exhibits weaker and more balanced environment‐induced electrostatic fluctuations along the backbone, which helps reduce local electrostatic perturbations during charge transport. Consequently, PM6:Th2Cl‐a‐2Cl devices deliver a champion PCE of 20.18% with a high fill factor (FF) of 80.88%, while significantly suppressing the non‐radiative recombination loss (Δ</w:t>
      </w:r>
      <w:r>
        <w:t xml:space="preserve"> </w:t>
      </w:r>
      <w:r>
        <w:t>E</w:t>
      </w:r>
      <w:r>
        <w:rPr>
          <w:vertAlign w:val="subscript"/>
        </w:rPr>
        <w:t>3</w:t>
      </w:r>
      <w:r>
        <w:t>) to 0.190 eV. These results establish geometric complementarity and electrostatic homogeneity, achieved through topological engineering, as an effective route to improve the efficiency of OSCs.</w:t>
      </w:r>
    </w:p>
    <w:p>
      <w:pPr>
        <w:spacing w:before="120" w:after="120"/>
      </w:pPr>
      <w:r>
        <w:rPr>
          <w:sz w:val="18"/>
        </w:rPr>
        <w:t>——————————————————————————————————————————————————————————————————————</w:t>
      </w:r>
    </w:p>
    <w:p>
      <w:pPr>
        <w:spacing w:before="160" w:after="40" w:line="240" w:lineRule="auto"/>
      </w:pPr>
      <w:r>
        <w:rPr>
          <w:b/>
        </w:rPr>
        <w:t xml:space="preserve">[8] </w:t>
      </w:r>
      <w:hyperlink r:id="rId23">
        <w:r>
          <w:rPr>
            <w:color w:val="1155CC"/>
            <w:u w:val="single"/>
          </w:rPr>
          <w:t>用于高温敏感自供电X射线检测的分子驱动无铅卤化物光铁电固溶体</w:t>
        </w:r>
      </w:hyperlink>
    </w:p>
    <w:p>
      <w:pPr>
        <w:spacing w:before="0" w:after="80"/>
      </w:pPr>
      <w:r>
        <w:rPr>
          <w:i/>
          <w:sz w:val="20"/>
        </w:rPr>
        <w:t>EN: Molecular-driven lead-free halide photoferroelectric solid solution for high-temperature sensitive self-powered x-ray detection</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24">
        <w:r>
          <w:rPr>
            <w:color w:val="1155CC"/>
            <w:u w:val="single"/>
          </w:rPr>
          <w:t>10.1126/sciadv.aef7693</w:t>
        </w:r>
      </w:hyperlink>
    </w:p>
    <w:p>
      <w:pPr>
        <w:spacing w:before="0" w:after="120"/>
      </w:pPr>
      <w:r>
        <w:rPr>
          <w:b/>
        </w:rPr>
        <w:t xml:space="preserve">Notes: </w:t>
      </w:r>
      <w:r>
        <w:t>abstract_source=crossref</w:t>
      </w:r>
    </w:p>
    <w:p>
      <w:pPr>
        <w:spacing w:before="0" w:after="80" w:lineRule="auto" w:line="276"/>
      </w:pPr>
      <w:r>
        <w:rPr>
          <w:b/>
        </w:rPr>
        <w:t xml:space="preserve">摘要（ZH）: </w:t>
      </w:r>
      <w:r>
        <w:t>由于其独特的自发极化和半导体特性，卤化物双钙钛矿铁电体最近已成为辐射检测、光伏和光电存储器件中环境友好的候选材料。然而，实现高效的载流子传输和高居里温度是一个巨大的挑战（</w:t>
      </w:r>
      <w:r>
        <w:t xml:space="preserve"> </w:t>
      </w:r>
      <w:r>
        <w:t>时间</w:t>
      </w:r>
      <w:r>
        <w:t xml:space="preserve"> </w:t>
      </w:r>
      <w:r>
        <w:t>c</w:t>
      </w:r>
      <w:r>
        <w:t xml:space="preserve"> </w:t>
      </w:r>
      <w:r>
        <w:t>）在双钙钛矿铁电体中，由于扭曲框架和结构构造的限制。在这里，我们提出了一个高</w:t>
      </w:r>
      <w:r>
        <w:t xml:space="preserve"> </w:t>
      </w:r>
      <w:r>
        <w:t>时间</w:t>
      </w:r>
      <w:r>
        <w:t xml:space="preserve"> </w:t>
      </w:r>
      <w:r>
        <w:t>c</w:t>
      </w:r>
      <w:r>
        <w:t xml:space="preserve"> </w:t>
      </w:r>
      <w:r>
        <w:t>异价金属固溶体双钙钛矿铁电体，（4Br2FBZ）</w:t>
      </w:r>
      <w:r>
        <w:rPr>
          <w:vertAlign w:val="subscript"/>
        </w:rPr>
        <w:t>2</w:t>
      </w:r>
      <w:r>
        <w:t>溴化铯银</w:t>
      </w:r>
      <w:r>
        <w:rPr>
          <w:vertAlign w:val="subscript"/>
        </w:rPr>
        <w:t>7</w:t>
      </w:r>
      <w:r>
        <w:t>（4Br2FBZ-CAB，4Br2FBZ = 4-溴-2-氟苄基铵），通过阳离子工程对称调节策略。金属离子Ag和Bi从交替排列转变为混合位点固溶体模式，有效优化电子能带结构以增强载流子传输。同时，4Br2FBZ-CAB表现出较高的</w:t>
      </w:r>
      <w:r>
        <w:t xml:space="preserve"> </w:t>
      </w:r>
      <w:r>
        <w:t>时间</w:t>
      </w:r>
      <w:r>
        <w:t xml:space="preserve"> </w:t>
      </w:r>
      <w:r>
        <w:t>c</w:t>
      </w:r>
      <w:r>
        <w:t xml:space="preserve"> </w:t>
      </w:r>
      <w:r>
        <w:t>484开尔文，大大扩展了高温系列</w:t>
      </w:r>
      <w:r>
        <w:t xml:space="preserve"> </w:t>
      </w:r>
      <w:r>
        <w:t>时间</w:t>
      </w:r>
      <w:r>
        <w:t xml:space="preserve"> </w:t>
      </w:r>
      <w:r>
        <w:t>c</w:t>
      </w:r>
      <w:r>
        <w:t xml:space="preserve"> </w:t>
      </w:r>
      <w:r>
        <w:t>无铅铁电体。得益于其卓越的光电和铁电特性，自供电X射线检测灵敏度高达273.8微库仑每格雷每平方厘米（μC Gy</w:t>
      </w:r>
      <w:r>
        <w:t xml:space="preserve"> </w:t>
      </w:r>
      <w:r>
        <w:t>空气</w:t>
      </w:r>
      <w:r>
        <w:t xml:space="preserve"> </w:t>
      </w:r>
      <w:r>
        <w:t>−1</w:t>
      </w:r>
    </w:p>
    <w:p>
      <w:pPr>
        <w:spacing w:before="0" w:after="200" w:lineRule="auto" w:line="276"/>
      </w:pPr>
      <w:r>
        <w:rPr>
          <w:b/>
        </w:rPr>
        <w:t xml:space="preserve">Abstract (EN): </w:t>
      </w:r>
      <w:r>
        <w:t>Halide double perovskite ferroelectrics have recently emerged as an environmentally friendly candidate in radiation detection, photovoltaics, and optoelectronic memory devices due to their unique spontaneous polarization and semiconductor properties. However, it is a huge challenge to achieve efficient carrier transport and high Curie temperature (</w:t>
      </w:r>
      <w:r>
        <w:t xml:space="preserve"> </w:t>
      </w:r>
      <w:r>
        <w:t>T</w:t>
      </w:r>
      <w:r>
        <w:t xml:space="preserve"> </w:t>
      </w:r>
      <w:r>
        <w:t>c</w:t>
      </w:r>
      <w:r>
        <w:t xml:space="preserve"> </w:t>
      </w:r>
      <w:r>
        <w:t>) in double perovskite ferroelectrics, owing to the limitations of twisted frameworks and structural construction. Here, we present a high-</w:t>
      </w:r>
      <w:r>
        <w:t>T</w:t>
      </w:r>
      <w:r>
        <w:t xml:space="preserve"> </w:t>
      </w:r>
      <w:r>
        <w:t>c</w:t>
      </w:r>
      <w:r>
        <w:t xml:space="preserve"> </w:t>
      </w:r>
      <w:r>
        <w:t>heterovalent metal solid solution double perovskite ferroelectric, (4Br2FBZ)</w:t>
      </w:r>
      <w:r>
        <w:rPr>
          <w:vertAlign w:val="subscript"/>
        </w:rPr>
        <w:t>2</w:t>
      </w:r>
      <w:r>
        <w:t>CsAgBiBr</w:t>
      </w:r>
      <w:r>
        <w:rPr>
          <w:vertAlign w:val="subscript"/>
        </w:rPr>
        <w:t>7</w:t>
      </w:r>
      <w:r>
        <w:t>(4Br2FBZ-CAB, 4Br2FBZ = 4-bromo-2-fluorobenzylammonium), through a strategy of cation-engineered symmetry regulation. The metal ions Ag and Bi transitioned from an alternating arrangement to a mixed-site solid solution pattern, effectively optimizing the electronic band structure to enhance carrier transport. Meanwhile, 4Br2FBZ-CAB exhibits a high</w:t>
      </w:r>
      <w:r>
        <w:t xml:space="preserve"> </w:t>
      </w:r>
      <w:r>
        <w:t>T</w:t>
      </w:r>
      <w:r>
        <w:t xml:space="preserve"> </w:t>
      </w:r>
      <w:r>
        <w:t>c</w:t>
      </w:r>
      <w:r>
        <w:t xml:space="preserve"> </w:t>
      </w:r>
      <w:r>
        <w:t>of 484 kelvin, substantially expanding the family of high-</w:t>
      </w:r>
      <w:r>
        <w:t>T</w:t>
      </w:r>
      <w:r>
        <w:t xml:space="preserve"> </w:t>
      </w:r>
      <w:r>
        <w:t>c</w:t>
      </w:r>
      <w:r>
        <w:t xml:space="preserve"> </w:t>
      </w:r>
      <w:r>
        <w:t>lead-free ferroelectrics. Benefiting from its remarkable photoelectric and ferroelectric properties, a high self-powered x-ray detection sensitivity of 273.8 microcoulomb per gray per square centimeter (μC Gy</w:t>
      </w:r>
      <w:r>
        <w:t xml:space="preserve"> </w:t>
      </w:r>
      <w:r>
        <w:t>air</w:t>
      </w:r>
      <w:r>
        <w:t xml:space="preserve"> </w:t>
      </w:r>
      <w:r>
        <w:t>−1</w:t>
      </w:r>
      <w:r>
        <w:t xml:space="preserve"> </w:t>
      </w:r>
      <w:r>
        <w:t>cm</w:t>
      </w:r>
      <w:r>
        <w:t xml:space="preserve"> </w:t>
      </w:r>
      <w:r>
        <w:t>−2</w:t>
      </w:r>
      <w:r>
        <w:t xml:space="preserve"> </w:t>
      </w:r>
      <w:r>
        <w:t>) was achieved at room temperature. In addition, this exceptionally high</w:t>
      </w:r>
      <w:r>
        <w:t xml:space="preserve"> </w:t>
      </w:r>
      <w:r>
        <w:t>T</w:t>
      </w:r>
      <w:r>
        <w:t xml:space="preserve"> </w:t>
      </w:r>
      <w:r>
        <w:t>c</w:t>
      </w:r>
      <w:r>
        <w:t xml:space="preserve"> </w:t>
      </w:r>
      <w:r>
        <w:t>enables the detector to operate self-powered at high temperatures, resulting in an excellent sensitivity of 896.9 μC Gy</w:t>
      </w:r>
      <w:r>
        <w:t xml:space="preserve"> </w:t>
      </w:r>
      <w:r>
        <w:t>air</w:t>
      </w:r>
      <w:r>
        <w:t xml:space="preserve"> </w:t>
      </w:r>
      <w:r>
        <w:t>−1</w:t>
      </w:r>
      <w:r>
        <w:t xml:space="preserve"> </w:t>
      </w:r>
      <w:r>
        <w:t>cm</w:t>
      </w:r>
      <w:r>
        <w:t xml:space="preserve"> </w:t>
      </w:r>
      <w:r>
        <w:t>−2</w:t>
      </w:r>
      <w:r>
        <w:t xml:space="preserve"> </w:t>
      </w:r>
      <w:r>
        <w:t>and a low detection limit of 13.9 nGy</w:t>
      </w:r>
      <w:r>
        <w:t xml:space="preserve"> </w:t>
      </w:r>
      <w:r>
        <w:t>air</w:t>
      </w:r>
      <w:r>
        <w:t xml:space="preserve"> </w:t>
      </w:r>
      <w:r>
        <w:t>s</w:t>
      </w:r>
      <w:r>
        <w:t xml:space="preserve"> </w:t>
      </w:r>
      <w:r>
        <w:t>−1</w:t>
      </w:r>
      <w:r>
        <w:t xml:space="preserve"> </w:t>
      </w:r>
      <w:r>
        <w:t>at 425 kelvin. This work opens an avenue for expanding the family of high-</w:t>
      </w:r>
      <w:r>
        <w:t>T</w:t>
      </w:r>
      <w:r>
        <w:t xml:space="preserve"> </w:t>
      </w:r>
      <w:r>
        <w:t>c</w:t>
      </w:r>
      <w:r>
        <w:t xml:space="preserve"> </w:t>
      </w:r>
      <w:r>
        <w:t>lead-free perovskite ferroelectrics with superior semiconducting properties.</w:t>
      </w:r>
    </w:p>
    <w:p>
      <w:pPr>
        <w:spacing w:before="120" w:after="120"/>
      </w:pPr>
      <w:r>
        <w:rPr>
          <w:sz w:val="18"/>
        </w:rPr>
        <w:t>——————————————————————————————————————————————————————————————————————</w:t>
      </w:r>
    </w:p>
    <w:p>
      <w:pPr>
        <w:spacing w:before="160" w:after="40" w:line="240" w:lineRule="auto"/>
      </w:pPr>
      <w:r>
        <w:rPr>
          <w:b/>
        </w:rPr>
        <w:t xml:space="preserve">[9] </w:t>
      </w:r>
      <w:hyperlink r:id="rId25">
        <w:r>
          <w:rPr>
            <w:color w:val="1155CC"/>
            <w:u w:val="single"/>
          </w:rPr>
          <w:t>将光谱调制表面材料与自清洁相结合：从基础知识到新兴光伏设备的设计原则</w:t>
        </w:r>
      </w:hyperlink>
    </w:p>
    <w:p>
      <w:pPr>
        <w:spacing w:before="0" w:after="80"/>
      </w:pPr>
      <w:r>
        <w:rPr>
          <w:i/>
          <w:sz w:val="20"/>
        </w:rPr>
        <w:t>EN: Integrating Spectral Modulation Surface Materials With Self‐Cleaning: From Fundamentals to Design Principles Toward Emerging Photovoltaic Devices</w:t>
      </w:r>
    </w:p>
    <w:p>
      <w:pPr>
        <w:spacing w:before="0" w:after="120"/>
      </w:pPr>
      <w:r>
        <w:rPr>
          <w:b/>
        </w:rPr>
        <w:t xml:space="preserve">Source: </w:t>
      </w:r>
      <w:r>
        <w:t>Wiley: Advanced Materials: Table of Contents</w:t>
      </w:r>
      <w:r>
        <w:t xml:space="preserve">    </w:t>
      </w:r>
      <w:r>
        <w:rPr>
          <w:b/>
        </w:rPr>
        <w:t xml:space="preserve">Pub date: </w:t>
      </w:r>
      <w:r>
        <w:t>2026-08-22 06:01:59+00:00</w:t>
      </w:r>
      <w:r>
        <w:t xml:space="preserve">    </w:t>
      </w:r>
      <w:r>
        <w:rPr>
          <w:b/>
        </w:rPr>
        <w:t xml:space="preserve">DOI: </w:t>
      </w:r>
      <w:hyperlink r:id="rId26">
        <w:r>
          <w:rPr>
            <w:color w:val="1155CC"/>
            <w:u w:val="single"/>
          </w:rPr>
          <w:t>10.1002/adma.74749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球能源转型正在加速光伏发电（PV）作为主要电力来源的部署。对光学和热过程的界面调节不足仍然限制着功率转换效率（PCE）和长期可靠性。反射损耗、无效的光谱利用和散热不足限制了发电，而表面污染则损害了长期的户外可靠性。尽管先进的表面材料提供了减轻这些损失的机会，但将光谱调制与自清洁相结合仍然具有挑战性。本综述从集成光谱调制和润湿性控制设计的角度介绍了光伏表面材料的最新进展。我们首先总结了控制光谱调制和污染物去除的基本机制，强调物理结构设计和化学成分调节之间的协同相互作用。然后，我们讨论在不同波长范围内调制光学行为的可行策略，以及通过润湿性控制进行自清洁的方法。进一步研究了部分整合策略的最新进展，强调了对 PCE 增强和环境适应性的潜在影响。最后，我们讨论了在表面材料中实现光谱调制和自清洁的有效集成所面临的挑战。通过将全光谱调制与耐用的自清洁结合作为未来的设计目标，本次审查概述了一个集成的框架</w:t>
      </w:r>
    </w:p>
    <w:p>
      <w:pPr>
        <w:spacing w:before="0" w:after="200" w:lineRule="auto" w:line="276"/>
      </w:pPr>
      <w:r>
        <w:rPr>
          <w:b/>
        </w:rPr>
        <w:t xml:space="preserve">Abstract (EN): </w:t>
      </w:r>
      <w:r>
        <w:t>The global energy transition is accelerating the deployment of photovoltaics (PV) as a major source of electricity. Insufficient interfacial regulation over optical and thermal processes still restricts power conversion efficiency (PCE) and long‐term reliability. Reflection losses, ineffective spectral utilization, and inadequate heat dissipation limit power generation, while surface contamination undermines long‐term outdoor reliability. Although advanced surface materials offer opportunities to mitigate these losses, integrating spectral modulation with self‐cleaning remains challenging. This review presents recent progress in PV surface materials from the perspective of integrated spectral modulation and wettability control design. We first summarize the fundamental mechanisms that govern spectral modulation and contaminant removal, emphasizing the synergistic interaction between physical structure design and chemical composition regulation. We then discuss feasible strategies for modulating optical behaviors across different wavelength ranges, alongside approaches for self‐cleaning through wettability control. Recent advances in partial‐integration strategies are further examined, highlighting the potential impact on PCE enhancement and environmental adaptability. Finally, we discuss the remaining challenges for achieving effective integration of spectral modulation and self‐cleaning in surface materials. By positioning full‐spectral modulation coupled with durable self‐cleaning as a future design target, this review outlines an integrated framework for developing high‐performance and durable PV surface materials.</w:t>
      </w:r>
    </w:p>
    <w:p>
      <w:pPr>
        <w:spacing w:before="120" w:after="120"/>
      </w:pPr>
      <w:r>
        <w:rPr>
          <w:sz w:val="18"/>
        </w:rPr>
        <w:t>——————————————————————————————————————————————————————————————————————</w:t>
      </w:r>
    </w:p>
    <w:p>
      <w:pPr>
        <w:spacing w:before="160" w:after="40" w:line="240" w:lineRule="auto"/>
      </w:pPr>
      <w:r>
        <w:rPr>
          <w:b/>
        </w:rPr>
        <w:t xml:space="preserve">[10] </w:t>
      </w:r>
      <w:hyperlink r:id="rId27">
        <w:r>
          <w:rPr>
            <w:color w:val="1155CC"/>
            <w:u w:val="single"/>
          </w:rPr>
          <w:t>用于高效硅/钙钛矿串联太阳能电池的宽带隙钙钛矿中间相介导均质结晶</w:t>
        </w:r>
      </w:hyperlink>
    </w:p>
    <w:p>
      <w:pPr>
        <w:spacing w:before="0" w:after="80"/>
      </w:pPr>
      <w:r>
        <w:rPr>
          <w:i/>
          <w:sz w:val="20"/>
        </w:rPr>
        <w:t>EN: Intermediate‐Phase‐Mediated Homogeneous Crystallization of Wide‐Bandgap Perovskite for Efficient Silicon/Perovskite Tandem Solar Cells</w:t>
      </w:r>
    </w:p>
    <w:p>
      <w:pPr>
        <w:spacing w:before="0" w:after="120"/>
      </w:pPr>
      <w:r>
        <w:rPr>
          <w:b/>
        </w:rPr>
        <w:t xml:space="preserve">Source: </w:t>
      </w:r>
      <w:r>
        <w:t>Wiley: Advanced Materials: Table of Contents</w:t>
      </w:r>
      <w:r>
        <w:t xml:space="preserve">    </w:t>
      </w:r>
      <w:r>
        <w:rPr>
          <w:b/>
        </w:rPr>
        <w:t xml:space="preserve">Pub date: </w:t>
      </w:r>
      <w:r>
        <w:t>2026-08-22 09:03:22+00:00</w:t>
      </w:r>
      <w:r>
        <w:t xml:space="preserve">    </w:t>
      </w:r>
      <w:r>
        <w:rPr>
          <w:b/>
        </w:rPr>
        <w:t xml:space="preserve">DOI: </w:t>
      </w:r>
      <w:hyperlink r:id="rId28">
        <w:r>
          <w:rPr>
            <w:color w:val="1155CC"/>
            <w:u w:val="single"/>
          </w:rPr>
          <w:t>10.1002/adma.74784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实现成分均匀的混合卤化物（I</w:t>
      </w:r>
      <w:r>
        <w:t xml:space="preserve"> </w:t>
      </w:r>
      <w:r>
        <w:t>-</w:t>
      </w:r>
      <w:r>
        <w:t>和溴</w:t>
      </w:r>
      <w:r>
        <w:t xml:space="preserve"> </w:t>
      </w:r>
      <w:r>
        <w:t>-</w:t>
      </w:r>
      <w:r>
        <w:t>）宽带隙（WBG）钙钛矿薄膜对于高性能钙钛矿/晶体硅串联太阳能电池（TSC）至关重要，但富含碘化物和溴化物相的不同结晶动力学很容易引起卤化物偏析和不均匀元素分布，从而损害TSC的性能。在此，我们采用3,4,5-三氟苯硼酸（3FBBA）作为多功能调节剂，通过互补的氢键和配位相互作用与有机阳离子和卤化铅八面体协同相互作用，从而3FBBA从根本上调节了</w:t>
      </w:r>
      <w:r>
        <w:t xml:space="preserve"> </w:t>
      </w:r>
      <w:r>
        <w:t>α</w:t>
      </w:r>
      <w:r>
        <w:t xml:space="preserve"> </w:t>
      </w:r>
      <w:r>
        <w:t>‐相钙钛矿。它将自发的、不受控制的直接结晶途径转变为由高度有序的中间相介导的良好调节的相变过程。这些结构良好的中间体充当明确的预结构框架，指导高质量的形成</w:t>
      </w:r>
      <w:r>
        <w:t xml:space="preserve"> </w:t>
      </w:r>
      <w:r>
        <w:t>α</w:t>
      </w:r>
      <w:r>
        <w:t xml:space="preserve"> </w:t>
      </w:r>
      <w:r>
        <w:t>‐相钙钛矿。受益于这一策略，所得的WBG钙钛矿薄膜具有增大的晶粒尺寸和降低的缺陷密度，从而抑制非辐射复合损失并加速电荷转移动力学。因此，单结 1.66 eV WBG 钙钛矿太阳能电池 (PSC) 实现了 24.09% 的高功率转换效率 (PCE)，而双结</w:t>
      </w:r>
    </w:p>
    <w:p>
      <w:pPr>
        <w:spacing w:before="0" w:after="200" w:lineRule="auto" w:line="276"/>
      </w:pPr>
      <w:r>
        <w:rPr>
          <w:b/>
        </w:rPr>
        <w:t xml:space="preserve">Abstract (EN): </w:t>
      </w:r>
      <w:r>
        <w:t>Achieving compositionally homogeneous mixed‐halide (I</w:t>
      </w:r>
      <w:r>
        <w:t xml:space="preserve"> </w:t>
      </w:r>
      <w:r>
        <w:t>−</w:t>
      </w:r>
      <w:r>
        <w:t>and Br</w:t>
      </w:r>
      <w:r>
        <w:t xml:space="preserve"> </w:t>
      </w:r>
      <w:r>
        <w:t>−</w:t>
      </w:r>
      <w:r>
        <w:t>) wide‐bandgap (WBG) perovskite films is crucial for high‐performance perovskite/crystalline silicon tandem solar cells (TSCs), yet the disparate crystallization kinetics of iodide‐ and bromide‐rich phases readily induce halide segregation and inhomogeneous elemental distribution, thereby compromising the performance of TSCs. Herein, we employ 3,4,5‐trifluorobenzeneboronic acid (3FBBA) as a multifunctional modulator that synergistically interacts with both organic cations and lead‐halide octahedra via complementary hydrogen‐bonding and coordination interactions, by which 3FBBA fundamentally modulates the formation mechanism of</w:t>
      </w:r>
      <w:r>
        <w:t xml:space="preserve"> </w:t>
      </w:r>
      <w:r>
        <w:t>α</w:t>
      </w:r>
      <w:r>
        <w:t xml:space="preserve"> </w:t>
      </w:r>
      <w:r>
        <w:t>‐phase perovskite. It transforms the spontaneous, uncontrolled direct crystallization pathway into a well‐regulated phase‐transition process mediated by highly ordered intermediate phases. These well‐structured intermediates act as well‐defined pre‐structural frameworks to guide the formation of high‐quality</w:t>
      </w:r>
      <w:r>
        <w:t xml:space="preserve"> </w:t>
      </w:r>
      <w:r>
        <w:t>α</w:t>
      </w:r>
      <w:r>
        <w:t xml:space="preserve"> </w:t>
      </w:r>
      <w:r>
        <w:t>‐phase perovskite. Benefiting from this strategy, the resultant WBG perovskite films possess enlarged grain size and reduced defect density, which suppress nonradiative recombination loss and accelerate charge transfer kinetics. As a consequence, a single‐junction 1.66 eV WBG perovskite solar cell (PSC) achieves a high‐power conversion efficiency (PCE) of 24.09%, while a two‐terminal perovskite/silicon TSC delivers a champion PCE of 33.6%. Notably, the unencapsulated TSC maintains over 90% of its initial PCE throughout 571 h of continuous maximum power point tracking (MPPT) under ambient atmospheric conditions.</w:t>
      </w:r>
    </w:p>
    <w:p>
      <w:pPr>
        <w:spacing w:before="120" w:after="120"/>
      </w:pPr>
      <w:r>
        <w:rPr>
          <w:sz w:val="18"/>
        </w:rPr>
        <w:t>——————————————————————————————————————————————————————————————————————</w:t>
      </w:r>
    </w:p>
    <w:p>
      <w:pPr>
        <w:spacing w:before="160" w:after="40" w:line="240" w:lineRule="auto"/>
      </w:pPr>
      <w:r>
        <w:rPr>
          <w:b/>
        </w:rPr>
        <w:t xml:space="preserve">[11] </w:t>
      </w:r>
      <w:hyperlink r:id="rId29">
        <w:r>
          <w:rPr>
            <w:color w:val="1155CC"/>
            <w:u w:val="single"/>
          </w:rPr>
          <w:t>分子协同作用的埋地界面工程实现高效且运行稳定的柔性钙钛矿光伏</w:t>
        </w:r>
      </w:hyperlink>
    </w:p>
    <w:p>
      <w:pPr>
        <w:spacing w:before="0" w:after="80"/>
      </w:pPr>
      <w:r>
        <w:rPr>
          <w:i/>
          <w:sz w:val="20"/>
        </w:rPr>
        <w:t>EN: Molecular Synergy‐Enabled Buried Interface Engineering Toward Highly Efficient and Operationally Stable Flexible Perovskite Photovoltaics</w:t>
      </w:r>
    </w:p>
    <w:p>
      <w:pPr>
        <w:spacing w:before="0" w:after="120"/>
      </w:pPr>
      <w:r>
        <w:rPr>
          <w:b/>
        </w:rPr>
        <w:t xml:space="preserve">Source: </w:t>
      </w:r>
      <w:r>
        <w:t>Wiley: Advanced Materials: Table of Contents</w:t>
      </w:r>
      <w:r>
        <w:t xml:space="preserve">    </w:t>
      </w:r>
      <w:r>
        <w:rPr>
          <w:b/>
        </w:rPr>
        <w:t xml:space="preserve">Pub date: </w:t>
      </w:r>
      <w:r>
        <w:t>2026-08-22 09:04:31+00:00</w:t>
      </w:r>
      <w:r>
        <w:t xml:space="preserve">    </w:t>
      </w:r>
      <w:r>
        <w:rPr>
          <w:b/>
        </w:rPr>
        <w:t xml:space="preserve">DOI: </w:t>
      </w:r>
      <w:hyperlink r:id="rId30">
        <w:r>
          <w:rPr>
            <w:color w:val="1155CC"/>
            <w:u w:val="single"/>
          </w:rPr>
          <w:t>10.1002/adma.74758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自组装单层 (SAM) 已成为高效倒置钙钛矿太阳能电池 (PSC) 的关键空穴选择层，但传统的单组分 SAM 存在严重的分子间聚集、热锚定不足和结晶模板弱等问题，严重限制了效率和运行稳定性，特别是在灵活配置中。在此，我们展示了一种合理设计的分子工程方法，通过具有二齿膦酸锚、给电子甲氧基的多功能 SAM 构建坚固的埋底界面。这种精心设计的分子设计能够增强界面结合、优化能级排列、抑制自聚集、定向钙钛矿结晶并减轻残余拉伸应变。结果，刚性 PSC 实现了 27.15% 的冠军效率（认证为 26.51%），而柔性 PSC 则表现出 25.37% 的卓越效率以及出色的机械鲁棒性。此外，优化后的器件具有卓越的运行稳定性，在 ISOS-L-2 协议下连续运行 1000 小时后仍保留 97.5% 的初始性能。这项工作通过稳健的埋入界面工程，为高性能和超稳定的柔性钙钛矿光伏发电提供了通用的分子工程范例。</w:t>
      </w:r>
    </w:p>
    <w:p>
      <w:pPr>
        <w:spacing w:before="0" w:after="200" w:lineRule="auto" w:line="276"/>
      </w:pPr>
      <w:r>
        <w:rPr>
          <w:b/>
        </w:rPr>
        <w:t xml:space="preserve">Abstract (EN): </w:t>
      </w:r>
      <w:r>
        <w:t>Self‐assembled monolayers (SAMs) have become pivotal hole‐selective layers for efficient inverted perovskite solar cells (PSCs), yet conventional single‐component SAMs suffer from severe intermolecular aggregation, insufficient thermal anchoring, and weak crystallization templating, which severely limit efficiency and operational stability, especially in flexible configurations. Herein, we demonstrate a rationally designed molecular engineering approach for constructing robust buried bottom interfaces via multifunctional SAMs featuring bidentate phosphonic acid anchors, electron‐donating methoxy groups. Such elaborate molecular design enables strengthened interfacial binding, optimized energy‐level alignment, suppressed self‐aggregation, and oriented perovskite crystallization with relieved residual tensile strain. As a result, rigid PSCs achieve a champion efficiency of 27.15% (certified 26.51%), and flexible PSCs exhibit a remarkable efficiency of 25.37% with outstanding mechanical robustness. Moreover, the optimized devices deliver exceptional operational stability, retaining 97.5% of initial performance after 1000 h of continuous operation under ISOS‐L‐2 protocols. This work provides a universal molecular engineering paradigm toward high‐performance and ultra‐stable flexible perovskite photovoltaics via robust buried interface engineering.</w:t>
      </w:r>
    </w:p>
    <w:p>
      <w:pPr>
        <w:spacing w:before="120" w:after="120"/>
      </w:pPr>
      <w:r>
        <w:rPr>
          <w:sz w:val="18"/>
        </w:rPr>
        <w:t>——————————————————————————————————————————————————————————————————————</w:t>
      </w:r>
    </w:p>
    <w:p>
      <w:pPr>
        <w:spacing w:before="160" w:after="40" w:line="240" w:lineRule="auto"/>
      </w:pPr>
      <w:r>
        <w:rPr>
          <w:b/>
        </w:rPr>
        <w:t xml:space="preserve">[12] </w:t>
      </w:r>
      <w:hyperlink r:id="rId31">
        <w:r>
          <w:rPr>
            <w:color w:val="1155CC"/>
            <w:u w:val="single"/>
          </w:rPr>
          <w:t>埋入界面的构象弹性：26.89% 钙钛矿太阳能电池和 23.95% 认证模块</w:t>
        </w:r>
      </w:hyperlink>
    </w:p>
    <w:p>
      <w:pPr>
        <w:spacing w:before="0" w:after="80"/>
      </w:pPr>
      <w:r>
        <w:rPr>
          <w:i/>
          <w:sz w:val="20"/>
        </w:rPr>
        <w:t>EN: Conformational Elasticity at the Buried Interface: 26.89% Perovskite Solar Cells and 23.95% Certified Modules</w:t>
      </w:r>
    </w:p>
    <w:p>
      <w:pPr>
        <w:spacing w:before="0" w:after="120"/>
      </w:pPr>
      <w:r>
        <w:rPr>
          <w:b/>
        </w:rPr>
        <w:t xml:space="preserve">Source: </w:t>
      </w:r>
      <w:r>
        <w:t>Wiley: Advanced Materials: Table of Contents</w:t>
      </w:r>
      <w:r>
        <w:t xml:space="preserve">    </w:t>
      </w:r>
      <w:r>
        <w:rPr>
          <w:b/>
        </w:rPr>
        <w:t xml:space="preserve">Pub date: </w:t>
      </w:r>
      <w:r>
        <w:t>2026-08-22 09:16:40+00:00</w:t>
      </w:r>
      <w:r>
        <w:t xml:space="preserve">    </w:t>
      </w:r>
      <w:r>
        <w:rPr>
          <w:b/>
        </w:rPr>
        <w:t xml:space="preserve">DOI: </w:t>
      </w:r>
      <w:hyperlink r:id="rId32">
        <w:r>
          <w:rPr>
            <w:color w:val="1155CC"/>
            <w:u w:val="single"/>
          </w:rPr>
          <w:t>10.1002/adma.74771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传统的自组装单层（SAM）在构象上是刚性的。它们无法缓冲钙钛矿快速结晶过程中的界面应变，从而限制了薄膜质量和器件稳定性。我们引入了一种构象工程策略，使用 2-二苯亚甲基-琥珀酸 (BSA)，一种具有柔性琥珀酸链的刚性二苯基亚甲基锚，以创建弹性埋入界面。原子模拟显示 BSA 充当可压缩缓冲器，在位移下将应力累积延迟 ∼6 Å。这种动态应变耗散改善了异质结接触并增强了空穴提取和传输。 BSA 修改的 p-i-n 器件达到 26.89% (0.045 cm</w:t>
      </w:r>
      <w:r>
        <w:rPr>
          <w:vertAlign w:val="subscript"/>
        </w:rPr>
        <w:t>2</w:t>
      </w:r>
      <w:r>
        <w:t>，认证26.52%）。大面积模块（22.95 cm</w:t>
      </w:r>
      <w:r>
        <w:rPr>
          <w:vertAlign w:val="subscript"/>
        </w:rPr>
        <w:t>2</w:t>
      </w:r>
      <w:r>
        <w:t>）交付 24.30%（认证 23.95%），这是该领域最高的认证值之一。该器件在 316 小时的昼夜循环后保持了 90% 的初始效率，在 ‐20°C 至 100°C 的 300 个极端瞬态热冲击循环后保持了 88%。这种构象设计将机械合规性与可扩展钙钛矿光伏电池中的电子功能集成在一起。</w:t>
      </w:r>
    </w:p>
    <w:p>
      <w:pPr>
        <w:spacing w:before="0" w:after="200" w:lineRule="auto" w:line="276"/>
      </w:pPr>
      <w:r>
        <w:rPr>
          <w:b/>
        </w:rPr>
        <w:t xml:space="preserve">Abstract (EN): </w:t>
      </w:r>
      <w:r>
        <w:t>Conventional self‐assembled monolayers (SAMs) are conformationally rigid. They cannot buffer interfacial strain during rapid perovskite crystallization, limiting both film quality and device stability. We introduce a conformational engineering strategy using 2‐benzhydrylidene‐succinic acid (BSA), a rigid diphenylmethylene anchor with flexible succinic acid chains to create an elastic buried interface. Atomic simulations show BSA acts as a compressible buffer, delaying stress accumulation by ∼6 Å under displacement. This dynamic strain dissipation improves heterojunction contact and enhances hole extraction and transport. BSA‐modified p‐i‐n devices reach 26.89% (0.045 cm</w:t>
      </w:r>
      <w:r>
        <w:rPr>
          <w:vertAlign w:val="subscript"/>
        </w:rPr>
        <w:t>2</w:t>
      </w:r>
      <w:r>
        <w:t>, certified 26.52%). Large‐area modules (22.95 cm</w:t>
      </w:r>
      <w:r>
        <w:rPr>
          <w:vertAlign w:val="subscript"/>
        </w:rPr>
        <w:t>2</w:t>
      </w:r>
      <w:r>
        <w:t>) deliver 24.30% (certified 23.95%), which is among the highest certified values for this area. The devices retain 90% of initial efficiency after 316 h of diurnal cycling and 88% after 300 extreme transient thermal shock cycles from ‐20 °C to 100 °C. This conformational design integrates mechanical compliance with electronic functionality in scalable perovskite photovoltaics.</w:t>
      </w:r>
    </w:p>
    <w:p>
      <w:pPr>
        <w:spacing w:before="120" w:after="120"/>
      </w:pPr>
      <w:r>
        <w:rPr>
          <w:sz w:val="18"/>
        </w:rPr>
        <w:t>——————————————————————————————————————————————————————————————————————</w:t>
      </w:r>
    </w:p>
    <w:p>
      <w:pPr>
        <w:spacing w:before="160" w:after="40" w:line="240" w:lineRule="auto"/>
      </w:pPr>
      <w:r>
        <w:rPr>
          <w:b/>
        </w:rPr>
        <w:t xml:space="preserve">[13] </w:t>
      </w:r>
      <w:hyperlink r:id="rId33">
        <w:r>
          <w:rPr>
            <w:color w:val="1155CC"/>
            <w:u w:val="single"/>
          </w:rPr>
          <w:t>通过碘化物氧化抑制的空气处理钙钛矿/硅串联太阳能电池</w:t>
        </w:r>
      </w:hyperlink>
    </w:p>
    <w:p>
      <w:pPr>
        <w:spacing w:before="0" w:after="80"/>
      </w:pPr>
      <w:r>
        <w:rPr>
          <w:i/>
          <w:sz w:val="20"/>
        </w:rPr>
        <w:t>EN: Air‐Processed Perovskite/Silicon Tandem Solar Cells via Iodide Oxidation Suppression</w:t>
      </w:r>
    </w:p>
    <w:p>
      <w:pPr>
        <w:spacing w:before="0" w:after="120"/>
      </w:pPr>
      <w:r>
        <w:rPr>
          <w:b/>
        </w:rPr>
        <w:t xml:space="preserve">Source: </w:t>
      </w:r>
      <w:r>
        <w:t>Wiley: Advanced Materials: Table of Contents</w:t>
      </w:r>
      <w:r>
        <w:t xml:space="preserve">    </w:t>
      </w:r>
      <w:r>
        <w:rPr>
          <w:b/>
        </w:rPr>
        <w:t xml:space="preserve">Pub date: </w:t>
      </w:r>
      <w:r>
        <w:t>2026-08-22 15:58:43+00:00</w:t>
      </w:r>
      <w:r>
        <w:t xml:space="preserve">    </w:t>
      </w:r>
      <w:r>
        <w:rPr>
          <w:b/>
        </w:rPr>
        <w:t xml:space="preserve">DOI: </w:t>
      </w:r>
      <w:hyperlink r:id="rId34">
        <w:r>
          <w:rPr>
            <w:color w:val="1155CC"/>
            <w:u w:val="single"/>
          </w:rPr>
          <w:t>10.1002/adma.74786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的宽带隙（WBG）钙钛矿顶部电池对于高性能钙钛矿/硅串联太阳能电池（TSC）至关重要，但它们在潮湿的环境空气中的制造仍然很困难，因为水分和氧气引起的反应会降低薄膜的质量和稳定性。在此，将4-[[4,6-双(辛硫基)-1,3,5-三嗪-2-基]氨基]-2,6-双(1,1-二甲基乙基)-苯酚(BTDP)引入钙钛矿前体中，使得WBG钙钛矿在高湿环境空气条件下形成。 BTDP 清除超氧自由基阴离子，抑制 I</w:t>
      </w:r>
      <w:r>
        <w:t xml:space="preserve"> </w:t>
      </w:r>
      <w:r>
        <w:t>-</w:t>
      </w:r>
      <w:r>
        <w:t>氧化为 I</w:t>
      </w:r>
      <w:r>
        <w:rPr>
          <w:vertAlign w:val="subscript"/>
        </w:rPr>
        <w:t>2</w:t>
      </w:r>
      <w:r>
        <w:t>，吸收紫外线，与Pb配位</w:t>
      </w:r>
      <w:r>
        <w:t xml:space="preserve"> </w:t>
      </w:r>
      <w:r>
        <w:t>2+</w:t>
      </w:r>
      <w:r>
        <w:t xml:space="preserve"> </w:t>
      </w:r>
      <w:r>
        <w:t>调节结晶并在表面和晶界形成疏水屏障。通过这种策略，在 60% 相对湿度下制造的刀片涂层 WBG 钙钛矿太阳能电池 (PSC) 的功率转换效率 (PCE) 为 23.45%，这是带隙 ≥1.68 eV 的空气处理 WBG PSC 所报道的最高 PCE。孔径面积为 14.81 cm 的微型模块</w:t>
      </w:r>
      <w:r>
        <w:rPr>
          <w:vertAlign w:val="subscript"/>
        </w:rPr>
        <w:t>2</w:t>
      </w:r>
      <w:r>
        <w:t>效率达到20.12%。此外，该方法能够在环境空气中制造双端钙钛矿/隧道氧化物钝化接触（TOPCon）TSC，其认证效率为32.59%，是双端钙钛矿/TOPCon TSC报道的最高PCE之一。这项研究为高效、稳定的单结和串联钙钛矿光伏电池提供了一条可扩展的途径。</w:t>
      </w:r>
    </w:p>
    <w:p>
      <w:pPr>
        <w:spacing w:before="0" w:after="200" w:lineRule="auto" w:line="276"/>
      </w:pPr>
      <w:r>
        <w:rPr>
          <w:b/>
        </w:rPr>
        <w:t xml:space="preserve">Abstract (EN): </w:t>
      </w:r>
      <w:r>
        <w:t>Efficient wide‐bandgap (WBG) perovskite top cells are essential for high‐performance perovskite/silicon tandem solar cells (TSCs), yet their fabrication in humid ambient air remains difficult because moisture‐ and oxygen‐induced reactions deteriorate film quality and stability. Here, 4‐[[4,6‐bis(octylthio)‐1,3,5‐triazin‐2‐yl]amino]‐2,6‐bis(1,1‐dimethylethyl)‐phenol (BTDP) is introduced into the perovskite precursor to enable WBG perovskite formation under high‐humid ambient air conditions. BTDP scavenges superoxide radical anions, inhibits I</w:t>
      </w:r>
      <w:r>
        <w:t xml:space="preserve"> </w:t>
      </w:r>
      <w:r>
        <w:t>−</w:t>
      </w:r>
      <w:r>
        <w:t>oxidation to I</w:t>
      </w:r>
      <w:r>
        <w:rPr>
          <w:vertAlign w:val="subscript"/>
        </w:rPr>
        <w:t>2</w:t>
      </w:r>
      <w:r>
        <w:t>, absorbs ultraviolet light, coordinates with Pb</w:t>
      </w:r>
      <w:r>
        <w:t xml:space="preserve"> </w:t>
      </w:r>
      <w:r>
        <w:t>2+</w:t>
      </w:r>
      <w:r>
        <w:t xml:space="preserve"> </w:t>
      </w:r>
      <w:r>
        <w:t>to regulate crystallization and forms a hydrophobic barrier at surfaces and grain boundaries. With this strategy, blade‐coated WBG perovskite solar cells (PSCs) fabricated at 60% relative humidity deliver a power conversion efficiency (PCE) of 23.45%, which represents the highest PCE reported for air‐processed WBG PSCs with bandgap ≥1.68 eV. Mini‐modules with an aperture area of 14.81 cm</w:t>
      </w:r>
      <w:r>
        <w:rPr>
          <w:vertAlign w:val="subscript"/>
        </w:rPr>
        <w:t>2</w:t>
      </w:r>
      <w:r>
        <w:t>reach 20.12% efficiency. Moreover, the method enables ambient‐air fabrication of two‐terminal perovskite/tunnel oxide passivated contact (TOPCon) TSCs with a certified efficiency of 32.59%, among the highest PCEs reported for two‐terminal perovskite/TOPCon TSCs. This study provides a scalable route to efficient, stable single‐junction and tandem perovskite photovoltaics.</w:t>
      </w:r>
    </w:p>
    <w:p>
      <w:pPr>
        <w:spacing w:before="120" w:after="120"/>
      </w:pPr>
      <w:r>
        <w:rPr>
          <w:sz w:val="18"/>
        </w:rPr>
        <w:t>——————————————————————————————————————————————————————————————————————</w:t>
      </w:r>
    </w:p>
    <w:p>
      <w:pPr>
        <w:spacing w:before="160" w:after="40" w:line="240" w:lineRule="auto"/>
      </w:pPr>
      <w:r>
        <w:rPr>
          <w:b/>
        </w:rPr>
        <w:t xml:space="preserve">[14] </w:t>
      </w:r>
      <w:hyperlink r:id="rId35">
        <w:r>
          <w:rPr>
            <w:color w:val="1155CC"/>
            <w:u w:val="single"/>
          </w:rPr>
          <w:t>有限监管下的市场电力和微电网分布式太阳能并网</w:t>
        </w:r>
      </w:hyperlink>
    </w:p>
    <w:p>
      <w:pPr>
        <w:spacing w:before="0" w:after="80"/>
      </w:pPr>
      <w:r>
        <w:rPr>
          <w:i/>
          <w:sz w:val="20"/>
        </w:rPr>
        <w:t>EN: Market power and distributed solar integration in microgrids under limited regulation</w:t>
      </w:r>
    </w:p>
    <w:p>
      <w:pPr>
        <w:spacing w:before="0" w:after="120"/>
      </w:pPr>
      <w:r>
        <w:rPr>
          <w:b/>
        </w:rPr>
        <w:t xml:space="preserve">Source: </w:t>
      </w:r>
      <w:r>
        <w:t>ScienceDirect Publication: Applied Energy</w:t>
      </w:r>
      <w:r>
        <w:t xml:space="preserve">    </w:t>
      </w:r>
      <w:r>
        <w:rPr>
          <w:b/>
        </w:rPr>
        <w:t xml:space="preserve">Pub date: </w:t>
      </w:r>
      <w:r>
        <w:t>2026-08-23 00:00:00+00:00</w:t>
      </w:r>
      <w:r>
        <w:t xml:space="preserve">    </w:t>
      </w:r>
      <w:r>
        <w:rPr>
          <w:b/>
        </w:rPr>
        <w:t xml:space="preserve">DOI: </w:t>
      </w:r>
      <w:hyperlink r:id="rId36">
        <w:r>
          <w:rPr>
            <w:color w:val="1155CC"/>
            <w:u w:val="single"/>
          </w:rPr>
          <w:t>10.1016/j.apenergy.2026.128703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7">
        <w:r>
          <w:rPr>
            <w:color w:val="1155CC"/>
            <w:u w:val="single"/>
          </w:rPr>
          <w:t>Ga 掺杂可实现 SnO2 的 (110) 面控制和表面钝化，从而实现高效稳定的倒置钙钛矿太阳能电池</w:t>
        </w:r>
      </w:hyperlink>
    </w:p>
    <w:p>
      <w:pPr>
        <w:spacing w:before="0" w:after="80"/>
      </w:pPr>
      <w:r>
        <w:rPr>
          <w:i/>
          <w:sz w:val="20"/>
        </w:rPr>
        <w:t>EN: Ga Doping Enables (110) Facet Control and Surface Passivation of SnO2 for Efficient and Stable Inverted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2026-08-23 17:52:26+00:00</w:t>
      </w:r>
      <w:r>
        <w:t xml:space="preserve">    </w:t>
      </w:r>
      <w:r>
        <w:rPr>
          <w:b/>
        </w:rPr>
        <w:t xml:space="preserve">DOI: </w:t>
      </w:r>
      <w:hyperlink r:id="rId38">
        <w:r>
          <w:rPr>
            <w:color w:val="1155CC"/>
            <w:u w:val="single"/>
          </w:rPr>
          <w:t>10.1002/anie.3095986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具有倒置（</w:t>
      </w:r>
      <w:r>
        <w:t xml:space="preserve"> </w:t>
      </w:r>
      <w:r>
        <w:t>p-i-n</w:t>
      </w:r>
      <w:r>
        <w:t xml:space="preserve"> </w:t>
      </w:r>
      <w:r>
        <w:t>）架构发展迅速，但将高效率与长期运行稳定性结合起来仍然具有挑战性，这主要是由于常用的有机阴极缓冲层（CBL）（C</w:t>
      </w:r>
      <w:r>
        <w:rPr>
          <w:vertAlign w:val="subscript"/>
        </w:rPr>
        <w:t>60</w:t>
      </w:r>
      <w:r>
        <w:t>电子传输层和金属阴极），例如具有光热不稳定性的浴铜灵（BCP）。这里，Ga掺杂SnO</w:t>
      </w:r>
      <w:r>
        <w:rPr>
          <w:vertAlign w:val="subscript"/>
        </w:rPr>
        <w:t>2</w:t>
      </w:r>
      <w:r>
        <w:t>(Ga:SnO</w:t>
      </w:r>
      <w:r>
        <w:rPr>
          <w:vertAlign w:val="subscript"/>
        </w:rPr>
        <w:t>2</w:t>
      </w:r>
      <w:r>
        <w:t>）作为无机 CBL 被引入以取代 BCP。从机理上讲，Ga的掺入促进了SnO的（110）面的择优生长</w:t>
      </w:r>
      <w:r>
        <w:rPr>
          <w:vertAlign w:val="subscript"/>
        </w:rPr>
        <w:t>2</w:t>
      </w:r>
      <w:r>
        <w:t>纳米粒子，显着增强了 CBL 的导电性和电子迁移率。它通过钝化表面缺陷和降低界面陷阱密度进一步抑制非辐射复合。界面处改进的能级排列有利于有效的电子提取。这些协同效应经过一系列表征验证，使倒置 pero-SC 的功率转换效率达到 27.06%（经认证为 26.77%），并且具有强大的稳定性，在 85°C 运行 1500 小时后仍能保持 88% 的初始效率。这项工作展示了获得高性能和长期稳定的 pero-SC 的可行且可扩展的途径。</w:t>
      </w:r>
    </w:p>
    <w:p>
      <w:pPr>
        <w:spacing w:before="0" w:after="200" w:lineRule="auto" w:line="276"/>
      </w:pPr>
      <w:r>
        <w:rPr>
          <w:b/>
        </w:rPr>
        <w:t xml:space="preserve">Abstract (EN): </w:t>
      </w:r>
      <w:r>
        <w:t>Perovskite solar cells (pero‐SCs) with inverted (</w:t>
      </w:r>
      <w:r>
        <w:t xml:space="preserve"> </w:t>
      </w:r>
      <w:r>
        <w:t>p–i–n</w:t>
      </w:r>
      <w:r>
        <w:t xml:space="preserve"> </w:t>
      </w:r>
      <w:r>
        <w:t>) architecture have advanced rapidly, yet combining high efficiency with long‐term operational stability remains challenging, mainly due to commonly used organic cathode buffer layer (CBL) (between C</w:t>
      </w:r>
      <w:r>
        <w:rPr>
          <w:vertAlign w:val="subscript"/>
        </w:rPr>
        <w:t>60</w:t>
      </w:r>
      <w:r>
        <w:t>electron transporting layer and metal cathode) such as bathocuproine (BCP) with photo‐thermal instability. Here, Ga‐doped SnO</w:t>
      </w:r>
      <w:r>
        <w:rPr>
          <w:vertAlign w:val="subscript"/>
        </w:rPr>
        <w:t>2</w:t>
      </w:r>
      <w:r>
        <w:t>(Ga:SnO</w:t>
      </w:r>
      <w:r>
        <w:rPr>
          <w:vertAlign w:val="subscript"/>
        </w:rPr>
        <w:t>2</w:t>
      </w:r>
      <w:r>
        <w:t>) is introduced as an inorganic CBL to replace BCP. Mechanistically, Ga incorporation promotes the preferential growth of the (110) facet of SnO</w:t>
      </w:r>
      <w:r>
        <w:rPr>
          <w:vertAlign w:val="subscript"/>
        </w:rPr>
        <w:t>2</w:t>
      </w:r>
      <w:r>
        <w:t>nanoparticles, which markedly enhances electrical conductivity and electron mobility of the CBL. It further suppresses non‐radiative recombination by passivating surface defects and reducing the interfacial trap density. The improved energy‐level alignment at the interface facilitates efficient electron extraction. These synergistic effects—validated by a suite of characterizations—enable inverted pero‐SCs with a champion power conversion efficiency of 27.06% (certified 26.77%) and robust stability, retaining 88% of initial efficiency after 1500 h of operation at 85°C. This work demonstrates a viable and scalable pathway to high‐performance and long‐term stable pero‐SCs.</w:t>
      </w:r>
    </w:p>
    <w:p>
      <w:pPr>
        <w:spacing w:before="120" w:after="120"/>
      </w:pPr>
      <w:r>
        <w:rPr>
          <w:sz w:val="18"/>
        </w:rPr>
        <w:t>——————————————————————————————————————————————————————————————————————</w:t>
      </w:r>
    </w:p>
    <w:p>
      <w:pPr>
        <w:spacing w:before="160" w:after="40" w:line="240" w:lineRule="auto"/>
      </w:pPr>
      <w:r>
        <w:rPr>
          <w:b/>
        </w:rPr>
        <w:t xml:space="preserve">[16] </w:t>
      </w:r>
      <w:hyperlink r:id="rId39">
        <w:r>
          <w:rPr>
            <w:color w:val="1155CC"/>
            <w:u w:val="single"/>
          </w:rPr>
          <w:t>具有创纪录带宽的自供电有机光电探测器，可同时进行能量收集和高速光无线通信</w:t>
        </w:r>
      </w:hyperlink>
    </w:p>
    <w:p>
      <w:pPr>
        <w:spacing w:before="0" w:after="80"/>
      </w:pPr>
      <w:r>
        <w:rPr>
          <w:i/>
          <w:sz w:val="20"/>
        </w:rPr>
        <w:t>EN: Self-Powered Organic Photodetectors with Record Bandwidth for Simultaneous Energy Harvesting and High-Speed Optical Wireless Communication</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40">
        <w:r>
          <w:rPr>
            <w:color w:val="1155CC"/>
            <w:u w:val="single"/>
          </w:rPr>
          <w:t>10.1021/acsami.6c08847</w:t>
        </w:r>
      </w:hyperlink>
    </w:p>
    <w:p>
      <w:pPr>
        <w:spacing w:before="0" w:after="120"/>
      </w:pPr>
      <w:r>
        <w:rPr>
          <w:b/>
        </w:rPr>
        <w:t xml:space="preserve">Notes: </w:t>
      </w:r>
      <w:r>
        <w:t>abstract_source=crossref</w:t>
      </w:r>
    </w:p>
    <w:p>
      <w:pPr>
        <w:spacing w:before="0" w:after="80" w:lineRule="auto" w:line="276"/>
      </w:pPr>
      <w:r>
        <w:rPr>
          <w:b/>
        </w:rPr>
        <w:t xml:space="preserve">摘要（ZH）: </w:t>
      </w:r>
      <w:r>
        <w:t>摘要 有机光电探测器（OPD）作为可见光通信（VLC）系统的接收器，由于其高灵敏度、低成本制造和机械灵活性而受到越来越多的关注。最近的研究重点是自供电 OPD，它可以同时实现数据接收和能量收集。在这里，我们系统地研究了电荷传输层（CTL）成分对自供电 PM6:Y6 OPD 动态性能的影响。频率响应测量表明，与有机 CTL 的 1.10 MHz 相比，采用无机 CTL 的器件可提供显着更高的 3 dB 带宽（1.85 MHz），而采用有机 CTL 的 OPD 则可产生卓越的光伏效率。在 VLC 演示中，具有无机 CTL 的 OPD 达到了创纪录的 52.9 MHz 可用调制带宽，远高于之前报道的值 (∼30 MHz)。重要的是，这些 OPD 支持创纪录的 160 Mbs–1 高速数据传输速率，同时收集 10 mW cm–2 的电能。瞬态光电流和电容电压 (C-V) 分析表明，无机 CTL 器件响应速度的提高源于更快的电荷提取和减少的陷阱相关电荷积累。这些发现强调了 CTL 选择在推进集成高速光通信和能量收集的自供电 OPD 方面的关键作用。</w:t>
      </w:r>
    </w:p>
    <w:p>
      <w:pPr>
        <w:spacing w:before="0" w:after="200" w:lineRule="auto" w:line="276"/>
      </w:pPr>
      <w:r>
        <w:rPr>
          <w:b/>
        </w:rPr>
        <w:t xml:space="preserve">Abstract (EN): </w:t>
      </w:r>
      <w:r>
        <w:t>Organic photodetectors (OPDs) are attracting increasing interest as receivers for visible light communication (VLC) systems due to their high sensitivity, low-cost fabrication, and mechanical flexibility. Recent efforts have focused on self-powered OPDs that can simultaneously enable data reception and energy harvesting. Here, we systematically investigate the effect of charge transport layer (CTL) composition on the dynamic performance of self-powered PM6:Y6 OPDs. Frequency response measurements show that devices employing inorganic CTLs deliver a significantly higher 3-dB bandwidth of 1.85 MHz compared to 1.10 MHz for organic CTLs, while OPDs with organic CTLs yield superior photovoltaic efficiency. In VLC demonstrations, OPDs with inorganic CTLs achieve a record usable modulation bandwidth of 52.9 MHz, substantially higher than previously reported values (∼30 MHz). Importantly, these OPDs support a record high-speed data transfer rate of 160 Mbs–1 while simultaneously harvesting 10 mW cm–2 of electrical power. Transient photocurrent and capacitance-voltage (C-V) analyses indicate that the enhanced response speed in inorganic CTL devices arises from faster charge extraction and reduced trap-related charge accumulation. These findings underscore the critical role of CTL selection in advancing self-powered OPDs for integrated high-speed optical communication and energy harvesting.</w:t>
      </w:r>
    </w:p>
    <w:p>
      <w:pPr>
        <w:spacing w:before="120" w:after="120"/>
      </w:pPr>
      <w:r>
        <w:rPr>
          <w:sz w:val="18"/>
        </w:rPr>
        <w:t>——————————————————————————————————————————————————————————————————————</w:t>
      </w:r>
    </w:p>
    <w:p>
      <w:pPr>
        <w:spacing w:before="160" w:after="40" w:line="240" w:lineRule="auto"/>
      </w:pPr>
      <w:r>
        <w:rPr>
          <w:b/>
        </w:rPr>
        <w:t xml:space="preserve">[17] </w:t>
      </w:r>
      <w:hyperlink r:id="rId41">
        <w:r>
          <w:rPr>
            <w:color w:val="1155CC"/>
            <w:u w:val="single"/>
          </w:rPr>
          <w:t>蒸发引导的形态演化实现了刀片涂层有机太阳能电池的精确控制</w:t>
        </w:r>
      </w:hyperlink>
    </w:p>
    <w:p>
      <w:pPr>
        <w:spacing w:before="0" w:after="80"/>
      </w:pPr>
      <w:r>
        <w:rPr>
          <w:i/>
          <w:sz w:val="20"/>
        </w:rPr>
        <w:t>EN: Vaporization-Guided Morphology Evolution Enables Precision Control in Blade-Coated Organic Solar Cells</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42">
        <w:r>
          <w:rPr>
            <w:color w:val="1155CC"/>
            <w:u w:val="single"/>
          </w:rPr>
          <w:t>10.1021/acsami.6c10845</w:t>
        </w:r>
      </w:hyperlink>
    </w:p>
    <w:p>
      <w:pPr>
        <w:spacing w:before="0" w:after="120"/>
      </w:pPr>
      <w:r>
        <w:rPr>
          <w:b/>
        </w:rPr>
        <w:t xml:space="preserve">Notes: </w:t>
      </w:r>
      <w:r>
        <w:t>abstract_source=crossref</w:t>
      </w:r>
    </w:p>
    <w:p>
      <w:pPr>
        <w:spacing w:before="0" w:after="80" w:lineRule="auto" w:line="276"/>
      </w:pPr>
      <w:r>
        <w:rPr>
          <w:b/>
        </w:rPr>
        <w:t xml:space="preserve">摘要（ZH）: </w:t>
      </w:r>
      <w:r>
        <w:t>摘要：控制刀片涂覆的体异质结活性层的形态演化对于实现高效有机太阳能电池（OSC）至关重要，但仍然具有挑战性，因为快速溶剂蒸发和不平衡的供体-受体聚集通常会导致相分离调控不佳和分子堆积无序。在此，通过将 1,4-二碘苯（DIB）作为挥发性固体添加剂引入刀片涂层的 PM6:L8-BO 装置中，开发了一种汽化引导的形貌调控策略。光学分析表明，适量的 DIB 主要调节受体相关的聚集态，L8-BO 吸收红移、电子振动强度比增强和光谱宽度变窄证明了这一点。原位紫外可见吸收和光致发光 (PL) 测量进一步表明，DIB 延迟了受体过早结晶，并延长了供体-受体相演化的动力学窗口，从而在刮刀涂覆过程中实现了更同步的聚集。形态表征证实，50 wt% DIB 可促进更明确的纳米级相分离、增强层状有序性和平衡的 π-π 堆积，而过量的 DIB 会导致过度聚集。密度泛函理论（DFT）计算和分子动力学（MD）模拟表明，DIB优先与L8-BO相互作用并短暂参与分子自组装，在去除添加剂后引导受体朝向更紧凑和有利的堆积基序。因此，优化后的器件表现出更高的功率转换能力</w:t>
      </w:r>
    </w:p>
    <w:p>
      <w:pPr>
        <w:spacing w:before="0" w:after="200" w:lineRule="auto" w:line="276"/>
      </w:pPr>
      <w:r>
        <w:rPr>
          <w:b/>
        </w:rPr>
        <w:t xml:space="preserve">Abstract (EN): </w:t>
      </w:r>
      <w:r>
        <w:t>Controlling the morphology evolution of blade-coated bulk-heterojunction active layers is crucial for achieving high-efficiency organic solar cells (OSCs), yet remains challenging because rapid solvent evaporation and unbalanced donor–acceptor aggregation often lead to poorly regulated phase separation and disordered molecular packing. Herein, a vaporization-guided morphology regulation strategy is developed by introducing 1,4-diiodobenzene (DIB) as a volatile solid additive into a blade-coated PM6:L8-BO device. Optical analysis reveals that an appropriate amount of DIB mainly regulates the acceptor-related aggregation state, as evidenced by the red-shifted L8-BO absorption, enhanced vibronic intensity ratios, and narrowed spectral width. In situ UV–vis absorption and photoluminescence (PL) measurements further demonstrate that DIB delays premature acceptor crystallization and prolongs the kinetic window for donor–acceptor phase evolution, thereby enabling more synchronized aggregation during blade coating. Morphology characterization confirms that 50 wt % DIB promotes better-defined nanoscale phase separation, enhanced lamellar ordering, and balanced π–π stacking, whereas excessive DIB induces over-aggregation. Density functional theory (DFT) calculations and molecular dynamics (MD) simulations reveal that DIB preferentially interacts with L8-BO and transiently participates in molecular self-assembly, guiding the acceptor toward more compact and favorable packing motifs after additive removal. Consequently, the optimized device exhibits an increased power conversion efficiency (PCE) from 17.27 to 18.75%, accompanied by enhanced exciton dissociation, suppressed recombination, and more balanced charge transport. This work provides a molecular-level understanding of volatile solid additive-mediated morphology evolution and offers an effective strategy for precision morphology control in scalable blade-coated OSCs.</w:t>
      </w:r>
    </w:p>
    <w:p>
      <w:pPr>
        <w:spacing w:before="120" w:after="120"/>
      </w:pPr>
      <w:r>
        <w:rPr>
          <w:sz w:val="18"/>
        </w:rPr>
        <w:t>——————————————————————————————————————————————————————————————————————</w:t>
      </w:r>
    </w:p>
    <w:p>
      <w:pPr>
        <w:spacing w:before="160" w:after="40" w:line="240" w:lineRule="auto"/>
      </w:pPr>
      <w:r>
        <w:rPr>
          <w:b/>
        </w:rPr>
        <w:t xml:space="preserve">[18] </w:t>
      </w:r>
      <w:hyperlink r:id="rId43">
        <w:r>
          <w:rPr>
            <w:color w:val="1155CC"/>
            <w:u w:val="single"/>
          </w:rPr>
          <w:t>高效 p-i-n 钙钛矿太阳能电池 SAM/钙钛矿界面的分子调控</w:t>
        </w:r>
      </w:hyperlink>
    </w:p>
    <w:p>
      <w:pPr>
        <w:spacing w:before="0" w:after="80"/>
      </w:pPr>
      <w:r>
        <w:rPr>
          <w:i/>
          <w:sz w:val="20"/>
        </w:rPr>
        <w:t>EN: Molecular Regulation toward SAM/Perovskite Interface for Efficient p‐i‐n Perovskite Solar Cells</w:t>
      </w:r>
    </w:p>
    <w:p>
      <w:pPr>
        <w:spacing w:before="0" w:after="120"/>
      </w:pPr>
      <w:r>
        <w:rPr>
          <w:b/>
        </w:rPr>
        <w:t xml:space="preserve">Source: </w:t>
      </w:r>
      <w:r>
        <w:t>Wiley: Advanced Energy Materials: Table of Contents</w:t>
      </w:r>
      <w:r>
        <w:t xml:space="preserve">    </w:t>
      </w:r>
      <w:r>
        <w:rPr>
          <w:b/>
        </w:rPr>
        <w:t xml:space="preserve">Pub date: </w:t>
      </w:r>
      <w:r>
        <w:t>2026-08-24 08:20:26+00:00</w:t>
      </w:r>
      <w:r>
        <w:t xml:space="preserve">    </w:t>
      </w:r>
      <w:r>
        <w:rPr>
          <w:b/>
        </w:rPr>
        <w:t xml:space="preserve">DOI: </w:t>
      </w:r>
      <w:hyperlink r:id="rId44">
        <w:r>
          <w:rPr>
            <w:color w:val="1155CC"/>
            <w:u w:val="single"/>
          </w:rPr>
          <w:t>10.1002/aenm.71482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具有典型的层状结构，界面处的缺陷和不理想的能带排列显着影响了载流子的提取/传输甚至器件的稳定性。因此，适当的接口修改对于构建高效稳定的设备至关重要。在这项工作中，我们设计了两种不对称SAM材料LW-1和LW-2来调节倒置钙钛矿太阳能电池的底部界面，包括通过取代基团（Cl）钝化FTO/SAM掩埋界面和钙钛矿薄膜的底部界面。</w:t>
      </w:r>
      <w:r>
        <w:t xml:space="preserve"> </w:t>
      </w:r>
      <w:r>
        <w:t>-</w:t>
      </w:r>
      <w:r>
        <w:t>和S</w:t>
      </w:r>
      <w:r>
        <w:t xml:space="preserve"> </w:t>
      </w:r>
      <w:r>
        <w:t>2−</w:t>
      </w:r>
      <w:r>
        <w:t>）。通常，Cl</w:t>
      </w:r>
      <w:r>
        <w:t xml:space="preserve"> </w:t>
      </w:r>
      <w:r>
        <w:t>-</w:t>
      </w:r>
      <w:r>
        <w:t>研究发现取代位置对偶极矩和界面性质有显着影响，并对这些影响进行了详细讨论。在LW-1基底上获得了更均匀的钙钛矿晶粒和更高的结晶度，从而导致钙钛矿体和钙钛矿界面的陷阱密度更低，电荷收集效率更高（</w:t>
      </w:r>
      <w:r>
        <w:t xml:space="preserve"> </w:t>
      </w:r>
      <w:r>
        <w:t>η</w:t>
      </w:r>
      <w:r>
        <w:t xml:space="preserve"> </w:t>
      </w:r>
      <w:r>
        <w:t>C</w:t>
      </w:r>
      <w:r>
        <w:t xml:space="preserve"> </w:t>
      </w:r>
      <w:r>
        <w:t>）。因此，基于 LW-1 的器件表现出 26.38% 的效率，优于相应的基于 LW-2 的器件。此外，基于LW-1的器件表现出26.0%的稳态输出效率，并在60°C加热、连续运行500小时MPP运行稳定性测试后保持了原始效率的90.9%。</w:t>
      </w:r>
    </w:p>
    <w:p>
      <w:pPr>
        <w:spacing w:before="0" w:after="200" w:lineRule="auto" w:line="276"/>
      </w:pPr>
      <w:r>
        <w:rPr>
          <w:b/>
        </w:rPr>
        <w:t xml:space="preserve">Abstract (EN): </w:t>
      </w:r>
      <w:r>
        <w:t>Perovskite solar cells with a typical layered structure, defects and unsatisfied energy band arrangement at the interfaces have significantly affected carrier extraction/transportation even device stability. Therefore, appropriate interface modification is essential for constructing efficient and stable devices. In this work, we designed two asymmetric SAM materials, LW‐1 and LW‐2, to regulate the bottom interface of inverted perovskite solar cells, including passivating the FTO/SAM buried interface and the bottom interface of perovskite films by their substituted groups (Cl</w:t>
      </w:r>
      <w:r>
        <w:t xml:space="preserve"> </w:t>
      </w:r>
      <w:r>
        <w:t>−</w:t>
      </w:r>
      <w:r>
        <w:t>and S</w:t>
      </w:r>
      <w:r>
        <w:t xml:space="preserve"> </w:t>
      </w:r>
      <w:r>
        <w:t>2−</w:t>
      </w:r>
      <w:r>
        <w:t>). Typically, Cl</w:t>
      </w:r>
      <w:r>
        <w:t xml:space="preserve"> </w:t>
      </w:r>
      <w:r>
        <w:t>−</w:t>
      </w:r>
      <w:r>
        <w:t>substitution positions were found to have remarkable impact on dipole moment and interfacial properties, and detailed discussion about these effects has been carried out. More uniform perovskite grains and higher crystallinity on the LW‐1 substrate were obtained, thus leading to lower trap densities of the perovskite bulk and the perovskite interface and higher charge collection efficiency (</w:t>
      </w:r>
      <w:r>
        <w:t xml:space="preserve"> </w:t>
      </w:r>
      <w:r>
        <w:t>η</w:t>
      </w:r>
      <w:r>
        <w:t xml:space="preserve"> </w:t>
      </w:r>
      <w:r>
        <w:t>C</w:t>
      </w:r>
      <w:r>
        <w:t xml:space="preserve"> </w:t>
      </w:r>
      <w:r>
        <w:t>). Consequently, LW‐1 based devices exhibited 26.38% efficiency, outperforming corresponding LW‐2 based devices. Moreover, LW‐1 based devices exhibited steady‐state output efficiency of 26.0% and maintained 90.9% of its original efficiency after 500 h MPP operational stability testing under 60 °C heating, continuous illumination from a white LED lamp and bias voltage close to the maximum power point voltages.</w:t>
      </w:r>
    </w:p>
    <w:p>
      <w:pPr>
        <w:spacing w:before="120" w:after="120"/>
      </w:pPr>
      <w:r>
        <w:rPr>
          <w:sz w:val="18"/>
        </w:rPr>
        <w:t>——————————————————————————————————————————————————————————————————————</w:t>
      </w:r>
    </w:p>
    <w:p>
      <w:pPr>
        <w:spacing w:before="160" w:after="40" w:line="240" w:lineRule="auto"/>
      </w:pPr>
      <w:r>
        <w:rPr>
          <w:b/>
        </w:rPr>
        <w:t xml:space="preserve">[19] </w:t>
      </w:r>
      <w:hyperlink r:id="rId45">
        <w:r>
          <w:rPr>
            <w:color w:val="1155CC"/>
            <w:u w:val="single"/>
          </w:rPr>
          <w:t>利用分子互变异构调节前体配位化学，实现高效稳定的钙钛矿太阳能电池</w:t>
        </w:r>
      </w:hyperlink>
    </w:p>
    <w:p>
      <w:pPr>
        <w:spacing w:before="0" w:after="80"/>
      </w:pPr>
      <w:r>
        <w:rPr>
          <w:i/>
          <w:sz w:val="20"/>
        </w:rPr>
        <w:t>EN: Harnessing Molecular Tautomerism to Tune Precursor Coordination Chemistry for Efficient and Stable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2026-08-24 16:11:32+00:00</w:t>
      </w:r>
      <w:r>
        <w:t xml:space="preserve">    </w:t>
      </w:r>
      <w:r>
        <w:rPr>
          <w:b/>
        </w:rPr>
        <w:t xml:space="preserve">DOI: </w:t>
      </w:r>
      <w:hyperlink r:id="rId46">
        <w:r>
          <w:rPr>
            <w:color w:val="1155CC"/>
            <w:u w:val="single"/>
          </w:rPr>
          <w:t>10.1002/anie.7848549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均匀结晶仍然是高性能钙钛矿光伏电池的一个关键挑战，因为传统的分子添加剂通常表现出固定的配位特性，限制了前体演化的精确调节。在这里，我们证明分子互变异构是通过采用嘌呤作为原型配位调节剂来调整前体配位化学的有效设计原理。嘌呤的固有互变异构现象在多个氮位点之间重新分配电子密度，从而实现互变异构体依赖性的 Pb-N 配位以及与不同前体物种的氢键相互作用。密度泛函理论计算揭示了嘌呤互变异构体与前体物种的独特相互作用强度，为互变异构可调节协调奠定了基础。这种可调节的分子相互作用调节前体配位网络并调节中间态演化，从而延迟成核并促进均匀晶体生长。因此，所得的钙钛矿薄膜表现出增强的结晶度和更均匀的能量景观。优化的太阳能电池实现了 27.05% 的冠军功率转换效率（认证为 26.51%），相应的迷你模块提供了孔径面积（12.95 cm2）</w:t>
      </w:r>
      <w:r>
        <w:rPr>
          <w:vertAlign w:val="subscript"/>
        </w:rPr>
        <w:t>2</w:t>
      </w:r>
      <w:r>
        <w:t>）效率为21.52%。这项工作将分子互变异构作为可调节前体配位的设计原理，提供了一种分子水平的方法来控制每个</w:t>
      </w:r>
    </w:p>
    <w:p>
      <w:pPr>
        <w:spacing w:before="0" w:after="200" w:lineRule="auto" w:line="276"/>
      </w:pPr>
      <w:r>
        <w:rPr>
          <w:b/>
        </w:rPr>
        <w:t xml:space="preserve">Abstract (EN): </w:t>
      </w:r>
      <w:r>
        <w:t>Homogeneous crystallization remains a critical challenge for high‐performance perovskite photovoltaics, as conventional molecular additives typically exhibit fixed coordination characteristics that limit precise regulation of precursor evolution. Here, we demonstrate molecular tautomerism as an effective design principle for tuning precursor coordination chemistry by employing purine as a prototype coordination modulator. The intrinsic tautomerism of purine redistributes electron density among multiple nitrogen sites, enabling tautomer‐dependent Pb–N coordination and hydrogen‐bonding interactions with different precursor species. Density functional theory calculations reveal distinct interaction strengths of purine tautomers toward precursor species, establishing the fundamental basis for tautomerism‐enabled tunable coordination. Such tunable molecular interactions modulate the precursor coordination network and regulate intermediate‐state evolution, thereby retarding nucleation and promoting homogeneous crystal growth. Consequently, the resulting perovskite films exhibit enhanced crystallinity and a more homogeneous energetic landscape. The optimized solar cells achieve a champion power conversion efficiency of 27.05% (certified 26.51%), and the corresponding mini‐module delivers an aperture‐area (12.95 cm</w:t>
      </w:r>
      <w:r>
        <w:rPr>
          <w:vertAlign w:val="subscript"/>
        </w:rPr>
        <w:t>2</w:t>
      </w:r>
      <w:r>
        <w:t>) efficiency of 21.52%. This work establishes molecular tautomerism as a design principle for tunable precursor coordination, providing a molecular‐level approach to controlling perovskite crystallization for efficient and scalable photovoltaics.</w:t>
      </w:r>
    </w:p>
    <w:p>
      <w:pPr>
        <w:spacing w:before="120" w:after="120"/>
      </w:pPr>
      <w:r>
        <w:rPr>
          <w:sz w:val="18"/>
        </w:rPr>
        <w:t>——————————————————————————————————————————————————————————————————————</w:t>
      </w:r>
    </w:p>
    <w:p>
      <w:pPr>
        <w:spacing w:before="160" w:after="40" w:line="240" w:lineRule="auto"/>
      </w:pPr>
      <w:r>
        <w:rPr>
          <w:b/>
        </w:rPr>
        <w:t xml:space="preserve">[20] </w:t>
      </w:r>
      <w:hyperlink r:id="rId47">
        <w:r>
          <w:rPr>
            <w:color w:val="1155CC"/>
            <w:u w:val="single"/>
          </w:rPr>
          <w:t>固溶体诱导晶格硬化增强了稳定太阳能电池的钙钛矿刚度</w:t>
        </w:r>
      </w:hyperlink>
    </w:p>
    <w:p>
      <w:pPr>
        <w:spacing w:before="0" w:after="80"/>
      </w:pPr>
      <w:r>
        <w:rPr>
          <w:i/>
          <w:sz w:val="20"/>
        </w:rPr>
        <w:t>EN: Solid-solution-induced lattice hardening reinforces perovskite stiffness for stable solar cell</w:t>
      </w:r>
    </w:p>
    <w:p>
      <w:pPr>
        <w:spacing w:before="0" w:after="120"/>
      </w:pPr>
      <w:r>
        <w:rPr>
          <w:b/>
        </w:rPr>
        <w:t xml:space="preserve">Source: </w:t>
      </w:r>
      <w:r>
        <w:t>National Science Review Advance Access</w:t>
      </w:r>
      <w:r>
        <w:t xml:space="preserve">    </w:t>
      </w:r>
      <w:r>
        <w:rPr>
          <w:b/>
        </w:rPr>
        <w:t xml:space="preserve">Pub date: </w:t>
      </w:r>
      <w:r>
        <w:t>2026-08-25 00:00:00+00:00</w:t>
      </w:r>
      <w:r>
        <w:t xml:space="preserve">    </w:t>
      </w:r>
      <w:r>
        <w:rPr>
          <w:b/>
        </w:rPr>
        <w:t xml:space="preserve">DOI: </w:t>
      </w:r>
      <w:hyperlink r:id="rId48">
        <w:r>
          <w:rPr>
            <w:color w:val="1155CC"/>
            <w:u w:val="single"/>
          </w:rPr>
          <w:t>10.1093/nsr/nwag484</w:t>
        </w:r>
      </w:hyperlink>
    </w:p>
    <w:p>
      <w:pPr>
        <w:spacing w:before="0" w:after="120"/>
      </w:pPr>
      <w:r>
        <w:rPr>
          <w:b/>
        </w:rPr>
        <w:t xml:space="preserve">Notes: </w:t>
      </w:r>
      <w:r>
        <w:t>abstract_source=rss_oup</w:t>
      </w:r>
    </w:p>
    <w:p>
      <w:pPr>
        <w:spacing w:before="0" w:after="80" w:lineRule="auto" w:line="276"/>
      </w:pPr>
      <w:r>
        <w:rPr>
          <w:b/>
        </w:rPr>
        <w:t xml:space="preserve">摘要（ZH）: </w:t>
      </w:r>
      <w:r>
        <w:t>钙钛矿光伏电池的运行不稳定性主要归因于其晶格的柔软离子性质。然而，钙钛矿晶格刚度的量化和内在调节策略及其与器件性能和稳定性的相关性尚未得到很好的探索。在这里，我们提出了一种固溶诱导晶格硬化（SSILH）策略，通过用镧离子部分取代铅离子来增强钙钛矿的刚度。增强机制源于具有较小离子半径和较强化学相互作用的镧掺杂剂引起的有益晶格收缩和键强化，共同产生更致密和更刚性的框架。因此，该策略明显提高了钙钛矿的刚度，杨氏模量从 27.96 GPa 增加到 35.71 GPa。增强的晶格刚度降低了热膨胀系数，抑制了缺陷形成和离子迁移，从而减轻了外部应力下的非辐射复合和结构退化。通过采用 4-异丙基-4'-甲基二苯基碘鎓四（五氟苯基）硼酸盐作为空穴传输层的稳定 p 掺杂剂，所得器件实现了 26.54% 的冠军功率转换效率 (PCE) 和 26.03% 的认证稳态效率。经过优化的器件在 65°C 和湿热条件下连续 1 太阳照射 1000 小时后，分别保留了 &gt;95% 和 &gt;90% 的初始效率。</w:t>
      </w:r>
    </w:p>
    <w:p>
      <w:pPr>
        <w:spacing w:before="0" w:after="200" w:lineRule="auto" w:line="276"/>
      </w:pPr>
      <w:r>
        <w:rPr>
          <w:b/>
        </w:rPr>
        <w:t xml:space="preserve">Abstract (EN): </w:t>
      </w:r>
      <w:r>
        <w:t>The operational instability of perovskite photovoltaics is mainly attributed to the soft, ionic nature of its lattice. However, the quantification and intrinsic tuning strategy of perovskite lattice stiffness, and its correlation with device performance and stability has not been well explored. Here, we propose a solid-solution-induced lattice hardening (SSILH) strategy to enhance the stiffness of perovskite through partial substitution of lead ions with lanthanum ions. The reinforcement mechanism stems from the beneficial lattice contraction and bond-strengthening induced by lanthanum dopant with smaller ionic radius and stronger chemical interaction, which collectively yield a denser and more rigid framework. Consequently, the strategy obviously enhances the perovskite stiffness with Young’s modulus increasing from 27.96 to 35.71 GPa. The enhanced lattice stiffness reduces the thermal expansion coefficient, suppresses defect formation and ion migration, thereby mitigating non-radiative recombination and structural degradation under external stress. By employing 4-Isopropyl-4’-methyldiphenyliodonium tetrakis(pentafluorophenyl) borate as a stable p-dopant for the hole transport layer, the resulting device achieves a champion power conversion efficiency (PCE) of 26.54% and a certified steady-state efficiency of 26.03%. The optimized devices retain &gt;95% and &gt;90% of their initial efficiencies after 1000 hours of continuous 1-sun illumination at 65°C and under damp-heat conditions, respectively.</w:t>
      </w:r>
    </w:p>
    <w:p>
      <w:pPr>
        <w:spacing w:before="120" w:after="120"/>
      </w:pPr>
      <w:r>
        <w:rPr>
          <w:sz w:val="18"/>
        </w:rPr>
        <w:t>——————————————————————————————————————————————————————————————————————</w:t>
      </w:r>
    </w:p>
    <w:p>
      <w:pPr>
        <w:spacing w:before="160" w:after="40" w:line="240" w:lineRule="auto"/>
      </w:pPr>
      <w:r>
        <w:rPr>
          <w:b/>
        </w:rPr>
        <w:t xml:space="preserve">[21] </w:t>
      </w:r>
      <w:hyperlink r:id="rId49">
        <w:r>
          <w:rPr>
            <w:color w:val="1155CC"/>
            <w:u w:val="single"/>
          </w:rPr>
          <w:t>位阻双位点螯合可实现 27.3% 效率的钙钛矿太阳能电池和超稳定 22% 双面组件</w:t>
        </w:r>
      </w:hyperlink>
    </w:p>
    <w:p>
      <w:pPr>
        <w:spacing w:before="0" w:after="80"/>
      </w:pPr>
      <w:r>
        <w:rPr>
          <w:i/>
          <w:sz w:val="20"/>
        </w:rPr>
        <w:t>EN: Steric-gated dual-site chelation enables 27.3% efficient perovskite solar cells and ultra-stable 22% bifacial modules</w:t>
      </w:r>
    </w:p>
    <w:p>
      <w:pPr>
        <w:spacing w:before="0" w:after="120"/>
      </w:pPr>
      <w:r>
        <w:rPr>
          <w:b/>
        </w:rPr>
        <w:t xml:space="preserve">Source: </w:t>
      </w:r>
      <w:r>
        <w:t>Joule</w:t>
      </w:r>
      <w:r>
        <w:t xml:space="preserve">    </w:t>
      </w:r>
      <w:r>
        <w:rPr>
          <w:b/>
        </w:rPr>
        <w:t xml:space="preserve">Pub date: </w:t>
      </w:r>
      <w:r>
        <w:t>2026-08-25 00:00:00+00:00</w:t>
      </w:r>
      <w:r>
        <w:t xml:space="preserve">    </w:t>
      </w:r>
      <w:r>
        <w:rPr>
          <w:b/>
        </w:rPr>
        <w:t xml:space="preserve">DOI: </w:t>
      </w:r>
      <w:hyperlink r:id="rId50">
        <w:r>
          <w:rPr>
            <w:color w:val="1155CC"/>
            <w:u w:val="single"/>
          </w:rPr>
          <w:t>10.1016/j.joule.2026.102644</w:t>
        </w:r>
      </w:hyperlink>
    </w:p>
    <w:p>
      <w:pPr>
        <w:spacing w:before="0" w:after="120"/>
      </w:pPr>
      <w:r>
        <w:rPr>
          <w:b/>
        </w:rPr>
        <w:t xml:space="preserve">Notes: </w:t>
      </w:r>
      <w:r>
        <w:t>abstract_source=rss_cell</w:t>
      </w:r>
    </w:p>
    <w:p>
      <w:pPr>
        <w:spacing w:before="0" w:after="80" w:lineRule="auto" w:line="276"/>
      </w:pPr>
      <w:r>
        <w:rPr>
          <w:b/>
        </w:rPr>
        <w:t xml:space="preserve">摘要（ZH）: </w:t>
      </w:r>
      <w:r>
        <w:t>要使钙钛矿太阳能电池高效耐用，需要能够修复缺陷而不阻碍电荷流动的分子。这项工作表明，ADA-DA（一种具有两个结合臂的刚性 3D 分子）可以强烈钝化与铅相关的缺陷，同时控制界面堆积。该策略在倒置电池和稳定的&gt;22%双面组件中实现了27.10%的经认证稳定效率，为可扩展的钙钛矿光伏电池提供了分子设计规则。</w:t>
      </w:r>
    </w:p>
    <w:p>
      <w:pPr>
        <w:spacing w:before="0" w:after="200" w:lineRule="auto" w:line="276"/>
      </w:pPr>
      <w:r>
        <w:rPr>
          <w:b/>
        </w:rPr>
        <w:t xml:space="preserve">Abstract (EN): </w:t>
      </w:r>
      <w:r>
        <w:t>Making perovskite solar cells efficient and durable requires molecules that fix defects without blocking charge flow. This work shows that ADA-DA, a rigid 3D molecule with two binding arms, can strongly passivate lead-related defects while controlling interfacial packing. The strategy delivers 27.10% certified stabilized efficiency in inverted cells and stable, &gt;22% bifacial modules, offering a molecular design rule for scalable perovskite photovoltaics.</w:t>
      </w:r>
    </w:p>
    <w:p>
      <w:pPr>
        <w:spacing w:before="120" w:after="120"/>
      </w:pPr>
      <w:r>
        <w:rPr>
          <w:sz w:val="18"/>
        </w:rPr>
        <w:t>——————————————————————————————————————————————————————————————————————</w:t>
      </w:r>
    </w:p>
    <w:p>
      <w:pPr>
        <w:spacing w:before="160" w:after="40" w:line="240" w:lineRule="auto"/>
      </w:pPr>
      <w:r>
        <w:rPr>
          <w:b/>
        </w:rPr>
        <w:t xml:space="preserve">[22] </w:t>
      </w:r>
      <w:hyperlink r:id="rId51">
        <w:r>
          <w:rPr>
            <w:color w:val="1155CC"/>
            <w:u w:val="single"/>
          </w:rPr>
          <w:t>烯烃-Ag d-π 耦合使有机太阳能电池的填充因子大于 83%</w:t>
        </w:r>
      </w:hyperlink>
    </w:p>
    <w:p>
      <w:pPr>
        <w:spacing w:before="0" w:after="80"/>
      </w:pPr>
      <w:r>
        <w:rPr>
          <w:i/>
          <w:sz w:val="20"/>
        </w:rPr>
        <w:t>EN: Olefin–Ag d–π Coupling Enables Organic Solar Cells With &gt;83% Fill Factor</w:t>
      </w:r>
    </w:p>
    <w:p>
      <w:pPr>
        <w:spacing w:before="0" w:after="120"/>
      </w:pPr>
      <w:r>
        <w:rPr>
          <w:b/>
        </w:rPr>
        <w:t xml:space="preserve">Source: </w:t>
      </w:r>
      <w:r>
        <w:t>Wiley: Angewandte Chemie International Edition: Table of Contents</w:t>
      </w:r>
      <w:r>
        <w:t xml:space="preserve">    </w:t>
      </w:r>
      <w:r>
        <w:rPr>
          <w:b/>
        </w:rPr>
        <w:t xml:space="preserve">Pub date: </w:t>
      </w:r>
      <w:r>
        <w:t>2026-08-25 04:19:03+00:00</w:t>
      </w:r>
      <w:r>
        <w:t xml:space="preserve">    </w:t>
      </w:r>
      <w:r>
        <w:rPr>
          <w:b/>
        </w:rPr>
        <w:t xml:space="preserve">DOI: </w:t>
      </w:r>
      <w:hyperlink r:id="rId52">
        <w:r>
          <w:rPr>
            <w:color w:val="1155CC"/>
            <w:u w:val="single"/>
          </w:rPr>
          <w:t>10.1002/anie.7293232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研究中，我们发现了一种以前被忽视的界面修饰机制。具体来说，孤立的烯烃部分能够向金属表面提供π电子，进而产生界面偶极子并导致电极功函数的大幅降低。该策略证明了在一系列含烯烃分子中的广泛适用性。通过对各种金属的比较研究，已经确定银（Ag）表现出最明显的π→金属捐赠相互作用。当烯烃功能化材料用作有机太阳能电池（OSC）中的阴极中间层（CIL）时，它们可以增强内置电场，促进欧姆接触的形成，提高电荷提取效率，并抑制陷阱辅助复合，从而在D18:L8-BO系统中实现20.88%的功率转换效率（PCE）和超过83%的高填充因子。通过深度剖面 X 射线光电子能谱 (XPS) 的进一步分析揭示了银迁移的显着抑制，凸显了烯烃 CIL 增强器件稳定性的能力。我们的研究表明，烯烃代表了一类新型的电极修饰基团，具有稳定的化学性质和给电子特性，为高性能、长寿命的有机光伏电池技术的发展提供了广阔的前景。</w:t>
      </w:r>
    </w:p>
    <w:p>
      <w:pPr>
        <w:spacing w:before="0" w:after="200" w:lineRule="auto" w:line="276"/>
      </w:pPr>
      <w:r>
        <w:rPr>
          <w:b/>
        </w:rPr>
        <w:t xml:space="preserve">Abstract (EN): </w:t>
      </w:r>
      <w:r>
        <w:t>In this study, we have discovered a previously neglected interface modification mechanism. Specifically, isolated olefin moieties are capable of donating π‐electrons to metal surfaces, which in turn generates an interfacial dipole and leads to a substantial reduction in the electrode work function. This strategy demonstrates broad applicability across a range of olefin‐containing molecules. Through comparative studies on various metals, it has been determined that silver (Ag) exhibits the most pronounced π→metal donation interaction. When olefin‐functionalized materials are employed as the cathode interlayer (CIL) in organic solar cells (OSCs), they can enhance the built‐in electric field, promote the formation of ohmic contact, improve charge extraction efficiency, and suppress trap‐assisted recombination, resulting in a power conversion efficiency (PCE) of 20.88% with a high fill factor over 83% in D18:L8‐BO system. Further analysis by depth‐profile x‐ray photoelectron spectroscopy (XPS) reveals a significant suppression of Ag migration, highlighting the ability of olefin CILs to enhance device stability. Our research indicates that olefins represent a novel class of electrode‐modifying groups with stable chemical properties and electron‐donating characteristics, offering promising prospects for the development of high‐performance, long‐lifetime organic photovoltaic cell technologies.</w:t>
      </w:r>
    </w:p>
    <w:p>
      <w:pPr>
        <w:spacing w:before="120" w:after="120"/>
      </w:pPr>
      <w:r>
        <w:rPr>
          <w:sz w:val="18"/>
        </w:rPr>
        <w:t>——————————————————————————————————————————————————————————————————————</w:t>
      </w:r>
    </w:p>
    <w:p>
      <w:pPr>
        <w:spacing w:before="160" w:after="40" w:line="240" w:lineRule="auto"/>
      </w:pPr>
      <w:r>
        <w:rPr>
          <w:b/>
        </w:rPr>
        <w:t xml:space="preserve">[23] </w:t>
      </w:r>
      <w:hyperlink r:id="rId53">
        <w:r>
          <w:rPr>
            <w:color w:val="1155CC"/>
            <w:u w:val="single"/>
          </w:rPr>
          <w:t>高效锡基钙钛矿太阳能电池中的等离子体激元驱动的光吸收和空穴提取</w:t>
        </w:r>
      </w:hyperlink>
    </w:p>
    <w:p>
      <w:pPr>
        <w:spacing w:before="0" w:after="80"/>
      </w:pPr>
      <w:r>
        <w:rPr>
          <w:i/>
          <w:sz w:val="20"/>
        </w:rPr>
        <w:t>EN: Plasmon‐Driven Light Absorption and Hole Extraction in Efficient Tin‐Based Perovskite Solar Cells</w:t>
      </w:r>
    </w:p>
    <w:p>
      <w:pPr>
        <w:spacing w:before="0" w:after="120"/>
      </w:pPr>
      <w:r>
        <w:rPr>
          <w:b/>
        </w:rPr>
        <w:t xml:space="preserve">Source: </w:t>
      </w:r>
      <w:r>
        <w:t>Wiley: Advanced Materials: Table of Contents</w:t>
      </w:r>
      <w:r>
        <w:t xml:space="preserve">    </w:t>
      </w:r>
      <w:r>
        <w:rPr>
          <w:b/>
        </w:rPr>
        <w:t xml:space="preserve">Pub date: </w:t>
      </w:r>
      <w:r>
        <w:t>2026-08-25 07:30:02+00:00</w:t>
      </w:r>
      <w:r>
        <w:t xml:space="preserve">    </w:t>
      </w:r>
      <w:r>
        <w:rPr>
          <w:b/>
        </w:rPr>
        <w:t xml:space="preserve">DOI: </w:t>
      </w:r>
      <w:hyperlink r:id="rId54">
        <w:r>
          <w:rPr>
            <w:color w:val="1155CC"/>
            <w:u w:val="single"/>
          </w:rPr>
          <w:t>10.1002/adma.74769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锡钙钛矿是高性能、无铅钙钛矿太阳能电池最有前途的候选材料之一。然而，光利用率不足，特别是在较长波长范围内，以及界面孔提取效率低下，继续限制锡（Sn）基钙钛矿太阳能电池（TPSC）的性能。在此，我们在Sn基钙钛矿/PEDOT:PSS界面引入等离子体Ag纳米结构中间层，通过局域表面等离子体共振（LSPR）和近电场增强协同调节光吸收和载流子传输。等离子体夹层减少了界面载流子积累，加速空穴提取，并抑制非辐射复合，同时通过增强光场限制改善长波长光收集。结果，TPSC 的效率从 13.03% 增加到 16.48%，同时长波长区域的入射光子到电流的转换效率也显着提高。此外，掺入银纳米粒子的 TPSC 表现出更高的运行稳定性，在 800 小时后仍保持其初始效率的 86% 以上。这项工作展示了一种将等离子体金属纳米结构集成到 TPSC 中的有效策略，以克服关键的光学和电子限制并推进高效无铅光伏发电。</w:t>
      </w:r>
    </w:p>
    <w:p>
      <w:pPr>
        <w:spacing w:before="0" w:after="200" w:lineRule="auto" w:line="276"/>
      </w:pPr>
      <w:r>
        <w:rPr>
          <w:b/>
        </w:rPr>
        <w:t xml:space="preserve">Abstract (EN): </w:t>
      </w:r>
      <w:r>
        <w:t>Tin halide perovskites are among the most promising candidate materials for high‐performance, lead‐free perovskite solar cells. However, insufficient light utilization, particularly at longer wavelength ranges, and inefficient interfacial hole extraction continue to limit the performance of tin (Sn)‐based perovskite solar cells (TPSCs). Herein, we introduce a plasmonic Ag nanostructured interlayer at the Sn‐based perovskite/PEDOT:PSS interface to synergistically regulate optical absorption and carrier transport through localized surface plasmon resonance (LSPR) and near‐electric field enhancement. The plasmonic interlayer reduces interfacial carrier accumulation, accelerates hole extraction, and suppresses non‐radiative recombination, while simultaneously improving long‐wavelength light harvesting through enhanced optical field confinement. As a result, the efficiency of TPSCs increases from 13.03% to 16.48%, accompanied by a pronounced enhancement in incident photon‐to‐current conversion efficiency in the long‐wavelength region. In addition, the TPSCs incorporating Ag nanoparticles exhibit improved operational stability, retaining over 86% of their initial efficiency after 800 h. This work demonstrates an effective strategy for integrating plasmonic metallic nanostructures into TPSCs to overcome key optical and electronic limitations and advance high‐efficiency lead‐free photovoltaics.</w:t>
      </w:r>
    </w:p>
    <w:p>
      <w:pPr>
        <w:spacing w:before="120" w:after="120"/>
      </w:pPr>
      <w:r>
        <w:rPr>
          <w:sz w:val="18"/>
        </w:rPr>
        <w:t>——————————————————————————————————————————————————————————————————————</w:t>
      </w:r>
    </w:p>
    <w:p>
      <w:pPr>
        <w:spacing w:before="160" w:after="40" w:line="240" w:lineRule="auto"/>
      </w:pPr>
      <w:r>
        <w:rPr>
          <w:b/>
        </w:rPr>
        <w:t xml:space="preserve">[24] </w:t>
      </w:r>
      <w:hyperlink r:id="rId55">
        <w:r>
          <w:rPr>
            <w:color w:val="1155CC"/>
            <w:u w:val="single"/>
          </w:rPr>
          <w:t>用于增强太阳能驱动 KA 油电氧化的缺陷工程界面水结构</w:t>
        </w:r>
      </w:hyperlink>
    </w:p>
    <w:p>
      <w:pPr>
        <w:spacing w:before="0" w:after="80"/>
      </w:pPr>
      <w:r>
        <w:rPr>
          <w:i/>
          <w:sz w:val="20"/>
        </w:rPr>
        <w:t>EN: Defect‐Engineered Interfacial Water Structure for Enhanced Solar‐Driven Electrooxidation of KA Oil</w:t>
      </w:r>
    </w:p>
    <w:p>
      <w:pPr>
        <w:spacing w:before="0" w:after="120"/>
      </w:pPr>
      <w:r>
        <w:rPr>
          <w:b/>
        </w:rPr>
        <w:t xml:space="preserve">Source: </w:t>
      </w:r>
      <w:r>
        <w:t>Wiley: Advanced Materials: Table of Contents</w:t>
      </w:r>
      <w:r>
        <w:t xml:space="preserve">    </w:t>
      </w:r>
      <w:r>
        <w:rPr>
          <w:b/>
        </w:rPr>
        <w:t xml:space="preserve">Pub date: </w:t>
      </w:r>
      <w:r>
        <w:t>2026-08-25 07:38:58+00:00</w:t>
      </w:r>
      <w:r>
        <w:t xml:space="preserve">    </w:t>
      </w:r>
      <w:r>
        <w:rPr>
          <w:b/>
        </w:rPr>
        <w:t xml:space="preserve">DOI: </w:t>
      </w:r>
      <w:hyperlink r:id="rId56">
        <w:r>
          <w:rPr>
            <w:color w:val="1155CC"/>
            <w:u w:val="single"/>
          </w:rPr>
          <w:t>10.1002/adma.74766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环己醇电氧化反应（CHAOR）为生产己二酸提供了一条可持续的途径。然而，由于对活性氧和反应途径的了解有限，实现高开环效率和稳定的长期产率仍然具有挑战性。在这项研究中，Ru单原子和氧空位被用来构建高效CHAOR的协同界面。氧空位通过产生路易斯酸位点作为结构促进剂，增强有机物质的吸附并减轻 Ru 原子的团聚。正如石英晶体微天平实验和密度泛函理论计算所支持的那样，原子分散的Ru位点通过破坏界面氢键网络（如原位拉曼证实）来充当功能调节剂，以降低*OH形成势垒并促进有机分子接近催化表面。串联电化学化学机理得到阐明：*OH 的形成是电化学步骤，而其与有机物的反应是化学步骤。受益于协同作用，Ru-NiO</w:t>
      </w:r>
      <w:r>
        <w:t xml:space="preserve"> </w:t>
      </w:r>
      <w:r>
        <w:t>x</w:t>
      </w:r>
      <w:r>
        <w:t xml:space="preserve"> </w:t>
      </w:r>
      <w:r>
        <w:t>在 1.45 V 下实现 100% 转化率和 87% AA（己二酸）产率</w:t>
      </w:r>
      <w:r>
        <w:t xml:space="preserve"> </w:t>
      </w:r>
      <w:r>
        <w:t>右心室</w:t>
      </w:r>
      <w:r>
        <w:t xml:space="preserve"> </w:t>
      </w:r>
      <w:r>
        <w:t>。此外，还开发了一种光伏电解系统来解决太阳能间歇性和功率波动问题，其中Ru-NiO</w:t>
      </w:r>
      <w:r>
        <w:t xml:space="preserve"> </w:t>
      </w:r>
      <w:r>
        <w:t>x</w:t>
      </w:r>
      <w:r>
        <w:t xml:space="preserve"> </w:t>
      </w:r>
      <w:r>
        <w:t>表现出优异的稳定性</w:t>
      </w:r>
    </w:p>
    <w:p>
      <w:pPr>
        <w:spacing w:before="0" w:after="200" w:lineRule="auto" w:line="276"/>
      </w:pPr>
      <w:r>
        <w:rPr>
          <w:b/>
        </w:rPr>
        <w:t xml:space="preserve">Abstract (EN): </w:t>
      </w:r>
      <w:r>
        <w:t>Cyclohexanol electrooxidation reaction (CHAOR) offers a sustainable route for producing adipic acid. However, achieving high ring‐opening efficiency and stable long‐term yield remains challenging due to limited understanding of active oxygen species and reaction pathway. In this study, Ru single atoms and oxygen vacancies are used to construct a synergistic interface for efficient CHAOR. Oxygen vacancies serve as structural promoters by creating Lewis acid sites that enhance organic species adsorption and mitigate the agglomeration of Ru atoms. Atomically dispersed Ru sites act as functional modulators by disrupting the interfacial hydrogen‐bond network‐as confirmed by in situ Raman‐to lower the *OH formation barrier and facilitate the accessibility of organic molecules to the catalytic surface, as supported by quartz crystal microbalance experiments and density functional theory calculations. The tandem electrochemical‐chemical mechanism is elucidated: *OH formation is the electrochemical step, while its reaction with organics is the chemical step. Benefiting from the synergy, Ru‐NiO</w:t>
      </w:r>
      <w:r>
        <w:t xml:space="preserve"> </w:t>
      </w:r>
      <w:r>
        <w:t>x</w:t>
      </w:r>
      <w:r>
        <w:t xml:space="preserve"> </w:t>
      </w:r>
      <w:r>
        <w:t>achieves 100% conversion and 87% AA (adipic acid) yield at 1.45 V</w:t>
      </w:r>
      <w:r>
        <w:t xml:space="preserve"> </w:t>
      </w:r>
      <w:r>
        <w:t>RHE</w:t>
      </w:r>
      <w:r>
        <w:t xml:space="preserve"> </w:t>
      </w:r>
      <w:r>
        <w:t>. Furthermore, a photovoltaic‐electrolysis system is developed to address solar intermittency and power fluctuations, in which Ru‐NiO</w:t>
      </w:r>
      <w:r>
        <w:t xml:space="preserve"> </w:t>
      </w:r>
      <w:r>
        <w:t>x</w:t>
      </w:r>
      <w:r>
        <w:t xml:space="preserve"> </w:t>
      </w:r>
      <w:r>
        <w:t>exhibits excellent stability over 1000 h with a maximum productivity of 204.4 µmol cm</w:t>
      </w:r>
      <w:r>
        <w:t xml:space="preserve"> </w:t>
      </w:r>
      <w:r>
        <w:t>−2</w:t>
      </w:r>
      <w:r>
        <w:t xml:space="preserve"> </w:t>
      </w:r>
      <w:r>
        <w:t>h</w:t>
      </w:r>
      <w:r>
        <w:t xml:space="preserve"> </w:t>
      </w:r>
      <w:r>
        <w:t>−1</w:t>
      </w:r>
      <w:r>
        <w:t xml:space="preserve"> </w:t>
      </w:r>
      <w:r>
        <w:t>. Scaling to eight electrolyzers demonstrates good scalability, indicating strong potential for practical application.</w:t>
      </w:r>
    </w:p>
    <w:p>
      <w:pPr>
        <w:spacing w:before="120" w:after="120"/>
      </w:pPr>
      <w:r>
        <w:rPr>
          <w:sz w:val="18"/>
        </w:rPr>
        <w:t>——————————————————————————————————————————————————————————————————————</w:t>
      </w:r>
    </w:p>
    <w:p>
      <w:pPr>
        <w:spacing w:before="160" w:after="40" w:line="240" w:lineRule="auto"/>
      </w:pPr>
      <w:r>
        <w:rPr>
          <w:b/>
        </w:rPr>
        <w:t xml:space="preserve">[25] </w:t>
      </w:r>
      <w:hyperlink r:id="rId57">
        <w:r>
          <w:rPr>
            <w:color w:val="1155CC"/>
            <w:u w:val="single"/>
          </w:rPr>
          <w:t>合理设计的协同自组装单层膜可实现宽带隙钙钛矿的整体调制，用于高性能钙钛矿-硅串联太阳能电池</w:t>
        </w:r>
      </w:hyperlink>
    </w:p>
    <w:p>
      <w:pPr>
        <w:spacing w:before="0" w:after="80"/>
      </w:pPr>
      <w:r>
        <w:rPr>
          <w:i/>
          <w:sz w:val="20"/>
        </w:rPr>
        <w:t>EN: Rationally Designed Cooperative Self‐Assembled Monolayers Enable Holistic Modulations of Wide‐Bandgap Perovskites for High‐Performance Perovskite‐Silicon Tandem Solar Cells</w:t>
      </w:r>
    </w:p>
    <w:p>
      <w:pPr>
        <w:spacing w:before="0" w:after="120"/>
      </w:pPr>
      <w:r>
        <w:rPr>
          <w:b/>
        </w:rPr>
        <w:t xml:space="preserve">Source: </w:t>
      </w:r>
      <w:r>
        <w:t>Wiley: Advanced Energy Materials: Table of Contents</w:t>
      </w:r>
      <w:r>
        <w:t xml:space="preserve">    </w:t>
      </w:r>
      <w:r>
        <w:rPr>
          <w:b/>
        </w:rPr>
        <w:t xml:space="preserve">Pub date: </w:t>
      </w:r>
      <w:r>
        <w:t>2026-08-25 08:02:51+00:00</w:t>
      </w:r>
      <w:r>
        <w:t xml:space="preserve">    </w:t>
      </w:r>
      <w:r>
        <w:rPr>
          <w:b/>
        </w:rPr>
        <w:t xml:space="preserve">DOI: </w:t>
      </w:r>
      <w:hyperlink r:id="rId58">
        <w:r>
          <w:rPr>
            <w:color w:val="1155CC"/>
            <w:u w:val="single"/>
          </w:rPr>
          <w:t>10.1002/aenm.71512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硅串联太阳能电池为下一代经济高效的光伏技术的发展带来了巨大的希望，其性能提升很大程度上依赖于宽带隙钙钛矿子电池的先进材料和界面工程。在此，我们开发了一种合作自组装单层（co-SAM）策略，将合理设计的烷基膦酸、12-甲氧基十二烷基膦酸（MeODPA）纳入常用的咔唑基SAM中，从而显着增强单结宽带隙（WBG）（1.68 eV）和串联PSC的性能。我们证明，MeODPA 的甲氧基端基和柔性烷基链可协同提高埋入基板上 SAM 的基板润湿性和分子覆盖率，促进钙钛矿结晶并稳定埋入界面接触。此外，我们发现了 co-SAM 在调节 PbI 方面先前被忽视的功能。</w:t>
      </w:r>
      <w:r>
        <w:rPr>
          <w:vertAlign w:val="subscript"/>
        </w:rPr>
        <w:t>2</w:t>
      </w:r>
      <w:r>
        <w:t>分布在顶表面，这有利于更有效的表面钝化，从而提高所得钙钛矿薄膜的光稳定性。利用这些进步，我们制造了单结 WBG 和钙钛矿硅串联器件，其卓越的功率转换效率 (PCE) 分别为 24.11% 和 32.16%。这项工作全面了解了 co-SAM 对钙钛矿薄膜体和双界面特性的协调影响，为进一步的性能研究提供了宝贵的见解。</w:t>
      </w:r>
    </w:p>
    <w:p>
      <w:pPr>
        <w:spacing w:before="0" w:after="200" w:lineRule="auto" w:line="276"/>
      </w:pPr>
      <w:r>
        <w:rPr>
          <w:b/>
        </w:rPr>
        <w:t xml:space="preserve">Abstract (EN): </w:t>
      </w:r>
      <w:r>
        <w:t>Perovskite‐silicon tandem solar cells hold great promise for the development of next‐generation cost‐effective photovoltaic technologies, and their performance gains largely rely on advanced materials and interface engineering of wide‐bandgap perovskite sub‐cells. Herein, we develop a cooperative self‐assembled monolayer (co‐SAM) strategy by incorporating a rationally designed alkyl‐phosphonic acid, 12‐methoxydodecylphosphonic acid (MeODPA), into commonly used carbazole‐based SAMs, leading to an obvious enhancement in the performance of single‐junction wide‐bandgap (WBG) (1.68 eV) and tandem PSCs. We demonstrate that the methoxy terminal group and flexible alkyl chain of MeODPA synergistically improve substrate wettability and molecular coverage of SAMs on the buried substrate, promoting perovskite crystallization and stabilizing the buried interfacial contacts. Moreover, we uncover a previously overlooked function of the co‐SAMs in regulating the PbI</w:t>
      </w:r>
      <w:r>
        <w:rPr>
          <w:vertAlign w:val="subscript"/>
        </w:rPr>
        <w:t>2</w:t>
      </w:r>
      <w:r>
        <w:t>distribution at the top surface, which facilitates more effective surface passivation, leading to improved light stability of resultant perovskite films. Leveraging these advancements, we fabricate single‐junction WBG and perovskite‐silicon tandem devices with exceptional power conversion efficiencies (PCEs) of 24.11% and 32.16%, respectively. This work provides a comprehensive understanding of the coordinated effects of co‐SAM on bulk and dual‐interface properties of perovskite films, offering valuable insights for further performance improvements of both single‐junction and tandem perovskite photovoltaics.</w:t>
      </w:r>
    </w:p>
    <w:p>
      <w:pPr>
        <w:spacing w:before="120" w:after="120"/>
      </w:pPr>
      <w:r>
        <w:rPr>
          <w:sz w:val="18"/>
        </w:rPr>
        <w:t>——————————————————————————————————————————————————————————————————————</w:t>
      </w:r>
    </w:p>
    <w:p>
      <w:pPr>
        <w:spacing w:before="160" w:after="40" w:line="240" w:lineRule="auto"/>
      </w:pPr>
      <w:r>
        <w:rPr>
          <w:b/>
        </w:rPr>
        <w:t xml:space="preserve">[26] </w:t>
      </w:r>
      <w:hyperlink r:id="rId59">
        <w:r>
          <w:rPr>
            <w:color w:val="1155CC"/>
            <w:u w:val="single"/>
          </w:rPr>
          <w:t>一种用于可扩展、高效钙钛矿太阳能模块的一体化桥接配位添加剂</w:t>
        </w:r>
      </w:hyperlink>
    </w:p>
    <w:p>
      <w:pPr>
        <w:spacing w:before="0" w:after="80"/>
      </w:pPr>
      <w:r>
        <w:rPr>
          <w:i/>
          <w:sz w:val="20"/>
        </w:rPr>
        <w:t>EN: An All‑in‑One Bridging Coordination Additive for Scalable, High‐Efficiency Perovskite Solar Modules</w:t>
      </w:r>
    </w:p>
    <w:p>
      <w:pPr>
        <w:spacing w:before="0" w:after="120"/>
      </w:pPr>
      <w:r>
        <w:rPr>
          <w:b/>
        </w:rPr>
        <w:t xml:space="preserve">Source: </w:t>
      </w:r>
      <w:r>
        <w:t>Wiley: Advanced Energy Materials: Table of Contents</w:t>
      </w:r>
      <w:r>
        <w:t xml:space="preserve">    </w:t>
      </w:r>
      <w:r>
        <w:rPr>
          <w:b/>
        </w:rPr>
        <w:t xml:space="preserve">Pub date: </w:t>
      </w:r>
      <w:r>
        <w:t>2026-08-25 13:13:29+00:00</w:t>
      </w:r>
      <w:r>
        <w:t xml:space="preserve">    </w:t>
      </w:r>
      <w:r>
        <w:rPr>
          <w:b/>
        </w:rPr>
        <w:t xml:space="preserve">DOI: </w:t>
      </w:r>
      <w:hyperlink r:id="rId60">
        <w:r>
          <w:rPr>
            <w:color w:val="1155CC"/>
            <w:u w:val="single"/>
          </w:rPr>
          <w:t>10.1002/aenm.71508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增材工程已使实验室规模的钙钛矿太阳能电池效率超过 27%，但将这些成果转化为工业制造需要多功能添加剂，同时优化结晶、钝化缺陷、增强机械鲁棒性并保持与高通量涂层工艺的兼容性。在这里，我们引入戊二酰胺（GTA）作为一种一体式桥联协调添加剂来解决这些挑战。密度泛函理论计算表明，GTA 在相邻的 [PbI2 之间形成热力学上有利的双齿桥配位</w:t>
      </w:r>
      <w:r>
        <w:rPr>
          <w:vertAlign w:val="subscript"/>
        </w:rPr>
        <w:t>6</w:t>
      </w:r>
      <w:r>
        <w:t>]</w:t>
      </w:r>
      <w:r>
        <w:t xml:space="preserve"> </w:t>
      </w:r>
      <w:r>
        <w:t>4−</w:t>
      </w:r>
      <w:r>
        <w:t>八面体。这种独特的结构延迟了退火过程中的结晶动力学，产生缺陷密度降低的微米级晶粒。退火后，GTA 自发迁移到薄膜表面，钝化配位不足的 Pb</w:t>
      </w:r>
      <w:r>
        <w:t xml:space="preserve"> </w:t>
      </w:r>
      <w:r>
        <w:t>2+</w:t>
      </w:r>
      <w:r>
        <w:t xml:space="preserve"> </w:t>
      </w:r>
      <w:r>
        <w:t>和卤化物离子，使钙钛矿晶格增韧，减轻残余应力，并增加疏水性。至关重要的是，GTA 增强了油墨润湿性，从而实现无针孔、刮刀涂层的大面积薄膜。小面积刚性和柔性电池分别实现了 26.65% 和 25.22% 的冠军效率。值得注意的是，刀片涂层 22.95 厘米</w:t>
      </w:r>
      <w:r>
        <w:rPr>
          <w:vertAlign w:val="subscript"/>
        </w:rPr>
        <w:t>2</w:t>
      </w:r>
      <w:r>
        <w:t>模块的效率分别为 24.61%（刚性）和 22.57%（柔性），保留高达 99.6% 的小面积性能。封装的目标器件实现了 T</w:t>
      </w:r>
      <w:r>
        <w:rPr>
          <w:vertAlign w:val="subscript"/>
        </w:rPr>
        <w:t>9</w:t>
      </w:r>
    </w:p>
    <w:p>
      <w:pPr>
        <w:spacing w:before="0" w:after="200" w:lineRule="auto" w:line="276"/>
      </w:pPr>
      <w:r>
        <w:rPr>
          <w:b/>
        </w:rPr>
        <w:t xml:space="preserve">Abstract (EN): </w:t>
      </w:r>
      <w:r>
        <w:t>Additive engineering has propelled lab‐scale perovskite solar cell efficiencies exceeding 27%, yet translating these achievements to industrial manufacturing requires multifunctional additives that simultaneously optimize crystallization, passivate defects, enhance mechanical robustness, and maintain compatibility with high‐throughput coating processes. Here, we introduce glutaramide (GTA) as an all‐in‐one bridging coordination additive that addresses these challenges. Density functional theory calculations reveal that GTA forms a thermodynamically favored bidentate bridging coordination between adjacent [PbI</w:t>
      </w:r>
      <w:r>
        <w:rPr>
          <w:vertAlign w:val="subscript"/>
        </w:rPr>
        <w:t>6</w:t>
      </w:r>
      <w:r>
        <w:t>]</w:t>
      </w:r>
      <w:r>
        <w:t xml:space="preserve"> </w:t>
      </w:r>
      <w:r>
        <w:t>4−</w:t>
      </w:r>
      <w:r>
        <w:t>octahedra. This unique configuration retards crystallization kinetics during annealing, yielding micron‐scale grains with reduced defect density. Upon annealing, GTA spontaneously migrates to the film surface, where it passivates undercoordinated Pb</w:t>
      </w:r>
      <w:r>
        <w:t xml:space="preserve"> </w:t>
      </w:r>
      <w:r>
        <w:t>2+</w:t>
      </w:r>
      <w:r>
        <w:t xml:space="preserve"> </w:t>
      </w:r>
      <w:r>
        <w:t>and halide ions, toughens perovskite lattice, relieves residual stress, and increases hydrophobicity. Crucially, GTA enhances ink wettability, enabling pinhole‐free, blade‐coated large‐area films. Small‐area rigid and flexible cells achieve champion efficiencies of 26.65% and 25.22%, respectively. Remarkably, blade‐coated 22.95 cm</w:t>
      </w:r>
      <w:r>
        <w:rPr>
          <w:vertAlign w:val="subscript"/>
        </w:rPr>
        <w:t>2</w:t>
      </w:r>
      <w:r>
        <w:t>modules deliver efficiencies of 24.61% (rigid) and 22.57% (flexible), retaining up to 99.6% of small‐area performance. Encapsulated target devices achieve a T</w:t>
      </w:r>
      <w:r>
        <w:rPr>
          <w:vertAlign w:val="subscript"/>
        </w:rPr>
        <w:t>90</w:t>
      </w:r>
      <w:r>
        <w:t>lifetime of 1020 h under continuous 1‐sun tracking, nearly doubling the control (520 h), while flexible devices demonstrate superior bending endurance. This work establishes that a single bridging additive can synergistically balance efficiency, stability, and scalability for commercial perovskite photovoltaics.</w:t>
      </w:r>
    </w:p>
    <w:p>
      <w:pPr>
        <w:spacing w:before="120" w:after="120"/>
      </w:pPr>
      <w:r>
        <w:rPr>
          <w:sz w:val="18"/>
        </w:rPr>
        <w:t>——————————————————————————————————————————————————————————————————————</w:t>
      </w:r>
    </w:p>
    <w:p>
      <w:pPr>
        <w:spacing w:before="160" w:after="40" w:line="240" w:lineRule="auto"/>
      </w:pPr>
      <w:r>
        <w:rPr>
          <w:b/>
        </w:rPr>
        <w:t xml:space="preserve">[27] </w:t>
      </w:r>
      <w:hyperlink r:id="rId61">
        <w:r>
          <w:rPr>
            <w:color w:val="1155CC"/>
            <w:u w:val="single"/>
          </w:rPr>
          <w:t>汽化技巧使“串联”太阳能电池能够在较低温度下制造</w:t>
        </w:r>
      </w:hyperlink>
    </w:p>
    <w:p>
      <w:pPr>
        <w:spacing w:before="0" w:after="80"/>
      </w:pPr>
      <w:r>
        <w:rPr>
          <w:i/>
          <w:sz w:val="20"/>
        </w:rPr>
        <w:t>EN: Vaporization trick enables ‘tandem’ solar cells to be made at lower temperatures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62">
        <w:r>
          <w:rPr>
            <w:color w:val="1155CC"/>
            <w:u w:val="single"/>
          </w:rPr>
          <w:t>10.1038/d41586-026-02469-6</w:t>
        </w:r>
      </w:hyperlink>
    </w:p>
    <w:p>
      <w:pPr>
        <w:spacing w:before="0" w:after="120"/>
      </w:pPr>
      <w:r>
        <w:rPr>
          <w:b/>
        </w:rPr>
        <w:t xml:space="preserve">Notes: </w:t>
      </w:r>
      <w:r>
        <w:t>abstract_source=rss_nature</w:t>
      </w:r>
    </w:p>
    <w:p>
      <w:pPr>
        <w:spacing w:before="0" w:after="80" w:lineRule="auto" w:line="276"/>
      </w:pPr>
      <w:r>
        <w:rPr>
          <w:b/>
        </w:rPr>
        <w:t xml:space="preserve">摘要（ZH）: </w:t>
      </w:r>
      <w:r>
        <w:t>一种巧妙的蒸发用于制造钙钛矿半导体的化合物的方法解决了扩大下一代太阳能电池规模的棘手挑战。</w:t>
      </w:r>
    </w:p>
    <w:p>
      <w:pPr>
        <w:spacing w:before="0" w:after="200" w:lineRule="auto" w:line="276"/>
      </w:pPr>
      <w:r>
        <w:rPr>
          <w:b/>
        </w:rPr>
        <w:t xml:space="preserve">Abstract (EN): </w:t>
      </w:r>
      <w:r>
        <w:t>A clever approach for evaporating a compound used to make perovskite semiconductors tackles a vexing challenge in scaling up next-generation solar cells.</w:t>
      </w:r>
    </w:p>
    <w:p>
      <w:pPr>
        <w:spacing w:before="120" w:after="120"/>
      </w:pPr>
      <w:r>
        <w:rPr>
          <w:sz w:val="18"/>
        </w:rPr>
        <w:t>——————————————————————————————————————————————————————————————————————</w:t>
      </w:r>
    </w:p>
    <w:p>
      <w:pPr>
        <w:spacing w:before="160" w:after="40" w:line="240" w:lineRule="auto"/>
      </w:pPr>
      <w:r>
        <w:rPr>
          <w:b/>
        </w:rPr>
        <w:t xml:space="preserve">[28] </w:t>
      </w:r>
      <w:hyperlink r:id="rId63">
        <w:r>
          <w:rPr>
            <w:color w:val="1155CC"/>
            <w:u w:val="single"/>
          </w:rPr>
          <w:t>CsCl 种子层使共蒸发钙钛矿生长均匀化，以实现高效、全纹理的钙钛矿-硅串联太阳能电池</w:t>
        </w:r>
      </w:hyperlink>
    </w:p>
    <w:p>
      <w:pPr>
        <w:spacing w:before="0" w:after="80"/>
      </w:pPr>
      <w:r>
        <w:rPr>
          <w:i/>
          <w:sz w:val="20"/>
        </w:rPr>
        <w:t>EN: CsCl seed layer homogenizes co-evaporated perovskite growth for high-efficiency, fully textured perovskite-silicon tandem solar cells</w:t>
      </w:r>
    </w:p>
    <w:p>
      <w:pPr>
        <w:spacing w:before="0" w:after="120"/>
      </w:pPr>
      <w:r>
        <w:rPr>
          <w:b/>
        </w:rPr>
        <w:t xml:space="preserve">Source: </w:t>
      </w:r>
      <w:r>
        <w:t>Joule</w:t>
      </w:r>
      <w:r>
        <w:t xml:space="preserve">    </w:t>
      </w:r>
      <w:r>
        <w:rPr>
          <w:b/>
        </w:rPr>
        <w:t xml:space="preserve">Pub date: </w:t>
      </w:r>
      <w:r>
        <w:t>2026-08-26 00:00:00+00:00</w:t>
      </w:r>
      <w:r>
        <w:t xml:space="preserve">    </w:t>
      </w:r>
      <w:r>
        <w:rPr>
          <w:b/>
        </w:rPr>
        <w:t xml:space="preserve">DOI: </w:t>
      </w:r>
      <w:hyperlink r:id="rId64">
        <w:r>
          <w:rPr>
            <w:color w:val="1155CC"/>
            <w:u w:val="single"/>
          </w:rPr>
          <w:t>10.1016/j.joule.2026.102645</w:t>
        </w:r>
      </w:hyperlink>
    </w:p>
    <w:p>
      <w:pPr>
        <w:spacing w:before="0" w:after="120"/>
      </w:pPr>
      <w:r>
        <w:rPr>
          <w:b/>
        </w:rPr>
        <w:t xml:space="preserve">Notes: </w:t>
      </w:r>
      <w:r>
        <w:t>abstract_source=rss_cell</w:t>
      </w:r>
    </w:p>
    <w:p>
      <w:pPr>
        <w:spacing w:before="0" w:after="80" w:lineRule="auto" w:line="276"/>
      </w:pPr>
      <w:r>
        <w:rPr>
          <w:b/>
        </w:rPr>
        <w:t xml:space="preserve">摘要（ZH）: </w:t>
      </w:r>
      <w:r>
        <w:t>CsCl籽晶层使得共蒸发钙钛矿薄膜能够在织构化硅上均匀生长，抑制因空穴传输层覆盖不均匀而导致的界面缺陷的形成。由此带来的薄膜质量的改善使得钙钛矿-硅串联太阳能电池的效率达到 30.3%。</w:t>
      </w:r>
    </w:p>
    <w:p>
      <w:pPr>
        <w:spacing w:before="0" w:after="200" w:lineRule="auto" w:line="276"/>
      </w:pPr>
      <w:r>
        <w:rPr>
          <w:b/>
        </w:rPr>
        <w:t xml:space="preserve">Abstract (EN): </w:t>
      </w:r>
      <w:r>
        <w:t>CsCl seed layer enables uniform growth of co-evaporated perovskite films on textured silicon, suppressing the formation of interfacial defects caused by uneven hole-transport layer coverage. The resulting improvement in film quality enables 30.3% efficient perovskite-silicon tandem solar cells.</w:t>
      </w:r>
    </w:p>
    <w:p>
      <w:pPr>
        <w:spacing w:before="120" w:after="120"/>
      </w:pPr>
      <w:r>
        <w:rPr>
          <w:sz w:val="18"/>
        </w:rPr>
        <w:t>——————————————————————————————————————————————————————————————————————</w:t>
      </w:r>
    </w:p>
    <w:p>
      <w:pPr>
        <w:spacing w:before="160" w:after="40" w:line="240" w:lineRule="auto"/>
      </w:pPr>
      <w:r>
        <w:rPr>
          <w:b/>
        </w:rPr>
        <w:t xml:space="preserve">[29] </w:t>
      </w:r>
      <w:hyperlink r:id="rId65">
        <w:r>
          <w:rPr>
            <w:color w:val="1155CC"/>
            <w:u w:val="single"/>
          </w:rPr>
          <w:t>硅衬底形貌对顺序蒸发钙钛矿薄膜生长的影响</w:t>
        </w:r>
      </w:hyperlink>
    </w:p>
    <w:p>
      <w:pPr>
        <w:spacing w:before="0" w:after="80"/>
      </w:pPr>
      <w:r>
        <w:rPr>
          <w:i/>
          <w:sz w:val="20"/>
        </w:rPr>
        <w:t>EN: Impact of silicon substrate topography on sequentially evaporated perovskite film growth</w:t>
      </w:r>
    </w:p>
    <w:p>
      <w:pPr>
        <w:spacing w:before="0" w:after="120"/>
      </w:pPr>
      <w:r>
        <w:rPr>
          <w:b/>
        </w:rPr>
        <w:t xml:space="preserve">Source: </w:t>
      </w:r>
      <w:r>
        <w:t>Joule</w:t>
      </w:r>
      <w:r>
        <w:t xml:space="preserve">    </w:t>
      </w:r>
      <w:r>
        <w:rPr>
          <w:b/>
        </w:rPr>
        <w:t xml:space="preserve">Pub date: </w:t>
      </w:r>
      <w:r>
        <w:t>2026-08-26 00:00:00+00:00</w:t>
      </w:r>
      <w:r>
        <w:t xml:space="preserve">    </w:t>
      </w:r>
      <w:r>
        <w:rPr>
          <w:b/>
        </w:rPr>
        <w:t xml:space="preserve">DOI: </w:t>
      </w:r>
      <w:hyperlink r:id="rId66">
        <w:r>
          <w:rPr>
            <w:color w:val="1155CC"/>
            <w:u w:val="single"/>
          </w:rPr>
          <w:t>10.1016/j.joule.2026.102646</w:t>
        </w:r>
      </w:hyperlink>
    </w:p>
    <w:p>
      <w:pPr>
        <w:spacing w:before="0" w:after="120"/>
      </w:pPr>
      <w:r>
        <w:rPr>
          <w:b/>
        </w:rPr>
        <w:t xml:space="preserve">Notes: </w:t>
      </w:r>
      <w:r>
        <w:t>abstract_source=rss_cell</w:t>
      </w:r>
    </w:p>
    <w:p>
      <w:pPr>
        <w:spacing w:before="0" w:after="80" w:lineRule="auto" w:line="276"/>
      </w:pPr>
      <w:r>
        <w:rPr>
          <w:b/>
        </w:rPr>
        <w:t xml:space="preserve">摘要（ZH）: </w:t>
      </w:r>
      <w:r>
        <w:t>热蒸发使得钙钛矿-硅串联太阳能电池的可扩展、无溶剂制造成为可能，但控制钙钛矿形成的机制仍未得到充分探索。利用蒸发过程中的原位 X 射线衍射，研究了顺序蒸发的钙钛矿薄膜的形成，从而实现了第一个完全无溶剂的串联顶电池，其冠军效率为 27.3%。</w:t>
      </w:r>
    </w:p>
    <w:p>
      <w:pPr>
        <w:spacing w:before="0" w:after="200" w:lineRule="auto" w:line="276"/>
      </w:pPr>
      <w:r>
        <w:rPr>
          <w:b/>
        </w:rPr>
        <w:t xml:space="preserve">Abstract (EN): </w:t>
      </w:r>
      <w:r>
        <w:t>Thermal evaporation enables scalable, solvent-free fabrication of perovskite-silicon tandem solar cells, but the mechanisms governing perovskite formation remain underexplored. Using in situ X-ray diffraction during evaporation, the formation of sequentially evaporated perovskite films was studied, enabling the first fully solvent-free tandem top cell with a champion efficiency of 27.3%.</w:t>
      </w:r>
    </w:p>
    <w:p>
      <w:pPr>
        <w:spacing w:before="120" w:after="120"/>
      </w:pPr>
      <w:r>
        <w:rPr>
          <w:sz w:val="18"/>
        </w:rPr>
        <w:t>——————————————————————————————————————————————————————————————————————</w:t>
      </w:r>
    </w:p>
    <w:p>
      <w:pPr>
        <w:spacing w:before="160" w:after="40" w:line="240" w:lineRule="auto"/>
      </w:pPr>
      <w:r>
        <w:rPr>
          <w:b/>
        </w:rPr>
        <w:t xml:space="preserve">[30] </w:t>
      </w:r>
      <w:hyperlink r:id="rId67">
        <w:r>
          <w:rPr>
            <w:color w:val="1155CC"/>
            <w:u w:val="single"/>
          </w:rPr>
          <w:t>解决无掺杂硅光伏中 ALD Al2O3/Si 界面处的氢悖论</w:t>
        </w:r>
      </w:hyperlink>
    </w:p>
    <w:p>
      <w:pPr>
        <w:spacing w:before="0" w:after="80"/>
      </w:pPr>
      <w:r>
        <w:rPr>
          <w:i/>
          <w:sz w:val="20"/>
        </w:rPr>
        <w:t>EN: Resolving the Hydrogen Paradox at ALD Al2O3/Si Interfaces in Dopant‐Free Silicon Photovoltaics</w:t>
      </w:r>
    </w:p>
    <w:p>
      <w:pPr>
        <w:spacing w:before="0" w:after="120"/>
      </w:pPr>
      <w:r>
        <w:rPr>
          <w:b/>
        </w:rPr>
        <w:t xml:space="preserve">Source: </w:t>
      </w:r>
      <w:r>
        <w:t>Wiley: Advanced Materials: Table of Contents</w:t>
      </w:r>
      <w:r>
        <w:t xml:space="preserve">    </w:t>
      </w:r>
      <w:r>
        <w:rPr>
          <w:b/>
        </w:rPr>
        <w:t xml:space="preserve">Pub date: </w:t>
      </w:r>
      <w:r>
        <w:t>2026-08-26 05:39:52+00:00</w:t>
      </w:r>
      <w:r>
        <w:t xml:space="preserve">    </w:t>
      </w:r>
      <w:r>
        <w:rPr>
          <w:b/>
        </w:rPr>
        <w:t xml:space="preserve">DOI: </w:t>
      </w:r>
      <w:hyperlink r:id="rId68">
        <w:r>
          <w:rPr>
            <w:color w:val="1155CC"/>
            <w:u w:val="single"/>
          </w:rPr>
          <w:t>10.1002/adma.74816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基于场诱导结的无掺杂硅太阳能电池提供了一条超越扩散掺杂限制的途径，但控制结质量的原子级化学仍然知之甚少。在这里，我们解决了原子层沉积（ALD）Al的“氢悖论”</w:t>
      </w:r>
      <w:r>
        <w:rPr>
          <w:vertAlign w:val="subscript"/>
        </w:rPr>
        <w:t>2</w:t>
      </w:r>
      <w:r>
        <w:t>氧</w:t>
      </w:r>
      <w:r>
        <w:rPr>
          <w:vertAlign w:val="subscript"/>
        </w:rPr>
        <w:t>3</w:t>
      </w:r>
      <w:r>
        <w:t>钝化，表明界面化学纯度而不是氢含量决定了器件性能。无标离子束定量表明，热 ALD 薄膜比 PE-ALD 薄膜含有更多的氢（5.0 vs. 3.7 at%），但钝化更差，光诱导力显微镜揭示了与不完全氧化基质中氢键羟基网络一致的特征，仅在热 ALD 中观察到残留甲基物质。 PE-ALD 没有留下可检测到的甲基相关特征，表明配体有效燃烧，同时注入过量的氧气（氧铝比为 1.83，退火后不变），将负固定电荷密度提高到 -6.6 × 10</w:t>
      </w:r>
      <w:r>
        <w:rPr>
          <w:vertAlign w:val="subscript"/>
        </w:rPr>
        <w:t>1</w:t>
      </w:r>
      <w:r>
        <w:rPr>
          <w:vertAlign w:val="subscript"/>
        </w:rPr>
        <w:t>2</w:t>
      </w:r>
      <w:r>
        <w:t>厘米</w:t>
      </w:r>
      <w:r>
        <w:t xml:space="preserve"> </w:t>
      </w:r>
      <w:r>
        <w:t>-</w:t>
      </w:r>
      <w:r>
        <w:rPr>
          <w:vertAlign w:val="subscript"/>
        </w:rPr>
        <w:t>2</w:t>
      </w:r>
      <w:r>
        <w:t>，比热 ALD 高出近三倍。这种双重优化产生了 2780 µs 的少数载流子寿命和 4.3 × 10 的界面陷阱密度</w:t>
      </w:r>
      <w:r>
        <w:rPr>
          <w:vertAlign w:val="subscript"/>
        </w:rPr>
        <w:t>9</w:t>
      </w:r>
      <w:r>
        <w:t>电子伏特</w:t>
      </w:r>
      <w:r>
        <w:t xml:space="preserve"> </w:t>
      </w:r>
      <w:r>
        <w:t>-</w:t>
      </w:r>
      <w:r>
        <w:rPr>
          <w:vertAlign w:val="subscript"/>
        </w:rPr>
        <w:t>1</w:t>
      </w:r>
      <w:r>
        <w:t>厘米</w:t>
      </w:r>
      <w:r>
        <w:t xml:space="preserve"> </w:t>
      </w:r>
      <w:r>
        <w:t>-</w:t>
      </w:r>
      <w:r>
        <w:rPr>
          <w:vertAlign w:val="subscript"/>
        </w:rPr>
        <w:t>2</w:t>
      </w:r>
      <w:r>
        <w:t>。 D</w:t>
      </w:r>
    </w:p>
    <w:p>
      <w:pPr>
        <w:spacing w:before="0" w:after="200" w:lineRule="auto" w:line="276"/>
      </w:pPr>
      <w:r>
        <w:rPr>
          <w:b/>
        </w:rPr>
        <w:t xml:space="preserve">Abstract (EN): </w:t>
      </w:r>
      <w:r>
        <w:t>Dopant‐free silicon solar cells based on field‐induced junctions offer a pathway beyond the limitations of diffusion doping, yet the atomic‐level chemistry governing junction quality remains poorly understood. Here, we resolve the “hydrogen paradox” of atomic‐layer‐deposited (ALD) Al</w:t>
      </w:r>
      <w:r>
        <w:rPr>
          <w:vertAlign w:val="subscript"/>
        </w:rPr>
        <w:t>2</w:t>
      </w:r>
      <w:r>
        <w:t>O</w:t>
      </w:r>
      <w:r>
        <w:rPr>
          <w:vertAlign w:val="subscript"/>
        </w:rPr>
        <w:t>3</w:t>
      </w:r>
      <w:r>
        <w:t>passivation, demonstrating that interfacial chemical purity, rather than hydrogen content, determines device performance. Standardless ion‐beam quantification establishes that thermal ALD films contain more hydrogen than PE‐ALD films (5.0 vs. 3.7 at%) yet passivate worse, and photo‐induced force microscopy reveals signatures consistent with hydrogen‐bonded hydroxyl networks in an incompletely oxidized matrix, with residual methyl species observed only in thermal ALD. PE‐ALD leaves no detectable methyl‐related signature, indicating effective ligand combustion, while injecting excess oxygen (oxygen‐to‐aluminum ratio of 1.83, invariant upon annealing) that enhances the negative fixed charge density to −6.6 × 10</w:t>
      </w:r>
      <w:r>
        <w:rPr>
          <w:vertAlign w:val="subscript"/>
        </w:rPr>
        <w:t>1</w:t>
      </w:r>
      <w:r>
        <w:rPr>
          <w:vertAlign w:val="subscript"/>
        </w:rPr>
        <w:t>2</w:t>
      </w:r>
      <w:r>
        <w:t>cm</w:t>
      </w:r>
      <w:r>
        <w:t xml:space="preserve"> </w:t>
      </w:r>
      <w:r>
        <w:t>−</w:t>
      </w:r>
      <w:r>
        <w:rPr>
          <w:vertAlign w:val="subscript"/>
        </w:rPr>
        <w:t>2</w:t>
      </w:r>
      <w:r>
        <w:t>, nearly threefold higher than thermal ALD. This dual optimization yields minority‐carrier lifetimes of 2780 µs and interface trap densities of 4.3 × 10</w:t>
      </w:r>
      <w:r>
        <w:rPr>
          <w:vertAlign w:val="subscript"/>
        </w:rPr>
        <w:t>9</w:t>
      </w:r>
      <w:r>
        <w:t>eV</w:t>
      </w:r>
      <w:r>
        <w:t xml:space="preserve"> </w:t>
      </w:r>
      <w:r>
        <w:t>−</w:t>
      </w:r>
      <w:r>
        <w:rPr>
          <w:vertAlign w:val="subscript"/>
        </w:rPr>
        <w:t>1</w:t>
      </w:r>
      <w:r>
        <w:t>cm</w:t>
      </w:r>
      <w:r>
        <w:t xml:space="preserve"> </w:t>
      </w:r>
      <w:r>
        <w:t>−</w:t>
      </w:r>
      <w:r>
        <w:rPr>
          <w:vertAlign w:val="subscript"/>
        </w:rPr>
        <w:t>2</w:t>
      </w:r>
      <w:r>
        <w:t>. Dopant‐free planar cells achieve efficiencies of up to 9.15% with near‐unity internal quantum efficiency at short wavelengths, and simulations suggest that three‐dimensional (3D) microstructures could raise efficiencies toward 20%. The completeness of interfacial oxidation thus emerges as a generalizable design principle for carrier‐selective contacts in dopant‐free photovoltaics.</w:t>
      </w:r>
    </w:p>
    <w:p>
      <w:pPr>
        <w:spacing w:before="120" w:after="120"/>
      </w:pPr>
      <w:r>
        <w:rPr>
          <w:sz w:val="18"/>
        </w:rPr>
        <w:t>——————————————————————————————————————————————————————————————————————</w:t>
      </w:r>
    </w:p>
    <w:p>
      <w:pPr>
        <w:spacing w:before="160" w:after="40" w:line="240" w:lineRule="auto"/>
      </w:pPr>
      <w:r>
        <w:rPr>
          <w:b/>
        </w:rPr>
        <w:t xml:space="preserve">[31] </w:t>
      </w:r>
      <w:hyperlink r:id="rId69">
        <w:r>
          <w:rPr>
            <w:color w:val="1155CC"/>
            <w:u w:val="single"/>
          </w:rPr>
          <w:t>热机械鲁棒性 Sn─Pb 钙钛矿太阳能电池的动态应变均匀化调节</w:t>
        </w:r>
      </w:hyperlink>
    </w:p>
    <w:p>
      <w:pPr>
        <w:spacing w:before="0" w:after="80"/>
      </w:pPr>
      <w:r>
        <w:rPr>
          <w:i/>
          <w:sz w:val="20"/>
        </w:rPr>
        <w:t>EN: Dynamic Strain Homogenization Regulation for Thermomechanically Robust Sn─Pb Perovskite Solar Cells</w:t>
      </w:r>
    </w:p>
    <w:p>
      <w:pPr>
        <w:spacing w:before="0" w:after="120"/>
      </w:pPr>
      <w:r>
        <w:rPr>
          <w:b/>
        </w:rPr>
        <w:t xml:space="preserve">Source: </w:t>
      </w:r>
      <w:r>
        <w:t>Wiley: Advanced Energy Materials: Table of Contents</w:t>
      </w:r>
      <w:r>
        <w:t xml:space="preserve">    </w:t>
      </w:r>
      <w:r>
        <w:rPr>
          <w:b/>
        </w:rPr>
        <w:t xml:space="preserve">Pub date: </w:t>
      </w:r>
      <w:r>
        <w:t>2026-08-26 06:06:12+00:00</w:t>
      </w:r>
      <w:r>
        <w:t xml:space="preserve">    </w:t>
      </w:r>
      <w:r>
        <w:rPr>
          <w:b/>
        </w:rPr>
        <w:t xml:space="preserve">DOI: </w:t>
      </w:r>
      <w:hyperlink r:id="rId70">
        <w:r>
          <w:rPr>
            <w:color w:val="1155CC"/>
            <w:u w:val="single"/>
          </w:rPr>
          <w:t>10.1002/aenm.71497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锡铅钙钛矿太阳能电池（PSC）具有理想的带隙，使其接近肖克利-奎塞尔极限。然而，在循环温度波动下，异步 Sn/Pb 结晶引起的成分不均匀性加剧了缺陷演变、晶格畸变和拉伸应变积累，最终放大了热机械退化并限制了器件的耐用性。在此，我们引入了一种“动态应变均质化调节策略”，通过原位形成具有多位点相互作用和动态氢键的超分子网络。该网络调节 Sn 的协调环境</w:t>
      </w:r>
      <w:r>
        <w:t xml:space="preserve"> </w:t>
      </w:r>
      <w:r>
        <w:t>2+</w:t>
      </w:r>
      <w:r>
        <w:t xml:space="preserve"> </w:t>
      </w:r>
      <w:r>
        <w:t>相关物种，从而抑制成分偏析并提高结晶均匀性以实现应变均匀化。温度波动下氢键的可逆重构能够实现应变的持续耗散和重新分布，有效缓解局部应力集中和晶格畸变。同时，位于晶界的超分子物质提供多位点缺陷钝化。基于这一策略，该器件实现了24.1%的功率转换效率，在单太阳光照下最大功率点450小时后仍保持初始效率的84.7%，在50次热循环后仍保持92.1%。</w:t>
      </w:r>
    </w:p>
    <w:p>
      <w:pPr>
        <w:spacing w:before="0" w:after="200" w:lineRule="auto" w:line="276"/>
      </w:pPr>
      <w:r>
        <w:rPr>
          <w:b/>
        </w:rPr>
        <w:t xml:space="preserve">Abstract (EN): </w:t>
      </w:r>
      <w:r>
        <w:t>Tin‐lead perovskite solar cells (PSCs) feature an ideal bandgap, making them approach the Shockley‐Queisser limit. However, under cyclic temperature fluctuations, asynchronous Sn/Pb crystallization‐induced compositional inhomogeneity aggravates defect evolution, lattice distortion, and tensile‐strain accumulation, ultimately amplifying thermomechanical degradation and limiting device durability. Herein, we introduce a “dynamic strain homogenization regulation strategy” by in situ forming supramolecular networks featuring multisite interactions and dynamic hydrogen bonding. This network modulates the coordination environment of Sn</w:t>
      </w:r>
      <w:r>
        <w:t xml:space="preserve"> </w:t>
      </w:r>
      <w:r>
        <w:t>2+</w:t>
      </w:r>
      <w:r>
        <w:t xml:space="preserve"> </w:t>
      </w:r>
      <w:r>
        <w:t>‐related species, thereby suppressing compositional segregation and improving crystallization uniformity to achieve strain homogenization. The reversible reconstruction of hydrogen bonds under temperature fluctuations enables continuous strain dissipation and redistribution, effectively alleviating local stress concentration and lattice distortion. Meanwhile, the supramolecular species located at grain boundaries provide multisite defect passivation. Based on this strategy, the device achieves a power conversion efficiency of 24.1%, retaining 84.7% of its initial efficiency after 450 h at the maximum power point under one‐sun illumination, and 92.1% after 50 thermal cycles.</w:t>
      </w:r>
    </w:p>
    <w:p>
      <w:pPr>
        <w:spacing w:before="120" w:after="120"/>
      </w:pPr>
      <w:r>
        <w:rPr>
          <w:sz w:val="18"/>
        </w:rPr>
        <w:t>——————————————————————————————————————————————————————————————————————</w:t>
      </w:r>
    </w:p>
    <w:p>
      <w:pPr>
        <w:spacing w:before="160" w:after="40" w:line="240" w:lineRule="auto"/>
      </w:pPr>
      <w:r>
        <w:rPr>
          <w:b/>
        </w:rPr>
        <w:t xml:space="preserve">[32] </w:t>
      </w:r>
      <w:hyperlink r:id="rId71">
        <w:r>
          <w:rPr>
            <w:color w:val="1155CC"/>
            <w:u w:val="single"/>
          </w:rPr>
          <w:t>钙钛矿太阳能电池未烧结有机-无机溅射靶材的溅射机理（Adv. Energy Mater. 32/2026）</w:t>
        </w:r>
      </w:hyperlink>
    </w:p>
    <w:p>
      <w:pPr>
        <w:spacing w:before="0" w:after="80"/>
      </w:pPr>
      <w:r>
        <w:rPr>
          <w:i/>
          <w:sz w:val="20"/>
        </w:rPr>
        <w:t>EN: Sputtering Mechanism of an Unsintered Organic–Inorganic Sputtering Target for Perovskite Solar Cells (Adv. Energy Mater. 32/2026)</w:t>
      </w:r>
    </w:p>
    <w:p>
      <w:pPr>
        <w:spacing w:before="0" w:after="120"/>
      </w:pPr>
      <w:r>
        <w:rPr>
          <w:b/>
        </w:rPr>
        <w:t xml:space="preserve">Source: </w:t>
      </w:r>
      <w:r>
        <w:t>Wiley: Advanced Energy Materials: Table of Contents</w:t>
      </w:r>
      <w:r>
        <w:t xml:space="preserve">    </w:t>
      </w:r>
      <w:r>
        <w:rPr>
          <w:b/>
        </w:rPr>
        <w:t xml:space="preserve">Pub date: </w:t>
      </w:r>
      <w:r>
        <w:t>2026-08-26 06:24:34+00:00</w:t>
      </w:r>
      <w:r>
        <w:t xml:space="preserve">    </w:t>
      </w:r>
      <w:r>
        <w:rPr>
          <w:b/>
        </w:rPr>
        <w:t xml:space="preserve">DOI: </w:t>
      </w:r>
      <w:hyperlink r:id="rId72">
        <w:r>
          <w:rPr>
            <w:color w:val="1155CC"/>
            <w:u w:val="single"/>
          </w:rPr>
          <w:t>10.1002/aenm.71345</w:t>
        </w:r>
      </w:hyperlink>
    </w:p>
    <w:p>
      <w:pPr>
        <w:spacing w:before="0" w:after="120"/>
      </w:pPr>
      <w:r>
        <w:rPr>
          <w:b/>
        </w:rPr>
        <w:t xml:space="preserve">Notes: </w:t>
      </w:r>
      <w:r>
        <w:t>abstract_source=openalex</w:t>
      </w:r>
    </w:p>
    <w:p>
      <w:pPr>
        <w:spacing w:before="0" w:after="80" w:lineRule="auto" w:line="276"/>
      </w:pPr>
      <w:r>
        <w:rPr>
          <w:b/>
        </w:rPr>
        <w:t xml:space="preserve">摘要（ZH）: </w:t>
      </w:r>
      <w:r>
        <w:t>钙钛矿太阳能电池 在文章编号 e71109 中，Byunghong Lee、Han-Ki Kim 及其同事揭示了未烧结 MAPbI3 溅射靶材的等离子体诱导分解途径。挥发性 MAI 衍生物质很容易在等离子体中解离和去除，而挥发性较低的 Pb-I 物质则保留下来并主导薄膜生长，从而形成富含 PbI2 的沉积物。这项工作为下一代光伏发电的真空钙钛矿加工和可扩展光伏制造提供了基本见解。</w:t>
      </w:r>
    </w:p>
    <w:p>
      <w:pPr>
        <w:spacing w:before="0" w:after="200" w:lineRule="auto" w:line="276"/>
      </w:pPr>
      <w:r>
        <w:rPr>
          <w:b/>
        </w:rPr>
        <w:t xml:space="preserve">Abstract (EN): </w:t>
      </w:r>
      <w:r>
        <w:t>Perovskite Solar Cells In article number e71109, Byunghong Lee, Han-Ki Kim, and co-workers reveal the plasma-induced decomposition pathway of an unsintered MAPbI3 sputtering target. Volatile MAI-derived species are readily dissociated and removed in the plasma, whereas less volatile Pb–I species remain and dominate film growth, leading to PbI2-rich deposits. The work provides fundamental insights into vacuum-based perovskite processing and scalable photovoltaic manufacturing for next-generation photovoltaics.</w:t>
      </w:r>
    </w:p>
    <w:p>
      <w:pPr>
        <w:spacing w:before="120" w:after="120"/>
      </w:pPr>
      <w:r>
        <w:rPr>
          <w:sz w:val="18"/>
        </w:rPr>
        <w:t>——————————————————————————————————————————————————————————————————————</w:t>
      </w:r>
    </w:p>
    <w:p>
      <w:pPr>
        <w:spacing w:before="160" w:after="40" w:line="240" w:lineRule="auto"/>
      </w:pPr>
      <w:r>
        <w:rPr>
          <w:b/>
        </w:rPr>
        <w:t xml:space="preserve">[33] </w:t>
      </w:r>
      <w:hyperlink r:id="rId73">
        <w:r>
          <w:rPr>
            <w:color w:val="1155CC"/>
            <w:u w:val="single"/>
          </w:rPr>
          <w:t>卤化物钙钛矿中成分依赖性热稳定性的高精度机器学习预测（Adv. Mater. 48/2026）</w:t>
        </w:r>
      </w:hyperlink>
    </w:p>
    <w:p>
      <w:pPr>
        <w:spacing w:before="0" w:after="80"/>
      </w:pPr>
      <w:r>
        <w:rPr>
          <w:i/>
          <w:sz w:val="20"/>
        </w:rPr>
        <w:t>EN: High‐Accuracy Machine Learning Projections of Composition‐Dependent Thermal Stability in Halide Perovskites (Adv. Mater. 48/2026)</w:t>
      </w:r>
    </w:p>
    <w:p>
      <w:pPr>
        <w:spacing w:before="0" w:after="120"/>
      </w:pPr>
      <w:r>
        <w:rPr>
          <w:b/>
        </w:rPr>
        <w:t xml:space="preserve">Source: </w:t>
      </w:r>
      <w:r>
        <w:t>Wiley: Advanced Materials: Table of Contents</w:t>
      </w:r>
      <w:r>
        <w:t xml:space="preserve">    </w:t>
      </w:r>
      <w:r>
        <w:rPr>
          <w:b/>
        </w:rPr>
        <w:t xml:space="preserve">Pub date: </w:t>
      </w:r>
      <w:r>
        <w:t>2026-08-26 11:29:06+00:00</w:t>
      </w:r>
      <w:r>
        <w:t xml:space="preserve">    </w:t>
      </w:r>
      <w:r>
        <w:rPr>
          <w:b/>
        </w:rPr>
        <w:t xml:space="preserve">DOI: </w:t>
      </w:r>
      <w:hyperlink r:id="rId74">
        <w:r>
          <w:rPr>
            <w:color w:val="1155CC"/>
            <w:u w:val="single"/>
          </w:rPr>
          <w:t>10.1002/adma.74703</w:t>
        </w:r>
      </w:hyperlink>
    </w:p>
    <w:p>
      <w:pPr>
        <w:spacing w:before="0" w:after="120"/>
      </w:pPr>
      <w:r>
        <w:rPr>
          <w:b/>
        </w:rPr>
        <w:t xml:space="preserve">Notes: </w:t>
      </w:r>
      <w:r>
        <w:t>abstract_source=openalex</w:t>
      </w:r>
    </w:p>
    <w:p>
      <w:pPr>
        <w:spacing w:before="0" w:after="80" w:lineRule="auto" w:line="276"/>
      </w:pPr>
      <w:r>
        <w:rPr>
          <w:b/>
        </w:rPr>
        <w:t xml:space="preserve">摘要（ZH）: </w:t>
      </w:r>
      <w:r>
        <w:t>高精度机器学习 Marina S. Leite 及其同事结合高通量实验、数据可视化和机器学习 (ML) 技术来量化卤化物钙钛矿中 Cs 含量和材料热稳定性之间的反相关性。不同光致发光特征的重要性进行了量化，最大准确度为 98%。通过实现成分广义堆叠模型，可以预测任何时间、温度和成分下的相应光谱。更多详细信息请参阅研究文章 (DOI: 10.1002/adma.73636)。</w:t>
      </w:r>
    </w:p>
    <w:p>
      <w:pPr>
        <w:spacing w:before="0" w:after="200" w:lineRule="auto" w:line="276"/>
      </w:pPr>
      <w:r>
        <w:rPr>
          <w:b/>
        </w:rPr>
        <w:t xml:space="preserve">Abstract (EN): </w:t>
      </w:r>
      <w:r>
        <w:t>High-Accuracy Machine Learning Marina S. Leite and co-workers combine high-throughput experiments, data visualization, and machine learning (ML) techniques to quantify the anti-correlation between Cs content and material thermal stability in halide perovskites. The importance of distinct photoluminescence features is quantified with a maximum accuracy of 98%. The corresponding spectra can be predicted at any time, temperature, and composition by realizing a composition-generalized stacked model. More details can be found in the Research Article (DOI: 10.1002/adma.73636).</w:t>
      </w:r>
    </w:p>
    <w:p>
      <w:pPr>
        <w:spacing w:before="120" w:after="120"/>
      </w:pPr>
      <w:r>
        <w:rPr>
          <w:sz w:val="18"/>
        </w:rPr>
        <w:t>——————————————————————————————————————————————————————————————————————</w:t>
      </w:r>
    </w:p>
    <w:p>
      <w:pPr>
        <w:spacing w:before="160" w:after="40" w:line="240" w:lineRule="auto"/>
      </w:pPr>
      <w:r>
        <w:rPr>
          <w:b/>
        </w:rPr>
        <w:t xml:space="preserve">[34] </w:t>
      </w:r>
      <w:hyperlink r:id="rId75">
        <w:r>
          <w:rPr>
            <w:color w:val="1155CC"/>
            <w:u w:val="single"/>
          </w:rPr>
          <w:t>卤化铅钙钛矿光电催化（Adv. Mater. 48/2026）</w:t>
        </w:r>
      </w:hyperlink>
    </w:p>
    <w:p>
      <w:pPr>
        <w:spacing w:before="0" w:after="80"/>
      </w:pPr>
      <w:r>
        <w:rPr>
          <w:i/>
          <w:sz w:val="20"/>
        </w:rPr>
        <w:t>EN: Lead Halide Perovskite Photoelectrocatalysis (Adv. Mater. 48/2026)</w:t>
      </w:r>
    </w:p>
    <w:p>
      <w:pPr>
        <w:spacing w:before="0" w:after="120"/>
      </w:pPr>
      <w:r>
        <w:rPr>
          <w:b/>
        </w:rPr>
        <w:t xml:space="preserve">Source: </w:t>
      </w:r>
      <w:r>
        <w:t>Wiley: Advanced Materials: Table of Contents</w:t>
      </w:r>
      <w:r>
        <w:t xml:space="preserve">    </w:t>
      </w:r>
      <w:r>
        <w:rPr>
          <w:b/>
        </w:rPr>
        <w:t xml:space="preserve">Pub date: </w:t>
      </w:r>
      <w:r>
        <w:t>2026-08-26 11:29:06+00:00</w:t>
      </w:r>
      <w:r>
        <w:t xml:space="preserve">    </w:t>
      </w:r>
      <w:r>
        <w:rPr>
          <w:b/>
        </w:rPr>
        <w:t xml:space="preserve">DOI: </w:t>
      </w:r>
      <w:hyperlink r:id="rId76">
        <w:r>
          <w:rPr>
            <w:color w:val="1155CC"/>
            <w:u w:val="single"/>
          </w:rPr>
          <w:t>10.1002/adma.74701</w:t>
        </w:r>
      </w:hyperlink>
    </w:p>
    <w:p>
      <w:pPr>
        <w:spacing w:before="0" w:after="120"/>
      </w:pPr>
      <w:r>
        <w:rPr>
          <w:b/>
        </w:rPr>
        <w:t xml:space="preserve">Notes: </w:t>
      </w:r>
      <w:r>
        <w:t>abstract_source=openalex</w:t>
      </w:r>
    </w:p>
    <w:p>
      <w:pPr>
        <w:spacing w:before="0" w:after="80" w:lineRule="auto" w:line="276"/>
      </w:pPr>
      <w:r>
        <w:rPr>
          <w:b/>
        </w:rPr>
        <w:t xml:space="preserve">摘要（ZH）: </w:t>
      </w:r>
      <w:r>
        <w:t>卤化铅钙钛矿光电催化 DJ 将音轨混合成无缝混音，就像科学家将知识提炼成评论论文一样。在这篇《透视》（DOI：10.1002/adma.73442）中，Virgil Andrei 借鉴了他在头卤化物钙钛矿光电催化方面的实践经验，讨论了其在太阳能燃料和化学合成方面的前景。</w:t>
      </w:r>
    </w:p>
    <w:p>
      <w:pPr>
        <w:spacing w:before="0" w:after="200" w:lineRule="auto" w:line="276"/>
      </w:pPr>
      <w:r>
        <w:rPr>
          <w:b/>
        </w:rPr>
        <w:t xml:space="preserve">Abstract (EN): </w:t>
      </w:r>
      <w:r>
        <w:t>Lead Halide Perovskite Photoelectrocatalysis DJs blend audio tracks into seamless mixes, the same way scientists distill knowledge into a review paper. In this Perspective (DOI: 10.1002/adma.73442), Virgil Andrei draws from his hands-on experience on head halide perovskite photoelectrocatalysis to discuss its prospects for solar fuel and chemical synthesis.</w:t>
      </w:r>
    </w:p>
    <w:p>
      <w:pPr>
        <w:spacing w:before="120" w:after="120"/>
      </w:pPr>
      <w:r>
        <w:rPr>
          <w:sz w:val="18"/>
        </w:rPr>
        <w:t>——————————————————————————————————————————————————————————————————————</w:t>
      </w:r>
    </w:p>
    <w:p>
      <w:pPr>
        <w:spacing w:before="160" w:after="40" w:line="240" w:lineRule="auto"/>
      </w:pPr>
      <w:r>
        <w:rPr>
          <w:b/>
        </w:rPr>
        <w:t xml:space="preserve">[35] </w:t>
      </w:r>
      <w:hyperlink r:id="rId77">
        <w:r>
          <w:rPr>
            <w:color w:val="1155CC"/>
            <w:u w:val="single"/>
          </w:rPr>
          <w:t>无卤溶剂和添加剂加工有机太阳能电池实现 20.50% 二元效率</w:t>
        </w:r>
      </w:hyperlink>
    </w:p>
    <w:p>
      <w:pPr>
        <w:spacing w:before="0" w:after="80"/>
      </w:pPr>
      <w:r>
        <w:rPr>
          <w:i/>
          <w:sz w:val="20"/>
        </w:rPr>
        <w:t>EN: Halogen‐Free Solvent and Additive‐Processed Organic Solar Cells Achieving 20.50% Binary Efficiency</w:t>
      </w:r>
    </w:p>
    <w:p>
      <w:pPr>
        <w:spacing w:before="0" w:after="120"/>
      </w:pPr>
      <w:r>
        <w:rPr>
          <w:b/>
        </w:rPr>
        <w:t xml:space="preserve">Source: </w:t>
      </w:r>
      <w:r>
        <w:t>Wiley: Advanced Materials: Table of Contents</w:t>
      </w:r>
      <w:r>
        <w:t xml:space="preserve">    </w:t>
      </w:r>
      <w:r>
        <w:rPr>
          <w:b/>
        </w:rPr>
        <w:t xml:space="preserve">Pub date: </w:t>
      </w:r>
      <w:r>
        <w:t>2026-08-26 14:58:08+00:00</w:t>
      </w:r>
      <w:r>
        <w:t xml:space="preserve">    </w:t>
      </w:r>
      <w:r>
        <w:rPr>
          <w:b/>
        </w:rPr>
        <w:t xml:space="preserve">DOI: </w:t>
      </w:r>
      <w:hyperlink r:id="rId78">
        <w:r>
          <w:rPr>
            <w:color w:val="1155CC"/>
            <w:u w:val="single"/>
          </w:rPr>
          <w:t>10.1002/adma.74819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渡到无卤溶剂加工对于有机太阳能电池（OSC）的可扩展制造至关重要，但由于严重的分子聚集和不利的相分离，它仍然具有挑战性。增材工程可以有效地调节薄膜形态，但它始终依赖于卤素与光敏材料的相互作用，从而损害了环境的可持续性。在此，我们开发了三种新型无卤添加剂，即环己基苯（ChB）、1,4-二环己基苯（DChB）和1,3,5-三环己基苯（TChB），它们是被不同数量的环己基取代的苯衍生物。这些添加剂能够通过独特的空间位阻效应和添加剂-受体相互作用来精确调节分子堆积和结晶。理论和实验研究表明，大的环己基优先吸附到 L8-BO 的末端单元上，形成空间间隔基，有效抑制无卤溶剂加工过程中的过度聚集。此外，添加剂在旋涂过程中充当动力学介体，促进L8-BO的紧密末端堆积，而它们随后的热挥发进一步促进有序的长程结晶度。由此产生的微观结构显着提高了电荷利用率，使 D18:L8-BO OSC 能够实现 20.50% 的破纪录效率，同时提高了运行稳定性。这项工作强调了无卤添加剂在选择性调节 m 方面的独特优势。</w:t>
      </w:r>
    </w:p>
    <w:p>
      <w:pPr>
        <w:spacing w:before="0" w:after="200" w:lineRule="auto" w:line="276"/>
      </w:pPr>
      <w:r>
        <w:rPr>
          <w:b/>
        </w:rPr>
        <w:t xml:space="preserve">Abstract (EN): </w:t>
      </w:r>
      <w:r>
        <w:t>Transitioning to halogen‐free solvent processing is essential for the scalable manufacturing of organic solar cells (OSCs), yet it remains challenging due to severe molecular aggregation and unfavorable phase separation. Additive engineering can effectively modulate film morphology, but it always relies on halogen‐based interactions with photoactive materials, compromising environmental sustainability. Herein, we developed three novel halogen‐free additives, namely cyclohexylbenzene (ChB), 1,4‐dicyclohexylbenzene (DChB), and 1,3,5‐tricyclohexylbenzene (TChB), which are benzene derivatives substituted with different numbers of cyclohexyl groups. These additives enable precise regulation of molecular packing and crystallization through distinct steric hindrance effects and additive–acceptor interactions. Both theoretical and experimental investigations reveal that the bulky cyclohexyl groups preferentially adsorb onto the terminal units of L8‐BO, creating steric spacers that effectively suppress excessive aggregation during the halogen‐free solvent processing. Moreover, the additives serve as kinetic mediators during spin‐coating to promote compact terminal packing of L8‐BO, while their subsequent thermal volatilization further promotes well‐ordered long‐range crystallinity. The resulting microstructure significantly enhances charge utilization, enabling D18:L8‐BO OSCs to achieve a record‐breaking efficiency of 20.50% with improved operational stability. This work underscores the unique advantage of halogen‐free additives in selectively modulating molecular aggregation, enabling dual eco‐friendly fabrication and paving the way for commercialization of high‐performance organic photovoltaics.</w:t>
      </w:r>
    </w:p>
    <w:p>
      <w:pPr>
        <w:spacing w:before="120" w:after="120"/>
      </w:pPr>
      <w:r>
        <w:rPr>
          <w:sz w:val="18"/>
        </w:rPr>
        <w:t>——————————————————————————————————————————————————————————————————————</w:t>
      </w:r>
    </w:p>
    <w:p>
      <w:pPr>
        <w:spacing w:before="160" w:after="40" w:line="240" w:lineRule="auto"/>
      </w:pPr>
      <w:r>
        <w:rPr>
          <w:b/>
        </w:rPr>
        <w:t xml:space="preserve">[36] </w:t>
      </w:r>
      <w:hyperlink r:id="rId79">
        <w:r>
          <w:rPr>
            <w:color w:val="1155CC"/>
            <w:u w:val="single"/>
          </w:rPr>
          <w:t>X 形手性非富勒烯 n 型半导体：在钙钛矿太阳能电池中的应用和手性诱导的自旋选择性</w:t>
        </w:r>
      </w:hyperlink>
    </w:p>
    <w:p>
      <w:pPr>
        <w:spacing w:before="0" w:after="80"/>
      </w:pPr>
      <w:r>
        <w:rPr>
          <w:i/>
          <w:sz w:val="20"/>
        </w:rPr>
        <w:t>EN: An X‑Shaped Chiral Non‑Fullerene n‐Type Semiconductor: Application in Perovskite Solar Cells and Chirality‑Induced Spin Selectivity</w:t>
      </w:r>
    </w:p>
    <w:p>
      <w:pPr>
        <w:spacing w:before="0" w:after="120"/>
      </w:pPr>
      <w:r>
        <w:rPr>
          <w:b/>
        </w:rPr>
        <w:t xml:space="preserve">Source: </w:t>
      </w:r>
      <w:r>
        <w:t>Wiley: Angewandte Chemie International Edition: Table of Contents</w:t>
      </w:r>
      <w:r>
        <w:t xml:space="preserve">    </w:t>
      </w:r>
      <w:r>
        <w:rPr>
          <w:b/>
        </w:rPr>
        <w:t xml:space="preserve">Pub date: </w:t>
      </w:r>
      <w:r>
        <w:t>2026-08-27 04:19:38+00:00</w:t>
      </w:r>
      <w:r>
        <w:t xml:space="preserve">    </w:t>
      </w:r>
      <w:r>
        <w:rPr>
          <w:b/>
        </w:rPr>
        <w:t xml:space="preserve">DOI: </w:t>
      </w:r>
      <w:hyperlink r:id="rId80">
        <w:r>
          <w:rPr>
            <w:color w:val="1155CC"/>
            <w:u w:val="single"/>
          </w:rPr>
          <w:t>10.1002/anie.9296585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用于创建可溶液加工的非晶 n 型半导体的新构建模块的开发为先进有机电子材料提供了一个至关重要的平台。我们最近证明了容易获得的二苯并的氧化内键断裂[</w:t>
      </w:r>
      <w:r>
        <w:t xml:space="preserve"> </w:t>
      </w:r>
      <w:r>
        <w:t>克</w:t>
      </w:r>
      <w:r>
        <w:t xml:space="preserve"> </w:t>
      </w:r>
      <w:r>
        <w:t>,</w:t>
      </w:r>
      <w:r>
        <w:t xml:space="preserve"> </w:t>
      </w:r>
      <w:r>
        <w:t>p</w:t>
      </w:r>
      <w:r>
        <w:t xml:space="preserve"> </w:t>
      </w:r>
      <w:r>
        <w:t>] 提供了带有吸电子羰基的手性八字形大环，即环双联亚苯基羰基（CBBC）。在这项研究中，我们报道了一种高电子接受性的CBBC衍生物（CBBC-TIC），其中CBBC核心通过噻吩间隔基连接到四个吸电子二氰亚甲基-3-茚满酮（IC）单元。 CBBC-TIC 独特的 X 形分子结构使得能够通过溶液法制造具有良好电子传导性的均匀非晶薄膜。以 CBBC-TIC 作为电子传输层的钙钛矿太阳能电池实现了 20.6% 的功率转换效率，与基准富勒烯衍生物 [6,6]-苯基-C 获得的功率转换效率相当</w:t>
      </w:r>
      <w:r>
        <w:rPr>
          <w:vertAlign w:val="subscript"/>
        </w:rPr>
        <w:t>61</w:t>
      </w:r>
      <w:r>
        <w:t>‐丁酸甲酯（PCBM）。此外，CBBC-TIC的对映体表现出由手性诱导的自旋选择性（CISS）效应引起的自旋选择性电子传输，在非晶薄膜中具有高达80％的非常高的对映特异性磁导不对称值。这些发现表明，牛熊证代表了创建广告的多功能分子成分。</w:t>
      </w:r>
    </w:p>
    <w:p>
      <w:pPr>
        <w:spacing w:before="0" w:after="200" w:lineRule="auto" w:line="276"/>
      </w:pPr>
      <w:r>
        <w:rPr>
          <w:b/>
        </w:rPr>
        <w:t xml:space="preserve">Abstract (EN): </w:t>
      </w:r>
      <w:r>
        <w:t>The development of a new building block for creating solution‐processable amorphous n‐type semiconductors provides a platform of fundamental importance for advanced organic electronic materials. We have recently demonstrated that oxidative inner‑bond cleavage of readily available dibenzo[</w:t>
      </w:r>
      <w:r>
        <w:t xml:space="preserve"> </w:t>
      </w:r>
      <w:r>
        <w:t>g</w:t>
      </w:r>
      <w:r>
        <w:t xml:space="preserve"> </w:t>
      </w:r>
      <w:r>
        <w:t>,</w:t>
      </w:r>
      <w:r>
        <w:t xml:space="preserve"> </w:t>
      </w:r>
      <w:r>
        <w:t>p</w:t>
      </w:r>
      <w:r>
        <w:t xml:space="preserve"> </w:t>
      </w:r>
      <w:r>
        <w:t>]chrysene affords a chiral figure‑eight macrocycle that bears electron‑withdrawing carbonyl groups, namely cyclobisbiphenylenecarbonyl (CBBC). In this study, we report a highly electron‑accepting derivative of CBBC (CBBC‑TIC), in which the CBBC core is connected to four electron‑withdrawing dicyanomethylene‑3‑indanone (IC) units via thiophene spacers. The distinctive X‑shaped molecular structure of CBBC‑TIC enables the solution‐process fabrication of a homogeneous amorphous film with good electron conductivity. Perovskite solar cells that contain CBBC‑TIC as the electron‐transport layer achieved a power conversion efficiency of 20.6%, which is comparable to that obtained with the benchmark fullerene derivative [6,6]‐phenyl‐C</w:t>
      </w:r>
      <w:r>
        <w:rPr>
          <w:vertAlign w:val="subscript"/>
        </w:rPr>
        <w:t>61</w:t>
      </w:r>
      <w:r>
        <w:t>‐butyric acid methyl ester (PCBM). Furthermore, the enantiomers of CBBC‐TIC exhibited spin‐selective electron transport arising from the chirality‐induced spin‐selectivity (CISS) effect, with remarkably high enantiospecific magnetic conductance asymmetry values of up to 80% in amorphous films. These findings demonstrate that CBBC represents a versatile molecular component for the creation of advanced non‑fullerene n‐type semiconductors.</w:t>
      </w:r>
    </w:p>
    <w:p>
      <w:pPr>
        <w:spacing w:before="120" w:after="120"/>
      </w:pPr>
      <w:r>
        <w:rPr>
          <w:sz w:val="18"/>
        </w:rPr>
        <w:t>——————————————————————————————————————————————————————————————————————</w:t>
      </w:r>
    </w:p>
    <w:p>
      <w:pPr>
        <w:spacing w:before="160" w:after="40" w:line="240" w:lineRule="auto"/>
      </w:pPr>
      <w:r>
        <w:rPr>
          <w:b/>
        </w:rPr>
        <w:t xml:space="preserve">[37] </w:t>
      </w:r>
      <w:hyperlink r:id="rId81">
        <w:r>
          <w:rPr>
            <w:color w:val="1155CC"/>
            <w:u w:val="single"/>
          </w:rPr>
          <w:t>扭转补偿共轭可实现高效且可扩展的半透明有机太阳能电池</w:t>
        </w:r>
      </w:hyperlink>
    </w:p>
    <w:p>
      <w:pPr>
        <w:spacing w:before="0" w:after="80"/>
      </w:pPr>
      <w:r>
        <w:rPr>
          <w:i/>
          <w:sz w:val="20"/>
        </w:rPr>
        <w:t>EN: Twist‐Compensated Conjugation Enables Efficient and Scalable Semi‐Transparent Organic Solar Cells</w:t>
      </w:r>
    </w:p>
    <w:p>
      <w:pPr>
        <w:spacing w:before="0" w:after="120"/>
      </w:pPr>
      <w:r>
        <w:rPr>
          <w:b/>
        </w:rPr>
        <w:t xml:space="preserve">Source: </w:t>
      </w:r>
      <w:r>
        <w:t>Wiley: Advanced Energy Materials: Table of Contents</w:t>
      </w:r>
      <w:r>
        <w:t xml:space="preserve">    </w:t>
      </w:r>
      <w:r>
        <w:rPr>
          <w:b/>
        </w:rPr>
        <w:t xml:space="preserve">Pub date: </w:t>
      </w:r>
      <w:r>
        <w:t>2026-08-27 05:54:54+00:00</w:t>
      </w:r>
      <w:r>
        <w:t xml:space="preserve">    </w:t>
      </w:r>
      <w:r>
        <w:rPr>
          <w:b/>
        </w:rPr>
        <w:t xml:space="preserve">DOI: </w:t>
      </w:r>
      <w:hyperlink r:id="rId82">
        <w:r>
          <w:rPr>
            <w:color w:val="1155CC"/>
            <w:u w:val="single"/>
          </w:rPr>
          <w:t>10.1002/aenm.71513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半透明有机太阳能电池（ST-OSC）有望用于轻质、颜色可调、溶液处理的窗户和建筑集成光伏发电。然而，用于近红外（NIR）采集的窄带隙受体通常表现出过度聚集、涂层耐受性差和可见光透明度降低，阻碍了同时实现高效率、高平均可见光透射率（AVT）和可扩展制造。在这里，我们开发了一种扭曲补偿共轭策略来设计近红外受体 GJ-2，与可见窗口供体 PCE10 配对。高度离域框架内的外围空间扭曲抑制了过度聚集并拓宽了结晶窗口，同时保持了合适的能级和强的近红外吸收。 PCE10:GJ-2 混合物减少了非辐射复合，无需外部光学管理层即可实现平衡电荷传输。不透明器件的 PCE 达到创纪录的 14.93%，而半透明器件的基准 PCE 为 10.40%，器件 AVT 为 42.89%（有源层 AVT：57.68%），光利用率 (LUE) 为 4.50%。可扩展模块的效率达到 12.66%（不透明）和 9.44%（半透明），模块 LUE 为 4.05%。这些结果表明扭转补偿共轭是高效、可扩展 ST-OSC 的有效策略。</w:t>
      </w:r>
    </w:p>
    <w:p>
      <w:pPr>
        <w:spacing w:before="0" w:after="200" w:lineRule="auto" w:line="276"/>
      </w:pPr>
      <w:r>
        <w:rPr>
          <w:b/>
        </w:rPr>
        <w:t xml:space="preserve">Abstract (EN): </w:t>
      </w:r>
      <w:r>
        <w:t>Semi‐transparent organic solar cells (ST‐OSCs) are promising for lightweight, color‐tunable, solution‐processed window‐ and building‐integrated photovoltaics. However, narrow‐bandgap acceptors for near‐infrared (NIR) harvesting often exhibit excessive aggregation, poor coating tolerance, and reduced visible transparency, hindering the simultaneous realization of high efficiency, high average visible transmittance (AVT), and scalable fabrication. Here, we develop a twist‐compensated conjugation strategy to design the NIR acceptor GJ‐2, paired with the visible‐window donor PCE10. Peripheral steric twisting within a highly delocalized framework suppresses over‐aggregation and broadens the crystallization window while maintaining suitable energy levels and strong NIR absorption. The PCE10:GJ‐2 blend reduces non‐radiative recombination and enables balanced charge transport without external optical management layers. Opaque devices achieve a record PCE of 14.93%, while semi‐transparent devices deliver a benchmark PCE of 10.40%, a device AVT of 42.89% (active‐layer AVT: 57.68%), and a light utilization efficiency (LUE) of 4.50%. Scalable modules reach efficiencies of 12.66% (opaque) and 9.44% (semi‐transparent), with a module LUE of 4.05%. These results demonstrate twist‐compensated conjugation as an effective strategy for efficient, scalable ST‐OSCs.</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83">
        <w:r>
          <w:rPr>
            <w:color w:val="1155CC"/>
            <w:u w:val="single"/>
          </w:rPr>
          <w:t>P2-Na x Ni1/3Mn2/3O2 中连续相变的电化学和热控制</w:t>
        </w:r>
      </w:hyperlink>
    </w:p>
    <w:p>
      <w:pPr>
        <w:spacing w:before="0" w:after="80"/>
      </w:pPr>
      <w:r>
        <w:rPr>
          <w:i/>
          <w:sz w:val="20"/>
        </w:rPr>
        <w:t>EN: Electrochemical and Thermal Control of Continuous Phase Transitions in P2-Na x Ni1/3Mn2/3O2</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84">
        <w:r>
          <w:rPr>
            <w:color w:val="1155CC"/>
            <w:u w:val="single"/>
          </w:rPr>
          <w:t>10.1021/jacs.6c06069</w:t>
        </w:r>
      </w:hyperlink>
    </w:p>
    <w:p>
      <w:pPr>
        <w:spacing w:before="0" w:after="120"/>
      </w:pPr>
      <w:r>
        <w:rPr>
          <w:b/>
        </w:rPr>
        <w:t xml:space="preserve">Notes: </w:t>
      </w:r>
      <w:r>
        <w:t>abstract_source=crossref</w:t>
      </w:r>
    </w:p>
    <w:p>
      <w:pPr>
        <w:spacing w:before="0" w:after="80" w:lineRule="auto" w:line="276"/>
      </w:pPr>
      <w:r>
        <w:rPr>
          <w:b/>
        </w:rPr>
        <w:t xml:space="preserve">摘要（ZH）: </w:t>
      </w:r>
      <w:r>
        <w:t>摘要 钠层状氧化物在脱钠时（即作为电池电极循环时）经常发生相变，涉及 Na+ 的有序或无序。准确表征这些相对于理解功能特性（例如化学扩散率）至关重要。在这项工作中，我们揭示了层状氧化物中的Na+-空位（无序）本质上与主体结构的对称性改变相变耦合。我们使用中子和 X 射线衍射检查了 P2-NaxNi1/3Mn2/3O2 (NNM) 的低对称性斜方晶胞。具体来说，特殊的钠化学计量（x = 2/3 和 1/2）表现出伴随的 Na+-空位有序性和来自母体六方晶胞的正交变形。然后，我们证明电化学脱钠可驱动 NNM 中与 Na+-空位（无序）排序相关的对称性变化转变，并在 x = 2/3 附近观察到二阶行为的证据。变温同步加速器 X 射线衍射进一步阐明了 NNM 中 Na+-空位无序与斜方晶系到六方晶系相变之间的耦合。令人惊讶的是，x = 2/3 和 1/2 处的温度驱动相变在特征上有所不同，分别表现为二阶和一阶。我们对 NNM 中相变的分析对有序相附近的钠化学扩散率具有根本性影响，并得出了修改更广泛的插层电极中相变行为的设计原则。</w:t>
      </w:r>
    </w:p>
    <w:p>
      <w:pPr>
        <w:spacing w:before="0" w:after="200" w:lineRule="auto" w:line="276"/>
      </w:pPr>
      <w:r>
        <w:rPr>
          <w:b/>
        </w:rPr>
        <w:t xml:space="preserve">Abstract (EN): </w:t>
      </w:r>
      <w:r>
        <w:t>Sodium layered oxides often undergo phase transformations involving ordering or disordering of Na+ upon desodiation, i.e., when cycled as a battery electrode. Accurately characterizing these phases is crucial for understanding functional properties, such as chemical diffusivity. In this work, we reveal that Na+-vacancy (dis)ordering in a layered oxide is intrinsically coupled to symmetry-changing phase transformations of the host structure. We examine the low-symmetry orthorhombic unit cell of P2-NaxNi1/3Mn2/3O2 (NNM) using both neutron and X-ray diffraction. Specifically, special sodium stoichiometries (x = 2/3 and 1/2) exhibit concomitant Na+-vacancy ordering and an orthorhombic distortion from the parent hexagonal unit cell. We then demonstrate that electrochemical desodiation drives symmetry-changing transformations in NNM that are linked to Na+-vacancy (dis)ordering, with evidence of second-order behavior observed near x = 2/3. Variable-temperature synchrotron X-ray diffraction further clarifies the coupling between Na+-vacancy disordering and orthorhombic-to-hexagonal phase transitions in NNM. Surprisingly, the temperature-driven phase transitions at x = 2/3 and 1/2 differ in character, appearing second-order and first-order, respectively. Our analysis of the phase transitions in NNM has fundamental consequences for sodium chemical diffusivity in the vicinity of the ordered phases and leads to design principles for modifying phase transition behavior in the broader class of intercalation electrodes.</w:t>
      </w:r>
    </w:p>
    <w:p>
      <w:pPr>
        <w:spacing w:before="120" w:after="120"/>
      </w:pPr>
      <w:r>
        <w:rPr>
          <w:sz w:val="18"/>
        </w:rPr>
        <w:t>——————————————————————————————————————————————————————————————————————</w:t>
      </w:r>
    </w:p>
    <w:p>
      <w:pPr>
        <w:spacing w:before="160" w:after="40" w:line="240" w:lineRule="auto"/>
      </w:pPr>
      <w:r>
        <w:rPr>
          <w:b/>
        </w:rPr>
        <w:t xml:space="preserve">[2] </w:t>
      </w:r>
      <w:hyperlink r:id="rId85">
        <w:r>
          <w:rPr>
            <w:color w:val="1155CC"/>
            <w:u w:val="single"/>
          </w:rPr>
          <w:t>有序介孔共价有机框架上的富电子偶氮位点促进水性 Zn-I2 电池中的氧化还原动力学</w:t>
        </w:r>
      </w:hyperlink>
    </w:p>
    <w:p>
      <w:pPr>
        <w:spacing w:before="0" w:after="80"/>
      </w:pPr>
      <w:r>
        <w:rPr>
          <w:i/>
          <w:sz w:val="20"/>
        </w:rPr>
        <w:t>EN: Electron-Rich Azo Sites on Ordered Mesoporous Covalent Organic Frameworks Boosting Redox Kinetics in Aqueous Zn-I2 Batteries</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86">
        <w:r>
          <w:rPr>
            <w:color w:val="1155CC"/>
            <w:u w:val="single"/>
          </w:rPr>
          <w:t>10.1021/acsami.6c10703</w:t>
        </w:r>
      </w:hyperlink>
    </w:p>
    <w:p>
      <w:pPr>
        <w:spacing w:before="0" w:after="120"/>
      </w:pPr>
      <w:r>
        <w:rPr>
          <w:b/>
        </w:rPr>
        <w:t xml:space="preserve">Notes: </w:t>
      </w:r>
      <w:r>
        <w:t>abstract_source=crossref</w:t>
      </w:r>
    </w:p>
    <w:p>
      <w:pPr>
        <w:spacing w:before="0" w:after="80" w:lineRule="auto" w:line="276"/>
      </w:pPr>
      <w:r>
        <w:rPr>
          <w:b/>
        </w:rPr>
        <w:t xml:space="preserve">摘要（ZH）: </w:t>
      </w:r>
      <w:r>
        <w:t>摘要 水性锌碘（Zn-I2）电池的实际应用经常受到多碘化物臭名昭著的穿梭效应和缓慢的氧化还原动力学的阻碍。为了克服这些挑战，通过1,3,5-三甲酰间苯三酚（TP）与4,4'-偶氮二苯胺（AZO）或联苯胺（BD）缩合合成了两种同结构介孔共价有机框架（COF），分别产生AZO-TP-COF和BD-TP-COF。当用作Zn-I2电池的正极主体时，AZO-TP-COF@I2复合材料在0.2 A g-1下的比容量约为228 mAh g-1，并且具有出色的倍率性能和长期循环稳定性（3 A g-1下3000次循环后容量保持率为95%），优于BD-TP-COF@I2。 AZO-TP-COF@I2阴极的这种增强性能归因于AZO-TP-COF中富含电子的偶氮部分，它有效抑制了聚碘化物穿梭效应并促进I-/I2/I3-物质的吸附和转化。这些发现凸显了 COF 中的偶氮基工程在调节金属卤素电池中的氧化还原介体方面的关键作用。</w:t>
      </w:r>
    </w:p>
    <w:p>
      <w:pPr>
        <w:spacing w:before="0" w:after="200" w:lineRule="auto" w:line="276"/>
      </w:pPr>
      <w:r>
        <w:rPr>
          <w:b/>
        </w:rPr>
        <w:t xml:space="preserve">Abstract (EN): </w:t>
      </w:r>
      <w:r>
        <w:t>The practical application of aqueous zinc–iodine (Zn-I2) batteries is frequently hindered by the notorious shuttle effect of polyiodides and sluggish redox kinetics. To overcome these challenges, two isostructural mesoporous covalent organic frameworks (COFs) were synthesized via the condensation of 1,3,5-triformylphloroglucinol (TP) with either 4,4′-azodianiline (AZO) or benzidine (BD), yielding AZO-TP-COF and BD-TP-COF, respectively. When employed as cathode hosts in Zn-I2 batteries, the AZO-TP-COF@I2 composite delivered a specific capacity of about 228 mAh g–1 at 0.2 A g–1, along with remarkable rate capability and long-term cycling stability (95% capacity retention after 3000 cycles at 3 A g–1), better than those of BD-TP-COF@I2. This enhanced performance of the AZO-TP-COF@I2 cathode is attributed to the electron-rich azo moieties in AZO-TP-COF, which effectively suppress the polyiodide shuttle effect and facilitate the adsorption and conversion of I–/I2/I3– species. These findings highlight the pivotal role of azo-based engineering in COFs for regulating redox mediators in metal-halogen batteries.</w:t>
      </w:r>
    </w:p>
    <w:p>
      <w:pPr>
        <w:spacing w:before="120" w:after="120"/>
      </w:pPr>
      <w:r>
        <w:rPr>
          <w:sz w:val="18"/>
        </w:rPr>
        <w:t>——————————————————————————————————————————————————————————————————————</w:t>
      </w:r>
    </w:p>
    <w:p>
      <w:pPr>
        <w:spacing w:before="160" w:after="40" w:line="240" w:lineRule="auto"/>
      </w:pPr>
      <w:r>
        <w:rPr>
          <w:b/>
        </w:rPr>
        <w:t xml:space="preserve">[3] </w:t>
      </w:r>
      <w:hyperlink r:id="rId87">
        <w:r>
          <w:rPr>
            <w:color w:val="1155CC"/>
            <w:u w:val="single"/>
          </w:rPr>
          <w:t>Na4Fe3(PO4)2P2O7 的氧空位工程实现快速、宽温钠存储</w:t>
        </w:r>
      </w:hyperlink>
    </w:p>
    <w:p>
      <w:pPr>
        <w:spacing w:before="0" w:after="80"/>
      </w:pPr>
      <w:r>
        <w:rPr>
          <w:i/>
          <w:sz w:val="20"/>
        </w:rPr>
        <w:t>EN: Oxygen‐Vacancy Engineering of Na4Fe3(PO4)2P2O7 Enables Fast and Wide‐Temperature Sodium Storage</w:t>
      </w:r>
    </w:p>
    <w:p>
      <w:pPr>
        <w:spacing w:before="0" w:after="120"/>
      </w:pPr>
      <w:r>
        <w:rPr>
          <w:b/>
        </w:rPr>
        <w:t xml:space="preserve">Source: </w:t>
      </w:r>
      <w:r>
        <w:t>Wiley: Advanced Materials: Table of Contents</w:t>
      </w:r>
      <w:r>
        <w:t xml:space="preserve">    </w:t>
      </w:r>
      <w:r>
        <w:rPr>
          <w:b/>
        </w:rPr>
        <w:t xml:space="preserve">Pub date: </w:t>
      </w:r>
      <w:r>
        <w:t>2026-08-21 06:19:22+00:00</w:t>
      </w:r>
      <w:r>
        <w:t xml:space="preserve">    </w:t>
      </w:r>
      <w:r>
        <w:rPr>
          <w:b/>
        </w:rPr>
        <w:t xml:space="preserve">DOI: </w:t>
      </w:r>
      <w:hyperlink r:id="rId88">
        <w:r>
          <w:rPr>
            <w:color w:val="1155CC"/>
            <w:u w:val="single"/>
          </w:rPr>
          <w:t>10.1002/adma.74727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聚阴离子阴极Na</w:t>
      </w:r>
      <w:r>
        <w:rPr>
          <w:vertAlign w:val="subscript"/>
        </w:rPr>
        <w:t>4</w:t>
      </w:r>
      <w:r>
        <w:t>铁</w:t>
      </w:r>
      <w:r>
        <w:rPr>
          <w:vertAlign w:val="subscript"/>
        </w:rPr>
        <w:t>3</w:t>
      </w:r>
      <w:r>
        <w:t>（采购订单</w:t>
      </w:r>
      <w:r>
        <w:rPr>
          <w:vertAlign w:val="subscript"/>
        </w:rPr>
        <w:t>4</w:t>
      </w:r>
      <w:r>
        <w:t>）</w:t>
      </w:r>
      <w:r>
        <w:rPr>
          <w:vertAlign w:val="subscript"/>
        </w:rPr>
        <w:t>2</w:t>
      </w:r>
      <w:r>
        <w:t>磷</w:t>
      </w:r>
      <w:r>
        <w:rPr>
          <w:vertAlign w:val="subscript"/>
        </w:rPr>
        <w:t>2</w:t>
      </w:r>
      <w:r>
        <w:t>氧</w:t>
      </w:r>
      <w:r>
        <w:rPr>
          <w:vertAlign w:val="subscript"/>
        </w:rPr>
        <w:t>7</w:t>
      </w:r>
      <w:r>
        <w:t>（NFPP）由于其低成本、本质安全性和强大的框架稳定性而被认为是一种有前途的钠离子电池正极。然而，强局域化的电子结构和缓慢的Na</w:t>
      </w:r>
      <w:r>
        <w:t xml:space="preserve"> </w:t>
      </w:r>
      <w:r>
        <w:t>+</w:t>
      </w:r>
      <w:r>
        <w:t xml:space="preserve"> </w:t>
      </w:r>
      <w:r>
        <w:t>传输动力学对其速率能力和稳定性施加了耦合限制。在此，我们展示了一种缺陷工程策略，通过将氧空位合理引入 NFPP 来激活耦合电子离子传输。结合实验研究和密度泛函理论计算表明，氧空位通过同时重建局部 Fe-O 电子环境并促进 Na</w:t>
      </w:r>
      <w:r>
        <w:t xml:space="preserve"> </w:t>
      </w:r>
      <w:r>
        <w:t>+</w:t>
      </w:r>
      <w:r>
        <w:t xml:space="preserve"> </w:t>
      </w:r>
      <w:r>
        <w:t>迁移。缺陷引起的电子重新分布缩小了带隙并加速了电子传输（超过7倍），同时扩展了Na</w:t>
      </w:r>
      <w:r>
        <w:t xml:space="preserve"> </w:t>
      </w:r>
      <w:r>
        <w:t>+</w:t>
      </w:r>
      <w:r>
        <w:t xml:space="preserve"> </w:t>
      </w:r>
      <w:r>
        <w:t>扩散路径和减少的迁移能垒使离子能够快速扩散（超过 6 倍）。因此，富含氧空位的 NFPP 正极具有出色的循环稳定性，在 20 C 的超高倍率下循环 7000 次后容量保持率为 90.46%。</w:t>
      </w:r>
    </w:p>
    <w:p>
      <w:pPr>
        <w:spacing w:before="0" w:after="200" w:lineRule="auto" w:line="276"/>
      </w:pPr>
      <w:r>
        <w:rPr>
          <w:b/>
        </w:rPr>
        <w:t xml:space="preserve">Abstract (EN): </w:t>
      </w:r>
      <w:r>
        <w:t>The polyanionic cathode 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(NFPP) is regarded as a promising cathode for sodium‐ion batteries owing to its low cost, intrinsic safety, and robust framework stability. However, the strongly localized electronic structure and sluggish Na</w:t>
      </w:r>
      <w:r>
        <w:t xml:space="preserve"> </w:t>
      </w:r>
      <w:r>
        <w:t>+</w:t>
      </w:r>
      <w:r>
        <w:t xml:space="preserve"> </w:t>
      </w:r>
      <w:r>
        <w:t>transport kinetics impose coupled limitations on its rate capability and stability. Herein, we demonstrate a defect‐engineering strategy to activate coupled electronic‐ionic transport through the rational introduction of oxygen vacancies into NFPP. Combined experimental investigations and density functional theory calculations reveal that oxygen vacancies act as dual‐functional kinetic regulators by simultaneously reconstructing the local Fe–O electronic environment and facilitating Na</w:t>
      </w:r>
      <w:r>
        <w:t xml:space="preserve"> </w:t>
      </w:r>
      <w:r>
        <w:t>+</w:t>
      </w:r>
      <w:r>
        <w:t xml:space="preserve"> </w:t>
      </w:r>
      <w:r>
        <w:t>migration. The defect‐induced electronic redistribution narrows the bandgap and accelerates electron transport (over 7 times), while expanded Na</w:t>
      </w:r>
      <w:r>
        <w:t xml:space="preserve"> </w:t>
      </w:r>
      <w:r>
        <w:t>+</w:t>
      </w:r>
      <w:r>
        <w:t xml:space="preserve"> </w:t>
      </w:r>
      <w:r>
        <w:t>diffusion pathways and reduced migration energy barriers enable rapid ion diffusion (over 6 times). Consequently, the oxygen vacancy‐enriched NFPP cathode delivers exceptional cycling stability with 90.46% capacity retention after 7000 cycles at an ultra‐high rate of 20 C. This work establishes oxygen‐vacancy engineering as an effective strategy for coupled transport regulation in polyanionic cathodes and provides fundamental insights into defect‐mediated kinetic enhancement for advanced sodium‐ion batteries.</w:t>
      </w:r>
    </w:p>
    <w:p>
      <w:pPr>
        <w:spacing w:before="120" w:after="120"/>
      </w:pPr>
      <w:r>
        <w:rPr>
          <w:sz w:val="18"/>
        </w:rPr>
        <w:t>——————————————————————————————————————————————————————————————————————</w:t>
      </w:r>
    </w:p>
    <w:p>
      <w:pPr>
        <w:spacing w:before="160" w:after="40" w:line="240" w:lineRule="auto"/>
      </w:pPr>
      <w:r>
        <w:rPr>
          <w:b/>
        </w:rPr>
        <w:t xml:space="preserve">[4] </w:t>
      </w:r>
      <w:hyperlink r:id="rId89">
        <w:r>
          <w:rPr>
            <w:color w:val="1155CC"/>
            <w:u w:val="single"/>
          </w:rPr>
          <w:t>O3 型 Na(NiFeMn)1/3O2 阴极中阴离子掺杂的机理见解</w:t>
        </w:r>
      </w:hyperlink>
    </w:p>
    <w:p>
      <w:pPr>
        <w:spacing w:before="0" w:after="80"/>
      </w:pPr>
      <w:r>
        <w:rPr>
          <w:i/>
          <w:sz w:val="20"/>
        </w:rPr>
        <w:t>EN: Mechanistic Insights Into Anionic Doping in O3‑Type Na(NiFeMn)1/3O2 Cathode</w:t>
      </w:r>
    </w:p>
    <w:p>
      <w:pPr>
        <w:spacing w:before="0" w:after="120"/>
      </w:pPr>
      <w:r>
        <w:rPr>
          <w:b/>
        </w:rPr>
        <w:t xml:space="preserve">Source: </w:t>
      </w:r>
      <w:r>
        <w:t>Wiley: Advanced Materials: Table of Contents</w:t>
      </w:r>
      <w:r>
        <w:t xml:space="preserve">    </w:t>
      </w:r>
      <w:r>
        <w:rPr>
          <w:b/>
        </w:rPr>
        <w:t xml:space="preserve">Pub date: </w:t>
      </w:r>
      <w:r>
        <w:t>2026-08-22 07:30:18+00:00</w:t>
      </w:r>
      <w:r>
        <w:t xml:space="preserve">    </w:t>
      </w:r>
      <w:r>
        <w:rPr>
          <w:b/>
        </w:rPr>
        <w:t xml:space="preserve">DOI: </w:t>
      </w:r>
      <w:hyperlink r:id="rId90">
        <w:r>
          <w:rPr>
            <w:color w:val="1155CC"/>
            <w:u w:val="single"/>
          </w:rPr>
          <w:t>10.1002/adma.74709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缺乏机械指导阻碍了钠离子电池（SIB）层状氧化物阴极中合理的阴离子掺杂。使用O3型Na(NiFeMn)</w:t>
      </w:r>
      <w:r>
        <w:t xml:space="preserve"> </w:t>
      </w:r>
      <w:r>
        <w:t>1/3</w:t>
      </w:r>
      <w:r>
        <w:t xml:space="preserve"> </w:t>
      </w:r>
      <w:r>
        <w:t>氧</w:t>
      </w:r>
      <w:r>
        <w:rPr>
          <w:vertAlign w:val="subscript"/>
        </w:rPr>
        <w:t>2</w:t>
      </w:r>
      <w:r>
        <w:t>作为模型并结合密度泛函理论（DFT）计算的实验，我们揭示了掺杂效应由两种内在的掺杂剂特性决定：价电子构型和离子半径。对于半径匹配的掺杂剂，给电子的 F 会还原 Fe</w:t>
      </w:r>
      <w:r>
        <w:rPr>
          <w:vertAlign w:val="subscript"/>
        </w:rPr>
        <w:t>3</w:t>
      </w:r>
      <w:r>
        <w:t>+</w:t>
      </w:r>
      <w:r>
        <w:t xml:space="preserve"> </w:t>
      </w:r>
      <w:r>
        <w:t>，增强高电压和空气稳定性，而吸电子 N 会氧化 Ni</w:t>
      </w:r>
      <w:r>
        <w:rPr>
          <w:vertAlign w:val="subscript"/>
        </w:rPr>
        <w:t>2</w:t>
      </w:r>
      <w:r>
        <w:t>+</w:t>
      </w:r>
      <w:r>
        <w:t xml:space="preserve"> </w:t>
      </w:r>
      <w:r>
        <w:t>，加速降解。过大的（Cl、Br）或不匹配的（B）掺杂剂会导致结构崩溃。这种双参数框架可以实现稳定、高性能阴极的预测设计。</w:t>
      </w:r>
    </w:p>
    <w:p>
      <w:pPr>
        <w:spacing w:before="0" w:after="200" w:lineRule="auto" w:line="276"/>
      </w:pPr>
      <w:r>
        <w:rPr>
          <w:b/>
        </w:rPr>
        <w:t xml:space="preserve">Abstract (EN): </w:t>
      </w:r>
      <w:r>
        <w:t>The lack of mechanistic guidelines hinders rational anionic doping in layered oxide cathodes for sodium‐ion batteries (SIBs). Using O3‐type Na(NiFeMn)</w:t>
      </w:r>
      <w:r>
        <w:t xml:space="preserve"> </w:t>
      </w:r>
      <w:r>
        <w:t>1/3</w:t>
      </w:r>
      <w:r>
        <w:t xml:space="preserve"> </w:t>
      </w:r>
      <w:r>
        <w:t>O</w:t>
      </w:r>
      <w:r>
        <w:rPr>
          <w:vertAlign w:val="subscript"/>
        </w:rPr>
        <w:t>2</w:t>
      </w:r>
      <w:r>
        <w:t>as a model and combining experiments with density functional theory (DFT) calculations, we reveal that doping effects are governed by two intrinsic dopant properties: valence‐electron configuration and ionic radius. For radius‐matched dopants, electron‐donating F reduces Fe</w:t>
      </w:r>
      <w:r>
        <w:rPr>
          <w:vertAlign w:val="subscript"/>
        </w:rPr>
        <w:t>3</w:t>
      </w:r>
      <w:r>
        <w:t>+</w:t>
      </w:r>
      <w:r>
        <w:t xml:space="preserve"> </w:t>
      </w:r>
      <w:r>
        <w:t>, enhancing high‐voltage and air stability, whereas electron‐withdrawing N oxidizes Ni</w:t>
      </w:r>
      <w:r>
        <w:rPr>
          <w:vertAlign w:val="subscript"/>
        </w:rPr>
        <w:t>2</w:t>
      </w:r>
      <w:r>
        <w:t>+</w:t>
      </w:r>
      <w:r>
        <w:t xml:space="preserve"> </w:t>
      </w:r>
      <w:r>
        <w:t>, accelerating degradation. Oversized (Cl, Br) or mismatched (B) dopants cause structural collapse. This dual‐parameter framework enables predictive design of stable, high‐performance cathodes.</w:t>
      </w:r>
    </w:p>
    <w:p>
      <w:pPr>
        <w:spacing w:before="120" w:after="120"/>
      </w:pPr>
      <w:r>
        <w:rPr>
          <w:sz w:val="18"/>
        </w:rPr>
        <w:t>——————————————————————————————————————————————————————————————————————</w:t>
      </w:r>
    </w:p>
    <w:p>
      <w:pPr>
        <w:spacing w:before="160" w:after="40" w:line="240" w:lineRule="auto"/>
      </w:pPr>
      <w:r>
        <w:rPr>
          <w:b/>
        </w:rPr>
        <w:t xml:space="preserve">[5] </w:t>
      </w:r>
      <w:hyperlink r:id="rId91">
        <w:r>
          <w:rPr>
            <w:color w:val="1155CC"/>
            <w:u w:val="single"/>
          </w:rPr>
          <w:t>离子自适应分子结构有利于高容量水系镁离子电池的镁离子动力学</w:t>
        </w:r>
      </w:hyperlink>
    </w:p>
    <w:p>
      <w:pPr>
        <w:spacing w:before="0" w:after="80"/>
      </w:pPr>
      <w:r>
        <w:rPr>
          <w:i/>
          <w:sz w:val="20"/>
        </w:rPr>
        <w:t>EN: Ion‐Adaptive Molecular Structure Facilitates Mg‐Ion Dynamic for High‐Capacity Aqueous Magnesium‐Ion Batteries</w:t>
      </w:r>
    </w:p>
    <w:p>
      <w:pPr>
        <w:spacing w:before="0" w:after="120"/>
      </w:pPr>
      <w:r>
        <w:rPr>
          <w:b/>
        </w:rPr>
        <w:t xml:space="preserve">Source: </w:t>
      </w:r>
      <w:r>
        <w:t>Wiley: Advanced Energy Materials: Table of Contents</w:t>
      </w:r>
      <w:r>
        <w:t xml:space="preserve">    </w:t>
      </w:r>
      <w:r>
        <w:rPr>
          <w:b/>
        </w:rPr>
        <w:t xml:space="preserve">Pub date: </w:t>
      </w:r>
      <w:r>
        <w:t>2026-08-22 09:54:23+00:00</w:t>
      </w:r>
      <w:r>
        <w:t xml:space="preserve">    </w:t>
      </w:r>
      <w:r>
        <w:rPr>
          <w:b/>
        </w:rPr>
        <w:t xml:space="preserve">DOI: </w:t>
      </w:r>
      <w:hyperlink r:id="rId92">
        <w:r>
          <w:rPr>
            <w:color w:val="1155CC"/>
            <w:u w:val="single"/>
          </w:rPr>
          <w:t>10.1002/aenm.71364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水性镁离子电池（AMIB）由于其本质安全性、高能量密度和成本效益而成为一种有前景的储能系统。然而，高电荷密度 Mg 的嵌入</w:t>
      </w:r>
      <w:r>
        <w:t xml:space="preserve"> </w:t>
      </w:r>
      <w:r>
        <w:t>2+</w:t>
      </w:r>
      <w:r>
        <w:t xml:space="preserve"> </w:t>
      </w:r>
      <w:r>
        <w:t>传统电极通常会导致不可逆的结构退化，实用容量低且稳定性差。为了克服镁离子引起的固有晶格应力，我们研究了一系列柔性有机分子（FOM），并首次提出了一种新颖的离子自适应策略，在AMIB中实现了具有调制分子空间位阻、高实用容量和鲁棒稳定性的高性能FOM。与传统电极中连续镁离子嵌入不断增加的晶格应力相比，随后的离子嵌入通过在优化的离子自适应FOM（例如三苯并喹喔啉-5,10-二酮（3BQ））中促进离子存储来减少应力，最终提高了实际容量（332.1 mAh g）</w:t>
      </w:r>
      <w:r>
        <w:t xml:space="preserve"> </w:t>
      </w:r>
      <w:r>
        <w:t>−1</w:t>
      </w:r>
      <w:r>
        <w:t xml:space="preserve"> </w:t>
      </w:r>
      <w:r>
        <w:t>1.0 A g 时</w:t>
      </w:r>
      <w:r>
        <w:t xml:space="preserve"> </w:t>
      </w:r>
      <w:r>
        <w:t>−1</w:t>
      </w:r>
      <w:r>
        <w:t xml:space="preserve"> </w:t>
      </w:r>
      <w:r>
        <w:t>），跻身迄今为止 AMIB 容量最高之列。此外，扩展的平面架构增强了离子自适应3BQ的循环稳定性，保持了196.7 mAh g的高比容量</w:t>
      </w:r>
      <w:r>
        <w:t xml:space="preserve"> </w:t>
      </w:r>
      <w:r>
        <w:t>−1</w:t>
      </w:r>
      <w:r>
        <w:t xml:space="preserve"> </w:t>
      </w:r>
      <w:r>
        <w:t>即使在 10.0 A g 下经过 7,000 次循环后</w:t>
      </w:r>
      <w:r>
        <w:t xml:space="preserve"> </w:t>
      </w:r>
      <w:r>
        <w:t>−1</w:t>
      </w:r>
      <w:r>
        <w:t xml:space="preserve"> </w:t>
      </w:r>
      <w:r>
        <w:t>。新颖的离子自适应策略提供了设计高容量的新途径</w:t>
      </w:r>
    </w:p>
    <w:p>
      <w:pPr>
        <w:spacing w:before="0" w:after="200" w:lineRule="auto" w:line="276"/>
      </w:pPr>
      <w:r>
        <w:rPr>
          <w:b/>
        </w:rPr>
        <w:t xml:space="preserve">Abstract (EN): </w:t>
      </w:r>
      <w:r>
        <w:t>Aqueous magnesium‐ion batteries (AMIBs) have emerged as promising energy storage systems owing to their intrinsic safety, high energy density, and cost‐effectiveness. However, the intercalation of high‐charge‐density Mg</w:t>
      </w:r>
      <w:r>
        <w:t xml:space="preserve"> </w:t>
      </w:r>
      <w:r>
        <w:t>2+</w:t>
      </w:r>
      <w:r>
        <w:t xml:space="preserve"> </w:t>
      </w:r>
      <w:r>
        <w:t>usually leads to irreversible structural degradation toward conventional electrodes with low practical capacity and inferior stability. To overcome the inherent lattice stress caused by Mg‐ion, we investigated a series of flexible organic molecules (FOMs), and for the first time proposed a novel ion‐adaptive strategy, achieving a high‐performance FOM with modulated molecular steric hindrance, high practical capacity, and robust stability in AMIBs. In contrast with ever‐increasing lattice stress with successive Mg‐ion intercalation in conventional electrode, the subsequent ion intercalation reduced the stress by facilitated ion‐storage in the optimized ion‐adaptive FOM, such as tribenzoquinoxaline‐5,10‐dione (3BQ), with ultimately improved practical capacity (332.1 mAh g</w:t>
      </w:r>
      <w:r>
        <w:t xml:space="preserve"> </w:t>
      </w:r>
      <w:r>
        <w:t>−1</w:t>
      </w:r>
      <w:r>
        <w:t xml:space="preserve"> </w:t>
      </w:r>
      <w:r>
        <w:t>at 1.0 A g</w:t>
      </w:r>
      <w:r>
        <w:t xml:space="preserve"> </w:t>
      </w:r>
      <w:r>
        <w:t>−1</w:t>
      </w:r>
      <w:r>
        <w:t xml:space="preserve"> </w:t>
      </w:r>
      <w:r>
        <w:t>), ranking among the highest capacity in AMIBs to date. Furthermore, the expanded planar architecture confers enhanced cycling stability on the ion‐adaptive 3BQ, maintaining a high specific capacity of 196.7 mAh g</w:t>
      </w:r>
      <w:r>
        <w:t xml:space="preserve"> </w:t>
      </w:r>
      <w:r>
        <w:t>−1</w:t>
      </w:r>
      <w:r>
        <w:t xml:space="preserve"> </w:t>
      </w:r>
      <w:r>
        <w:t>even after 7,000 cycles at 10.0 A g</w:t>
      </w:r>
      <w:r>
        <w:t xml:space="preserve"> </w:t>
      </w:r>
      <w:r>
        <w:t>−1</w:t>
      </w:r>
      <w:r>
        <w:t xml:space="preserve"> </w:t>
      </w:r>
      <w:r>
        <w:t>. The novel ion‐adaptive strategy provides a new pathway to design high‐capacity electrode materials in AMIBs and other multivalent‐ion batteries.</w:t>
      </w:r>
    </w:p>
    <w:p>
      <w:pPr>
        <w:spacing w:before="120" w:after="120"/>
      </w:pPr>
      <w:r>
        <w:rPr>
          <w:sz w:val="18"/>
        </w:rPr>
        <w:t>——————————————————————————————————————————————————————————————————————</w:t>
      </w:r>
    </w:p>
    <w:p>
      <w:pPr>
        <w:spacing w:before="160" w:after="40" w:line="240" w:lineRule="auto"/>
      </w:pPr>
      <w:r>
        <w:rPr>
          <w:b/>
        </w:rPr>
        <w:t xml:space="preserve">[6] </w:t>
      </w:r>
      <w:hyperlink r:id="rId93">
        <w:r>
          <w:rPr>
            <w:color w:val="1155CC"/>
            <w:u w:val="single"/>
          </w:rPr>
          <w:t>通过化学锁定实现 VO2 的拓扑非晶化以实现持久的水性锌离子存储</w:t>
        </w:r>
      </w:hyperlink>
    </w:p>
    <w:p>
      <w:pPr>
        <w:spacing w:before="0" w:after="80"/>
      </w:pPr>
      <w:r>
        <w:rPr>
          <w:i/>
          <w:sz w:val="20"/>
        </w:rPr>
        <w:t>EN: Topological Amorphization of VO2 via Chemical Locking for Durable Aqueous Zinc‐Ion Storage</w:t>
      </w:r>
    </w:p>
    <w:p>
      <w:pPr>
        <w:spacing w:before="0" w:after="120"/>
      </w:pPr>
      <w:r>
        <w:rPr>
          <w:b/>
        </w:rPr>
        <w:t xml:space="preserve">Source: </w:t>
      </w:r>
      <w:r>
        <w:t>Wiley: Advanced Materials: Table of Contents</w:t>
      </w:r>
      <w:r>
        <w:t xml:space="preserve">    </w:t>
      </w:r>
      <w:r>
        <w:rPr>
          <w:b/>
        </w:rPr>
        <w:t xml:space="preserve">Pub date: </w:t>
      </w:r>
      <w:r>
        <w:t>2026-08-22 15:55:37+00:00</w:t>
      </w:r>
      <w:r>
        <w:t xml:space="preserve">    </w:t>
      </w:r>
      <w:r>
        <w:rPr>
          <w:b/>
        </w:rPr>
        <w:t xml:space="preserve">DOI: </w:t>
      </w:r>
      <w:hyperlink r:id="rId94">
        <w:r>
          <w:rPr>
            <w:color w:val="1155CC"/>
            <w:u w:val="single"/>
          </w:rPr>
          <w:t>10.1002/adma.74779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钒基氧化物是水性锌离子电池（AZIB）有前途的阴极，但它们的刚性晶格受到钒溶解导致的离子扩散缓慢和容量快速衰减的影响。在这里，我们报告了一种有机驱动的拓扑非晶化策略，以构建弹性且动力学加速的阴极。使用盐酸左旋咪唑 (LMS) 作为双功能调节剂，强路易斯酸碱相互作用（V─N/V─S 配位）产生局部拉应力，逐渐破坏长程周期晶格。这种有针对性的晶格解理会转变晶体 VO</w:t>
      </w:r>
      <w:r>
        <w:rPr>
          <w:vertAlign w:val="subscript"/>
        </w:rPr>
        <w:t>2</w:t>
      </w:r>
      <w:r>
        <w:t>成短程有序无定形海绵（表示为 L-VO</w:t>
      </w:r>
      <w:r>
        <w:rPr>
          <w:vertAlign w:val="subscript"/>
        </w:rPr>
        <w:t>2</w:t>
      </w:r>
      <w:r>
        <w:t>‐0.1），同时保留通过灵活的有机“铰链”互连的纳米簇图案。由此产生的拓扑结构同时协调了稳定性与动力学的权衡，其中各向同性的 3D 开放框架能够实现快速、空间无阻的 Zn</w:t>
      </w:r>
      <w:r>
        <w:t xml:space="preserve"> </w:t>
      </w:r>
      <w:r>
        <w:t>2+</w:t>
      </w:r>
      <w:r>
        <w:t xml:space="preserve"> </w:t>
      </w:r>
      <w:r>
        <w:t>通过类似电容器的动力学进行传输，而动态有机铰链有效地适应体积应变并热力学抑制钒溶解。因此，L-VO</w:t>
      </w:r>
      <w:r>
        <w:rPr>
          <w:vertAlign w:val="subscript"/>
        </w:rPr>
        <w:t>2</w:t>
      </w:r>
      <w:r>
        <w:t>‐0.1 阴极提供 481.6 mAh g</w:t>
      </w:r>
      <w:r>
        <w:t xml:space="preserve"> </w:t>
      </w:r>
      <w:r>
        <w:t>−1</w:t>
      </w:r>
      <w:r>
        <w:t xml:space="preserve"> </w:t>
      </w:r>
      <w:r>
        <w:t>0.5安克时</w:t>
      </w:r>
      <w:r>
        <w:t xml:space="preserve"> </w:t>
      </w:r>
      <w:r>
        <w:t>−1</w:t>
      </w:r>
      <w:r>
        <w:t xml:space="preserve"> </w:t>
      </w:r>
      <w:r>
        <w:t>并能以 20 A g 的极限速率维持 12 000 次循环</w:t>
      </w:r>
      <w:r>
        <w:t xml:space="preserve"> </w:t>
      </w:r>
      <w:r>
        <w:t>−1</w:t>
      </w:r>
      <w:r>
        <w:t xml:space="preserve"> </w:t>
      </w:r>
      <w:r>
        <w:t>机智</w:t>
      </w:r>
    </w:p>
    <w:p>
      <w:pPr>
        <w:spacing w:before="0" w:after="200" w:lineRule="auto" w:line="276"/>
      </w:pPr>
      <w:r>
        <w:rPr>
          <w:b/>
        </w:rPr>
        <w:t xml:space="preserve">Abstract (EN): </w:t>
      </w:r>
      <w:r>
        <w:t>Although vanadium‐based oxides are promising cathodes for aqueous zinc‐ion batteries (AZIBs), their rigid crystalline lattices suffer from sluggish ion diffusion and rapid capacity decay caused by vanadium dissolution. Here, we report an organic‐driven topological amorphization strategy to construct a resilient and kinetically accelerated cathode. Using levamisole hydrochloride (LMS) as a dual‐functional modulator, strong Lewis's acid‐base interactions (V─N/V─S coordination) generate localized tensile stress that progressively disrupts the long‐range periodic lattice. This targeted lattice cleavage transforms crystalline VO</w:t>
      </w:r>
      <w:r>
        <w:rPr>
          <w:vertAlign w:val="subscript"/>
        </w:rPr>
        <w:t>2</w:t>
      </w:r>
      <w:r>
        <w:t>into a short‐range ordered amorphous sponge (denoted as L‐VO</w:t>
      </w:r>
      <w:r>
        <w:rPr>
          <w:vertAlign w:val="subscript"/>
        </w:rPr>
        <w:t>2</w:t>
      </w:r>
      <w:r>
        <w:t>‐0.1), while preserving nanoclustered motifs interconnected through flexible organic “hinges”. The resulting topological architecture simultaneously reconciles the stability‐kinetics trade‐off, where the isotropic 3D open framework enables fast, sterically unimpeded Zn</w:t>
      </w:r>
      <w:r>
        <w:t xml:space="preserve"> </w:t>
      </w:r>
      <w:r>
        <w:t>2+</w:t>
      </w:r>
      <w:r>
        <w:t xml:space="preserve"> </w:t>
      </w:r>
      <w:r>
        <w:t>transport with capacitor‐like kinetics, while the dynamic organic hinges efficiently accommodate volume strain and thermodynamically suppress vanadium dissolution. Consequently, the L‐VO</w:t>
      </w:r>
      <w:r>
        <w:rPr>
          <w:vertAlign w:val="subscript"/>
        </w:rPr>
        <w:t>2</w:t>
      </w:r>
      <w:r>
        <w:t>‐0.1 cathode delivers 481.6 mAh g</w:t>
      </w:r>
      <w:r>
        <w:t xml:space="preserve"> </w:t>
      </w:r>
      <w:r>
        <w:t>−1</w:t>
      </w:r>
      <w:r>
        <w:t xml:space="preserve"> </w:t>
      </w:r>
      <w:r>
        <w:t>at 0.5 A g</w:t>
      </w:r>
      <w:r>
        <w:t xml:space="preserve"> </w:t>
      </w:r>
      <w:r>
        <w:t>−1</w:t>
      </w:r>
      <w:r>
        <w:t xml:space="preserve"> </w:t>
      </w:r>
      <w:r>
        <w:t>and sustains 12 000 cycles at an extreme rate of 20 A g</w:t>
      </w:r>
      <w:r>
        <w:t xml:space="preserve"> </w:t>
      </w:r>
      <w:r>
        <w:t>−1</w:t>
      </w:r>
      <w:r>
        <w:t xml:space="preserve"> </w:t>
      </w:r>
      <w:r>
        <w:t>with 83.5% capacity retention. Furthermore, a dual‐cathode pouch cell achieves a commercial‐grade absolute capacity of 1.15 Ah and a high areal capacity of 7.9 mAh cm</w:t>
      </w:r>
      <w:r>
        <w:t xml:space="preserve"> </w:t>
      </w:r>
      <w:r>
        <w:t>−2</w:t>
      </w:r>
      <w:r>
        <w:t xml:space="preserve"> </w:t>
      </w:r>
      <w:r>
        <w:t>under a stringent mass loading (&amp;gt;20 mg cm</w:t>
      </w:r>
      <w:r>
        <w:t xml:space="preserve"> </w:t>
      </w:r>
      <w:r>
        <w:t>−2</w:t>
      </w:r>
      <w:r>
        <w:t xml:space="preserve"> </w:t>
      </w:r>
      <w:r>
        <w:t>), enabling feasible routes toward scalable, durable energy storage devices.</w:t>
      </w:r>
    </w:p>
    <w:p>
      <w:pPr>
        <w:spacing w:before="120" w:after="120"/>
      </w:pPr>
      <w:r>
        <w:rPr>
          <w:sz w:val="18"/>
        </w:rPr>
        <w:t>——————————————————————————————————————————————————————————————————————</w:t>
      </w:r>
    </w:p>
    <w:p>
      <w:pPr>
        <w:spacing w:before="160" w:after="40" w:line="240" w:lineRule="auto"/>
      </w:pPr>
      <w:r>
        <w:rPr>
          <w:b/>
        </w:rPr>
        <w:t xml:space="preserve">[7] </w:t>
      </w:r>
      <w:hyperlink r:id="rId95">
        <w:r>
          <w:rPr>
            <w:color w:val="1155CC"/>
            <w:u w:val="single"/>
          </w:rPr>
          <w:t>分层通量竞争控制氧化还原介导电池中的电化学耦合</w:t>
        </w:r>
      </w:hyperlink>
    </w:p>
    <w:p>
      <w:pPr>
        <w:spacing w:before="0" w:after="80"/>
      </w:pPr>
      <w:r>
        <w:rPr>
          <w:i/>
          <w:sz w:val="20"/>
        </w:rPr>
        <w:t>EN: Hierarchical Flux Competition Governs Electrochemical‐Chemical Coupling in Redox‐Mediated Batteries</w:t>
      </w:r>
    </w:p>
    <w:p>
      <w:pPr>
        <w:spacing w:before="0" w:after="120"/>
      </w:pPr>
      <w:r>
        <w:rPr>
          <w:b/>
        </w:rPr>
        <w:t xml:space="preserve">Source: </w:t>
      </w:r>
      <w:r>
        <w:t>Wiley: Angewandte Chemie International Edition: Table of Contents</w:t>
      </w:r>
      <w:r>
        <w:t xml:space="preserve">    </w:t>
      </w:r>
      <w:r>
        <w:rPr>
          <w:b/>
        </w:rPr>
        <w:t xml:space="preserve">Pub date: </w:t>
      </w:r>
      <w:r>
        <w:t>2026-08-23 17:55:31+00:00</w:t>
      </w:r>
      <w:r>
        <w:t xml:space="preserve">    </w:t>
      </w:r>
      <w:r>
        <w:rPr>
          <w:b/>
        </w:rPr>
        <w:t xml:space="preserve">DOI: </w:t>
      </w:r>
      <w:hyperlink r:id="rId96">
        <w:r>
          <w:rPr>
            <w:color w:val="1155CC"/>
            <w:u w:val="single"/>
          </w:rPr>
          <w:t>10.1002/anie.7034615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还原介导的过程提供了一种有效的策略来加速缓慢的动力学并提高不同电池化学物质的活性材料利用率。然而，由于缺乏描述竞争动力学过程之间相互作用的定量框架，理性优化仍然具有挑战性。在这里，我们通过定义界面电子转移、固态离子传输和介体扩散的三个通量描述符，建立了电化学（EC）化学耦合的动力学框架。这些描述符与 EC 参数相结合，揭示了竞争通量的层次结构，并能够分析确定电流匹配边界。该框架确定并调节速率限制步骤，以实现流量平衡操作，提高利用率并减少极化。在此框架的指导下，一种基于[Fe(CN)</w:t>
      </w:r>
      <w:r>
        <w:rPr>
          <w:vertAlign w:val="subscript"/>
        </w:rPr>
        <w:t>6</w:t>
      </w:r>
      <w:r>
        <w:t>]</w:t>
      </w:r>
      <w:r>
        <w:t xml:space="preserve"> </w:t>
      </w:r>
      <w:r>
        <w:t>3-/4-</w:t>
      </w:r>
      <w:r>
        <w:t>/普鲁士蓝阴极电解液在 100 mA/cm 电流下的容量为 48.6 Ah/L</w:t>
      </w:r>
      <w:r>
        <w:rPr>
          <w:vertAlign w:val="subscript"/>
        </w:rPr>
        <w:t>2</w:t>
      </w:r>
      <w:r>
        <w:t>在对称电池配置中超过 6500 小时，在全电池配置中达到 27.6 Wh/L。二茂铁/磷酸铁锂</w:t>
      </w:r>
      <w:r>
        <w:rPr>
          <w:vertAlign w:val="subscript"/>
        </w:rPr>
        <w:t>4</w:t>
      </w:r>
      <w:r>
        <w:t>氧化还原系统在实际面积容量为 3 mAh/cm 时也实现了 93.91% 的容量保持率</w:t>
      </w:r>
      <w:r>
        <w:rPr>
          <w:vertAlign w:val="subscript"/>
        </w:rPr>
        <w:t>2</w:t>
      </w:r>
      <w:r>
        <w:t>超过 2800 小时。这项工作建立了通量平衡电池设计的通用框架，能够同时增强能量密度和</w:t>
      </w:r>
    </w:p>
    <w:p>
      <w:pPr>
        <w:spacing w:before="0" w:after="200" w:lineRule="auto" w:line="276"/>
      </w:pPr>
      <w:r>
        <w:rPr>
          <w:b/>
        </w:rPr>
        <w:t xml:space="preserve">Abstract (EN): </w:t>
      </w:r>
      <w:r>
        <w:t>Redox‐mediated processes offer an effective strategy to accelerate sluggish kinetics and improve active‐material utilization across diverse battery chemistries. However, rational optimization remains challenging due to the lack of a quantitative framework describing the interplay among competing kinetic processes. Here, we establish a kinetic framework for electrochemical (EC)‐chemical coupling by defining three flux descriptors for interfacial electron transfer, solid‐state ion transport, and mediator diffusion. Integrated with EC parameters, these descriptors reveal the hierarchy of competing fluxes and enable analytical determination of current‐matching boundaries. The framework identifies and regulates rate‐limiting steps to achieve flux‐balanced operation with enhanced utilization and reduced polarization. Guided by this framework, a redox‐targeting flow battery based on a [Fe(CN)</w:t>
      </w:r>
      <w:r>
        <w:rPr>
          <w:vertAlign w:val="subscript"/>
        </w:rPr>
        <w:t>6</w:t>
      </w:r>
      <w:r>
        <w:t>]</w:t>
      </w:r>
      <w:r>
        <w:t xml:space="preserve"> </w:t>
      </w:r>
      <w:r>
        <w:t>3‐/4−</w:t>
      </w:r>
      <w:r>
        <w:t>/Prussian blue catholyte delivers a volumetric capacity of 48.6 Ah/L at 100 mA/cm</w:t>
      </w:r>
      <w:r>
        <w:rPr>
          <w:vertAlign w:val="subscript"/>
        </w:rPr>
        <w:t>2</w:t>
      </w:r>
      <w:r>
        <w:t>over 6500 h in a symmetric‐cell configuration and achieves 27.6 Wh/L in a full‐cell configuration. A ferrocene/LiFePO</w:t>
      </w:r>
      <w:r>
        <w:rPr>
          <w:vertAlign w:val="subscript"/>
        </w:rPr>
        <w:t>4</w:t>
      </w:r>
      <w:r>
        <w:t>redox system also achieves 93.91% capacity retention at a practical areal capacity of 3 mAh/cm</w:t>
      </w:r>
      <w:r>
        <w:rPr>
          <w:vertAlign w:val="subscript"/>
        </w:rPr>
        <w:t>2</w:t>
      </w:r>
      <w:r>
        <w:t>over 2800 h. This work establishes a general framework for flux‐balanced battery design, enabling simultaneous enhancement of energy density and rate capability.</w:t>
      </w:r>
    </w:p>
    <w:p>
      <w:pPr>
        <w:spacing w:before="120" w:after="120"/>
      </w:pPr>
      <w:r>
        <w:rPr>
          <w:sz w:val="18"/>
        </w:rPr>
        <w:t>——————————————————————————————————————————————————————————————————————</w:t>
      </w:r>
    </w:p>
    <w:p>
      <w:pPr>
        <w:spacing w:before="160" w:after="40" w:line="240" w:lineRule="auto"/>
      </w:pPr>
      <w:r>
        <w:rPr>
          <w:b/>
        </w:rPr>
        <w:t xml:space="preserve">[8] </w:t>
      </w:r>
      <w:hyperlink r:id="rId97">
        <w:r>
          <w:rPr>
            <w:color w:val="1155CC"/>
            <w:u w:val="single"/>
          </w:rPr>
          <w:t>锚定释氧抑制相稳定高压富镍正极材料</w:t>
        </w:r>
      </w:hyperlink>
    </w:p>
    <w:p>
      <w:pPr>
        <w:spacing w:before="0" w:after="80"/>
      </w:pPr>
      <w:r>
        <w:rPr>
          <w:i/>
          <w:sz w:val="20"/>
        </w:rPr>
        <w:t>EN: Anchored Oxygen‐Release‐Suppression Phase Stabilizing High‐Voltage Ni‐Rich Cathode Materials</w:t>
      </w:r>
    </w:p>
    <w:p>
      <w:pPr>
        <w:spacing w:before="0" w:after="120"/>
      </w:pPr>
      <w:r>
        <w:rPr>
          <w:b/>
        </w:rPr>
        <w:t xml:space="preserve">Source: </w:t>
      </w:r>
      <w:r>
        <w:t>Wiley: Angewandte Chemie International Edition: Table of Contents</w:t>
      </w:r>
      <w:r>
        <w:t xml:space="preserve">    </w:t>
      </w:r>
      <w:r>
        <w:rPr>
          <w:b/>
        </w:rPr>
        <w:t xml:space="preserve">Pub date: </w:t>
      </w:r>
      <w:r>
        <w:t>2026-08-23 18:07:24+00:00</w:t>
      </w:r>
      <w:r>
        <w:t xml:space="preserve">    </w:t>
      </w:r>
      <w:r>
        <w:rPr>
          <w:b/>
        </w:rPr>
        <w:t xml:space="preserve">DOI: </w:t>
      </w:r>
      <w:hyperlink r:id="rId98">
        <w:r>
          <w:rPr>
            <w:color w:val="1155CC"/>
            <w:u w:val="single"/>
          </w:rPr>
          <w:t>10.1002/anie.9916183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富镍LiNi</w:t>
      </w:r>
      <w:r>
        <w:t xml:space="preserve"> </w:t>
      </w:r>
      <w:r>
        <w:t>x</w:t>
      </w:r>
      <w:r>
        <w:t xml:space="preserve"> </w:t>
      </w:r>
      <w:r>
        <w:t>钴</w:t>
      </w:r>
      <w:r>
        <w:t xml:space="preserve"> </w:t>
      </w:r>
      <w:r>
        <w:t>y</w:t>
      </w:r>
      <w:r>
        <w:t xml:space="preserve"> </w:t>
      </w:r>
      <w:r>
        <w:t>锰</w:t>
      </w:r>
      <w:r>
        <w:t xml:space="preserve"> </w:t>
      </w:r>
      <w:r>
        <w:t>1−x−y</w:t>
      </w:r>
      <w:r>
        <w:t xml:space="preserve"> </w:t>
      </w:r>
      <w:r>
        <w:t>氧</w:t>
      </w:r>
      <w:r>
        <w:rPr>
          <w:vertAlign w:val="subscript"/>
        </w:rPr>
        <w:t>2</w:t>
      </w:r>
      <w:r>
        <w:t>(x≥0.9) 正极材料 (NCM) 由于其高能量密度而被认为是下一代锂离子电池的有前景的材料。然而，它们的实际应用受到气体逸出和容量快速下降的阻碍，这主要是由不可逆的氧气释放和结构不稳定引起的。本文提出了一种简便的一步锚定策略，通过设计精确定制的双架构 LiNi 来克服这一挑战</w:t>
      </w:r>
      <w:r>
        <w:t xml:space="preserve"> </w:t>
      </w:r>
      <w:r>
        <w:t>0.9</w:t>
      </w:r>
      <w:r>
        <w:t xml:space="preserve"> </w:t>
      </w:r>
      <w:r>
        <w:t>钴</w:t>
      </w:r>
      <w:r>
        <w:t xml:space="preserve"> </w:t>
      </w:r>
      <w:r>
        <w:t>0.05</w:t>
      </w:r>
      <w:r>
        <w:t xml:space="preserve"> </w:t>
      </w:r>
      <w:r>
        <w:t>锰</w:t>
      </w:r>
      <w:r>
        <w:t xml:space="preserve"> </w:t>
      </w:r>
      <w:r>
        <w:t>0.05</w:t>
      </w:r>
      <w:r>
        <w:t xml:space="preserve"> </w:t>
      </w:r>
      <w:r>
        <w:t>氧</w:t>
      </w:r>
      <w:r>
        <w:rPr>
          <w:vertAlign w:val="subscript"/>
        </w:rPr>
        <w:t>2</w:t>
      </w:r>
      <w:r>
        <w:t>（DA-NCM）。该策略在富镍阴极上构建了双相表面结构，其中钙钛矿相 La</w:t>
      </w:r>
      <w:r>
        <w:rPr>
          <w:vertAlign w:val="subscript"/>
        </w:rPr>
        <w:t>4</w:t>
      </w:r>
      <w:r>
        <w:t>镍酸锂</w:t>
      </w:r>
      <w:r>
        <w:rPr>
          <w:vertAlign w:val="subscript"/>
        </w:rPr>
        <w:t>8</w:t>
      </w:r>
      <w:r>
        <w:t>减轻表面氧不稳定性和界面降解，惰性La</w:t>
      </w:r>
      <w:r>
        <w:rPr>
          <w:vertAlign w:val="subscript"/>
        </w:rPr>
        <w:t>2</w:t>
      </w:r>
      <w:r>
        <w:t>莫</w:t>
      </w:r>
      <w:r>
        <w:rPr>
          <w:vertAlign w:val="subscript"/>
        </w:rPr>
        <w:t>2</w:t>
      </w:r>
      <w:r>
        <w:t>氧</w:t>
      </w:r>
      <w:r>
        <w:rPr>
          <w:vertAlign w:val="subscript"/>
        </w:rPr>
        <w:t>9</w:t>
      </w:r>
      <w:r>
        <w:t>锚定晶格以避免 La 脱离</w:t>
      </w:r>
      <w:r>
        <w:rPr>
          <w:vertAlign w:val="subscript"/>
        </w:rPr>
        <w:t>4</w:t>
      </w:r>
      <w:r>
        <w:t>镍酸锂</w:t>
      </w:r>
      <w:r>
        <w:rPr>
          <w:vertAlign w:val="subscript"/>
        </w:rPr>
        <w:t>8</w:t>
      </w:r>
      <w:r>
        <w:t>在循环过程中通过增强的La─O键钉扎效应。这种双架构设计提供了稳定界面、表面和体积的稳健策略</w:t>
      </w:r>
    </w:p>
    <w:p>
      <w:pPr>
        <w:spacing w:before="0" w:after="200" w:lineRule="auto" w:line="276"/>
      </w:pPr>
      <w:r>
        <w:rPr>
          <w:b/>
        </w:rPr>
        <w:t xml:space="preserve">Abstract (EN): </w:t>
      </w:r>
      <w:r>
        <w:t>The Ni‐rich LiNi</w:t>
      </w:r>
      <w:r>
        <w:t xml:space="preserve"> </w:t>
      </w:r>
      <w:r>
        <w:t>x</w:t>
      </w:r>
      <w:r>
        <w:t xml:space="preserve"> </w:t>
      </w:r>
      <w:r>
        <w:t>Co</w:t>
      </w:r>
      <w:r>
        <w:t xml:space="preserve"> </w:t>
      </w:r>
      <w:r>
        <w:t>y</w:t>
      </w:r>
      <w:r>
        <w:t xml:space="preserve"> </w:t>
      </w:r>
      <w:r>
        <w:t>Mn</w:t>
      </w:r>
      <w:r>
        <w:t xml:space="preserve"> </w:t>
      </w:r>
      <w:r>
        <w:t>1−x−y</w:t>
      </w:r>
      <w:r>
        <w:t xml:space="preserve"> </w:t>
      </w:r>
      <w:r>
        <w:t>O</w:t>
      </w:r>
      <w:r>
        <w:rPr>
          <w:vertAlign w:val="subscript"/>
        </w:rPr>
        <w:t>2</w:t>
      </w:r>
      <w:r>
        <w:t>(x ≥ 0.9) cathode materials (NCMs) have been considered promising for next‐generation Li‐ion batteries owing to their high‐energy density. However, their practical application is hindered by gas evolution and rapid capacity degradation, primarily caused by irreversible oxygen release and structural instability. Herein, a facile one‐step anchoring strategy is proposed to overcome this challenge by engineering a precisely tailored dual‐architecture LiNi</w:t>
      </w:r>
      <w:r>
        <w:t xml:space="preserve"> </w:t>
      </w:r>
      <w:r>
        <w:t>0.9</w:t>
      </w:r>
      <w:r>
        <w:t xml:space="preserve"> </w:t>
      </w:r>
      <w:r>
        <w:t>Co</w:t>
      </w:r>
      <w:r>
        <w:t xml:space="preserve"> </w:t>
      </w:r>
      <w:r>
        <w:t>0.05</w:t>
      </w:r>
      <w:r>
        <w:t xml:space="preserve"> </w:t>
      </w:r>
      <w:r>
        <w:t>Mn</w:t>
      </w:r>
      <w:r>
        <w:t xml:space="preserve"> </w:t>
      </w:r>
      <w:r>
        <w:t>0.05</w:t>
      </w:r>
      <w:r>
        <w:t xml:space="preserve"> </w:t>
      </w:r>
      <w:r>
        <w:t>O</w:t>
      </w:r>
      <w:r>
        <w:rPr>
          <w:vertAlign w:val="subscript"/>
        </w:rPr>
        <w:t>2</w:t>
      </w:r>
      <w:r>
        <w:t>(DA‐NCM). This strategy constructs a dual‐phase surface architecture on Ni‐rich cathodes, where perovskite‐phase La</w:t>
      </w:r>
      <w:r>
        <w:rPr>
          <w:vertAlign w:val="subscript"/>
        </w:rPr>
        <w:t>4</w:t>
      </w:r>
      <w:r>
        <w:t>LiNiO</w:t>
      </w:r>
      <w:r>
        <w:rPr>
          <w:vertAlign w:val="subscript"/>
        </w:rPr>
        <w:t>8</w:t>
      </w:r>
      <w:r>
        <w:t>mitigates surface oxygen instability and interfacial degradation, and inert La</w:t>
      </w:r>
      <w:r>
        <w:rPr>
          <w:vertAlign w:val="subscript"/>
        </w:rPr>
        <w:t>2</w:t>
      </w:r>
      <w:r>
        <w:t>Mo</w:t>
      </w:r>
      <w:r>
        <w:rPr>
          <w:vertAlign w:val="subscript"/>
        </w:rPr>
        <w:t>2</w:t>
      </w:r>
      <w:r>
        <w:t>O</w:t>
      </w:r>
      <w:r>
        <w:rPr>
          <w:vertAlign w:val="subscript"/>
        </w:rPr>
        <w:t>9</w:t>
      </w:r>
      <w:r>
        <w:t>anchors the lattice to avoid the detachment of La</w:t>
      </w:r>
      <w:r>
        <w:rPr>
          <w:vertAlign w:val="subscript"/>
        </w:rPr>
        <w:t>4</w:t>
      </w:r>
      <w:r>
        <w:t>LiNiO</w:t>
      </w:r>
      <w:r>
        <w:rPr>
          <w:vertAlign w:val="subscript"/>
        </w:rPr>
        <w:t>8</w:t>
      </w:r>
      <w:r>
        <w:t>during cycling via enhanced La─O bond pinning effect. This dual‐architecture design provides a robust strategy for stabilizing the interface, surface, and bulk phase of Ni‐rich cathodes, enabling durable oxygen regulation, suppressed structural degradation, and stable high‐voltage operation under demanding cycling conditions. Thus, our DA‐NCM cathodes demonstrate excellent capacity retention of 95.7% at 4.3 V and 93.6% at 4.5 V after 200 cycles and remarkable stability even at an elevated temperature (50°C) and high voltage (4.5 V), confirming their markedly enhanced electrochemical stability. This precision design of dual architecture provides a new pathway for developing high‐energy‐density cathode materials with long cycle life.</w:t>
      </w:r>
    </w:p>
    <w:p>
      <w:pPr>
        <w:spacing w:before="120" w:after="120"/>
      </w:pPr>
      <w:r>
        <w:rPr>
          <w:sz w:val="18"/>
        </w:rPr>
        <w:t>——————————————————————————————————————————————————————————————————————</w:t>
      </w:r>
    </w:p>
    <w:p>
      <w:pPr>
        <w:spacing w:before="160" w:after="40" w:line="240" w:lineRule="auto"/>
      </w:pPr>
      <w:r>
        <w:rPr>
          <w:b/>
        </w:rPr>
        <w:t xml:space="preserve">[9] </w:t>
      </w:r>
      <w:hyperlink r:id="rId99">
        <w:r>
          <w:rPr>
            <w:color w:val="1155CC"/>
            <w:u w:val="single"/>
          </w:rPr>
          <w:t>水系电池中 MnO2/Mn2+ 氧化还原化学的热力学控制</w:t>
        </w:r>
      </w:hyperlink>
    </w:p>
    <w:p>
      <w:pPr>
        <w:spacing w:before="0" w:after="80"/>
      </w:pPr>
      <w:r>
        <w:rPr>
          <w:i/>
          <w:sz w:val="20"/>
        </w:rPr>
        <w:t>EN: Thermodynamic Control of MnO2/Mn2+ Redox Chemistry in Aqueous Batteries</w:t>
      </w:r>
    </w:p>
    <w:p>
      <w:pPr>
        <w:spacing w:before="0" w:after="120"/>
      </w:pPr>
      <w:r>
        <w:rPr>
          <w:b/>
        </w:rPr>
        <w:t xml:space="preserve">Source: </w:t>
      </w:r>
      <w:r>
        <w:t>Wiley: Angewandte Chemie International Edition: Table of Contents</w:t>
      </w:r>
      <w:r>
        <w:t xml:space="preserve">    </w:t>
      </w:r>
      <w:r>
        <w:rPr>
          <w:b/>
        </w:rPr>
        <w:t xml:space="preserve">Pub date: </w:t>
      </w:r>
      <w:r>
        <w:t>2026-08-23 18:15:30+00:00</w:t>
      </w:r>
      <w:r>
        <w:t xml:space="preserve">    </w:t>
      </w:r>
      <w:r>
        <w:rPr>
          <w:b/>
        </w:rPr>
        <w:t xml:space="preserve">DOI: </w:t>
      </w:r>
      <w:hyperlink r:id="rId100">
        <w:r>
          <w:rPr>
            <w:color w:val="1155CC"/>
            <w:u w:val="single"/>
          </w:rPr>
          <w:t>10.1002/anie.5077478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二氧化锰</w:t>
      </w:r>
      <w:r>
        <w:rPr>
          <w:vertAlign w:val="subscript"/>
        </w:rPr>
        <w:t>2</w:t>
      </w:r>
      <w:r>
        <w:t>/锰</w:t>
      </w:r>
      <w:r>
        <w:t xml:space="preserve"> </w:t>
      </w:r>
      <w:r>
        <w:t>2+</w:t>
      </w:r>
      <w:r>
        <w:t xml:space="preserve"> </w:t>
      </w:r>
      <w:r>
        <w:t>氧化还原化学对于能量密集型水电池具有吸引力，提供高理论容量和有利的氧化还原电位。然而，这种化学反应的实际可逆性受到竞争反应途径的严重限制，包括锰</w:t>
      </w:r>
      <w:r>
        <w:t xml:space="preserve"> </w:t>
      </w:r>
      <w:r>
        <w:t>3+</w:t>
      </w:r>
      <w:r>
        <w:t xml:space="preserve"> </w:t>
      </w:r>
      <w:r>
        <w:t>歧化、“死锰”积累和寄生反应。而不是主要关注有吸引力的 Zn-MnO 材料性能的进步</w:t>
      </w:r>
      <w:r>
        <w:rPr>
          <w:vertAlign w:val="subscript"/>
        </w:rPr>
        <w:t>2</w:t>
      </w:r>
      <w:r>
        <w:t>电池，这篇综述开发了一个热力学框架来理解 MnO</w:t>
      </w:r>
      <w:r>
        <w:rPr>
          <w:vertAlign w:val="subscript"/>
        </w:rPr>
        <w:t>2</w:t>
      </w:r>
      <w:r>
        <w:t>/锰</w:t>
      </w:r>
      <w:r>
        <w:t xml:space="preserve"> </w:t>
      </w:r>
      <w:r>
        <w:t>2+</w:t>
      </w:r>
      <w:r>
        <w:t xml:space="preserve"> </w:t>
      </w:r>
      <w:r>
        <w:t>转化化学。它强调了控制 MnO 的基本热力学原理</w:t>
      </w:r>
      <w:r>
        <w:rPr>
          <w:vertAlign w:val="subscript"/>
        </w:rPr>
        <w:t>2</w:t>
      </w:r>
      <w:r>
        <w:t>/锰</w:t>
      </w:r>
      <w:r>
        <w:t xml:space="preserve"> </w:t>
      </w:r>
      <w:r>
        <w:t>2+</w:t>
      </w:r>
      <w:r>
        <w:t xml:space="preserve"> </w:t>
      </w:r>
      <w:r>
        <w:t>反应路径选择、界面演化和失效机制。在此框架内，控制因素和代表性策略——包括局部质子和锰</w:t>
      </w:r>
      <w:r>
        <w:t xml:space="preserve"> </w:t>
      </w:r>
      <w:r>
        <w:t>2+</w:t>
      </w:r>
      <w:r>
        <w:t xml:space="preserve"> </w:t>
      </w:r>
      <w:r>
        <w:t>活性、界面水结构和氧化物形成/溶解能量学——通过平衡态、准平衡态和串联热力学调节视角进行系统讨论。还概述了操作活性图谱、介体选择性设计和全细胞热力学相容性的未来研究方向。这些见解旨在</w:t>
      </w:r>
    </w:p>
    <w:p>
      <w:pPr>
        <w:spacing w:before="0" w:after="200" w:lineRule="auto" w:line="276"/>
      </w:pPr>
      <w:r>
        <w:rPr>
          <w:b/>
        </w:rPr>
        <w:t xml:space="preserve">Abstract (EN): </w:t>
      </w:r>
      <w:r>
        <w:t>The MnO</w:t>
      </w:r>
      <w:r>
        <w:rPr>
          <w:vertAlign w:val="subscript"/>
        </w:rPr>
        <w:t>2</w:t>
      </w:r>
      <w:r>
        <w:t>/Mn</w:t>
      </w:r>
      <w:r>
        <w:t xml:space="preserve"> </w:t>
      </w:r>
      <w:r>
        <w:t>2+</w:t>
      </w:r>
      <w:r>
        <w:t xml:space="preserve"> </w:t>
      </w:r>
      <w:r>
        <w:t>redox chemistry is attractive for energy‐dense aqueous batteries, offering high theoretical capacity and favorable redox potential. However, the practical reversibility of this chemistry is severely limited by competing reaction pathways, including Mn</w:t>
      </w:r>
      <w:r>
        <w:t xml:space="preserve"> </w:t>
      </w:r>
      <w:r>
        <w:t>3+</w:t>
      </w:r>
      <w:r>
        <w:t xml:space="preserve"> </w:t>
      </w:r>
      <w:r>
        <w:t>disproportionation, “dead Mn” accumulation, and parasitic reactions. Rather than focusing primarily on material‐performance advances in the appealing Zn‐MnO</w:t>
      </w:r>
      <w:r>
        <w:rPr>
          <w:vertAlign w:val="subscript"/>
        </w:rPr>
        <w:t>2</w:t>
      </w:r>
      <w:r>
        <w:t>batteries, this review develops a thermodynamic framework for understanding MnO</w:t>
      </w:r>
      <w:r>
        <w:rPr>
          <w:vertAlign w:val="subscript"/>
        </w:rPr>
        <w:t>2</w:t>
      </w:r>
      <w:r>
        <w:t>/Mn</w:t>
      </w:r>
      <w:r>
        <w:t xml:space="preserve"> </w:t>
      </w:r>
      <w:r>
        <w:t>2+</w:t>
      </w:r>
      <w:r>
        <w:t xml:space="preserve"> </w:t>
      </w:r>
      <w:r>
        <w:t>conversion chemistry. It emphasizes the fundamental thermodynamic principles governing MnO</w:t>
      </w:r>
      <w:r>
        <w:rPr>
          <w:vertAlign w:val="subscript"/>
        </w:rPr>
        <w:t>2</w:t>
      </w:r>
      <w:r>
        <w:t>/Mn</w:t>
      </w:r>
      <w:r>
        <w:t xml:space="preserve"> </w:t>
      </w:r>
      <w:r>
        <w:t>2+</w:t>
      </w:r>
      <w:r>
        <w:t xml:space="preserve"> </w:t>
      </w:r>
      <w:r>
        <w:t>reaction–pathway selection, interfacial evolution, and failure mechanisms. Within this framework, controlling factors and representative strategies—including local proton and Mn</w:t>
      </w:r>
      <w:r>
        <w:t xml:space="preserve"> </w:t>
      </w:r>
      <w:r>
        <w:t>2+</w:t>
      </w:r>
      <w:r>
        <w:t xml:space="preserve"> </w:t>
      </w:r>
      <w:r>
        <w:t>activities, interfacial water structure, and oxide formation/dissolution energetics—are systematically discussed through equilibrium‐state, quasi‐equilibrium‐state, and concatenated thermodynamic regulation perspectives. Future research directions toward operando activity mapping, mediator selectivity design, and full‐cell thermodynamic compatibility are also outlined. These insights aim to shift MnO</w:t>
      </w:r>
      <w:r>
        <w:rPr>
          <w:vertAlign w:val="subscript"/>
        </w:rPr>
        <w:t>2</w:t>
      </w:r>
      <w:r>
        <w:t>/Mn</w:t>
      </w:r>
      <w:r>
        <w:t xml:space="preserve"> </w:t>
      </w:r>
      <w:r>
        <w:t>2+</w:t>
      </w:r>
      <w:r>
        <w:t xml:space="preserve"> </w:t>
      </w:r>
      <w:r>
        <w:t>‐based aqueous batteries from empirical optimization toward thermodynamic design rules for stable, efficient, and high‐energy redox chemistry.</w:t>
      </w:r>
    </w:p>
    <w:p>
      <w:pPr>
        <w:spacing w:before="120" w:after="120"/>
      </w:pPr>
      <w:r>
        <w:rPr>
          <w:sz w:val="18"/>
        </w:rPr>
        <w:t>——————————————————————————————————————————————————————————————————————</w:t>
      </w:r>
    </w:p>
    <w:p>
      <w:pPr>
        <w:spacing w:before="160" w:after="40" w:line="240" w:lineRule="auto"/>
      </w:pPr>
      <w:r>
        <w:rPr>
          <w:b/>
        </w:rPr>
        <w:t xml:space="preserve">[10] </w:t>
      </w:r>
      <w:hyperlink r:id="rId101">
        <w:r>
          <w:rPr>
            <w:color w:val="1155CC"/>
            <w:u w:val="single"/>
          </w:rPr>
          <w:t>使用多功能半胱氨酸锂对废 LiCoO2 进行体界面和双域稳定，实现层状阴极的高压再生</w:t>
        </w:r>
      </w:hyperlink>
    </w:p>
    <w:p>
      <w:pPr>
        <w:spacing w:before="0" w:after="80"/>
      </w:pPr>
      <w:r>
        <w:rPr>
          <w:i/>
          <w:sz w:val="20"/>
        </w:rPr>
        <w:t>EN: Bulk-Interface and Dual-Domain Stabilization of Spent LiCoO2 Using Multifunctional Lithium Cysteinate Enables High-Voltage Regeneration of Layered Cathodes</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102">
        <w:r>
          <w:rPr>
            <w:color w:val="1155CC"/>
            <w:u w:val="single"/>
          </w:rPr>
          <w:t>10.1021/acsami.6c08983</w:t>
        </w:r>
      </w:hyperlink>
    </w:p>
    <w:p>
      <w:pPr>
        <w:spacing w:before="0" w:after="120"/>
      </w:pPr>
      <w:r>
        <w:rPr>
          <w:b/>
        </w:rPr>
        <w:t xml:space="preserve">Notes: </w:t>
      </w:r>
      <w:r>
        <w:t>abstract_source=crossref</w:t>
      </w:r>
    </w:p>
    <w:p>
      <w:pPr>
        <w:spacing w:before="0" w:after="80" w:lineRule="auto" w:line="276"/>
      </w:pPr>
      <w:r>
        <w:rPr>
          <w:b/>
        </w:rPr>
        <w:t xml:space="preserve">摘要（ZH）: </w:t>
      </w:r>
      <w:r>
        <w:t>摘要 废旧锂离子电池（LIB）数量的不断增加引发了严峻的资源和环境问题，废旧钴酸锂（SLCO）的环保、高值再生在新能源领域势在必行。将SLCO升级改造为高压钴酸锂（LCO），增强其高附加值利用；然而，现有再生工艺中的单功能锂源只能实现基本的锂补偿，未能同时解决4.6 V高压循环下体结构退化和不受控制的界面副反应的瓶颈，这阻碍了SLCO稳定升级为高压LCO。在此，通过半胱氨酸锂（Li-Cys）的一步固态烧结提出了一种体界面和双域稳定策略。 Li-Cys中Li-S键的优先断裂首先能够对废LiCoO2进行有针对性的锂补偿，然后引入NaOH以提供温和的碱性环境，从而同时实现本体中的Na/S共掺杂和界面处Li2SO4/LiNxOy涂层的原位构建。 Na+作为层间支柱稳定了层状结构，S增强了晶格氧稳定性，涂层抑制了界面副反应，共同提高了结构稳定性和离子传输动力学。再生的 NS-RLCO 正极在 0.1C 下的初始容量为 205 mAh/g，在 1C 下循环 100 次后容量保持率为 91.9%，在 3C 下可逆容量为 158.9 mAh/g。经济和生命周期分析</w:t>
      </w:r>
    </w:p>
    <w:p>
      <w:pPr>
        <w:spacing w:before="0" w:after="200" w:lineRule="auto" w:line="276"/>
      </w:pPr>
      <w:r>
        <w:rPr>
          <w:b/>
        </w:rPr>
        <w:t xml:space="preserve">Abstract (EN): </w:t>
      </w:r>
      <w:r>
        <w:t>The increasing volume of spent lithium-ion batteries (LIBs) has triggered severe resource and environmental issues, making the environmentally friendly, high-value regeneration of spent LiCoO2 (SLCO) imperative in the new energy field. Upcycling SLCO into high-voltage lithium cobalt oxide (LCO) potentiates its high-value-added utilization; however, single-functional lithium sources in existing regeneration processes only achieve basic lithium compensation and fail to simultaneously address the bottlenecks of bulk structural degradation and uncontrolled interfacial side reactions under 4.6 V high-voltage cycling, which hinders the stable upcycling of SLCO into high-voltage LCO. Herein, a bulk-interface and dual-domain stabilization strategy is proposed via one-step solid-state sintering with lithium cysteinate (Li-Cys). The preferential cleavage of Li–S bonds in Li-Cys first enables targeted lithium compensation for spent LiCoO2, followed by the introduction of NaOH to provide a mild alkaline environment, thereby simultaneously achieving Na/S co-doping in the bulk and the in situ construction of a Li2SO4/LiNxOy coating at the interface. Na+ stabilized the layered structure as an interlayer pillar, S enhanced the lattice oxygen stability, and the coating suppressed interfacial side reactions, jointly improving the structural stability and ion transport kinetics. The regenerated NS-RLCO cathode delivered an initial capacity of 205 mAh/g at 0.1C, 91.9% capacity retention after 100 cycles at 1C, and 158.9 mAh/g reversible capacity at 3C. Economic and life-cycle analyses confirmed its superior cost and environmental benefits over traditional recycling processes, providing a novel route for environmentally friendly, high-value regeneration of spent LCO.</w:t>
      </w:r>
    </w:p>
    <w:p>
      <w:pPr>
        <w:spacing w:before="120" w:after="120"/>
      </w:pPr>
      <w:r>
        <w:rPr>
          <w:sz w:val="18"/>
        </w:rPr>
        <w:t>——————————————————————————————————————————————————————————————————————</w:t>
      </w:r>
    </w:p>
    <w:p>
      <w:pPr>
        <w:spacing w:before="160" w:after="40" w:line="240" w:lineRule="auto"/>
      </w:pPr>
      <w:r>
        <w:rPr>
          <w:b/>
        </w:rPr>
        <w:t xml:space="preserve">[11] </w:t>
      </w:r>
      <w:hyperlink r:id="rId103">
        <w:r>
          <w:rPr>
            <w:color w:val="1155CC"/>
            <w:u w:val="single"/>
          </w:rPr>
          <w:t>离域 Li2MnO3 类域可增强 4.2 V 级 O3 型钠层状阴极的结构稳定性</w:t>
        </w:r>
      </w:hyperlink>
    </w:p>
    <w:p>
      <w:pPr>
        <w:spacing w:before="0" w:after="80"/>
      </w:pPr>
      <w:r>
        <w:rPr>
          <w:i/>
          <w:sz w:val="20"/>
        </w:rPr>
        <w:t>EN: Delocalized Li2MnO3‐Like Domains for Enhanced Structural Stability in 4.2 V‐Class O3‐Type Sodium Layered Cathodes</w:t>
      </w:r>
    </w:p>
    <w:p>
      <w:pPr>
        <w:spacing w:before="0" w:after="120"/>
      </w:pPr>
      <w:r>
        <w:rPr>
          <w:b/>
        </w:rPr>
        <w:t xml:space="preserve">Source: </w:t>
      </w:r>
      <w:r>
        <w:t>Wiley: Advanced Energy Materials: Table of Contents</w:t>
      </w:r>
      <w:r>
        <w:t xml:space="preserve">    </w:t>
      </w:r>
      <w:r>
        <w:rPr>
          <w:b/>
        </w:rPr>
        <w:t xml:space="preserve">Pub date: </w:t>
      </w:r>
      <w:r>
        <w:t>2026-08-24 08:17:54+00:00</w:t>
      </w:r>
      <w:r>
        <w:t xml:space="preserve">    </w:t>
      </w:r>
      <w:r>
        <w:rPr>
          <w:b/>
        </w:rPr>
        <w:t xml:space="preserve">DOI: </w:t>
      </w:r>
      <w:hyperlink r:id="rId104">
        <w:r>
          <w:rPr>
            <w:color w:val="1155CC"/>
            <w:u w:val="single"/>
          </w:rPr>
          <w:t>10.1002/aenm.71496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Ni/Mn基O3型层状氧化物是有前景的钠离子电池高能量密度正极，但其在高电压下的实际应用受到不可逆氧氧化还原和结构降解的阻碍。在此，我们证明了 O3-NaNi 中的 Li/Sn 共掺杂</w:t>
      </w:r>
      <w:r>
        <w:t xml:space="preserve"> </w:t>
      </w:r>
      <w:r>
        <w:t>0.5</w:t>
      </w:r>
      <w:r>
        <w:t xml:space="preserve"> </w:t>
      </w:r>
      <w:r>
        <w:t>锰</w:t>
      </w:r>
      <w:r>
        <w:t xml:space="preserve"> </w:t>
      </w:r>
      <w:r>
        <w:t>0.5</w:t>
      </w:r>
      <w:r>
        <w:t xml:space="preserve"> </w:t>
      </w:r>
      <w:r>
        <w:t>氧</w:t>
      </w:r>
      <w:r>
        <w:rPr>
          <w:vertAlign w:val="subscript"/>
        </w:rPr>
        <w:t>2</w:t>
      </w:r>
      <w:r>
        <w:t>诱导离域Li的形成</w:t>
      </w:r>
      <w:r>
        <w:rPr>
          <w:vertAlign w:val="subscript"/>
        </w:rPr>
        <w:t>2</w:t>
      </w:r>
      <w:r>
        <w:t>二氧化锰</w:t>
      </w:r>
      <w:r>
        <w:rPr>
          <w:vertAlign w:val="subscript"/>
        </w:rPr>
        <w:t>3</w:t>
      </w:r>
      <w:r>
        <w:t>‐like 域，偏离了传统的随机替换模型。这些域包含空间分散的以锂为中心的局部构型（例如，LiMn</w:t>
      </w:r>
      <w:r>
        <w:rPr>
          <w:vertAlign w:val="subscript"/>
        </w:rPr>
        <w:t>6</w:t>
      </w:r>
      <w:r>
        <w:t>, 锂镍锰</w:t>
      </w:r>
      <w:r>
        <w:rPr>
          <w:vertAlign w:val="subscript"/>
        </w:rPr>
        <w:t>5</w:t>
      </w:r>
      <w:r>
        <w:t>, 锂锡锰</w:t>
      </w:r>
      <w:r>
        <w:rPr>
          <w:vertAlign w:val="subscript"/>
        </w:rPr>
        <w:t>5</w:t>
      </w:r>
      <w:r>
        <w:t>）并作为分层框架内的结构支柱。多模态表征表明这些域调节局部结构和电子构型。电荷补偿以Ni氧化还原为主，而晶格氧参与、不可逆氧氧化还原和O-O二聚体形成均得到有效抑制。同时，稳定的局部结构抑制了过渡金属迁移，减轻了层滑移，并抑制了</w:t>
      </w:r>
      <w:r>
        <w:t xml:space="preserve"> </w:t>
      </w:r>
      <w:r>
        <w:t>c</w:t>
      </w:r>
      <w:r>
        <w:t xml:space="preserve"> </w:t>
      </w:r>
      <w:r>
        <w:t>轴收缩，实现可逆的 O3-P3-O3 相变。优化后的正极在 0.1C 下循环 100 次后容量保持率为 98.06%，在 1C 下循环 200 次后容量保持率为 82.42%。这项工作提供了一个</w:t>
      </w:r>
    </w:p>
    <w:p>
      <w:pPr>
        <w:spacing w:before="0" w:after="200" w:lineRule="auto" w:line="276"/>
      </w:pPr>
      <w:r>
        <w:rPr>
          <w:b/>
        </w:rPr>
        <w:t xml:space="preserve">Abstract (EN): </w:t>
      </w:r>
      <w:r>
        <w:t>Ni/Mn‐based O3‐type layered oxides are promising high‐energy‐density cathodes for sodium‐ion batteries, yet their practical application at high voltages is hindered by irreversible oxygen redox and structural degradation. Herein, we demonstrate that Li/Sn co‐doping in O3‐NaNi</w:t>
      </w:r>
      <w:r>
        <w:t xml:space="preserve"> </w:t>
      </w:r>
      <w:r>
        <w:t>0.5</w:t>
      </w:r>
      <w:r>
        <w:t xml:space="preserve"> </w:t>
      </w:r>
      <w:r>
        <w:t>Mn</w:t>
      </w:r>
      <w:r>
        <w:t xml:space="preserve"> </w:t>
      </w:r>
      <w:r>
        <w:t>0.5</w:t>
      </w:r>
      <w:r>
        <w:t xml:space="preserve"> </w:t>
      </w:r>
      <w:r>
        <w:t>O</w:t>
      </w:r>
      <w:r>
        <w:rPr>
          <w:vertAlign w:val="subscript"/>
        </w:rPr>
        <w:t>2</w:t>
      </w:r>
      <w:r>
        <w:t>induces the formation of delocalized Li</w:t>
      </w:r>
      <w:r>
        <w:rPr>
          <w:vertAlign w:val="subscript"/>
        </w:rPr>
        <w:t>2</w:t>
      </w:r>
      <w:r>
        <w:t>MnO</w:t>
      </w:r>
      <w:r>
        <w:rPr>
          <w:vertAlign w:val="subscript"/>
        </w:rPr>
        <w:t>3</w:t>
      </w:r>
      <w:r>
        <w:t>‐like domains, deviating from the conventional random substitution model. These domains comprise spatially dispersed Li‐centered local configurations (e.g., LiMn</w:t>
      </w:r>
      <w:r>
        <w:rPr>
          <w:vertAlign w:val="subscript"/>
        </w:rPr>
        <w:t>6</w:t>
      </w:r>
      <w:r>
        <w:t>, LiNiMn</w:t>
      </w:r>
      <w:r>
        <w:rPr>
          <w:vertAlign w:val="subscript"/>
        </w:rPr>
        <w:t>5</w:t>
      </w:r>
      <w:r>
        <w:t>, LiSnMn</w:t>
      </w:r>
      <w:r>
        <w:rPr>
          <w:vertAlign w:val="subscript"/>
        </w:rPr>
        <w:t>5</w:t>
      </w:r>
      <w:r>
        <w:t>) and serve as structural pillars within the layered framework. Multimodal characterizations reveal that these domains regulate both local structure and electronic configuration. Charge compensation is dominated by Ni redox, while lattice oxygen participation, irreversible oxygen redox, and O–O dimer formation are effectively suppressed. Meanwhile, the stabilized local structure inhibits transition metal migration, mitigates layer gliding, and suppresses</w:t>
      </w:r>
      <w:r>
        <w:t xml:space="preserve"> </w:t>
      </w:r>
      <w:r>
        <w:t>c</w:t>
      </w:r>
      <w:r>
        <w:t xml:space="preserve"> </w:t>
      </w:r>
      <w:r>
        <w:t>‐axis contraction, enabling a reversible O3‐P3‐O3 phase transition. The optimized cathode delivers 98.06% capacity retention after 100 cycles at 0.1C and 82.42% after 200 cycles at 1C. This work provides atomic‐scale insights and a promising strategy for designing high‐performance sodium layered cathodes.</w:t>
      </w:r>
    </w:p>
    <w:p>
      <w:pPr>
        <w:spacing w:before="120" w:after="120"/>
      </w:pPr>
      <w:r>
        <w:rPr>
          <w:sz w:val="18"/>
        </w:rPr>
        <w:t>——————————————————————————————————————————————————————————————————————</w:t>
      </w:r>
    </w:p>
    <w:p>
      <w:pPr>
        <w:spacing w:before="160" w:after="40" w:line="240" w:lineRule="auto"/>
      </w:pPr>
      <w:r>
        <w:rPr>
          <w:b/>
        </w:rPr>
        <w:t xml:space="preserve">[12] </w:t>
      </w:r>
      <w:hyperlink r:id="rId105">
        <w:r>
          <w:rPr>
            <w:color w:val="1155CC"/>
            <w:u w:val="single"/>
          </w:rPr>
          <w:t>设计 MnO2 表面的质子选择性途径以实现可持续的质子化电化学</w:t>
        </w:r>
      </w:hyperlink>
    </w:p>
    <w:p>
      <w:pPr>
        <w:spacing w:before="0" w:after="80"/>
      </w:pPr>
      <w:r>
        <w:rPr>
          <w:i/>
          <w:sz w:val="20"/>
        </w:rPr>
        <w:t>EN: Designing Proton‐Selective Pathway on MnO2 Surface Toward Sustainable Protonation Electrochemistry</w:t>
      </w:r>
    </w:p>
    <w:p>
      <w:pPr>
        <w:spacing w:before="0" w:after="120"/>
      </w:pPr>
      <w:r>
        <w:rPr>
          <w:b/>
        </w:rPr>
        <w:t xml:space="preserve">Source: </w:t>
      </w:r>
      <w:r>
        <w:t>Wiley: Angewandte Chemie International Edition: Table of Contents</w:t>
      </w:r>
      <w:r>
        <w:t xml:space="preserve">    </w:t>
      </w:r>
      <w:r>
        <w:rPr>
          <w:b/>
        </w:rPr>
        <w:t xml:space="preserve">Pub date: </w:t>
      </w:r>
      <w:r>
        <w:t>2026-08-24 16:12:40+00:00</w:t>
      </w:r>
      <w:r>
        <w:t xml:space="preserve">    </w:t>
      </w:r>
      <w:r>
        <w:rPr>
          <w:b/>
        </w:rPr>
        <w:t xml:space="preserve">DOI: </w:t>
      </w:r>
      <w:hyperlink r:id="rId106">
        <w:r>
          <w:rPr>
            <w:color w:val="1155CC"/>
            <w:u w:val="single"/>
          </w:rPr>
          <w:t>10.1002/anie.4662687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二氧化锰（MnO</w:t>
      </w:r>
      <w:r>
        <w:rPr>
          <w:vertAlign w:val="subscript"/>
        </w:rPr>
        <w:t>2</w:t>
      </w:r>
      <w:r>
        <w:t>）以其低成本、高理论容量和环境友好而闻名，在开发温和的水相Zn-MnO2方面受到了极大的关注</w:t>
      </w:r>
      <w:r>
        <w:rPr>
          <w:vertAlign w:val="subscript"/>
        </w:rPr>
        <w:t>2</w:t>
      </w:r>
      <w:r>
        <w:t>电池（AZMB）。然而，锰</w:t>
      </w:r>
      <w:r>
        <w:t xml:space="preserve"> </w:t>
      </w:r>
      <w:r>
        <w:t>2+</w:t>
      </w:r>
      <w:r>
        <w:t xml:space="preserve"> </w:t>
      </w:r>
      <w:r>
        <w:t>溶解严重影响循环稳定性和实际可行性；此外，电荷存储机制的模糊性（例如，Zn</w:t>
      </w:r>
      <w:r>
        <w:t xml:space="preserve"> </w:t>
      </w:r>
      <w:r>
        <w:t>2+</w:t>
      </w:r>
      <w:r>
        <w:t xml:space="preserve"> </w:t>
      </w:r>
      <w:r>
        <w:t>与 H</w:t>
      </w:r>
      <w:r>
        <w:t xml:space="preserve"> </w:t>
      </w:r>
      <w:r>
        <w:t>+</w:t>
      </w:r>
      <w:r>
        <w:t xml:space="preserve"> </w:t>
      </w:r>
      <w:r>
        <w:t>）使得战略工程的方向变得不确定。在此，通过先进的电子显微镜，我们表明 MnO 中的电荷存储</w:t>
      </w:r>
      <w:r>
        <w:rPr>
          <w:vertAlign w:val="subscript"/>
        </w:rPr>
        <w:t>2</w:t>
      </w:r>
      <w:r>
        <w:t>以H为主</w:t>
      </w:r>
      <w:r>
        <w:t xml:space="preserve"> </w:t>
      </w:r>
      <w:r>
        <w:t>+</w:t>
      </w:r>
      <w:r>
        <w:t xml:space="preserve"> </w:t>
      </w:r>
      <w:r>
        <w:t>插层而不是 Zn</w:t>
      </w:r>
      <w:r>
        <w:t xml:space="preserve"> </w:t>
      </w:r>
      <w:r>
        <w:t>2+</w:t>
      </w:r>
      <w:r>
        <w:t xml:space="preserve"> </w:t>
      </w:r>
      <w:r>
        <w:t>插入。受这一发现的启发，我们参考质子交换膜的配方，均匀地涂覆单个MnO</w:t>
      </w:r>
      <w:r>
        <w:rPr>
          <w:vertAlign w:val="subscript"/>
        </w:rPr>
        <w:t>2</w:t>
      </w:r>
      <w:r>
        <w:t>具有质子选择性表面的粒子，即 Nafion，成功地抑制了 Mn</w:t>
      </w:r>
      <w:r>
        <w:t xml:space="preserve"> </w:t>
      </w:r>
      <w:r>
        <w:t>2+</w:t>
      </w:r>
      <w:r>
        <w:t xml:space="preserve"> </w:t>
      </w:r>
      <w:r>
        <w:t>作为“离子过滤器”溶解，同时促进可逆 H</w:t>
      </w:r>
      <w:r>
        <w:t xml:space="preserve"> </w:t>
      </w:r>
      <w:r>
        <w:t>+</w:t>
      </w:r>
      <w:r>
        <w:t xml:space="preserve"> </w:t>
      </w:r>
      <w:r>
        <w:t>作为“质子通道”插入/提取。因此，二氧化锰</w:t>
      </w:r>
      <w:r>
        <w:rPr>
          <w:vertAlign w:val="subscript"/>
        </w:rPr>
        <w:t>2</w:t>
      </w:r>
      <w:r>
        <w:t>@Nafion正极表现出出色的比容量（277 mAh g</w:t>
      </w:r>
      <w:r>
        <w:t xml:space="preserve"> </w:t>
      </w:r>
      <w:r>
        <w:t>−1</w:t>
      </w:r>
      <w:r>
        <w:t xml:space="preserve"> </w:t>
      </w:r>
      <w:r>
        <w:t>0.2 A g 下 100 次循环后</w:t>
      </w:r>
    </w:p>
    <w:p>
      <w:pPr>
        <w:spacing w:before="0" w:after="200" w:lineRule="auto" w:line="276"/>
      </w:pPr>
      <w:r>
        <w:rPr>
          <w:b/>
        </w:rPr>
        <w:t xml:space="preserve">Abstract (EN): </w:t>
      </w:r>
      <w:r>
        <w:t>Manganese dioxide (MnO</w:t>
      </w:r>
      <w:r>
        <w:rPr>
          <w:vertAlign w:val="subscript"/>
        </w:rPr>
        <w:t>2</w:t>
      </w:r>
      <w:r>
        <w:t>), known for its low‐cost, high‐theoretical capacity, and environmental friendliness, has garnered great attention in developing mild aqueous Zn‐MnO</w:t>
      </w:r>
      <w:r>
        <w:rPr>
          <w:vertAlign w:val="subscript"/>
        </w:rPr>
        <w:t>2</w:t>
      </w:r>
      <w:r>
        <w:t>batteries (AZMBs). However, Mn</w:t>
      </w:r>
      <w:r>
        <w:t xml:space="preserve"> </w:t>
      </w:r>
      <w:r>
        <w:t>2+</w:t>
      </w:r>
      <w:r>
        <w:t xml:space="preserve"> </w:t>
      </w:r>
      <w:r>
        <w:t>dissolution severely compromises cycling stability and practical viability; moreover, the ambiguity of charge storage mechanisms (e.g., Zn</w:t>
      </w:r>
      <w:r>
        <w:t xml:space="preserve"> </w:t>
      </w:r>
      <w:r>
        <w:t>2+</w:t>
      </w:r>
      <w:r>
        <w:t xml:space="preserve"> </w:t>
      </w:r>
      <w:r>
        <w:t>vs. H</w:t>
      </w:r>
      <w:r>
        <w:t xml:space="preserve"> </w:t>
      </w:r>
      <w:r>
        <w:t>+</w:t>
      </w:r>
      <w:r>
        <w:t xml:space="preserve"> </w:t>
      </w:r>
      <w:r>
        <w:t>) makes the direction of strategic engineering uncertain. Herein, via advanced electron microscopy, we show that the charge storage in MnO</w:t>
      </w:r>
      <w:r>
        <w:rPr>
          <w:vertAlign w:val="subscript"/>
        </w:rPr>
        <w:t>2</w:t>
      </w:r>
      <w:r>
        <w:t>is dominated by H</w:t>
      </w:r>
      <w:r>
        <w:t xml:space="preserve"> </w:t>
      </w:r>
      <w:r>
        <w:t>+</w:t>
      </w:r>
      <w:r>
        <w:t xml:space="preserve"> </w:t>
      </w:r>
      <w:r>
        <w:t>intercalation rather than Zn</w:t>
      </w:r>
      <w:r>
        <w:t xml:space="preserve"> </w:t>
      </w:r>
      <w:r>
        <w:t>2+</w:t>
      </w:r>
      <w:r>
        <w:t xml:space="preserve"> </w:t>
      </w:r>
      <w:r>
        <w:t>insertion. Inspired by this finding and by referring to the recipe of proton exchange membrane, we uniformly coat individual MnO</w:t>
      </w:r>
      <w:r>
        <w:rPr>
          <w:vertAlign w:val="subscript"/>
        </w:rPr>
        <w:t>2</w:t>
      </w:r>
      <w:r>
        <w:t>particles with a proton‐selective surface, that is, Nafion, which successfully suppresses Mn</w:t>
      </w:r>
      <w:r>
        <w:t xml:space="preserve"> </w:t>
      </w:r>
      <w:r>
        <w:t>2+</w:t>
      </w:r>
      <w:r>
        <w:t xml:space="preserve"> </w:t>
      </w:r>
      <w:r>
        <w:t>dissolution as an “ion filter” and simultaneously facilitates reversible H</w:t>
      </w:r>
      <w:r>
        <w:t xml:space="preserve"> </w:t>
      </w:r>
      <w:r>
        <w:t>+</w:t>
      </w:r>
      <w:r>
        <w:t xml:space="preserve"> </w:t>
      </w:r>
      <w:r>
        <w:t>insertion/extraction as a “proton channel”. Therefore, the MnO</w:t>
      </w:r>
      <w:r>
        <w:rPr>
          <w:vertAlign w:val="subscript"/>
        </w:rPr>
        <w:t>2</w:t>
      </w:r>
      <w:r>
        <w:t>@Nafion cathode exhibits an outstanding specific capacity (277 mAh g</w:t>
      </w:r>
      <w:r>
        <w:t xml:space="preserve"> </w:t>
      </w:r>
      <w:r>
        <w:t>−1</w:t>
      </w:r>
      <w:r>
        <w:t xml:space="preserve"> </w:t>
      </w:r>
      <w:r>
        <w:t>after 100 cycles at 0.2 A g</w:t>
      </w:r>
      <w:r>
        <w:t xml:space="preserve"> </w:t>
      </w:r>
      <w:r>
        <w:t>−1</w:t>
      </w:r>
      <w:r>
        <w:t xml:space="preserve"> </w:t>
      </w:r>
      <w:r>
        <w:t>) and remarkable cycling stability, retaining 91.7% of its capacity after 3000 cycles at 2 A g</w:t>
      </w:r>
      <w:r>
        <w:t xml:space="preserve"> </w:t>
      </w:r>
      <w:r>
        <w:t>−1</w:t>
      </w:r>
      <w:r>
        <w:t xml:space="preserve"> </w:t>
      </w:r>
      <w:r>
        <w:t>. These results outperform previously reported manganese‐based cathodes, demonstrating the potential of MnO</w:t>
      </w:r>
      <w:r>
        <w:rPr>
          <w:vertAlign w:val="subscript"/>
        </w:rPr>
        <w:t>2</w:t>
      </w:r>
      <w:r>
        <w:t>@Nafion as a high‐performance and durable cathode material for AZMBs. This work rationalizes the rising endeavors in the mechanism understanding of MnO</w:t>
      </w:r>
      <w:r>
        <w:rPr>
          <w:vertAlign w:val="subscript"/>
        </w:rPr>
        <w:t>2</w:t>
      </w:r>
      <w:r>
        <w:t>‐based aqueous battery systems and provides new insights for developing more sustainable aqueous battery materials.</w:t>
      </w:r>
    </w:p>
    <w:p>
      <w:pPr>
        <w:spacing w:before="120" w:after="120"/>
      </w:pPr>
      <w:r>
        <w:rPr>
          <w:sz w:val="18"/>
        </w:rPr>
        <w:t>——————————————————————————————————————————————————————————————————————</w:t>
      </w:r>
    </w:p>
    <w:p>
      <w:pPr>
        <w:spacing w:before="160" w:after="40" w:line="240" w:lineRule="auto"/>
      </w:pPr>
      <w:r>
        <w:rPr>
          <w:b/>
        </w:rPr>
        <w:t xml:space="preserve">[13] </w:t>
      </w:r>
      <w:hyperlink r:id="rId107">
        <w:r>
          <w:rPr>
            <w:color w:val="1155CC"/>
            <w:u w:val="single"/>
          </w:rPr>
          <w:t>石墨炔基异核双原子催化剂可实现高能量密度锂硫电池</w:t>
        </w:r>
      </w:hyperlink>
    </w:p>
    <w:p>
      <w:pPr>
        <w:spacing w:before="0" w:after="80"/>
      </w:pPr>
      <w:r>
        <w:rPr>
          <w:i/>
          <w:sz w:val="20"/>
        </w:rPr>
        <w:t>EN: Graphdiyne‐Based Heteronuclear Dual‐Atom Catalysts Enable High‐Energy‐Density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2026-08-25 04:23:45+00:00</w:t>
      </w:r>
      <w:r>
        <w:t xml:space="preserve">    </w:t>
      </w:r>
      <w:r>
        <w:rPr>
          <w:b/>
        </w:rPr>
        <w:t xml:space="preserve">DOI: </w:t>
      </w:r>
      <w:hyperlink r:id="rId108">
        <w:r>
          <w:rPr>
            <w:color w:val="1155CC"/>
            <w:u w:val="single"/>
          </w:rPr>
          <w:t>10.1002/anie.3002971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锂硫（Li-S）电池的实际应用受到多硫化锂（LiPS）穿梭、硫（S）氧化还原动力学缓慢和锂枝晶生长的阻碍。在这里，我们报告了锚定在石墨二炔（GDY）（Co-Pt DAs/GDY）上的异核Co-Pt双原子催化剂（DAC），以提高S氧化还原转化动力学并促进均匀的Li沉积，从而实现高能量密度的Li-S电池。之间独特的电子耦合</w:t>
      </w:r>
      <w:r>
        <w:t xml:space="preserve"> </w:t>
      </w:r>
      <w:r>
        <w:t>sp</w:t>
      </w:r>
      <w:r>
        <w:t xml:space="preserve"> </w:t>
      </w:r>
      <w:r>
        <w:t>‐GDY 和 Co-Pt 双原子的杂化碳引发</w:t>
      </w:r>
      <w:r>
        <w:t xml:space="preserve"> </w:t>
      </w:r>
      <w:r>
        <w:t>p</w:t>
      </w:r>
      <w:r>
        <w:t xml:space="preserve"> </w:t>
      </w:r>
      <w:r>
        <w:t>‐</w:t>
      </w:r>
      <w:r>
        <w:t xml:space="preserve"> </w:t>
      </w:r>
      <w:r>
        <w:t>d</w:t>
      </w:r>
      <w:r>
        <w:t xml:space="preserve"> </w:t>
      </w:r>
      <w:r>
        <w:t>‐</w:t>
      </w:r>
      <w:r>
        <w:t xml:space="preserve"> </w:t>
      </w:r>
      <w:r>
        <w:t>d</w:t>
      </w:r>
      <w:r>
        <w:t xml:space="preserve"> </w:t>
      </w:r>
      <w:r>
        <w:t>轨道共振。这种共振优化了界面电子配置，以促进强</w:t>
      </w:r>
      <w:r>
        <w:t xml:space="preserve"> </w:t>
      </w:r>
      <w:r>
        <w:t>d</w:t>
      </w:r>
      <w:r>
        <w:t xml:space="preserve"> </w:t>
      </w:r>
      <w:r>
        <w:t>‐</w:t>
      </w:r>
      <w:r>
        <w:t xml:space="preserve"> </w:t>
      </w:r>
      <w:r>
        <w:t>p</w:t>
      </w:r>
      <w:r>
        <w:t xml:space="preserve"> </w:t>
      </w:r>
      <w:r>
        <w:t>与LiPSs的轨道杂化，赋予双原子位点对连续S氧化还原反应的位点隔离氧化还原互补催化行为。同时，相邻的 Pt 原子将 Co 位点调整为高自旋状态，进一步增强了它们的吸附和催化能力。受益于这些特性，S 正极的氧化还原动力学和电化学性能显着增强，S@Co-Pt DAs/GDY 正极具有 21.3 mA h cm 的卓越面积容量</w:t>
      </w:r>
      <w:r>
        <w:t xml:space="preserve"> </w:t>
      </w:r>
      <w:r>
        <w:t>−2</w:t>
      </w:r>
      <w:r>
        <w:t xml:space="preserve"> </w:t>
      </w:r>
      <w:r>
        <w:t>以及在实际条件下出色的循环稳定性。此外，Co-Pt DAs/GDY 表现出很强的锂离子亲和力，并提供双原子锂成核</w:t>
      </w:r>
    </w:p>
    <w:p>
      <w:pPr>
        <w:spacing w:before="0" w:after="200" w:lineRule="auto" w:line="276"/>
      </w:pPr>
      <w:r>
        <w:rPr>
          <w:b/>
        </w:rPr>
        <w:t xml:space="preserve">Abstract (EN): </w:t>
      </w:r>
      <w:r>
        <w:t>The practical application of lithium–sulfur (Li–S) batteries are hindered by lithium (Li) polysulfides (LiPSs) shuttling, sluggish sulfur (S) redox kinetics, and Li dendrite growth. Here, we report heteronuclear Co‐Pt dual‐atom catalysts (DACs) anchored on graphdiyne (GDY) (Co‐Pt DAs/GDY) to boost S redox conversion kinetics and promote uniform Li deposition to enable high‐energy‐density Li–S batteries. The unique electronic coupling between</w:t>
      </w:r>
      <w:r>
        <w:t xml:space="preserve"> </w:t>
      </w:r>
      <w:r>
        <w:t>sp</w:t>
      </w:r>
      <w:r>
        <w:t xml:space="preserve"> </w:t>
      </w:r>
      <w:r>
        <w:t>‐hybridized carbon of GDY and Co‐Pt dual atoms triggers a</w:t>
      </w:r>
      <w:r>
        <w:t xml:space="preserve"> </w:t>
      </w:r>
      <w:r>
        <w:t>p</w:t>
      </w:r>
      <w:r>
        <w:t xml:space="preserve"> </w:t>
      </w:r>
      <w:r>
        <w:t>‐</w:t>
      </w:r>
      <w:r>
        <w:t xml:space="preserve"> </w:t>
      </w:r>
      <w:r>
        <w:t>d</w:t>
      </w:r>
      <w:r>
        <w:t xml:space="preserve"> </w:t>
      </w:r>
      <w:r>
        <w:t>‐</w:t>
      </w:r>
      <w:r>
        <w:t xml:space="preserve"> </w:t>
      </w:r>
      <w:r>
        <w:t>d</w:t>
      </w:r>
      <w:r>
        <w:t xml:space="preserve"> </w:t>
      </w:r>
      <w:r>
        <w:t>orbital resonance. This resonance optimizes the interfacial electronic configuration to promote strong</w:t>
      </w:r>
      <w:r>
        <w:t xml:space="preserve"> </w:t>
      </w:r>
      <w:r>
        <w:t>d</w:t>
      </w:r>
      <w:r>
        <w:t xml:space="preserve"> </w:t>
      </w:r>
      <w:r>
        <w:t>‐</w:t>
      </w:r>
      <w:r>
        <w:t xml:space="preserve"> </w:t>
      </w:r>
      <w:r>
        <w:t>p</w:t>
      </w:r>
      <w:r>
        <w:t xml:space="preserve"> </w:t>
      </w:r>
      <w:r>
        <w:t>orbital hybridization with LiPSs, endowing dual‐atom sites with site‑isolated redox‑complementary catalytic behavior toward sequential S redox reactions. Meanwhile, adjacent Pt atoms tailor Co sites to a high‐spin state, further strengthening their adsorption and catalytic capabilities. Benefiting from these features, the redox kinetics and electrochemical performance of S cathodes are significantly enhanced, S@Co‐Pt DAs/GDY cathodes deliver a remarkable areal capacity of 21.3 mA h cm</w:t>
      </w:r>
      <w:r>
        <w:t xml:space="preserve"> </w:t>
      </w:r>
      <w:r>
        <w:t>−2</w:t>
      </w:r>
      <w:r>
        <w:t xml:space="preserve"> </w:t>
      </w:r>
      <w:r>
        <w:t>and an excellent cycling stability under realistic conditions. Moreover, Co‐Pt DAs/GDY exhibits strong Li‐ion affinity and offers dual‐atom Li nucleation sites, enabling stable cycling of Li@Co‐Pt DAs/GDY anodes for more than 9200 h. Assembled Ah‐level Li–S pouch cells achieve a high‐energy‐density of 502 Wh kg</w:t>
      </w:r>
      <w:r>
        <w:t xml:space="preserve"> </w:t>
      </w:r>
      <w:r>
        <w:t>−1</w:t>
      </w:r>
      <w:r>
        <w:t xml:space="preserve"> </w:t>
      </w:r>
      <w:r>
        <w:t>(based on the total cell mass).</w:t>
      </w:r>
    </w:p>
    <w:p>
      <w:pPr>
        <w:spacing w:before="120" w:after="120"/>
      </w:pPr>
      <w:r>
        <w:rPr>
          <w:sz w:val="18"/>
        </w:rPr>
        <w:t>——————————————————————————————————————————————————————————————————————</w:t>
      </w:r>
    </w:p>
    <w:p>
      <w:pPr>
        <w:spacing w:before="160" w:after="40" w:line="240" w:lineRule="auto"/>
      </w:pPr>
      <w:r>
        <w:rPr>
          <w:b/>
        </w:rPr>
        <w:t xml:space="preserve">[14] </w:t>
      </w:r>
      <w:hyperlink r:id="rId109">
        <w:r>
          <w:rPr>
            <w:color w:val="1155CC"/>
            <w:u w:val="single"/>
          </w:rPr>
          <w:t>利用废 LiFePO4 超快合成锁定纳米尺寸的高纯度 LiMnxFe1-xPO4</w:t>
        </w:r>
      </w:hyperlink>
    </w:p>
    <w:p>
      <w:pPr>
        <w:spacing w:before="0" w:after="80"/>
      </w:pPr>
      <w:r>
        <w:rPr>
          <w:i/>
          <w:sz w:val="20"/>
        </w:rPr>
        <w:t>EN: Ultrafast Synthesis of High‐Purity LiMnxFe1‐xPO4 With Locked‐Nanosize From Spent LiFePO4</w:t>
      </w:r>
    </w:p>
    <w:p>
      <w:pPr>
        <w:spacing w:before="0" w:after="120"/>
      </w:pPr>
      <w:r>
        <w:rPr>
          <w:b/>
        </w:rPr>
        <w:t xml:space="preserve">Source: </w:t>
      </w:r>
      <w:r>
        <w:t>Wiley: Advanced Energy Materials: Table of Contents</w:t>
      </w:r>
      <w:r>
        <w:t xml:space="preserve">    </w:t>
      </w:r>
      <w:r>
        <w:rPr>
          <w:b/>
        </w:rPr>
        <w:t xml:space="preserve">Pub date: </w:t>
      </w:r>
      <w:r>
        <w:t>2026-08-25 07:41:41+00:00</w:t>
      </w:r>
      <w:r>
        <w:t xml:space="preserve">    </w:t>
      </w:r>
      <w:r>
        <w:rPr>
          <w:b/>
        </w:rPr>
        <w:t xml:space="preserve">DOI: </w:t>
      </w:r>
      <w:hyperlink r:id="rId110">
        <w:r>
          <w:rPr>
            <w:color w:val="1155CC"/>
            <w:u w:val="single"/>
          </w:rPr>
          <w:t>10.1002/aenm.71487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大规模废旧磷酸铁锂浪潮即将到来</w:t>
      </w:r>
      <w:r>
        <w:rPr>
          <w:vertAlign w:val="subscript"/>
        </w:rPr>
        <w:t>4</w:t>
      </w:r>
      <w:r>
        <w:t>（S-LFP）电池使其材料的回收和再利用成为当务之急。然而，现有的直接再生方法回收的材料性能较差、附加值低，直接导致经济可行性较差，阻碍了闭环回收工艺的建立。在此，我们提出了一种创新的升级回收策略，将 S-LFP 直接转化为高电压、高能量密度的 LiMn</w:t>
      </w:r>
      <w:r>
        <w:t xml:space="preserve"> </w:t>
      </w:r>
      <w:r>
        <w:t>x</w:t>
      </w:r>
      <w:r>
        <w:t xml:space="preserve"> </w:t>
      </w:r>
      <w:r>
        <w:t>铁</w:t>
      </w:r>
      <w:r>
        <w:t xml:space="preserve"> </w:t>
      </w:r>
      <w:r>
        <w:t>1−x</w:t>
      </w:r>
      <w:r>
        <w:t xml:space="preserve"> </w:t>
      </w:r>
      <w:r>
        <w:t>采购订单</w:t>
      </w:r>
      <w:r>
        <w:rPr>
          <w:vertAlign w:val="subscript"/>
        </w:rPr>
        <w:t>4</w:t>
      </w:r>
      <w:r>
        <w:t>（LMFP）阴极通过快速热处理。该方法在数秒内同时完成结构修复和均匀Mn掺杂，有效抑制晶粒粗化和锂源/碳损失，并能够再生成分精确控制的固溶体。因此，再生的 LMFP 具有 161 mAh g 的非凡比容量</w:t>
      </w:r>
      <w:r>
        <w:t xml:space="preserve"> </w:t>
      </w:r>
      <w:r>
        <w:t>−1</w:t>
      </w:r>
      <w:r>
        <w:t xml:space="preserve"> </w:t>
      </w:r>
      <w:r>
        <w:t>0.1C 时具有出色的循环稳定性（1C 下 500 次循环后容量保持率为 98%），以及卓越的倍率性能（5C 时保持率为 79%）。值得注意的是，该过程可将能源消耗减少约 30%，达到 19.09 MJ kg</w:t>
      </w:r>
      <w:r>
        <w:t xml:space="preserve"> </w:t>
      </w:r>
      <w:r>
        <w:t>−1</w:t>
      </w:r>
      <w:r>
        <w:t xml:space="preserve"> </w:t>
      </w:r>
      <w:r>
        <w:t>并承诺每公斤原料可实现7.17美元的高利润，体现了环境和经济的双重优势。这项工作为低配车开辟了一条新的技术途径</w:t>
      </w:r>
    </w:p>
    <w:p>
      <w:pPr>
        <w:spacing w:before="0" w:after="200" w:lineRule="auto" w:line="276"/>
      </w:pPr>
      <w:r>
        <w:rPr>
          <w:b/>
        </w:rPr>
        <w:t xml:space="preserve">Abstract (EN): </w:t>
      </w:r>
      <w:r>
        <w:t>The impending wave of large‐scale spent LiFePO</w:t>
      </w:r>
      <w:r>
        <w:rPr>
          <w:vertAlign w:val="subscript"/>
        </w:rPr>
        <w:t>4</w:t>
      </w:r>
      <w:r>
        <w:t>(S‐LFP) batteries makes the recycling and reuse of their materials an urgent priority. However, materials recovered via existing direct regeneration methods suffer from inferior performance and low added‐value, which directly leads to poor economic viability and hinders the establishment of a closed‐loop recycling process. Herein, we propose an innovative upcycling strategy that directly converts S‐LFP into high‐voltage, high‐energy‐density LiMn</w:t>
      </w:r>
      <w:r>
        <w:t xml:space="preserve"> </w:t>
      </w:r>
      <w:r>
        <w:t>x</w:t>
      </w:r>
      <w:r>
        <w:t xml:space="preserve"> </w:t>
      </w:r>
      <w:r>
        <w:t>Fe</w:t>
      </w:r>
      <w:r>
        <w:t xml:space="preserve"> </w:t>
      </w:r>
      <w:r>
        <w:t>1−x</w:t>
      </w:r>
      <w:r>
        <w:t xml:space="preserve"> </w:t>
      </w:r>
      <w:r>
        <w:t>PO</w:t>
      </w:r>
      <w:r>
        <w:rPr>
          <w:vertAlign w:val="subscript"/>
        </w:rPr>
        <w:t>4</w:t>
      </w:r>
      <w:r>
        <w:t>(LMFP) cathode via rapid thermal processing. This method simultaneously accomplishes structural repair and homogeneous Mn doping within seconds, effectively suppressing grain coarsening and lithium sources/carbon loss, and enabling the regeneration of a solid solution with precisely controlled composition. Consequently, the regenerated LMFP delivers a remarkable specific capacity of 161 mAh g</w:t>
      </w:r>
      <w:r>
        <w:t xml:space="preserve"> </w:t>
      </w:r>
      <w:r>
        <w:t>−1</w:t>
      </w:r>
      <w:r>
        <w:t xml:space="preserve"> </w:t>
      </w:r>
      <w:r>
        <w:t>at 0.1C, exceptional cycling stability (98% capacity retention after 500 cycles at 1C), and superior rate capability (79% retention at 5C). Notably, this process slashes energy consumption by approximately 30%, to 19.09 MJ kg</w:t>
      </w:r>
      <w:r>
        <w:t xml:space="preserve"> </w:t>
      </w:r>
      <w:r>
        <w:t>−1</w:t>
      </w:r>
      <w:r>
        <w:t xml:space="preserve"> </w:t>
      </w:r>
      <w:r>
        <w:t>and promises a high profit of USD 7.17 per kg feedstock, demonstrating both environmental and economic superiority. This work opens a new technical pathway for the low‐carbon and value‐added upcycling of spent LFP batteries.</w:t>
      </w:r>
    </w:p>
    <w:p>
      <w:pPr>
        <w:spacing w:before="120" w:after="120"/>
      </w:pPr>
      <w:r>
        <w:rPr>
          <w:sz w:val="18"/>
        </w:rPr>
        <w:t>——————————————————————————————————————————————————————————————————————</w:t>
      </w:r>
    </w:p>
    <w:p>
      <w:pPr>
        <w:spacing w:before="160" w:after="40" w:line="240" w:lineRule="auto"/>
      </w:pPr>
      <w:r>
        <w:rPr>
          <w:b/>
        </w:rPr>
        <w:t xml:space="preserve">[15] </w:t>
      </w:r>
      <w:hyperlink r:id="rId111">
        <w:r>
          <w:rPr>
            <w:color w:val="1155CC"/>
            <w:u w:val="single"/>
          </w:rPr>
          <w:t>中间相缓冲解锁 O3 型氧化钠阴极的可逆高压循环</w:t>
        </w:r>
      </w:hyperlink>
    </w:p>
    <w:p>
      <w:pPr>
        <w:spacing w:before="0" w:after="80"/>
      </w:pPr>
      <w:r>
        <w:rPr>
          <w:i/>
          <w:sz w:val="20"/>
        </w:rPr>
        <w:t>EN: Intermediate‐Phase Buffering Unlocks Reversible High‐Voltage Cycling in O3‐Type Sodium Oxide Cathodes</w:t>
      </w:r>
    </w:p>
    <w:p>
      <w:pPr>
        <w:spacing w:before="0" w:after="120"/>
      </w:pPr>
      <w:r>
        <w:rPr>
          <w:b/>
        </w:rPr>
        <w:t xml:space="preserve">Source: </w:t>
      </w:r>
      <w:r>
        <w:t>Wiley: Advanced Materials: Table of Contents</w:t>
      </w:r>
      <w:r>
        <w:t xml:space="preserve">    </w:t>
      </w:r>
      <w:r>
        <w:rPr>
          <w:b/>
        </w:rPr>
        <w:t xml:space="preserve">Pub date: </w:t>
      </w:r>
      <w:r>
        <w:t>2026-08-25 07:48:56+00:00</w:t>
      </w:r>
      <w:r>
        <w:t xml:space="preserve">    </w:t>
      </w:r>
      <w:r>
        <w:rPr>
          <w:b/>
        </w:rPr>
        <w:t xml:space="preserve">DOI: </w:t>
      </w:r>
      <w:hyperlink r:id="rId112">
        <w:r>
          <w:rPr>
            <w:color w:val="1155CC"/>
            <w:u w:val="single"/>
          </w:rPr>
          <w:t>10.1002/adma.74755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层状氧化钠阴极中不可逆的O3-P3相变导致严重的体积应变和容量衰减。虽然最近通过高熵设计或双相结构取得的进展提高了结构稳定性，但这些策略主要侧重于抑制而不是引导相变途径。在此，我们提出了高熵 O3 型阴极的“中间相工程”概念，Na</w:t>
      </w:r>
      <w:r>
        <w:t xml:space="preserve"> </w:t>
      </w:r>
      <w:r>
        <w:t>0.9</w:t>
      </w:r>
      <w:r>
        <w:t xml:space="preserve"> </w:t>
      </w:r>
      <w:r>
        <w:t>镍</w:t>
      </w:r>
      <w:r>
        <w:t xml:space="preserve"> </w:t>
      </w:r>
      <w:r>
        <w:t>0.32</w:t>
      </w:r>
      <w:r>
        <w:t xml:space="preserve"> </w:t>
      </w:r>
      <w:r>
        <w:t>锌</w:t>
      </w:r>
      <w:r>
        <w:t xml:space="preserve"> </w:t>
      </w:r>
      <w:r>
        <w:t>0.08</w:t>
      </w:r>
      <w:r>
        <w:t xml:space="preserve"> </w:t>
      </w:r>
      <w:r>
        <w:t>钴</w:t>
      </w:r>
      <w:r>
        <w:t xml:space="preserve"> </w:t>
      </w:r>
      <w:r>
        <w:t>0.1</w:t>
      </w:r>
      <w:r>
        <w:t xml:space="preserve"> </w:t>
      </w:r>
      <w:r>
        <w:t>铁</w:t>
      </w:r>
      <w:r>
        <w:t xml:space="preserve"> </w:t>
      </w:r>
      <w:r>
        <w:t>0.1</w:t>
      </w:r>
      <w:r>
        <w:t xml:space="preserve"> </w:t>
      </w:r>
      <w:r>
        <w:t>锰</w:t>
      </w:r>
      <w:r>
        <w:t xml:space="preserve"> </w:t>
      </w:r>
      <w:r>
        <w:t>0.3</w:t>
      </w:r>
      <w:r>
        <w:t xml:space="preserve"> </w:t>
      </w:r>
      <w:r>
        <w:t>钛</w:t>
      </w:r>
      <w:r>
        <w:t xml:space="preserve"> </w:t>
      </w:r>
      <w:r>
        <w:t>0.1</w:t>
      </w:r>
      <w:r>
        <w:t xml:space="preserve"> </w:t>
      </w:r>
      <w:r>
        <w:t>氧</w:t>
      </w:r>
      <w:r>
        <w:rPr>
          <w:vertAlign w:val="subscript"/>
        </w:rPr>
        <w:t>2</w:t>
      </w:r>
      <w:r>
        <w:t>(Na9NZCFMT)，它能够在 3.8 V 下自发形成应变缓冲 OP2 中间相。与抑制相变的传统方法不同，OP2 相充当结构缓冲剂，主动引导氧层沿着有序的低应变路径滑动，将体积应变从 6.86% 降低到 3.12%。通过综合原位 XRD、XAS、STEM 和 DFT 计算，我们揭示了该 OP2 相的形成条件和缓冲机制：特定元素调节的局部配位环境降低了其形成的能垒，导致热力学上有利且动力学上可接近的中间态。阴极表现出高度可逆的结构演化</w:t>
      </w:r>
    </w:p>
    <w:p>
      <w:pPr>
        <w:spacing w:before="0" w:after="200" w:lineRule="auto" w:line="276"/>
      </w:pPr>
      <w:r>
        <w:rPr>
          <w:b/>
        </w:rPr>
        <w:t xml:space="preserve">Abstract (EN): </w:t>
      </w:r>
      <w:r>
        <w:t>The irreversible O3‐P3 phase transition in layered sodium oxide cathodes leads to severe volumetric strain and capacity fading. While recent progress via high‐entropy design or dual‐phase structuring has improved structural stability, these strategies primarily focus on suppressing rather than guiding the phase transition pathway. Herein, we propose an “intermediate phase engineering” concept in a high‐entropy O3‐type cathode, Na</w:t>
      </w:r>
      <w:r>
        <w:t xml:space="preserve"> </w:t>
      </w:r>
      <w:r>
        <w:t>0.9</w:t>
      </w:r>
      <w:r>
        <w:t xml:space="preserve"> </w:t>
      </w:r>
      <w:r>
        <w:t>Ni</w:t>
      </w:r>
      <w:r>
        <w:t xml:space="preserve"> </w:t>
      </w:r>
      <w:r>
        <w:t>0.32</w:t>
      </w:r>
      <w:r>
        <w:t xml:space="preserve"> </w:t>
      </w:r>
      <w:r>
        <w:t>Zn</w:t>
      </w:r>
      <w:r>
        <w:t xml:space="preserve"> </w:t>
      </w:r>
      <w:r>
        <w:t>0.08</w:t>
      </w:r>
      <w:r>
        <w:t xml:space="preserve"> </w:t>
      </w:r>
      <w:r>
        <w:t>Co</w:t>
      </w:r>
      <w:r>
        <w:t xml:space="preserve"> </w:t>
      </w:r>
      <w:r>
        <w:t>0.1</w:t>
      </w:r>
      <w:r>
        <w:t xml:space="preserve"> </w:t>
      </w:r>
      <w:r>
        <w:t>Fe</w:t>
      </w:r>
      <w:r>
        <w:t xml:space="preserve"> </w:t>
      </w:r>
      <w:r>
        <w:t>0.1</w:t>
      </w:r>
      <w:r>
        <w:t xml:space="preserve"> </w:t>
      </w:r>
      <w:r>
        <w:t>Mn</w:t>
      </w:r>
      <w:r>
        <w:t xml:space="preserve"> </w:t>
      </w:r>
      <w:r>
        <w:t>0.3</w:t>
      </w:r>
      <w:r>
        <w:t xml:space="preserve"> </w:t>
      </w:r>
      <w:r>
        <w:t>Ti</w:t>
      </w:r>
      <w:r>
        <w:t xml:space="preserve"> </w:t>
      </w:r>
      <w:r>
        <w:t>0.1</w:t>
      </w:r>
      <w:r>
        <w:t xml:space="preserve"> </w:t>
      </w:r>
      <w:r>
        <w:t>O</w:t>
      </w:r>
      <w:r>
        <w:rPr>
          <w:vertAlign w:val="subscript"/>
        </w:rPr>
        <w:t>2</w:t>
      </w:r>
      <w:r>
        <w:t>(Na9NZCFMT), which enables the spontaneous formation of a strain‐buffering OP2 intermediate phase at 3.8 V. Unlike conventional approaches that suppress phase transitions, the OP2 phase acts as a structural buffer that actively guides oxygen‐layer gliding along an ordered, low‐strain pathway, reducing the volumetric strain from 6.86% to 3.12%. Through integrated in situ XRD, XAS, STEM, and DFT calculations, we unravel the formation condition and buffering mechanism of this OP2 phase: The local coordination environment modulated by specific elements lowers the energy barrier for its formation, leading to a thermodynamically favored and kinetically accessible intermediate state. The cathode exhibits highly reversible structural evolution and anionic redox, delivering 91.5% capacity retention after 100 cycles. This work offers a generalizable strategy for designing stable high‐voltage layered cathodes.</w:t>
      </w:r>
    </w:p>
    <w:p>
      <w:pPr>
        <w:spacing w:before="120" w:after="120"/>
      </w:pPr>
      <w:r>
        <w:rPr>
          <w:sz w:val="18"/>
        </w:rPr>
        <w:t>——————————————————————————————————————————————————————————————————————</w:t>
      </w:r>
    </w:p>
    <w:p>
      <w:pPr>
        <w:spacing w:before="160" w:after="40" w:line="240" w:lineRule="auto"/>
      </w:pPr>
      <w:r>
        <w:rPr>
          <w:b/>
        </w:rPr>
        <w:t xml:space="preserve">[16] </w:t>
      </w:r>
      <w:hyperlink r:id="rId113">
        <w:r>
          <w:rPr>
            <w:color w:val="1155CC"/>
            <w:u w:val="single"/>
          </w:rPr>
          <w:t>实验室之外的水性锌离子电池的挑战和设计策略</w:t>
        </w:r>
      </w:hyperlink>
    </w:p>
    <w:p>
      <w:pPr>
        <w:spacing w:before="0" w:after="80"/>
      </w:pPr>
      <w:r>
        <w:rPr>
          <w:i/>
          <w:sz w:val="20"/>
        </w:rPr>
        <w:t>EN: Challenges and Design Strategies Toward Aqueous Zinc‐Ion Batteries Beyond Laboratory</w:t>
      </w:r>
    </w:p>
    <w:p>
      <w:pPr>
        <w:spacing w:before="0" w:after="120"/>
      </w:pPr>
      <w:r>
        <w:rPr>
          <w:b/>
        </w:rPr>
        <w:t xml:space="preserve">Source: </w:t>
      </w:r>
      <w:r>
        <w:t>Wiley: Advanced Energy Materials: Table of Contents</w:t>
      </w:r>
      <w:r>
        <w:t xml:space="preserve">    </w:t>
      </w:r>
      <w:r>
        <w:rPr>
          <w:b/>
        </w:rPr>
        <w:t xml:space="preserve">Pub date: </w:t>
      </w:r>
      <w:r>
        <w:t>2026-08-25 08:02:56+00:00</w:t>
      </w:r>
      <w:r>
        <w:t xml:space="preserve">    </w:t>
      </w:r>
      <w:r>
        <w:rPr>
          <w:b/>
        </w:rPr>
        <w:t xml:space="preserve">DOI: </w:t>
      </w:r>
      <w:hyperlink r:id="rId114">
        <w:r>
          <w:rPr>
            <w:color w:val="1155CC"/>
            <w:u w:val="single"/>
          </w:rPr>
          <w:t>10.1002/aenm.71454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ZIB）因其高安全性、成本效益和环境友好性而被广泛认为是下一代大规模储能最有前途的候选材料之一。尽管最近在材料设计和界面化学方面取得了进展，但实验室规模的突破与工业要求之间的差距仍然阻碍了实际部署。本文从能量密度、快速充电能力、循环稳定性和宽温适应性等角度分析了阻碍水系ZIB实际应用的关键瓶颈。讨论了这些挑战背后的主要局限性及其物理化学起源。接下来是解决这些问题和挑战的相应方法，包括阴极设计、锌阳极调节、电解质优化和隔膜修改。最后，提出了高能、安全和长寿命的水性 ZIB 的实际应用的未来发展途径的基本观点。</w:t>
      </w:r>
    </w:p>
    <w:p>
      <w:pPr>
        <w:spacing w:before="0" w:after="200" w:lineRule="auto" w:line="276"/>
      </w:pPr>
      <w:r>
        <w:rPr>
          <w:b/>
        </w:rPr>
        <w:t xml:space="preserve">Abstract (EN): </w:t>
      </w:r>
      <w:r>
        <w:t>Aqueous zinc‐ion batteries (ZIBs) are widely regarded as one of the most promising candidates for next‐generation large‐scale energy storage due to their high safety, cost‐effectiveness, and environmental benignity. Despite recent progress in materials design and interfacial chemistry, practical deployment remains hindered by the gap between laboratory‐scale breakthroughs and industrial requirements. In this review, the critical bottlenecks hindering the practical application of aqueous ZIBs are analyzed from the perspectives of energy density, fast‐charging capability, cycling stability, and wide‐temperature adaptability. The main limitations underlying these challenges, together with their physicochemical origins, are discussed. This is followed by the corresponding approaches involving cathode design, zinc anode regulation, electrolyte optimization, and separator modification for addressing these issues and challenges. Finally, fundamental perspectives on future development pathways toward practical application of high‐energy, safety, and long‐life aqueous ZIBs are presented.</w:t>
      </w:r>
    </w:p>
    <w:p>
      <w:pPr>
        <w:spacing w:before="120" w:after="120"/>
      </w:pPr>
      <w:r>
        <w:rPr>
          <w:sz w:val="18"/>
        </w:rPr>
        <w:t>——————————————————————————————————————————————————————————————————————</w:t>
      </w:r>
    </w:p>
    <w:p>
      <w:pPr>
        <w:spacing w:before="160" w:after="40" w:line="240" w:lineRule="auto"/>
      </w:pPr>
      <w:r>
        <w:rPr>
          <w:b/>
        </w:rPr>
        <w:t xml:space="preserve">[17] </w:t>
      </w:r>
      <w:hyperlink r:id="rId115">
        <w:r>
          <w:rPr>
            <w:color w:val="1155CC"/>
            <w:u w:val="single"/>
          </w:rPr>
          <w:t>全固态锂电池的多物理场耦合机制和多尺度设计</w:t>
        </w:r>
      </w:hyperlink>
    </w:p>
    <w:p>
      <w:pPr>
        <w:spacing w:before="0" w:after="80"/>
      </w:pPr>
      <w:r>
        <w:rPr>
          <w:i/>
          <w:sz w:val="20"/>
        </w:rPr>
        <w:t>EN: Multi‐Physical Field Coupling Mechanisms and Multi‐Scale Design for All‐Solid‐State Lithium Batteries</w:t>
      </w:r>
    </w:p>
    <w:p>
      <w:pPr>
        <w:spacing w:before="0" w:after="120"/>
      </w:pPr>
      <w:r>
        <w:rPr>
          <w:b/>
        </w:rPr>
        <w:t xml:space="preserve">Source: </w:t>
      </w:r>
      <w:r>
        <w:t>Wiley: Advanced Materials: Table of Contents</w:t>
      </w:r>
      <w:r>
        <w:t xml:space="preserve">    </w:t>
      </w:r>
      <w:r>
        <w:rPr>
          <w:b/>
        </w:rPr>
        <w:t xml:space="preserve">Pub date: </w:t>
      </w:r>
      <w:r>
        <w:t>2026-08-25 12:37:44+00:00</w:t>
      </w:r>
      <w:r>
        <w:t xml:space="preserve">    </w:t>
      </w:r>
      <w:r>
        <w:rPr>
          <w:b/>
        </w:rPr>
        <w:t xml:space="preserve">DOI: </w:t>
      </w:r>
      <w:hyperlink r:id="rId116">
        <w:r>
          <w:rPr>
            <w:color w:val="1155CC"/>
            <w:u w:val="single"/>
          </w:rPr>
          <w:t>10.1002/adma.74798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锂电池（ASSLB）因其固有的安全性和有前景的高能量密度能力而被视为下一代储能技术的关键发展路线。本文围绕多物理场耦合，以同时实现高安全性和高能量密度为目标，系统总结了ASSLBs的多尺度设计策略。在本征材料尺度上，这项工作总结了高电压/高容量阴极、高能量密度阳极和各种固态电解质（SSE）的性能特征、失效机制和优化方法。从电极-电解质界面的角度来看，特别强调阴极-电解质和阳极-电解质界面的多物理场耦合失效演化，以及界面改性和结构工程对界面接触、离子传导、体积变化效应和结构耐久性的调节机制。在全电池系统规模上，详细阐述了优化设计，包括电池配置细化、单片集成制造以及协同热管理和安全工程。最后，针对该领域当前的挑战，例如模糊的动态多物理场耦合基础知识和耦合故障行为实时预测的不可行性，本文总结了建立和实现原位多物理场特征分析的前景。</w:t>
      </w:r>
    </w:p>
    <w:p>
      <w:pPr>
        <w:spacing w:before="0" w:after="200" w:lineRule="auto" w:line="276"/>
      </w:pPr>
      <w:r>
        <w:rPr>
          <w:b/>
        </w:rPr>
        <w:t xml:space="preserve">Abstract (EN): </w:t>
      </w:r>
      <w:r>
        <w:t>All‐solid‐state lithium batteries (ASSLBs) are regarded as a pivotal developmental route for next‐generation energy storage technologies owing to their inherent safety and promising high‐energy‐density capability. Focusing on multi‐physical field coupling and aiming to achieve high safety and high energy density simultaneously, this review systematically summarizes the multi‐scale design strategies of ASSLBs. At the intrinsic material scale, this work summarizes the performance characteristics, failure mechanisms and optimization approaches of high‐voltage/high‐capacity cathodes, high‐energy‐density anodes, and diverse solid‐state electrolytes (SSEs). From the electrode–electrolyte interfacial perspective, particular emphasis is placed on the multi‐physical field coupling failure evolution of cathode–electrolyte and anode–electrolyte interfaces, alongside the modulation mechanisms of interfacial modification and structural engineering on interfacial contact, ionic conduction, volume variation effects and structural durability. At the full‐cell system scale, optimization designs including cell configuration refinement, monolithic integration manufacturing, and synergistic thermal management and safety engineering are elaborated. Finally, addressing the current challenges in the field, such as ambiguous dynamic multi‐physical‐field coupling fundamentals and the infeasibility of real‐time prediction on coupled failure behaviors, this review concludes with prospects for the establishment and implementation of an in‐situ multi‐physical‐field characterization framework, delivering experimental foundations and theoretical guidelines toward the multi‐scale synergistic optimization of ASSLBs.</w:t>
      </w:r>
    </w:p>
    <w:p>
      <w:pPr>
        <w:spacing w:before="120" w:after="120"/>
      </w:pPr>
      <w:r>
        <w:rPr>
          <w:sz w:val="18"/>
        </w:rPr>
        <w:t>——————————————————————————————————————————————————————————————————————</w:t>
      </w:r>
    </w:p>
    <w:p>
      <w:pPr>
        <w:spacing w:before="160" w:after="40" w:line="240" w:lineRule="auto"/>
      </w:pPr>
      <w:r>
        <w:rPr>
          <w:b/>
        </w:rPr>
        <w:t xml:space="preserve">[18] </w:t>
      </w:r>
      <w:hyperlink r:id="rId117">
        <w:r>
          <w:rPr>
            <w:color w:val="1155CC"/>
            <w:u w:val="single"/>
          </w:rPr>
          <w:t>通过溴介导的结构稳定释放 NH4V4O10 中的高锌离子存储能力</w:t>
        </w:r>
      </w:hyperlink>
    </w:p>
    <w:p>
      <w:pPr>
        <w:spacing w:before="0" w:after="80"/>
      </w:pPr>
      <w:r>
        <w:rPr>
          <w:i/>
          <w:sz w:val="20"/>
        </w:rPr>
        <w:t>EN: Unlocking high Zn-ion storage capacity in NH4V4O10 through bromine-mediated structural stabilization</w:t>
      </w:r>
    </w:p>
    <w:p>
      <w:pPr>
        <w:spacing w:before="0" w:after="120"/>
      </w:pPr>
      <w:r>
        <w:rPr>
          <w:b/>
        </w:rPr>
        <w:t xml:space="preserve">Source: </w:t>
      </w:r>
      <w:r>
        <w:t>Matter</w:t>
      </w:r>
      <w:r>
        <w:t xml:space="preserve">    </w:t>
      </w:r>
      <w:r>
        <w:rPr>
          <w:b/>
        </w:rPr>
        <w:t xml:space="preserve">Pub date: </w:t>
      </w:r>
      <w:r>
        <w:t>2026-08-26 00:00:00+00:00</w:t>
      </w:r>
      <w:r>
        <w:t xml:space="preserve">    </w:t>
      </w:r>
      <w:r>
        <w:rPr>
          <w:b/>
        </w:rPr>
        <w:t xml:space="preserve">DOI: </w:t>
      </w:r>
      <w:hyperlink r:id="rId118">
        <w:r>
          <w:rPr>
            <w:color w:val="1155CC"/>
            <w:u w:val="single"/>
          </w:rPr>
          <w:t>10.1016/j.matt.2026.102993</w:t>
        </w:r>
      </w:hyperlink>
    </w:p>
    <w:p>
      <w:pPr>
        <w:spacing w:before="0" w:after="120"/>
      </w:pPr>
      <w:r>
        <w:rPr>
          <w:b/>
        </w:rPr>
        <w:t xml:space="preserve">Notes: </w:t>
      </w:r>
      <w:r>
        <w:t>abstract_source=rss_cell</w:t>
      </w:r>
    </w:p>
    <w:p>
      <w:pPr>
        <w:spacing w:before="0" w:after="80" w:lineRule="auto" w:line="276"/>
      </w:pPr>
      <w:r>
        <w:rPr>
          <w:b/>
        </w:rPr>
        <w:t xml:space="preserve">摘要（ZH）: </w:t>
      </w:r>
      <w:r>
        <w:t>溴介导的层间工程可稳定 NH4+，重建局域电子结构，并加速层状 NH4V4O10 中 Zn2+ 的扩散。层间相互作用和电子结构的协同调节克服了钒酸铵阴极的固有不稳定性，实现了高度可逆的Zn2+存储，具有卓越的容量和超长的循环稳定性。</w:t>
      </w:r>
    </w:p>
    <w:p>
      <w:pPr>
        <w:spacing w:before="0" w:after="200" w:lineRule="auto" w:line="276"/>
      </w:pPr>
      <w:r>
        <w:rPr>
          <w:b/>
        </w:rPr>
        <w:t xml:space="preserve">Abstract (EN): </w:t>
      </w:r>
      <w:r>
        <w:t>Bromine-mediated interlayer engineering stabilizes NH4+, reconstructs the local electronic structure, and accelerates Zn2+ diffusion in layered NH4V4O10. The synergistic regulation of interlayer interactions and electronic structure overcomes the intrinsic instability of ammonium vanadate cathodes, enabling highly reversible Zn2+ storage with exceptional capacity and ultralong cycling stability.</w:t>
      </w:r>
    </w:p>
    <w:p>
      <w:pPr>
        <w:spacing w:before="120" w:after="120"/>
      </w:pPr>
      <w:r>
        <w:rPr>
          <w:sz w:val="18"/>
        </w:rPr>
        <w:t>——————————————————————————————————————————————————————————————————————</w:t>
      </w:r>
    </w:p>
    <w:p>
      <w:pPr>
        <w:spacing w:before="160" w:after="40" w:line="240" w:lineRule="auto"/>
      </w:pPr>
      <w:r>
        <w:rPr>
          <w:b/>
        </w:rPr>
        <w:t xml:space="preserve">[19] </w:t>
      </w:r>
      <w:hyperlink r:id="rId119">
        <w:r>
          <w:rPr>
            <w:color w:val="1155CC"/>
            <w:u w:val="single"/>
          </w:rPr>
          <w:t>通过电解质氢键干预揭示锌-二氧化锰电池的质子共插入化学</w:t>
        </w:r>
      </w:hyperlink>
    </w:p>
    <w:p>
      <w:pPr>
        <w:spacing w:before="0" w:after="80"/>
      </w:pPr>
      <w:r>
        <w:rPr>
          <w:i/>
          <w:sz w:val="20"/>
        </w:rPr>
        <w:t>EN: Unraveling the Proton Co‐Insertion Chemistry through Electrolyte Hydrogen‐Bond Intervention for Zinc‐Manganese Dioxide Batteries</w:t>
      </w:r>
    </w:p>
    <w:p>
      <w:pPr>
        <w:spacing w:before="0" w:after="120"/>
      </w:pPr>
      <w:r>
        <w:rPr>
          <w:b/>
        </w:rPr>
        <w:t xml:space="preserve">Source: </w:t>
      </w:r>
      <w:r>
        <w:t>Wiley: Advanced Energy Materials: Table of Contents</w:t>
      </w:r>
      <w:r>
        <w:t xml:space="preserve">    </w:t>
      </w:r>
      <w:r>
        <w:rPr>
          <w:b/>
        </w:rPr>
        <w:t xml:space="preserve">Pub date: </w:t>
      </w:r>
      <w:r>
        <w:t>2026-08-26 06:00:06+00:00</w:t>
      </w:r>
      <w:r>
        <w:t xml:space="preserve">    </w:t>
      </w:r>
      <w:r>
        <w:rPr>
          <w:b/>
        </w:rPr>
        <w:t xml:space="preserve">DOI: </w:t>
      </w:r>
      <w:hyperlink r:id="rId120">
        <w:r>
          <w:rPr>
            <w:color w:val="1155CC"/>
            <w:u w:val="single"/>
          </w:rPr>
          <w:t>10.1002/aenm.71483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水相Zn-MnO</w:t>
      </w:r>
      <w:r>
        <w:rPr>
          <w:vertAlign w:val="subscript"/>
        </w:rPr>
        <w:t>2</w:t>
      </w:r>
      <w:r>
        <w:t>由于其固有的安全性和环境兼容性，电池在大规模能源部署方面很有前景。然而，与相对较好理解的阳极稳定性相比，它们的商业实施受到阴极难以捉摸的质子共插入机制的严重瓶颈。在此，我们揭开了底层的 H</w:t>
      </w:r>
      <w:r>
        <w:t xml:space="preserve"> </w:t>
      </w:r>
      <w:r>
        <w:t>+</w:t>
      </w:r>
      <w:r>
        <w:t xml:space="preserve"> </w:t>
      </w:r>
      <w:r>
        <w:t>‐MnO 内的储存现象</w:t>
      </w:r>
      <w:r>
        <w:rPr>
          <w:vertAlign w:val="subscript"/>
        </w:rPr>
        <w:t>2</w:t>
      </w:r>
      <w:r>
        <w:t>通过量身定制的氢键干预策略。我们的研究结果表明，灾难性的容量下降完全源于第二个放电平台，这本质上是由氢键网络控制的。通过加强氢键环境，我们有效地调节质子嵌入动力学并抑制过量的H</w:t>
      </w:r>
      <w:r>
        <w:t xml:space="preserve"> </w:t>
      </w:r>
      <w:r>
        <w:t>+</w:t>
      </w:r>
      <w:r>
        <w:t xml:space="preserve"> </w:t>
      </w:r>
      <w:r>
        <w:t>否则会引发结构倒塌的通量。虽然传统的水性电解质会导致严重的锰溶解和不可逆的空位形成，但我们的策略保留了 MnO 的结构完整性</w:t>
      </w:r>
      <w:r>
        <w:rPr>
          <w:vertAlign w:val="subscript"/>
        </w:rPr>
        <w:t>2</w:t>
      </w:r>
      <w:r>
        <w:t>的 2 × 2 隧道框架。理论计算证实H的掺入</w:t>
      </w:r>
      <w:r>
        <w:t xml:space="preserve"> </w:t>
      </w:r>
      <w:r>
        <w:t>+</w:t>
      </w:r>
      <w:r>
        <w:t xml:space="preserve"> </w:t>
      </w:r>
      <w:r>
        <w:t>转化为α-H</w:t>
      </w:r>
      <w:r>
        <w:t xml:space="preserve"> </w:t>
      </w:r>
      <w:r>
        <w:t>x</w:t>
      </w:r>
      <w:r>
        <w:t xml:space="preserve"> </w:t>
      </w:r>
      <w:r>
        <w:t>二氧化锰</w:t>
      </w:r>
      <w:r>
        <w:rPr>
          <w:vertAlign w:val="subscript"/>
        </w:rPr>
        <w:t>2</w:t>
      </w:r>
      <w:r>
        <w:t>削弱 Mn─O 键并形成显着的空位。利用这些机械洞察力</w:t>
      </w:r>
    </w:p>
    <w:p>
      <w:pPr>
        <w:spacing w:before="0" w:after="200" w:lineRule="auto" w:line="276"/>
      </w:pPr>
      <w:r>
        <w:rPr>
          <w:b/>
        </w:rPr>
        <w:t xml:space="preserve">Abstract (EN): </w:t>
      </w:r>
      <w:r>
        <w:t>Aqueous Zn‐MnO</w:t>
      </w:r>
      <w:r>
        <w:rPr>
          <w:vertAlign w:val="subscript"/>
        </w:rPr>
        <w:t>2</w:t>
      </w:r>
      <w:r>
        <w:t>batteries are promising for large‐format energy deployment due to their inherent safety and environmental compatibility. Nevertheless, their commercial implementation is critically bottlenecked by the elusive proton co‐insertion mechanism at the cathode, in contrast to the relatively well‐understood anode stability. Herein, we unveil the underlying H</w:t>
      </w:r>
      <w:r>
        <w:t xml:space="preserve"> </w:t>
      </w:r>
      <w:r>
        <w:t>+</w:t>
      </w:r>
      <w:r>
        <w:t xml:space="preserve"> </w:t>
      </w:r>
      <w:r>
        <w:t>‐storage phenomenon within MnO</w:t>
      </w:r>
      <w:r>
        <w:rPr>
          <w:vertAlign w:val="subscript"/>
        </w:rPr>
        <w:t>2</w:t>
      </w:r>
      <w:r>
        <w:t>via a tailored hydrogen‐bond intervention strategy. Our findings reveal that the catastrophic capacity degradation originates squarely from the second discharge plateau, which is intrinsically governed by the hydrogen‐bond network. By reinforcing the hydrogen‐bond environment, we effectively modulate proton intercalation kinetics and suppress the excessive H</w:t>
      </w:r>
      <w:r>
        <w:t xml:space="preserve"> </w:t>
      </w:r>
      <w:r>
        <w:t>+</w:t>
      </w:r>
      <w:r>
        <w:t xml:space="preserve"> </w:t>
      </w:r>
      <w:r>
        <w:t>flux that otherwise triggers structural collapse. While traditional aqueous electrolytes lead to severe manganese dissolution and irreversible vacancy formation, our strategy preserves the structural integrity of the MnO</w:t>
      </w:r>
      <w:r>
        <w:rPr>
          <w:vertAlign w:val="subscript"/>
        </w:rPr>
        <w:t>2</w:t>
      </w:r>
      <w:r>
        <w:t>’s 2 × 2 tunnel framework. Theoretical calculations confirm that the incorporation of H</w:t>
      </w:r>
      <w:r>
        <w:t xml:space="preserve"> </w:t>
      </w:r>
      <w:r>
        <w:t>+</w:t>
      </w:r>
      <w:r>
        <w:t xml:space="preserve"> </w:t>
      </w:r>
      <w:r>
        <w:t>into α‐H</w:t>
      </w:r>
      <w:r>
        <w:t xml:space="preserve"> </w:t>
      </w:r>
      <w:r>
        <w:t>x</w:t>
      </w:r>
      <w:r>
        <w:t xml:space="preserve"> </w:t>
      </w:r>
      <w:r>
        <w:t>MnO</w:t>
      </w:r>
      <w:r>
        <w:rPr>
          <w:vertAlign w:val="subscript"/>
        </w:rPr>
        <w:t>2</w:t>
      </w:r>
      <w:r>
        <w:t>weakens the Mn─O bonds with notable vacancy formation. Leveraging these mechanistic insights, we demonstrate Zn‐MnO</w:t>
      </w:r>
      <w:r>
        <w:rPr>
          <w:vertAlign w:val="subscript"/>
        </w:rPr>
        <w:t>2</w:t>
      </w:r>
      <w:r>
        <w:t>pouch cells under stringent practical conditions—high areal capacity (2.62 mAh cm</w:t>
      </w:r>
      <w:r>
        <w:t xml:space="preserve"> </w:t>
      </w:r>
      <w:r>
        <w:t>−2</w:t>
      </w:r>
      <w:r>
        <w:t xml:space="preserve"> </w:t>
      </w:r>
      <w:r>
        <w:t>), restricted N/P ratio (2.2), and lean electrolyte (30 µL mAh</w:t>
      </w:r>
      <w:r>
        <w:t xml:space="preserve"> </w:t>
      </w:r>
      <w:r>
        <w:t>−1</w:t>
      </w:r>
      <w:r>
        <w:t xml:space="preserve"> </w:t>
      </w:r>
      <w:r>
        <w:t>)—yielding a specific energy of 167 Wh kg</w:t>
      </w:r>
      <w:r>
        <w:t xml:space="preserve"> </w:t>
      </w:r>
      <w:r>
        <w:t>−1</w:t>
      </w:r>
      <w:r>
        <w:t xml:space="preserve"> </w:t>
      </w:r>
      <w:r>
        <w:t>. Meanwhile, this electrolyte demonstrates an excellent one‐year cycling lifespan at −10°C. This work provides insight for high‐performance aqueous batteries.</w:t>
      </w:r>
    </w:p>
    <w:p>
      <w:pPr>
        <w:spacing w:before="120" w:after="120"/>
      </w:pPr>
      <w:r>
        <w:rPr>
          <w:sz w:val="18"/>
        </w:rPr>
        <w:t>——————————————————————————————————————————————————————————————————————</w:t>
      </w:r>
    </w:p>
    <w:p>
      <w:pPr>
        <w:spacing w:before="160" w:after="40" w:line="240" w:lineRule="auto"/>
      </w:pPr>
      <w:r>
        <w:rPr>
          <w:b/>
        </w:rPr>
        <w:t xml:space="preserve">[20] </w:t>
      </w:r>
      <w:hyperlink r:id="rId121">
        <w:r>
          <w:rPr>
            <w:color w:val="1155CC"/>
            <w:u w:val="single"/>
          </w:rPr>
          <w:t>固态电池用纳米晶LCO/LLZO复合正极膜</w:t>
        </w:r>
      </w:hyperlink>
    </w:p>
    <w:p>
      <w:pPr>
        <w:spacing w:before="0" w:after="80"/>
      </w:pPr>
      <w:r>
        <w:rPr>
          <w:i/>
          <w:sz w:val="20"/>
        </w:rPr>
        <w:t>EN: Nanocrystalline LCO/LLZO Composite Cathode Films for Solid State Batteries</w:t>
      </w:r>
    </w:p>
    <w:p>
      <w:pPr>
        <w:spacing w:before="0" w:after="120"/>
      </w:pPr>
      <w:r>
        <w:rPr>
          <w:b/>
        </w:rPr>
        <w:t xml:space="preserve">Source: </w:t>
      </w:r>
      <w:r>
        <w:t>Wiley: Advanced Energy Materials: Table of Contents</w:t>
      </w:r>
      <w:r>
        <w:t xml:space="preserve">    </w:t>
      </w:r>
      <w:r>
        <w:rPr>
          <w:b/>
        </w:rPr>
        <w:t xml:space="preserve">Pub date: </w:t>
      </w:r>
      <w:r>
        <w:t>2026-08-26 06:12:07+00:00</w:t>
      </w:r>
      <w:r>
        <w:t xml:space="preserve">    </w:t>
      </w:r>
      <w:r>
        <w:rPr>
          <w:b/>
        </w:rPr>
        <w:t xml:space="preserve">DOI: </w:t>
      </w:r>
      <w:hyperlink r:id="rId122">
        <w:r>
          <w:rPr>
            <w:color w:val="1155CC"/>
            <w:u w:val="single"/>
          </w:rPr>
          <w:t>10.1002/aenm.71490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高性能复合阴极的可扩展制造仍然是氧化物基全固态电池（ASSB）的一个关键障碍。锂石榴石（Li</w:t>
      </w:r>
      <w:r>
        <w:rPr>
          <w:vertAlign w:val="subscript"/>
        </w:rPr>
        <w:t>7</w:t>
      </w:r>
      <w:r>
        <w:t>拉</w:t>
      </w:r>
      <w:r>
        <w:rPr>
          <w:vertAlign w:val="subscript"/>
        </w:rPr>
        <w:t>3</w:t>
      </w:r>
      <w:r>
        <w:t>锆</w:t>
      </w:r>
      <w:r>
        <w:rPr>
          <w:vertAlign w:val="subscript"/>
        </w:rPr>
        <w:t>2</w:t>
      </w:r>
      <w:r>
        <w:t>氧</w:t>
      </w:r>
      <w:r>
        <w:rPr>
          <w:vertAlign w:val="subscript"/>
        </w:rPr>
        <w:t>12</w:t>
      </w:r>
      <w:r>
        <w:t>，LLZO）电解质提供高离子电导率和与锂金属的相容性，然而，将它们与高压层状氧化物结合通常受到高温陶瓷加工的限制，高温陶瓷加工使制造复杂化并促进界面副反应。在这里我们报告了LiCoO</w:t>
      </w:r>
      <w:r>
        <w:rPr>
          <w:vertAlign w:val="subscript"/>
        </w:rPr>
        <w:t>2</w:t>
      </w:r>
      <w:r>
        <w:t>/LLZO 复合阴极通过单溶液喷雾沉积制备，在 750°C 的最高加工温度下共沉积所有成分。该过程产生致密、无裂纹、微米厚的层，具有纳米晶、相分离的微观结构。立方LLZO和层状LiCoO的两相</w:t>
      </w:r>
      <w:r>
        <w:rPr>
          <w:vertAlign w:val="subscript"/>
        </w:rPr>
        <w:t>2</w:t>
      </w:r>
      <w:r>
        <w:t>独立结晶，仅形成少量二次相，并且未检测到钴迁移到 LLZO 基材中。与首次充电后观察到的低阴极电解质界面电阻一致，锂金属全电池表现出 111.7 mAh g</w:t>
      </w:r>
      <w:r>
        <w:t xml:space="preserve"> </w:t>
      </w:r>
      <w:r>
        <w:t>−1</w:t>
      </w:r>
      <w:r>
        <w:t xml:space="preserve"> </w:t>
      </w:r>
      <w:r>
        <w:t>计算机辅助制造</w:t>
      </w:r>
      <w:r>
        <w:t xml:space="preserve"> </w:t>
      </w:r>
      <w:r>
        <w:t>首次放电容量，100次循环后仍保留93%的容量。容量衰减主要是由阴极电解质界面阻抗的逐渐增长决定的，而事后显微镜检查则发现</w:t>
      </w:r>
    </w:p>
    <w:p>
      <w:pPr>
        <w:spacing w:before="0" w:after="200" w:lineRule="auto" w:line="276"/>
      </w:pPr>
      <w:r>
        <w:rPr>
          <w:b/>
        </w:rPr>
        <w:t xml:space="preserve">Abstract (EN): </w:t>
      </w:r>
      <w:r>
        <w:t>Scalable fabrication of high‐performing composite cathodes remains a key hurdle for oxide‐based all‐solid‐state batteries (ASSBs). Li‐garnet (Li</w:t>
      </w:r>
      <w:r>
        <w:rPr>
          <w:vertAlign w:val="subscript"/>
        </w:rPr>
        <w:t>7</w:t>
      </w:r>
      <w:r>
        <w:t>La</w:t>
      </w:r>
      <w:r>
        <w:rPr>
          <w:vertAlign w:val="subscript"/>
        </w:rPr>
        <w:t>3</w:t>
      </w:r>
      <w:r>
        <w:t>Zr</w:t>
      </w:r>
      <w:r>
        <w:rPr>
          <w:vertAlign w:val="subscript"/>
        </w:rPr>
        <w:t>2</w:t>
      </w:r>
      <w:r>
        <w:t>O</w:t>
      </w:r>
      <w:r>
        <w:rPr>
          <w:vertAlign w:val="subscript"/>
        </w:rPr>
        <w:t>12</w:t>
      </w:r>
      <w:r>
        <w:t>, LLZO) electrolytes provide high ionic conductivity and compatibility with lithium metal, yet, combining them with high‐voltage layered oxides is often limited by high‐temperature ceramic processing that complicates manufacturing and promotes interfacial side reactions. Here we report a LiCoO</w:t>
      </w:r>
      <w:r>
        <w:rPr>
          <w:vertAlign w:val="subscript"/>
        </w:rPr>
        <w:t>2</w:t>
      </w:r>
      <w:r>
        <w:t>/LLZO composite cathode prepared by single‐solution spray deposition that co‐deposits all constituents at a maximum processing temperature of 750°C. The process produces dense, crack‐free, micrometer‐thick layers with nanograined, phase‐separated microstructures. The two phases of cubic LLZO and layered LiCoO</w:t>
      </w:r>
      <w:r>
        <w:rPr>
          <w:vertAlign w:val="subscript"/>
        </w:rPr>
        <w:t>2</w:t>
      </w:r>
      <w:r>
        <w:t>crystallize independently, only minor secondary phases form, and no cobalt migration into the LLZO substrate is detected. Consistent with a low cathode‐electrolyte interfacial resistance observed after the first charge, full cells with lithium metal exhibit 111.7 mAh g</w:t>
      </w:r>
      <w:r>
        <w:t xml:space="preserve"> </w:t>
      </w:r>
      <w:r>
        <w:t>−1</w:t>
      </w:r>
      <w:r>
        <w:t xml:space="preserve"> </w:t>
      </w:r>
      <w:r>
        <w:t>CAM</w:t>
      </w:r>
      <w:r>
        <w:t xml:space="preserve"> </w:t>
      </w:r>
      <w:r>
        <w:t>initial discharge capacity and retain 93% of the capacity over 100 cycles. Capacity fade is dominated by progressive growth of cathode‐electrolyte interfacial impedance, whereas post‐mortem microscopy reveals preserved adhesion and morphology, suggesting the nanograined architecture accommodates cathode volume changes without severe cracking or delamination. Overall, single‐solution co‐deposition offers a practical, low‐thermal‐budget route to oxide composite cathodes and a scalable platform for extending LLZO‐based ASSBs to broader cathode chemistries.</w:t>
      </w:r>
    </w:p>
    <w:p>
      <w:pPr>
        <w:spacing w:before="120" w:after="120"/>
      </w:pPr>
      <w:r>
        <w:rPr>
          <w:sz w:val="18"/>
        </w:rPr>
        <w:t>——————————————————————————————————————————————————————————————————————</w:t>
      </w:r>
    </w:p>
    <w:p>
      <w:pPr>
        <w:spacing w:before="160" w:after="40" w:line="240" w:lineRule="auto"/>
      </w:pPr>
      <w:r>
        <w:rPr>
          <w:b/>
        </w:rPr>
        <w:t xml:space="preserve">[21] </w:t>
      </w:r>
      <w:hyperlink r:id="rId123">
        <w:r>
          <w:rPr>
            <w:color w:val="1155CC"/>
            <w:u w:val="single"/>
          </w:rPr>
          <w:t>自牺牲阻燃低聚物实现阴离子为主的溶剂化结构，用于高安全性和长寿命的高压锂金属电池</w:t>
        </w:r>
      </w:hyperlink>
    </w:p>
    <w:p>
      <w:pPr>
        <w:spacing w:before="0" w:after="80"/>
      </w:pPr>
      <w:r>
        <w:rPr>
          <w:i/>
          <w:sz w:val="20"/>
        </w:rPr>
        <w:t>EN: Self‐Sacrificing Flame‐Retardant Oligomer Enables Anion‐Dominated Solvation Structure for High‐Safety and Long‐Life High‐Voltage Lithium‐Metal Batteries</w:t>
      </w:r>
    </w:p>
    <w:p>
      <w:pPr>
        <w:spacing w:before="0" w:after="120"/>
      </w:pPr>
      <w:r>
        <w:rPr>
          <w:b/>
        </w:rPr>
        <w:t xml:space="preserve">Source: </w:t>
      </w:r>
      <w:r>
        <w:t>Wiley: Advanced Materials: Table of Contents</w:t>
      </w:r>
      <w:r>
        <w:t xml:space="preserve">    </w:t>
      </w:r>
      <w:r>
        <w:rPr>
          <w:b/>
        </w:rPr>
        <w:t xml:space="preserve">Pub date: </w:t>
      </w:r>
      <w:r>
        <w:t>2026-08-26 06:22:39+00:00</w:t>
      </w:r>
      <w:r>
        <w:t xml:space="preserve">    </w:t>
      </w:r>
      <w:r>
        <w:rPr>
          <w:b/>
        </w:rPr>
        <w:t xml:space="preserve">DOI: </w:t>
      </w:r>
      <w:hyperlink r:id="rId124">
        <w:r>
          <w:rPr>
            <w:color w:val="1155CC"/>
            <w:u w:val="single"/>
          </w:rPr>
          <w:t>10.1002/adma.74775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CM811锂金属电池的商业化长期以来受到两大瓶颈的制约：电解质的易燃性和电极界面兼容性差。本研究设计了一种多功能不饱和低聚物电解质添加剂（PE）作为电池安全性和稳定性的协调者和烈士。它集成了柔性链段以促进锂离子传输，含磷链段实现了气相和凝聚相阻燃性，P=O和C=C的协同作用有效地稳定了锂金属负极和高压正极。该添加剂选择性地分配成Li</w:t>
      </w:r>
      <w:r>
        <w:t xml:space="preserve"> </w:t>
      </w:r>
      <w:r>
        <w:t>+</w:t>
      </w:r>
      <w:r>
        <w:t xml:space="preserve"> </w:t>
      </w:r>
      <w:r>
        <w:t>溶剂化壳层，其中 P=O 键与 Li 配位</w:t>
      </w:r>
      <w:r>
        <w:t xml:space="preserve"> </w:t>
      </w:r>
      <w:r>
        <w:t>+</w:t>
      </w:r>
      <w:r>
        <w:t xml:space="preserve"> </w:t>
      </w:r>
      <w:r>
        <w:t>C=C 键与 PF 建立阴离子-C=C 相互作用</w:t>
      </w:r>
      <w:r>
        <w:rPr>
          <w:vertAlign w:val="subscript"/>
        </w:rPr>
        <w:t>6</w:t>
      </w:r>
      <w:r>
        <w:t>-</w:t>
      </w:r>
      <w:r>
        <w:t>，在具有常规锂盐浓度的商业电解液中构建独特的阴离子主导溶剂化环境，以触发高度稳定的LiF/Li</w:t>
      </w:r>
      <w:r>
        <w:t xml:space="preserve"> </w:t>
      </w:r>
      <w:r>
        <w:t>x</w:t>
      </w:r>
      <w:r>
        <w:t xml:space="preserve"> </w:t>
      </w:r>
      <w:r>
        <w:t>采购订单</w:t>
      </w:r>
      <w:r>
        <w:t xml:space="preserve"> </w:t>
      </w:r>
      <w:r>
        <w:t>y</w:t>
      </w:r>
      <w:r>
        <w:t xml:space="preserve"> </w:t>
      </w:r>
      <w:r>
        <w:t>‐电极表面形成丰富的界面层。在低添加水平下，电解液的可燃性显着降低，同时电池性能得到全面增强。 NCM811‖锂电池在1 C下实现了超过500次循环的稳定循环，保持80%的容量保持率。即使在 5 C 下，它们在 160 次循环后仍保留 76% 的容量。通过战略性设计局部分子</w:t>
      </w:r>
    </w:p>
    <w:p>
      <w:pPr>
        <w:spacing w:before="0" w:after="200" w:lineRule="auto" w:line="276"/>
      </w:pPr>
      <w:r>
        <w:rPr>
          <w:b/>
        </w:rPr>
        <w:t xml:space="preserve">Abstract (EN): </w:t>
      </w:r>
      <w:r>
        <w:t>The commercialization of NCM811‐lithium metal batteries has long been constrained by two major bottlenecks: electrolytes’ flammability and poor electrode interface compatibility. This study designed a multifunctional unsaturated oligomer electrolyte additive (PE) as a coordinator and martyr for batteries’ safety and stability. It integrates flexible segments to promote lithium‐ion transport, phosphorus‐containing segments to achieve both vapor‐phase and condensed‐phase flame retardancy, and the synergy of P═O and C═C effectively stabilizes both the lithium‐metal anode and high‐voltage cathode. This additive selectively partitions into Li</w:t>
      </w:r>
      <w:r>
        <w:t xml:space="preserve"> </w:t>
      </w:r>
      <w:r>
        <w:t>+</w:t>
      </w:r>
      <w:r>
        <w:t xml:space="preserve"> </w:t>
      </w:r>
      <w:r>
        <w:t>solvation shell, where P═O bond coordinates with Li</w:t>
      </w:r>
      <w:r>
        <w:t xml:space="preserve"> </w:t>
      </w:r>
      <w:r>
        <w:t>+</w:t>
      </w:r>
      <w:r>
        <w:t xml:space="preserve"> </w:t>
      </w:r>
      <w:r>
        <w:t>and C═C bond establishes anion‐C═C interaction with PF</w:t>
      </w:r>
      <w:r>
        <w:rPr>
          <w:vertAlign w:val="subscript"/>
        </w:rPr>
        <w:t>6</w:t>
      </w:r>
      <w:r>
        <w:t>−</w:t>
      </w:r>
      <w:r>
        <w:t>, constructing a unique anion‐dominated solvation environment in commercial electrolyte with conventional lithium salt concentration to trigger highly stable and LiF/Li</w:t>
      </w:r>
      <w:r>
        <w:t xml:space="preserve"> </w:t>
      </w:r>
      <w:r>
        <w:t>x</w:t>
      </w:r>
      <w:r>
        <w:t xml:space="preserve"> </w:t>
      </w:r>
      <w:r>
        <w:t>PO</w:t>
      </w:r>
      <w:r>
        <w:t xml:space="preserve"> </w:t>
      </w:r>
      <w:r>
        <w:t>y</w:t>
      </w:r>
      <w:r>
        <w:t xml:space="preserve"> </w:t>
      </w:r>
      <w:r>
        <w:t>‐rich interfacial layer formation on electrode surface. At low addition levels, electrolyte flammability is significantly reduced while battery performance is comprehensively enhanced. NCM811‖Li batteries achieved stable cycling for over 500 cycles at 1 C, maintaining 80% capacity retention. Even at 5 C, they retained 76% capacity after 160 cycles. By strategically designing localized molecular structures to synergistically enhance flame retardancy, ion transport, and interfacial stability within a single molecule, this study provides a promising paradigm for the development of electrolytes for high‐safety, long‐life, and high‐energy‐density lithium batteries.</w:t>
      </w:r>
    </w:p>
    <w:p>
      <w:pPr>
        <w:spacing w:before="120" w:after="120"/>
      </w:pPr>
      <w:r>
        <w:rPr>
          <w:sz w:val="18"/>
        </w:rPr>
        <w:t>——————————————————————————————————————————————————————————————————————</w:t>
      </w:r>
    </w:p>
    <w:p>
      <w:pPr>
        <w:spacing w:before="160" w:after="40" w:line="240" w:lineRule="auto"/>
      </w:pPr>
      <w:r>
        <w:rPr>
          <w:b/>
        </w:rPr>
        <w:t xml:space="preserve">[22] </w:t>
      </w:r>
      <w:hyperlink r:id="rId125">
        <w:r>
          <w:rPr>
            <w:color w:val="1155CC"/>
            <w:u w:val="single"/>
          </w:rPr>
          <w:t>通过静电相互作用调节和增强的 V─O 共价解锁氟磷酸盐阴极的超长循环稳定性</w:t>
        </w:r>
      </w:hyperlink>
    </w:p>
    <w:p>
      <w:pPr>
        <w:spacing w:before="0" w:after="80"/>
      </w:pPr>
      <w:r>
        <w:rPr>
          <w:i/>
          <w:sz w:val="20"/>
        </w:rPr>
        <w:t>EN: Unlocking Ultra‐Long Cycling Stability in Fluorophosphate Cathodes via Electrostatic Interaction Regulation and Enhanced V─O Covalency</w:t>
      </w:r>
    </w:p>
    <w:p>
      <w:pPr>
        <w:spacing w:before="0" w:after="120"/>
      </w:pPr>
      <w:r>
        <w:rPr>
          <w:b/>
        </w:rPr>
        <w:t xml:space="preserve">Source: </w:t>
      </w:r>
      <w:r>
        <w:t>Wiley: Advanced Materials: Table of Contents</w:t>
      </w:r>
      <w:r>
        <w:t xml:space="preserve">    </w:t>
      </w:r>
      <w:r>
        <w:rPr>
          <w:b/>
        </w:rPr>
        <w:t xml:space="preserve">Pub date: </w:t>
      </w:r>
      <w:r>
        <w:t>2026-08-26 10:23:10+00:00</w:t>
      </w:r>
      <w:r>
        <w:t xml:space="preserve">    </w:t>
      </w:r>
      <w:r>
        <w:rPr>
          <w:b/>
        </w:rPr>
        <w:t xml:space="preserve">DOI: </w:t>
      </w:r>
      <w:hyperlink r:id="rId126">
        <w:r>
          <w:rPr>
            <w:color w:val="1155CC"/>
            <w:u w:val="single"/>
          </w:rPr>
          <w:t>10.1002/adma.74789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聚阴离子钠</w:t>
      </w:r>
      <w:r>
        <w:rPr>
          <w:vertAlign w:val="subscript"/>
        </w:rPr>
        <w:t>3</w:t>
      </w:r>
      <w:r>
        <w:t>（画外音）</w:t>
      </w:r>
      <w:r>
        <w:rPr>
          <w:vertAlign w:val="subscript"/>
        </w:rPr>
        <w:t>2</w:t>
      </w:r>
      <w:r>
        <w:t>（采购订单</w:t>
      </w:r>
      <w:r>
        <w:rPr>
          <w:vertAlign w:val="subscript"/>
        </w:rPr>
        <w:t>4</w:t>
      </w:r>
      <w:r>
        <w:t>）</w:t>
      </w:r>
      <w:r>
        <w:rPr>
          <w:vertAlign w:val="subscript"/>
        </w:rPr>
        <w:t>2</w:t>
      </w:r>
      <w:r>
        <w:t>由于其稳定的结构框架和高工作电压，F 是一种很有前途的钠离子电池（SIB）正极。然而，其实际应用受到低电子电导率和缓慢Na的阻碍。</w:t>
      </w:r>
      <w:r>
        <w:t xml:space="preserve"> </w:t>
      </w:r>
      <w:r>
        <w:t>+</w:t>
      </w:r>
      <w:r>
        <w:t xml:space="preserve"> </w:t>
      </w:r>
      <w:r>
        <w:t>扩散动力学，源于Na之间的强大库仑吸引力</w:t>
      </w:r>
      <w:r>
        <w:t xml:space="preserve"> </w:t>
      </w:r>
      <w:r>
        <w:t>+</w:t>
      </w:r>
      <w:r>
        <w:t xml:space="preserve"> </w:t>
      </w:r>
      <w:r>
        <w:t>和骨架阴离子，以及Na</w:t>
      </w:r>
      <w:r>
        <w:t xml:space="preserve"> </w:t>
      </w:r>
      <w:r>
        <w:t>+</w:t>
      </w:r>
      <w:r>
        <w:t xml:space="preserve"> </w:t>
      </w:r>
      <w:r>
        <w:t>‐钠</w:t>
      </w:r>
      <w:r>
        <w:t xml:space="preserve"> </w:t>
      </w:r>
      <w:r>
        <w:t>+</w:t>
      </w:r>
      <w:r>
        <w:t xml:space="preserve"> </w:t>
      </w:r>
      <w:r>
        <w:t>排斥力。在这项研究中，我们提出了一种新颖的阴离子工程策略，涉及同时 Br 掺杂和 Na 空位。理论和实验分析表明O的部分取代</w:t>
      </w:r>
      <w:r>
        <w:t xml:space="preserve"> </w:t>
      </w:r>
      <w:r>
        <w:t>2−</w:t>
      </w:r>
      <w:r>
        <w:t>Br 电负性较小</w:t>
      </w:r>
      <w:r>
        <w:t xml:space="preserve"> </w:t>
      </w:r>
      <w:r>
        <w:t>-</w:t>
      </w:r>
      <w:r>
        <w:t>诱导局部电荷重新分布，增强V 3d─O 2p轨道杂化并加强V─O共价键，提高结构稳定性并缩小带隙。由此产生的电荷补偿会产生钠空位，从而减轻 Na 之间的静电排斥</w:t>
      </w:r>
      <w:r>
        <w:t xml:space="preserve"> </w:t>
      </w:r>
      <w:r>
        <w:t>+</w:t>
      </w:r>
      <w:r>
        <w:t xml:space="preserve"> </w:t>
      </w:r>
      <w:r>
        <w:t>离子，促进Na</w:t>
      </w:r>
      <w:r>
        <w:t xml:space="preserve"> </w:t>
      </w:r>
      <w:r>
        <w:t>+</w:t>
      </w:r>
      <w:r>
        <w:t xml:space="preserve"> </w:t>
      </w:r>
      <w:r>
        <w:t>扩散。此外，溴掺杂扩大了层间距并减轻了电荷转移电阻。因此，电极表现出异常</w:t>
      </w:r>
    </w:p>
    <w:p>
      <w:pPr>
        <w:spacing w:before="0" w:after="200" w:lineRule="auto" w:line="276"/>
      </w:pPr>
      <w:r>
        <w:rPr>
          <w:b/>
        </w:rPr>
        <w:t xml:space="preserve">Abstract (EN): </w:t>
      </w:r>
      <w:r>
        <w:t>Polyanionic Na</w:t>
      </w:r>
      <w:r>
        <w:rPr>
          <w:vertAlign w:val="subscript"/>
        </w:rPr>
        <w:t>3</w:t>
      </w:r>
      <w:r>
        <w:t>(VO)</w:t>
      </w:r>
      <w:r>
        <w:rPr>
          <w:vertAlign w:val="subscript"/>
        </w:rPr>
        <w:t>2</w:t>
      </w:r>
      <w:r>
        <w:t>(PO</w:t>
      </w:r>
      <w:r>
        <w:rPr>
          <w:vertAlign w:val="subscript"/>
        </w:rPr>
        <w:t>4</w:t>
      </w:r>
      <w:r>
        <w:t>)</w:t>
      </w:r>
      <w:r>
        <w:rPr>
          <w:vertAlign w:val="subscript"/>
        </w:rPr>
        <w:t>2</w:t>
      </w:r>
      <w:r>
        <w:t>F is a promising cathode for sodium‐ion batteries (SIBs) due to its stable structural framework and high operating voltage. However, its practical application is hindered by low electronic conductivity and sluggish Na</w:t>
      </w:r>
      <w:r>
        <w:t xml:space="preserve"> </w:t>
      </w:r>
      <w:r>
        <w:t>+</w:t>
      </w:r>
      <w:r>
        <w:t xml:space="preserve"> </w:t>
      </w:r>
      <w:r>
        <w:t>diffusion kinetics, which originate from the strong Coulombic attraction between Na</w:t>
      </w:r>
      <w:r>
        <w:t xml:space="preserve"> </w:t>
      </w:r>
      <w:r>
        <w:t>+</w:t>
      </w:r>
      <w:r>
        <w:t xml:space="preserve"> </w:t>
      </w:r>
      <w:r>
        <w:t>and the framework anions, and the Na</w:t>
      </w:r>
      <w:r>
        <w:t xml:space="preserve"> </w:t>
      </w:r>
      <w:r>
        <w:t>+</w:t>
      </w:r>
      <w:r>
        <w:t xml:space="preserve"> </w:t>
      </w:r>
      <w:r>
        <w:t>‐Na</w:t>
      </w:r>
      <w:r>
        <w:t xml:space="preserve"> </w:t>
      </w:r>
      <w:r>
        <w:t>+</w:t>
      </w:r>
      <w:r>
        <w:t xml:space="preserve"> </w:t>
      </w:r>
      <w:r>
        <w:t>repulsion. In this study, we propose a novel anion engineering strategy involving simultaneous Br doping and Na vacancy. Theoretical and experimental analyses reveal that the partial substitution of O</w:t>
      </w:r>
      <w:r>
        <w:t xml:space="preserve"> </w:t>
      </w:r>
      <w:r>
        <w:t>2−</w:t>
      </w:r>
      <w:r>
        <w:t>with less electronegative Br</w:t>
      </w:r>
      <w:r>
        <w:t xml:space="preserve"> </w:t>
      </w:r>
      <w:r>
        <w:t>−</w:t>
      </w:r>
      <w:r>
        <w:t>induces local charge redistribution, which enhances V 3d─O 2p orbital hybridization and strengthens V─O covalent bonds, improving structural stability and narrowing bandgap. The resulting charge compensation creates sodium vacancies that alleviate electrostatic repulsion among Na</w:t>
      </w:r>
      <w:r>
        <w:t xml:space="preserve"> </w:t>
      </w:r>
      <w:r>
        <w:t>+</w:t>
      </w:r>
      <w:r>
        <w:t xml:space="preserve"> </w:t>
      </w:r>
      <w:r>
        <w:t>ions, facilitating Na</w:t>
      </w:r>
      <w:r>
        <w:t xml:space="preserve"> </w:t>
      </w:r>
      <w:r>
        <w:t>+</w:t>
      </w:r>
      <w:r>
        <w:t xml:space="preserve"> </w:t>
      </w:r>
      <w:r>
        <w:t>diffusion. Moreover, Br doping expands interlayer spacing and mitigates charge transfer resistance. Consequently, the electrode exhibits exceptional long‐term cyclability (62.07 mAh g</w:t>
      </w:r>
      <w:r>
        <w:t xml:space="preserve"> </w:t>
      </w:r>
      <w:r>
        <w:t>−1</w:t>
      </w:r>
      <w:r>
        <w:t xml:space="preserve"> </w:t>
      </w:r>
      <w:r>
        <w:t>after 90,000 cycles at 20 C) and superior rate capability (85.93 mAh g</w:t>
      </w:r>
      <w:r>
        <w:t xml:space="preserve"> </w:t>
      </w:r>
      <w:r>
        <w:t>−1</w:t>
      </w:r>
      <w:r>
        <w:t xml:space="preserve"> </w:t>
      </w:r>
      <w:r>
        <w:t>at 100 C). The full cell paired with a hard carbon achieves high energy density and excellent cycling stability. This work provides a feasible and effective anionic doping approach for designing long‐life SIBs.</w:t>
      </w:r>
    </w:p>
    <w:p>
      <w:pPr>
        <w:spacing w:before="120" w:after="120"/>
      </w:pPr>
      <w:r>
        <w:rPr>
          <w:sz w:val="18"/>
        </w:rPr>
        <w:t>——————————————————————————————————————————————————————————————————————</w:t>
      </w:r>
    </w:p>
    <w:p>
      <w:pPr>
        <w:spacing w:before="160" w:after="40" w:line="240" w:lineRule="auto"/>
      </w:pPr>
      <w:r>
        <w:rPr>
          <w:b/>
        </w:rPr>
        <w:t xml:space="preserve">[23] </w:t>
      </w:r>
      <w:hyperlink r:id="rId127">
        <w:r>
          <w:rPr>
            <w:color w:val="1155CC"/>
            <w:u w:val="single"/>
          </w:rPr>
          <w:t>用于高倍率和稳定可充电钙有机电池的羰基交错共价有机框架</w:t>
        </w:r>
      </w:hyperlink>
    </w:p>
    <w:p>
      <w:pPr>
        <w:spacing w:before="0" w:after="80"/>
      </w:pPr>
      <w:r>
        <w:rPr>
          <w:i/>
          <w:sz w:val="20"/>
        </w:rPr>
        <w:t>EN: Carbonyl-staggered covalent organic frameworks for high-rate and stable rechargeable calcium-organic batteries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由于钙（Ca）的地壳丰度高以及Ca金属的高容量和无枝晶性质，可充电钙电池有望成为下一代储能设备。然而，它们的实施受到缺乏高功率和高容量正极的阻碍，这主要是由于无机主体中Ca2+扩散缓慢以及有机电极中活性位点利用有限。在这里，我们设计了一系列包含不同醌单元的共价有机框架，以构建羰基交错通道，加速Ca2+跳跃，即使在高速率下也能增强深层活性位点的可及性，并在重复Ca2+插入过程中通过邻位羰基位点的原位共轭重建促进电子电荷传输。这些综合效应有助于实现快速电荷转移动力学，赋予优化的异质框架高倍率性能（从 0.05 A g−1 到 2 A g−1 的容量保持率为 56.4%）和长循环能力（2 A g−1 下 5,000 次循环后容量保持率为 71.7%），并在钙金属软包电池中得到进一步验证。这项工作强调了羰基交错作为一种分子设计策略，用于调节钙离子传输和提高钙有机电池中活性位点的利用率。</w:t>
      </w:r>
    </w:p>
    <w:p>
      <w:pPr>
        <w:spacing w:before="0" w:after="200" w:lineRule="auto" w:line="276"/>
      </w:pPr>
      <w:r>
        <w:rPr>
          <w:b/>
        </w:rPr>
        <w:t xml:space="preserve">Abstract (EN): </w:t>
      </w:r>
      <w:r>
        <w:t>Rechargeable calcium batteries are promising for next-generation energy storage devices due to the high crustal abundance of calcium (Ca) and the high-capacity and dendrite-free nature of Ca metal. However, their implementation is hindered by the lack of high-power and high-capacity positive electrodes, largely due to sluggish Ca2+ diffusion in inorganic hosts and limited active-site utilization in organic electrodes. Here we design a series of covalent organic frameworks incorporating different quinone units to construct carbonyl-staggered channels that accelerate Ca2+ hopping, enhance accessibility of deep-layer active sites even at high rates, and facilitate electronic charge transport through in situ conjugation reconstruction at ortho-carbonyl sites during repeated Ca2+ insertion. These combined effects contribute to fast charge-transfer kinetics, endowing the optimized heterogeneous framework with high-rate capability (56.4% capacity retention from 0.05 A g−1 to 2 A g−1) and long cyclability (71.7% capacity retention after 5,000 cycles at 2 A g−1), with further validation in Ca-metal pouch cells. This work highlights carbonyl staggering as a molecular design strategy for regulating Ca-ion transport and improving active-site utilization in calcium-organic batteries.</w:t>
      </w:r>
    </w:p>
    <w:p>
      <w:pPr>
        <w:spacing w:before="120" w:after="120"/>
      </w:pPr>
      <w:r>
        <w:rPr>
          <w:sz w:val="18"/>
        </w:rPr>
        <w:t>——————————————————————————————————————————————————————————————————————</w:t>
      </w:r>
    </w:p>
    <w:p>
      <w:pPr>
        <w:spacing w:before="160" w:after="40" w:line="240" w:lineRule="auto"/>
      </w:pPr>
      <w:r>
        <w:rPr>
          <w:b/>
        </w:rPr>
        <w:t xml:space="preserve">[24] </w:t>
      </w:r>
      <w:hyperlink r:id="rId128">
        <w:r>
          <w:rPr>
            <w:color w:val="1155CC"/>
            <w:u w:val="single"/>
          </w:rPr>
          <w:t>使用用于相间调节的区域异构腈添加剂实现锂离子电池的快速充电</w:t>
        </w:r>
      </w:hyperlink>
    </w:p>
    <w:p>
      <w:pPr>
        <w:spacing w:before="0" w:after="80"/>
      </w:pPr>
      <w:r>
        <w:rPr>
          <w:i/>
          <w:sz w:val="20"/>
        </w:rPr>
        <w:t>EN: Enabling Fast Charging of Lithium‐Ion Batteries With Regioisomeric Nitrile Additives for Interphase Regulation</w:t>
      </w:r>
    </w:p>
    <w:p>
      <w:pPr>
        <w:spacing w:before="0" w:after="120"/>
      </w:pPr>
      <w:r>
        <w:rPr>
          <w:b/>
        </w:rPr>
        <w:t xml:space="preserve">Source: </w:t>
      </w:r>
      <w:r>
        <w:t>Wiley: Angewandte Chemie International Edition: Table of Contents</w:t>
      </w:r>
      <w:r>
        <w:t xml:space="preserve">    </w:t>
      </w:r>
      <w:r>
        <w:rPr>
          <w:b/>
        </w:rPr>
        <w:t xml:space="preserve">Pub date: </w:t>
      </w:r>
      <w:r>
        <w:t>2026-08-27 04:23:19+00:00</w:t>
      </w:r>
      <w:r>
        <w:t xml:space="preserve">    </w:t>
      </w:r>
      <w:r>
        <w:rPr>
          <w:b/>
        </w:rPr>
        <w:t xml:space="preserve">DOI: </w:t>
      </w:r>
      <w:hyperlink r:id="rId129">
        <w:r>
          <w:rPr>
            <w:color w:val="1155CC"/>
            <w:u w:val="single"/>
          </w:rPr>
          <w:t>10.1002/anie.6426355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不稳定的电极-电解质界面（EEI）和缓慢的界面动力学，在各种工作条件下实现快速充电对于锂（Li）离子电池来说仍然具有挑战性。在这里，我们引入了一种基于腈的添加剂策略来调节界面形成，同时保持与商用 LP57 电解质的完全兼容性，从而避免了对昂贵的盐或复杂的电解质重新配制的需要。通过仅加入 0.5 wt.% 的 3-（三氟甲基）苯甲腈 (AD3)，改性电解质显着增强了 1 Ah 石墨 (Gr) 的快速充电性能 |李妮</w:t>
      </w:r>
      <w:r>
        <w:t xml:space="preserve"> </w:t>
      </w:r>
      <w:r>
        <w:t>0.8</w:t>
      </w:r>
      <w:r>
        <w:t xml:space="preserve"> </w:t>
      </w:r>
      <w:r>
        <w:t>锰</w:t>
      </w:r>
      <w:r>
        <w:t xml:space="preserve"> </w:t>
      </w:r>
      <w:r>
        <w:t>0.1</w:t>
      </w:r>
      <w:r>
        <w:t xml:space="preserve"> </w:t>
      </w:r>
      <w:r>
        <w:t>钴</w:t>
      </w:r>
      <w:r>
        <w:t xml:space="preserve"> </w:t>
      </w:r>
      <w:r>
        <w:t>0.1</w:t>
      </w:r>
      <w:r>
        <w:t xml:space="preserve"> </w:t>
      </w:r>
      <w:r>
        <w:t>氧</w:t>
      </w:r>
      <w:r>
        <w:rPr>
          <w:vertAlign w:val="subscript"/>
        </w:rPr>
        <w:t>2</w:t>
      </w:r>
      <w:r>
        <w:t>软包电池，同时还提高了低温、高温和高压稳定性。机理分析表明 AD3 从根本上改变了两个电极的界面形成。在阴极，AD3 抑制分解产物的渗透，并能够形成更薄、更均匀的阴极电解质界面。在阳极，它的优先还原导致形成薄的（10 nm）、控制良好的固体电解质界面（SEI），并有效抑制锂沉积，与 LP57 中形成的厚（450 nm）的富锂层形成鲜明对比。弛豫时间分布 (DRT) 分析证实，界面改进减少了寄生反应并降低了界面电阻。的w</w:t>
      </w:r>
    </w:p>
    <w:p>
      <w:pPr>
        <w:spacing w:before="0" w:after="200" w:lineRule="auto" w:line="276"/>
      </w:pPr>
      <w:r>
        <w:rPr>
          <w:b/>
        </w:rPr>
        <w:t xml:space="preserve">Abstract (EN): </w:t>
      </w:r>
      <w:r>
        <w:t>Achieving fast charging across a wide range of operating conditions remains challenging for lithium (Li)‐ion batteries due to unstable electrode–electrolyte interphases (EEIs) and sluggish interfacial kinetics. Here, we introduce a nitrile‐based additive strategy to regulate interphase formation, while maintaining full compatibility with the commercial LP57 electrolyte, thereby avoiding the need for expensive salts or complex electrolyte reformulation. By incorporating only 0.5 wt.% of 3‐(trifluoromethyl) benzonitrile (AD3), the modified electrolyte significantly enhances fast‐charging performance in 1 Ah Graphite (Gr) | LiNi</w:t>
      </w:r>
      <w:r>
        <w:t xml:space="preserve"> </w:t>
      </w:r>
      <w:r>
        <w:t>0.8</w:t>
      </w:r>
      <w:r>
        <w:t xml:space="preserve"> </w:t>
      </w:r>
      <w:r>
        <w:t>Mn</w:t>
      </w:r>
      <w:r>
        <w:t xml:space="preserve"> </w:t>
      </w:r>
      <w:r>
        <w:t>0.1</w:t>
      </w:r>
      <w:r>
        <w:t xml:space="preserve"> </w:t>
      </w:r>
      <w:r>
        <w:t>Co</w:t>
      </w:r>
      <w:r>
        <w:t xml:space="preserve"> </w:t>
      </w:r>
      <w:r>
        <w:t>0.1</w:t>
      </w:r>
      <w:r>
        <w:t xml:space="preserve"> </w:t>
      </w:r>
      <w:r>
        <w:t>O</w:t>
      </w:r>
      <w:r>
        <w:rPr>
          <w:vertAlign w:val="subscript"/>
        </w:rPr>
        <w:t>2</w:t>
      </w:r>
      <w:r>
        <w:t>pouch cells, while also improving low‐temperature, high‐temperature, and high‐voltage stabilities. Mechanistic analysis reveals that AD3 fundamentally alters the interphase formation at both electrodes. At the cathode, AD3 suppresses penetration of decomposition products and enables the formation of a thinner, more uniform cathode‐electrolyte interphase. At the anode, its preferential reduction leads to a thin (10 nm), well‐controlled solid‐electrolyte interphase (SEI) and effectively suppresses Li plating, in contrast to a thick (450 nm), Li‐rich layer formed in LP57. The interfacial improvements reduce parasitic reactions and lower interfacial resistance, as confirmed by distribution of relaxation times (DRT) analysis. The work demonstrates that minimal additive engineering can simultaneously stabilize interphases and enable fast charging, offering a cost‐effective, industry‐compatible pathway for next‐generation Li‐ion batteries.</w:t>
      </w:r>
    </w:p>
    <w:p>
      <w:pPr>
        <w:spacing w:before="120" w:after="120"/>
      </w:pPr>
      <w:r>
        <w:rPr>
          <w:sz w:val="18"/>
        </w:rPr>
        <w:t>——————————————————————————————————————————————————————————————————————</w:t>
      </w:r>
    </w:p>
    <w:p>
      <w:pPr>
        <w:spacing w:before="160" w:after="40" w:line="240" w:lineRule="auto"/>
      </w:pPr>
      <w:r>
        <w:rPr>
          <w:b/>
        </w:rPr>
        <w:t xml:space="preserve">[25] </w:t>
      </w:r>
      <w:hyperlink r:id="rId130">
        <w:r>
          <w:rPr>
            <w:color w:val="1155CC"/>
            <w:u w:val="single"/>
          </w:rPr>
          <w:t>协调重建和原位化学氧化旁路发电实现高压水系锌碲电池</w:t>
        </w:r>
      </w:hyperlink>
    </w:p>
    <w:p>
      <w:pPr>
        <w:spacing w:before="0" w:after="80"/>
      </w:pPr>
      <w:r>
        <w:rPr>
          <w:i/>
          <w:sz w:val="20"/>
        </w:rPr>
        <w:t>EN: Coordination Reconstruction and In Situ Chemical Oxidation Bypass Generation Enabling High‐Voltage Aqueous Zn‐Te Batteries</w:t>
      </w:r>
    </w:p>
    <w:p>
      <w:pPr>
        <w:spacing w:before="0" w:after="120"/>
      </w:pPr>
      <w:r>
        <w:rPr>
          <w:b/>
        </w:rPr>
        <w:t xml:space="preserve">Source: </w:t>
      </w:r>
      <w:r>
        <w:t>Wiley: Advanced Energy Materials: Table of Contents</w:t>
      </w:r>
      <w:r>
        <w:t xml:space="preserve">    </w:t>
      </w:r>
      <w:r>
        <w:rPr>
          <w:b/>
        </w:rPr>
        <w:t xml:space="preserve">Pub date: </w:t>
      </w:r>
      <w:r>
        <w:t>2026-08-27 05:53:36+00:00</w:t>
      </w:r>
      <w:r>
        <w:t xml:space="preserve">    </w:t>
      </w:r>
      <w:r>
        <w:rPr>
          <w:b/>
        </w:rPr>
        <w:t xml:space="preserve">DOI: </w:t>
      </w:r>
      <w:hyperlink r:id="rId131">
        <w:r>
          <w:rPr>
            <w:color w:val="1155CC"/>
            <w:u w:val="single"/>
          </w:rPr>
          <w:t>10.1002/aenm.71485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 Zn-Te 电池通过六电子 TeO 提供高容量</w:t>
      </w:r>
      <w:r>
        <w:rPr>
          <w:vertAlign w:val="subscript"/>
        </w:rPr>
        <w:t>2</w:t>
      </w:r>
      <w:r>
        <w:t>/Te/ZnTe 反应，但由于 TeO 的转化动力学缓慢和高过电势，放电电压较低 (∼0.6 V)</w:t>
      </w:r>
      <w:r>
        <w:rPr>
          <w:vertAlign w:val="subscript"/>
        </w:rPr>
        <w:t>2</w:t>
      </w:r>
      <w:r>
        <w:t>/Te。虽然氯</w:t>
      </w:r>
      <w:r>
        <w:t xml:space="preserve"> </w:t>
      </w:r>
      <w:r>
        <w:t>-</w:t>
      </w:r>
      <w:r>
        <w:t>实现较低过电势的 TeCl</w:t>
      </w:r>
      <w:r>
        <w:rPr>
          <w:vertAlign w:val="subscript"/>
        </w:rPr>
        <w:t>4</w:t>
      </w:r>
      <w:r>
        <w:t>/Te换算，TeCl</w:t>
      </w:r>
      <w:r>
        <w:rPr>
          <w:vertAlign w:val="subscript"/>
        </w:rPr>
        <w:t>4</w:t>
      </w:r>
      <w:r>
        <w:t>水解导致不稳定的高压放电平台（约1.2 V）。此外，导电性差的卤化碲沿着电荷的积累阻碍了反应区和集电器之间的电子传输，导致Te的电化学氧化效率低下。这里，基于硬软酸碱（HSAB）原理，边界碱Br</w:t>
      </w:r>
      <w:r>
        <w:t xml:space="preserve"> </w:t>
      </w:r>
      <w:r>
        <w:t>-</w:t>
      </w:r>
      <w:r>
        <w:t>被引入来重建软酸Te的配位</w:t>
      </w:r>
      <w:r>
        <w:t xml:space="preserve"> </w:t>
      </w:r>
      <w:r>
        <w:t>4+</w:t>
      </w:r>
      <w:r>
        <w:t xml:space="preserve"> </w:t>
      </w:r>
      <w:r>
        <w:t>以形成更稳定的相并防止电压下降。与此同时，布</w:t>
      </w:r>
      <w:r>
        <w:rPr>
          <w:vertAlign w:val="subscript"/>
        </w:rPr>
        <w:t>3</w:t>
      </w:r>
      <w:r>
        <w:t>-</w:t>
      </w:r>
      <w:r>
        <w:t>是通过深充电原位产生的，这解锁了Te的化学氧化旁路，并在固体/电解质界面上实现了轻松的电子转移。这提高了Te的氧化效率，并增加了后续放电时高压平台容量的比例。添加低含量的聚乙烯吡咯烷酮通过其吸附作用进一步提高了容量保持率。雅高</w:t>
      </w:r>
    </w:p>
    <w:p>
      <w:pPr>
        <w:spacing w:before="0" w:after="200" w:lineRule="auto" w:line="276"/>
      </w:pPr>
      <w:r>
        <w:rPr>
          <w:b/>
        </w:rPr>
        <w:t xml:space="preserve">Abstract (EN): </w:t>
      </w:r>
      <w:r>
        <w:t>Aqueous Zn‐Te batteries offer high capacity via a six‐electron TeO</w:t>
      </w:r>
      <w:r>
        <w:rPr>
          <w:vertAlign w:val="subscript"/>
        </w:rPr>
        <w:t>2</w:t>
      </w:r>
      <w:r>
        <w:t>/Te/ZnTe reaction, yet suffer from low discharge voltage (∼0.6 V) due to the sluggish conversion kinetics and high overpotential of TeO</w:t>
      </w:r>
      <w:r>
        <w:rPr>
          <w:vertAlign w:val="subscript"/>
        </w:rPr>
        <w:t>2</w:t>
      </w:r>
      <w:r>
        <w:t>/Te. Although Cl</w:t>
      </w:r>
      <w:r>
        <w:t xml:space="preserve"> </w:t>
      </w:r>
      <w:r>
        <w:t>−</w:t>
      </w:r>
      <w:r>
        <w:t>enables a lower‐overpotential TeCl</w:t>
      </w:r>
      <w:r>
        <w:rPr>
          <w:vertAlign w:val="subscript"/>
        </w:rPr>
        <w:t>4</w:t>
      </w:r>
      <w:r>
        <w:t>/Te conversion, the TeCl</w:t>
      </w:r>
      <w:r>
        <w:rPr>
          <w:vertAlign w:val="subscript"/>
        </w:rPr>
        <w:t>4</w:t>
      </w:r>
      <w:r>
        <w:t>hydrolysis leads to an unstable high‐voltage discharge plateau at ∼1.2 V. Besides, the accumulation of poorly conductive tellurium halide along charge hinders electron transport between the reaction zone and current collector, leading to inefficient electrochemical oxidation of Te. Here, based on the hard‐soft acid‐base (HSAB) principle, a borderline base Br</w:t>
      </w:r>
      <w:r>
        <w:t xml:space="preserve"> </w:t>
      </w:r>
      <w:r>
        <w:t>−</w:t>
      </w:r>
      <w:r>
        <w:t>is introduced to reconstruct the coordination of the soft acid Te</w:t>
      </w:r>
      <w:r>
        <w:t xml:space="preserve"> </w:t>
      </w:r>
      <w:r>
        <w:t>4+</w:t>
      </w:r>
      <w:r>
        <w:t xml:space="preserve"> </w:t>
      </w:r>
      <w:r>
        <w:t>to form more stable phases and prevent voltage degradation. Meanwhile, Br</w:t>
      </w:r>
      <w:r>
        <w:rPr>
          <w:vertAlign w:val="subscript"/>
        </w:rPr>
        <w:t>3</w:t>
      </w:r>
      <w:r>
        <w:t>−</w:t>
      </w:r>
      <w:r>
        <w:t>is in situ generated via deep charging, which unlocks a chemical oxidation bypass for Te with facile electron transfer at the solid/electrolyte interface. This improves the oxidation efficiency of Te and increases the proportion of high‐voltage plateau capacity during subsequent discharge. A low‐content polyvinyl pyrrolidone addition further improves the capacity retention through its adsorption effect. Accordingly, the Zn‐Te battery delivers high capacities of 837 mAh g</w:t>
      </w:r>
      <w:r>
        <w:t xml:space="preserve"> </w:t>
      </w:r>
      <w:r>
        <w:t>−1</w:t>
      </w:r>
      <w:r>
        <w:t xml:space="preserve"> </w:t>
      </w:r>
      <w:r>
        <w:t>at 0.5 A g</w:t>
      </w:r>
      <w:r>
        <w:t xml:space="preserve"> </w:t>
      </w:r>
      <w:r>
        <w:t>−1</w:t>
      </w:r>
      <w:r>
        <w:t xml:space="preserve"> </w:t>
      </w:r>
      <w:r>
        <w:t>and 483 mAh g</w:t>
      </w:r>
      <w:r>
        <w:t xml:space="preserve"> </w:t>
      </w:r>
      <w:r>
        <w:t>−1</w:t>
      </w:r>
      <w:r>
        <w:t xml:space="preserve"> </w:t>
      </w:r>
      <w:r>
        <w:t>at 5 A g</w:t>
      </w:r>
      <w:r>
        <w:t xml:space="preserve"> </w:t>
      </w:r>
      <w:r>
        <w:t>−1</w:t>
      </w:r>
      <w:r>
        <w:t xml:space="preserve"> </w:t>
      </w:r>
      <w:r>
        <w:t>, with more than half capacity stably contributed by the high‐voltage plateau.</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132">
        <w:r>
          <w:rPr>
            <w:color w:val="1155CC"/>
            <w:u w:val="single"/>
          </w:rPr>
          <w:t>硅与碳的邂逅：锂离子电池硅碳负极的荆棘与重生</w:t>
        </w:r>
      </w:hyperlink>
    </w:p>
    <w:p>
      <w:pPr>
        <w:spacing w:before="0" w:after="80"/>
      </w:pPr>
      <w:r>
        <w:rPr>
          <w:i/>
          <w:sz w:val="20"/>
        </w:rPr>
        <w:t>EN: Encounter of silicon and carbon: thorns and rebirth of silicon-carbon anodes in lithium-ion batteries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133">
        <w:r>
          <w:rPr>
            <w:color w:val="1155CC"/>
            <w:u w:val="single"/>
          </w:rPr>
          <w:t>10.1016/j.apenergy.2026.128690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4">
        <w:r>
          <w:rPr>
            <w:color w:val="1155CC"/>
            <w:u w:val="single"/>
          </w:rPr>
          <w:t>锂离子电池硅基阳极电解质介导的界面工程：从液态到准固态和全固态系统</w:t>
        </w:r>
      </w:hyperlink>
    </w:p>
    <w:p>
      <w:pPr>
        <w:spacing w:before="0" w:after="80"/>
      </w:pPr>
      <w:r>
        <w:rPr>
          <w:i/>
          <w:sz w:val="20"/>
        </w:rPr>
        <w:t>EN: Electrolyte-mediated interfacial engineering for silicon-based anodes in lithium-ion batteries: From liquid to quasi-solid and all-solid-state systems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135">
        <w:r>
          <w:rPr>
            <w:color w:val="1155CC"/>
            <w:u w:val="single"/>
          </w:rPr>
          <w:t>10.1016/j.apenergy.2026.128654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6">
        <w:r>
          <w:rPr>
            <w:color w:val="1155CC"/>
            <w:u w:val="single"/>
          </w:rPr>
          <w:t>具有增强界面的丝网印刷锂阵列作为高能密度液态和固态电池的超薄阳极</w:t>
        </w:r>
      </w:hyperlink>
    </w:p>
    <w:p>
      <w:pPr>
        <w:spacing w:before="0" w:after="80"/>
      </w:pPr>
      <w:r>
        <w:rPr>
          <w:i/>
          <w:sz w:val="20"/>
        </w:rPr>
        <w:t>EN: Screen-Printed Li Arrays with Reinforced Interphase as Ultrathin Anodes for High-Energy–Density Liquid- and Solid-State Batteries</w:t>
      </w:r>
    </w:p>
    <w:p>
      <w:pPr>
        <w:spacing w:before="0" w:after="120"/>
      </w:pPr>
      <w:r>
        <w:rPr>
          <w:b/>
        </w:rPr>
        <w:t xml:space="preserve">Source: </w:t>
      </w:r>
      <w:r>
        <w:t>Nano-Micro Letters</w:t>
      </w:r>
      <w:r>
        <w:t xml:space="preserve">    </w:t>
      </w:r>
      <w:r>
        <w:rPr>
          <w:b/>
        </w:rPr>
        <w:t xml:space="preserve">Pub date: </w:t>
      </w:r>
      <w:r>
        <w:t>2026-08-21 00:00:00+00:00</w:t>
      </w:r>
      <w:r>
        <w:t xml:space="preserve">    </w:t>
      </w:r>
      <w:r>
        <w:rPr>
          <w:b/>
        </w:rPr>
        <w:t xml:space="preserve">DOI: </w:t>
      </w:r>
      <w:hyperlink r:id="rId137">
        <w:r>
          <w:rPr>
            <w:color w:val="1155CC"/>
            <w:u w:val="single"/>
          </w:rPr>
          <w:t>10.1007/s40820-026-02342-1</w:t>
        </w:r>
      </w:hyperlink>
    </w:p>
    <w:p>
      <w:pPr>
        <w:spacing w:before="0" w:after="120"/>
      </w:pPr>
      <w:r>
        <w:rPr>
          <w:b/>
        </w:rPr>
        <w:t xml:space="preserve">Notes: </w:t>
      </w:r>
      <w:r>
        <w:t>abstract_source=rss_description</w:t>
      </w:r>
    </w:p>
    <w:p>
      <w:pPr>
        <w:spacing w:before="0" w:after="80" w:lineRule="auto" w:line="276"/>
      </w:pPr>
      <w:r>
        <w:rPr>
          <w:b/>
        </w:rPr>
        <w:t xml:space="preserve">摘要（ZH）: </w:t>
      </w:r>
      <w:r>
        <w:t>高能量密度锂金属电池，无论是液态还是固态，都需要超薄的锂负极，但其实施受到制造过程中锂加工性能差和循环时锂镀层行为不均匀的阻碍。这项工作通过使用熔盐衍生的锂纳米复合材料的掩模图案离散阵列来解决这些挑战。丝网印刷策略避免了熔融锂在铜上的润湿性差导致的高Li|Cu接触角和不均匀的锂扩散，从而制造出等效厚度低于30μm的超薄锂箔。同时，Li中的熔盐衍生的无机纳米颗粒有利于均匀的Li沉积，并诱导富含无机物的固体电解质界面，共同抑制活性Li的消耗。由此产生的锂阵列（10-28μm）阳极在液态和固态系统中都表现出卓越的性能，实现了高达504 Wh kg−1/1071 Wh L−1的高能量密度，并在高负载阴极的情况下实现了超过260个循环的稳定循环。这种集成方法解决了超薄锂阳极的制造和循环挑战，并为高性能液态/固态电池提供了替代解决方案。亮点：1 使用掩模图案离散阵列的丝网印刷策略克服了熔融锂在铜上润湿性差的问题，从而能够制造超薄锂负极（2 由 Mg(TFSI)2 原位生成的无机纳米粒子使锂沉积均匀并诱导富含无机的固体电解质界面，显着抑制活性锂消耗。3 Li@Mg(TFSI)2 阵列和</w:t>
      </w:r>
    </w:p>
    <w:p>
      <w:pPr>
        <w:spacing w:before="0" w:after="200" w:lineRule="auto" w:line="276"/>
      </w:pPr>
      <w:r>
        <w:rPr>
          <w:b/>
        </w:rPr>
        <w:t xml:space="preserve">Abstract (EN): </w:t>
      </w:r>
      <w:r>
        <w:t>High-energy–density lithium metal batteries, either liquid or solid state, require ultrathin Li anodes, but their implementation is hindered by poor Li processability in fabrication and inhomogeneous Li plating behaviours upon cycling. This work addresses these challenges through a mask-patterned discrete array using a molten salt-derived Li nanocomposite. The screen-printing strategy circumvents the poor wettability of molten Li on copper that causes high Li|Cu contact angle and non-uniform Li spreading, thus fabricating ultrathin Li foils with equivalent thicknesses below 30 μm. Concurrently, the molten salt-derived inorganic nanoparticles in Li favour homogeneous Li deposition and induce inorganic-rich solid electrolyte interphase to jointly suppress active Li consumption. The resulting Li array (10–28 μm) anodes demonstrate remarkable performance in both liquid- and solid-state systems, achieving high energy densities up to 504 Wh kg−1/1071 Wh L−1 and stable cycling over 260 cycles with high-loading cathodes. This integrated approach resolves both fabrication and cycling challenges of ultrathin Li anodes and offers an alternative solution for high-performance liquid-/solid-state batteries. Highlights:1 A screen-printing strategy using mask-patterned discrete arrays overcomes molten Li’s poor wettability on Cu, enabling fabrication of ultrathin Li anodes (2 In situ generated inorganic nanoparticles from Mg(TFSI)2 homogenize Li deposition and induce an inorganic-rich solid electrolyte interphases, significantly suppressing active Li consumption.3 The Li@Mg(TFSI)2 array anode fits both liquid- and solid-state full cells, achieving high energy densities of 504 Wh kg−1/1071 Wh L−1 and stable cycling over 260 cycles.</w:t>
      </w:r>
    </w:p>
    <w:p>
      <w:pPr>
        <w:spacing w:before="120" w:after="120"/>
      </w:pPr>
      <w:r>
        <w:rPr>
          <w:sz w:val="18"/>
        </w:rPr>
        <w:t>——————————————————————————————————————————————————————————————————————</w:t>
      </w:r>
    </w:p>
    <w:p>
      <w:pPr>
        <w:spacing w:before="160" w:after="40" w:line="240" w:lineRule="auto"/>
      </w:pPr>
      <w:r>
        <w:rPr>
          <w:b/>
        </w:rPr>
        <w:t xml:space="preserve">[4] </w:t>
      </w:r>
      <w:hyperlink r:id="rId138">
        <w:r>
          <w:rPr>
            <w:color w:val="1155CC"/>
            <w:u w:val="single"/>
          </w:rPr>
          <w:t>动态偶极子翻转中间层：可切换的分子级电场实现全周期稳定的锌阳极</w:t>
        </w:r>
      </w:hyperlink>
    </w:p>
    <w:p>
      <w:pPr>
        <w:spacing w:before="0" w:after="80"/>
      </w:pPr>
      <w:r>
        <w:rPr>
          <w:i/>
          <w:sz w:val="20"/>
        </w:rPr>
        <w:t>EN: Dynamic Dipole‐Flipping Interlayer: Switchable Molecular‐Level Electric Field Enables Full‐Cycle Stable Zinc Anodes</w:t>
      </w:r>
    </w:p>
    <w:p>
      <w:pPr>
        <w:spacing w:before="0" w:after="120"/>
      </w:pPr>
      <w:r>
        <w:rPr>
          <w:b/>
        </w:rPr>
        <w:t xml:space="preserve">Source: </w:t>
      </w:r>
      <w:r>
        <w:t>Wiley: Advanced Materials: Table of Contents</w:t>
      </w:r>
      <w:r>
        <w:t xml:space="preserve">    </w:t>
      </w:r>
      <w:r>
        <w:rPr>
          <w:b/>
        </w:rPr>
        <w:t xml:space="preserve">Pub date: </w:t>
      </w:r>
      <w:r>
        <w:t>2026-08-21 08:08:36+00:00</w:t>
      </w:r>
      <w:r>
        <w:t xml:space="preserve">    </w:t>
      </w:r>
      <w:r>
        <w:rPr>
          <w:b/>
        </w:rPr>
        <w:t xml:space="preserve">DOI: </w:t>
      </w:r>
      <w:hyperlink r:id="rId139">
        <w:r>
          <w:rPr>
            <w:color w:val="1155CC"/>
            <w:u w:val="single"/>
          </w:rPr>
          <w:t>10.1002/adma.74759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不均匀锌</w:t>
      </w:r>
      <w:r>
        <w:t xml:space="preserve"> </w:t>
      </w:r>
      <w:r>
        <w:t>2+</w:t>
      </w:r>
      <w:r>
        <w:t xml:space="preserve"> </w:t>
      </w:r>
      <w:r>
        <w:t>通量会引发枝晶生长和伴随的副反应，严重阻碍了水性锌离子电池的实际应用。虽然界面电场控制 Zn</w:t>
      </w:r>
      <w:r>
        <w:t xml:space="preserve"> </w:t>
      </w:r>
      <w:r>
        <w:t>2+</w:t>
      </w:r>
      <w:r>
        <w:t xml:space="preserve"> </w:t>
      </w:r>
      <w:r>
        <w:t>为了提高通量均匀性，现有的调制策略依赖于静态单向场，本质上与循环锌沉积/剥离的双向、场反转动力学保持脱钩。在这里，我们在锌阳极上设计了一个动态偶极翻转中间层（DDL），它产生可切换的分子级电场，以实现均匀的锌</w:t>
      </w:r>
      <w:r>
        <w:t xml:space="preserve"> </w:t>
      </w:r>
      <w:r>
        <w:t>2+</w:t>
      </w:r>
      <w:r>
        <w:t xml:space="preserve"> </w:t>
      </w:r>
      <w:r>
        <w:t>循环期间的通量调节。具体来说，DDL是由合理设计的聚酰胺衍生物构建而成，其具有固有的大酰胺偶极矩；增加的自由体积和链柔韧性破坏了密集的链堆积并实现快速、可逆的偶极子重新定向。在锌沉积/剥离过程中，酰胺偶极子动态重新定向，产生极性可切换的界面分子级电场，从而引导均匀的锌</w:t>
      </w:r>
      <w:r>
        <w:t xml:space="preserve"> </w:t>
      </w:r>
      <w:r>
        <w:t>2+</w:t>
      </w:r>
      <w:r>
        <w:t xml:space="preserve"> </w:t>
      </w:r>
      <w:r>
        <w:t>重新分布并抑制优先成核。除了电场调节之外，DDL 中的氟化链段还可赋予界面疏水性并进一步抑制副反应。因此，DDL 修饰的 Zn 阳极在 0.5 mA cm 电流下稳定循环超过 3200 小时</w:t>
      </w:r>
      <w:r>
        <w:t xml:space="preserve"> </w:t>
      </w:r>
      <w:r>
        <w:t>−2</w:t>
      </w:r>
      <w:r>
        <w:t xml:space="preserve"> </w:t>
      </w:r>
      <w:r>
        <w:t>，而 Zn||MnO</w:t>
      </w:r>
    </w:p>
    <w:p>
      <w:pPr>
        <w:spacing w:before="0" w:after="200" w:lineRule="auto" w:line="276"/>
      </w:pPr>
      <w:r>
        <w:rPr>
          <w:b/>
        </w:rPr>
        <w:t xml:space="preserve">Abstract (EN): </w:t>
      </w:r>
      <w:r>
        <w:t>Nonuniform Zn</w:t>
      </w:r>
      <w:r>
        <w:t xml:space="preserve"> </w:t>
      </w:r>
      <w:r>
        <w:t>2+</w:t>
      </w:r>
      <w:r>
        <w:t xml:space="preserve"> </w:t>
      </w:r>
      <w:r>
        <w:t>flux, which triggers dendritic growth and accompanying side reactions, severely bottlenecks the practical implementation of aqueous zinc‐ion batteries. While the interfacial electric field governs Zn</w:t>
      </w:r>
      <w:r>
        <w:t xml:space="preserve"> </w:t>
      </w:r>
      <w:r>
        <w:t>2+</w:t>
      </w:r>
      <w:r>
        <w:t xml:space="preserve"> </w:t>
      </w:r>
      <w:r>
        <w:t>flux uniformity, existing modulation strategies rely on static unidirectional fields remains intrinsically decoupled from the bidirectional, field‐reversing dynamics of cyclic Zn deposition/stripping. Herein, we engineer a dynamic dipole‐flipping interlayer (DDL) on Zn anode that generates a switchable molecular‐level electric field to enable uniform Zn</w:t>
      </w:r>
      <w:r>
        <w:t xml:space="preserve"> </w:t>
      </w:r>
      <w:r>
        <w:t>2+</w:t>
      </w:r>
      <w:r>
        <w:t xml:space="preserve"> </w:t>
      </w:r>
      <w:r>
        <w:t>flux regulation during cycling. Specifically, the DDL is constructed from a rationally designed polyamide derivative featuring inherently large amide dipole moments; increased free volume and chain flexibility disrupt dense chain packing and enable rapid, reversible dipole reorientation. During Zn deposition/stripping, the amide dipoles reorient dynamically to generate polarity‐switchable interfacial molecular‑level electric fields, which direct homogeneous Zn</w:t>
      </w:r>
      <w:r>
        <w:t xml:space="preserve"> </w:t>
      </w:r>
      <w:r>
        <w:t>2+</w:t>
      </w:r>
      <w:r>
        <w:t xml:space="preserve"> </w:t>
      </w:r>
      <w:r>
        <w:t>redistribution and suppress preferential nucleation. Beyond electric‑field regulation, fluorinated segments within the DDL impart interfacial hydrophobicity and further suppress side reactions. Consequently, the DDL‐modified Zn anode cycles stably for over 3200 h at 0.5 mA cm</w:t>
      </w:r>
      <w:r>
        <w:t xml:space="preserve"> </w:t>
      </w:r>
      <w:r>
        <w:t>−2</w:t>
      </w:r>
      <w:r>
        <w:t xml:space="preserve"> </w:t>
      </w:r>
      <w:r>
        <w:t>, while the Zn||MnO</w:t>
      </w:r>
      <w:r>
        <w:rPr>
          <w:vertAlign w:val="subscript"/>
        </w:rPr>
        <w:t>2</w:t>
      </w:r>
      <w:r>
        <w:t>full cell delivers 97.3% capacity retention after 1600 cycles at 1 A g</w:t>
      </w:r>
      <w:r>
        <w:t xml:space="preserve"> </w:t>
      </w:r>
      <w:r>
        <w:t>−1</w:t>
      </w:r>
      <w:r>
        <w:t xml:space="preserve"> </w:t>
      </w:r>
      <w:r>
        <w:t>. This work pioneers a versatile paradigm for interfacial electric field regulation by dipole dynamics toward high‐performance aqueous metal‐based batteries.</w:t>
      </w:r>
    </w:p>
    <w:p>
      <w:pPr>
        <w:spacing w:before="120" w:after="120"/>
      </w:pPr>
      <w:r>
        <w:rPr>
          <w:sz w:val="18"/>
        </w:rPr>
        <w:t>——————————————————————————————————————————————————————————————————————</w:t>
      </w:r>
    </w:p>
    <w:p>
      <w:pPr>
        <w:spacing w:before="160" w:after="40" w:line="240" w:lineRule="auto"/>
      </w:pPr>
      <w:r>
        <w:rPr>
          <w:b/>
        </w:rPr>
        <w:t xml:space="preserve">[5] </w:t>
      </w:r>
      <w:hyperlink r:id="rId140">
        <w:r>
          <w:rPr>
            <w:color w:val="1155CC"/>
            <w:u w:val="single"/>
          </w:rPr>
          <w:t>用于稳定锂离子存储的表面活性剂氮桥MoS2/C异质结构</w:t>
        </w:r>
      </w:hyperlink>
    </w:p>
    <w:p>
      <w:pPr>
        <w:spacing w:before="0" w:after="80"/>
      </w:pPr>
      <w:r>
        <w:rPr>
          <w:i/>
          <w:sz w:val="20"/>
        </w:rPr>
        <w:t>EN: Surfactant-Derived Nitrogen-Bridged MoS2/C Heterostructures for Robust Lithium-Ion Storage</w:t>
      </w:r>
    </w:p>
    <w:p>
      <w:pPr>
        <w:spacing w:before="0" w:after="120"/>
      </w:pPr>
      <w:r>
        <w:rPr>
          <w:b/>
        </w:rPr>
        <w:t xml:space="preserve">Source: </w:t>
      </w:r>
      <w:r>
        <w:t>Nano-Micro Letters</w:t>
      </w:r>
      <w:r>
        <w:t xml:space="preserve">    </w:t>
      </w:r>
      <w:r>
        <w:rPr>
          <w:b/>
        </w:rPr>
        <w:t xml:space="preserve">Pub date: </w:t>
      </w:r>
      <w:r>
        <w:t>2026-08-23 00:00:00+00:00</w:t>
      </w:r>
      <w:r>
        <w:t xml:space="preserve">    </w:t>
      </w:r>
      <w:r>
        <w:rPr>
          <w:b/>
        </w:rPr>
        <w:t xml:space="preserve">DOI: </w:t>
      </w:r>
      <w:hyperlink r:id="rId141">
        <w:r>
          <w:rPr>
            <w:color w:val="1155CC"/>
            <w:u w:val="single"/>
          </w:rPr>
          <w:t>10.1007/s40820-026-02324-3</w:t>
        </w:r>
      </w:hyperlink>
    </w:p>
    <w:p>
      <w:pPr>
        <w:spacing w:before="0" w:after="120"/>
      </w:pPr>
      <w:r>
        <w:rPr>
          <w:b/>
        </w:rPr>
        <w:t xml:space="preserve">Notes: </w:t>
      </w:r>
      <w:r>
        <w:t>abstract_source=rss_description</w:t>
      </w:r>
    </w:p>
    <w:p>
      <w:pPr>
        <w:spacing w:before="0" w:after="80" w:lineRule="auto" w:line="276"/>
      </w:pPr>
      <w:r>
        <w:rPr>
          <w:b/>
        </w:rPr>
        <w:t xml:space="preserve">摘要（ZH）: </w:t>
      </w:r>
      <w:r>
        <w:t>结构稳定性、离子传输和电子传导性是用于锂离子存储的层状过渡金属二硫属化物/碳纳米复合材料（LTMD/C）的主要挑战。在此，为了应对这些挑战，提出了季铵表面活性剂介导的策略，以同时构建多孔MoS2结构并原位生成通过界面Mo-N桥与MoS2化学偶联的氮掺杂碳（NC）层。所得的 N 桥联 MoS2/C 异质结构（表示为 MoS2-N-C）表现出优异的结构鲁棒性、扩大的层间距和改进的电荷转移动力学。作为锂离子电池 (LIB) 的阳极，优化的 MoS2–N–C700 电极具有卓越的循环稳定性（在 0.5 A g−1 下循环 800 次后容量保持率约为 100%）和出色的倍率性能。此外，基于所制备的MoS2-N-C复合材料的锂离子超级电容器（LISC）实现了3500 W kg−1的超高功率密度，以及超过10,000次循环的优异循环稳定性。 LIB 和 LISC 的循环性能均超过了大多数先前报道的 MoS2/C 纳米复合材料和传统碳基阳极。这种表面活性剂衍生的界面桥结构设计为开发用于储能系统的坚固的 LTMD/C 异质结构电极提供了一个通用平台。亮点：1 季铵表面活性剂能够在 MoS2 和碳之间原位形成界面 Mo-N 桥，从而形成坚固且高导电的异质界面。2 扩大 MoS2 层间距和强界面</w:t>
      </w:r>
    </w:p>
    <w:p>
      <w:pPr>
        <w:spacing w:before="0" w:after="200" w:lineRule="auto" w:line="276"/>
      </w:pPr>
      <w:r>
        <w:rPr>
          <w:b/>
        </w:rPr>
        <w:t xml:space="preserve">Abstract (EN): </w:t>
      </w:r>
      <w:r>
        <w:t>Structural stability, ionic transport, and electronic conductivity are the major challenges of layered transition-metal dichalcogenide/carbon nanocomposites (LTMD/C) for lithium-ion storage. Herein, to address these challenges, a quaternary ammonium surfactant-mediated strategy is proposed to simultaneously construct porous MoS2 architectures and in situ generate nitrogen-doped carbon (NC) layers chemically coupled to MoS2 via interfacial Mo–N bridges. The resultant N-bridged MoS2/C heterostructures (denoted as MoS2–N–C) exhibit excellent structural robustness, expanded interlayer spacing, and improved charge-transfer kinetics. As an anode in lithium-ion batteries (LIBs), the optimized MoS2–N–C700 electrode delivers remarkable cycling stability (~ 100% capacity retention after 800 cycles at 0.5 A g−1) and excellent rate capability. Moreover, lithium-ion supercapacitors (LISCs) based on the as-prepared MoS2–N–C composite achieve an ultrahigh power density of 3500 W kg−1, and excellent cycling stability over 10,000 cycles. The cycling performance in both LIBs and LISCs surpasses that of most previously reported MoS2/C nanocomposites and conventional carbon-based anodes. This surfactant-derived interfacial bridging structure design offers a general platform for developing robust LTMD/C heterostructured electrodes for energy storage systems. Highlights:1 A quaternary ammonium surfactant enables in situ formation of interfacial Mo–N bridges between MoS2 and carbon, resulting in robust and highly conductive heterointerfaces.2 Expanded MoS2 interlayer spacing and strong interfacial electronic coupling accelerate Li+ transport and electron conduction.3 Remarkable cycling stability with ~ 100% capacity retention over 800 cycles at 0.5 A g−1 for lithium-ion batteries, and an ultrahigh power density of 3500 W kg−1 and stable cycling over 10,000 cycles for lithium-ion supercapacitors.</w:t>
      </w:r>
    </w:p>
    <w:p>
      <w:pPr>
        <w:spacing w:before="120" w:after="120"/>
      </w:pPr>
      <w:r>
        <w:rPr>
          <w:sz w:val="18"/>
        </w:rPr>
        <w:t>——————————————————————————————————————————————————————————————————————</w:t>
      </w:r>
    </w:p>
    <w:p>
      <w:pPr>
        <w:spacing w:before="160" w:after="40" w:line="240" w:lineRule="auto"/>
      </w:pPr>
      <w:r>
        <w:rPr>
          <w:b/>
        </w:rPr>
        <w:t xml:space="preserve">[6] </w:t>
      </w:r>
      <w:hyperlink r:id="rId142">
        <w:r>
          <w:rPr>
            <w:color w:val="1155CC"/>
            <w:u w:val="single"/>
          </w:rPr>
          <w:t>无阳极钠金属电池界面重构的阶段耦合视图</w:t>
        </w:r>
      </w:hyperlink>
    </w:p>
    <w:p>
      <w:pPr>
        <w:spacing w:before="0" w:after="80"/>
      </w:pPr>
      <w:r>
        <w:rPr>
          <w:i/>
          <w:sz w:val="20"/>
        </w:rPr>
        <w:t>EN: A Stage‐Coupled View of Interfacial Reconstruction in Anode‐Free Sodium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2026-08-23 18:08:04+00:00</w:t>
      </w:r>
      <w:r>
        <w:t xml:space="preserve">    </w:t>
      </w:r>
      <w:r>
        <w:rPr>
          <w:b/>
        </w:rPr>
        <w:t xml:space="preserve">DOI: </w:t>
      </w:r>
      <w:hyperlink r:id="rId143">
        <w:r>
          <w:rPr>
            <w:color w:val="1155CC"/>
            <w:u w:val="single"/>
          </w:rPr>
          <w:t>10.1002/anie.3647021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无阳极钠金属电池（AFSMB）去除了多余的金属阳极并增加了预计的电池级能量密度，但它们将可逆性置于瞬态负极界面上。在每个循环中，Na 沉积在异质集流体上并去除至高度耗尽状态。电池失效取决于是否可以在一系列短暂的界面状态中保持连续性，包括体配位、界面去溶剂化、异质成核、金属聚结、钠隔离和周期性固体电解质界面（SEI）更新。因此，AFSMB 可以更好地理解为动态重建的界面系统，其中界面进入过程中引入的不均匀性可以通过后续的电镀和剥离传播。本综述通过三个耦合阶段研究了 AFSMB：溶剂化控制的界面进入、电流收集器调节的 Na 重建以及由反应路径选择性和机械相干性控制的 SEI 更新。电流密度、剥离深度、压力、温度、钠库存和电池结构被视为决定局部界面增益在实际操作中是否持续存在的边界条件。通过将配位化学、金属连续性、相间更新和器件级约束联系起来，本综述为预测 AFSMB 设计提供了一个机制框架。</w:t>
      </w:r>
    </w:p>
    <w:p>
      <w:pPr>
        <w:spacing w:before="0" w:after="200" w:lineRule="auto" w:line="276"/>
      </w:pPr>
      <w:r>
        <w:rPr>
          <w:b/>
        </w:rPr>
        <w:t xml:space="preserve">Abstract (EN): </w:t>
      </w:r>
      <w:r>
        <w:t>Anode‐free sodium metal batteries (AFSMBs) remove the excess metal anode and increase projected cell‐level energy density, but they place reversibility on a transient negative‐electrode interface. In each cycle, Na is deposited on a foreign current collector and removed to a highly depleted state. Cell failure is governed by whether continuity can be preserved across a sequence of short‐lived interfacial states, including bulk coordination, interfacial desolvation, heterogeneous nucleation, metallic coalescence, Na isolation, and recurrent solid electrolyte interphase (SEI) renewal. AFSMBs are therefore better understood as dynamically reconstructed interfacial systems, where non‐uniformity introduced during interfacial entry can propagate through later plating and stripping. This review examines AFSMBs through three coupled stages: solvation‐controlled interfacial entry, current collector regulated Na reconstruction, and SEI renewal controlled by reaction–pathway selectivity and mechanical coherence. Current density, stripping depth, pressure, temperature, sodium inventory, and cell architecture are treated as boundary conditions that determine whether local interfacial gains persist under practical operation. By linking coordination chemistry, metallic continuity, interphase renewal, and device‐level constraints, this review provides a mechanistic framework for predictive AFSMB design.</w:t>
      </w:r>
    </w:p>
    <w:p>
      <w:pPr>
        <w:spacing w:before="120" w:after="120"/>
      </w:pPr>
      <w:r>
        <w:rPr>
          <w:sz w:val="18"/>
        </w:rPr>
        <w:t>——————————————————————————————————————————————————————————————————————</w:t>
      </w:r>
    </w:p>
    <w:p>
      <w:pPr>
        <w:spacing w:before="160" w:after="40" w:line="240" w:lineRule="auto"/>
      </w:pPr>
      <w:r>
        <w:rPr>
          <w:b/>
        </w:rPr>
        <w:t xml:space="preserve">[7] </w:t>
      </w:r>
      <w:hyperlink r:id="rId144">
        <w:r>
          <w:rPr>
            <w:color w:val="1155CC"/>
            <w:u w:val="single"/>
          </w:rPr>
          <w:t>二硫属化物电负性工程为高性能钙离子电池提供低氧化还原电位有机阳极</w:t>
        </w:r>
      </w:hyperlink>
    </w:p>
    <w:p>
      <w:pPr>
        <w:spacing w:before="0" w:after="80"/>
      </w:pPr>
      <w:r>
        <w:rPr>
          <w:i/>
          <w:sz w:val="20"/>
        </w:rPr>
        <w:t>EN: Dichalcogenide Electronegativity Engineering Enables Low‐Redox‐Potential Organic Anodes for High‐Performance Calcium‐Ion Batteries</w:t>
      </w:r>
    </w:p>
    <w:p>
      <w:pPr>
        <w:spacing w:before="0" w:after="120"/>
      </w:pPr>
      <w:r>
        <w:rPr>
          <w:b/>
        </w:rPr>
        <w:t xml:space="preserve">Source: </w:t>
      </w:r>
      <w:r>
        <w:t>Wiley: Angewandte Chemie International Edition: Table of Contents</w:t>
      </w:r>
      <w:r>
        <w:t xml:space="preserve">    </w:t>
      </w:r>
      <w:r>
        <w:rPr>
          <w:b/>
        </w:rPr>
        <w:t xml:space="preserve">Pub date: </w:t>
      </w:r>
      <w:r>
        <w:t>2026-08-24 03:59:08+00:00</w:t>
      </w:r>
      <w:r>
        <w:t xml:space="preserve">    </w:t>
      </w:r>
      <w:r>
        <w:rPr>
          <w:b/>
        </w:rPr>
        <w:t xml:space="preserve">DOI: </w:t>
      </w:r>
      <w:hyperlink r:id="rId145">
        <w:r>
          <w:rPr>
            <w:color w:val="1155CC"/>
            <w:u w:val="single"/>
          </w:rPr>
          <w:t>10.1002/anie.5837924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钙离子电池（CIB）的有机阳极通常依靠扩展的共轭结构来承载高密度氧化还原对以增强容量。然而，这种设计通常会降低前沿分子轨道能量，导致氧化还原电位过高（&gt; -0.6 V），从而损害电池电压。在这里，我们提出了一种二硫族化物电负性工程，通过引入一系列具有双硫化物、硒化物、碲化物基序的二苯基二硫族化合物（Ph-2S、Ph-2Se和Ph-2Te）作为高性能CIB阳极。沿二硫族化物键（S─S &gt; Se─Se &gt; Te─Te）电负性逐渐降低，最低未占据分子轨道能量从-2.80（Ph-2S）逐渐升高到-2.50（Ph-2Se）和-2.00 eV（Ph-2Te），氧化还原电位分别逐渐变为负值-0.76、-0.82和-0.84 V。此外，Ph-2Te 显示出最强的氧化还原活性，可启动四电子 Te 转化，利用率为 98%（相比之下，Ph-2Se 为 65%，Ph-2S 为 31%）。因此，Ph-2Te负极释放出最高容量257 mAh g</w:t>
      </w:r>
      <w:r>
        <w:t xml:space="preserve"> </w:t>
      </w:r>
      <w:r>
        <w:t>−1</w:t>
      </w:r>
      <w:r>
        <w:t xml:space="preserve"> </w:t>
      </w:r>
      <w:r>
        <w:t>，优于 Ph-2S（152 mAh g</w:t>
      </w:r>
      <w:r>
        <w:t xml:space="preserve"> </w:t>
      </w:r>
      <w:r>
        <w:t>−1</w:t>
      </w:r>
      <w:r>
        <w:t xml:space="preserve"> </w:t>
      </w:r>
      <w:r>
        <w:t>）和 Ph-2Se（223 mAh g</w:t>
      </w:r>
      <w:r>
        <w:t xml:space="preserve"> </w:t>
      </w:r>
      <w:r>
        <w:t>−1</w:t>
      </w:r>
      <w:r>
        <w:t xml:space="preserve"> </w:t>
      </w:r>
      <w:r>
        <w:t>）。值得注意的是，Ph-2Te 阳极使最先进的 CIB 具有高氧化还原电压（1.2 V）、活性材料对水平能量密度（68 Wh kg</w:t>
      </w:r>
      <w:r>
        <w:t xml:space="preserve"> </w:t>
      </w:r>
      <w:r>
        <w:t>−1</w:t>
      </w:r>
      <w:r>
        <w:t xml:space="preserve"> </w:t>
      </w:r>
      <w:r>
        <w:t>），使用寿命长（5000 次循环）。这项工作建立了二硫属化物工程</w:t>
      </w:r>
    </w:p>
    <w:p>
      <w:pPr>
        <w:spacing w:before="0" w:after="200" w:lineRule="auto" w:line="276"/>
      </w:pPr>
      <w:r>
        <w:rPr>
          <w:b/>
        </w:rPr>
        <w:t xml:space="preserve">Abstract (EN): </w:t>
      </w:r>
      <w:r>
        <w:t>Organic anodes for calcium‐ion batteries (CIBs) generally rely on extended conjugated structures to host high‐density redox couples for enhanced capacity. However, this design often lowers frontier molecular orbital energies, resulting in undesirably high redox potentials (&amp;gt; −0.6 V) that compromise cell voltages. Here we propose a dichalcogenide electronegativity engineering by introducing a family of diphenyl dichalcogen compounds (Ph‐2S, Ph‐2Se, and Ph‐2Te) featuring dual sulfide, selenide, telluride motifs, as high‐performance CIB anodes. The decreasing electronegativity along dichalcogenide bonds (S─S &amp;gt; Se─Se &amp;gt; Te─Te) progressively elevates the lowest unoccupied molecular orbital energy from −2.80 (Ph‐2S) to −2.50 (Ph‐2Se) and −2.00 eV (Ph‐2Te), shifting the redox potentials to increasingly negative values of −0.76, −0.82, and −0.84 V, respectively. Moreover, Ph‐2Te shows the strongest redox activity to start four‐electron Te‐conversion with 98% utilization (vs. 65% of Ph‐2Se and 31% of Ph‐2S). Consequently, Ph‐2Te anode liberates the highest capacity of 257 mAh g</w:t>
      </w:r>
      <w:r>
        <w:t xml:space="preserve"> </w:t>
      </w:r>
      <w:r>
        <w:t>−1</w:t>
      </w:r>
      <w:r>
        <w:t xml:space="preserve"> </w:t>
      </w:r>
      <w:r>
        <w:t>, outperforming Ph‐2S (152 mAh g</w:t>
      </w:r>
      <w:r>
        <w:t xml:space="preserve"> </w:t>
      </w:r>
      <w:r>
        <w:t>−1</w:t>
      </w:r>
      <w:r>
        <w:t xml:space="preserve"> </w:t>
      </w:r>
      <w:r>
        <w:t>) and Ph‐2Se (223 mAh g</w:t>
      </w:r>
      <w:r>
        <w:t xml:space="preserve"> </w:t>
      </w:r>
      <w:r>
        <w:t>−1</w:t>
      </w:r>
      <w:r>
        <w:t xml:space="preserve"> </w:t>
      </w:r>
      <w:r>
        <w:t>). Notably, Ph‐2Te anode enables state‐of‐the‐art CIBs with a high redox voltage (1.2 V), an active‐material‐pair level energy density (68 Wh kg</w:t>
      </w:r>
      <w:r>
        <w:t xml:space="preserve"> </w:t>
      </w:r>
      <w:r>
        <w:t>−1</w:t>
      </w:r>
      <w:r>
        <w:t xml:space="preserve"> </w:t>
      </w:r>
      <w:r>
        <w:t>), and a long lifespan (5000 cycles). This work establishes dichalcogenide engineering as a promising strategy toward low‐redox‐potential organic anodes for advanced CIBs.</w:t>
      </w:r>
    </w:p>
    <w:p>
      <w:pPr>
        <w:spacing w:before="120" w:after="120"/>
      </w:pPr>
      <w:r>
        <w:rPr>
          <w:sz w:val="18"/>
        </w:rPr>
        <w:t>——————————————————————————————————————————————————————————————————————</w:t>
      </w:r>
    </w:p>
    <w:p>
      <w:pPr>
        <w:spacing w:before="160" w:after="40" w:line="240" w:lineRule="auto"/>
      </w:pPr>
      <w:r>
        <w:rPr>
          <w:b/>
        </w:rPr>
        <w:t xml:space="preserve">[8] </w:t>
      </w:r>
      <w:hyperlink r:id="rId146">
        <w:r>
          <w:rPr>
            <w:color w:val="1155CC"/>
            <w:u w:val="single"/>
          </w:rPr>
          <w:t>用于无枝晶锌阳极的具有受控液态金属释放的复合水凝胶</w:t>
        </w:r>
      </w:hyperlink>
    </w:p>
    <w:p>
      <w:pPr>
        <w:spacing w:before="0" w:after="80"/>
      </w:pPr>
      <w:r>
        <w:rPr>
          <w:i/>
          <w:sz w:val="20"/>
        </w:rPr>
        <w:t>EN: Composite Hydrogels With Controlled Liquid Metal Release for Dendrite‐Free Zinc Anodes</w:t>
      </w:r>
    </w:p>
    <w:p>
      <w:pPr>
        <w:spacing w:before="0" w:after="120"/>
      </w:pPr>
      <w:r>
        <w:rPr>
          <w:b/>
        </w:rPr>
        <w:t xml:space="preserve">Source: </w:t>
      </w:r>
      <w:r>
        <w:t>Wiley: Advanced Energy Materials: Table of Contents</w:t>
      </w:r>
      <w:r>
        <w:t xml:space="preserve">    </w:t>
      </w:r>
      <w:r>
        <w:rPr>
          <w:b/>
        </w:rPr>
        <w:t xml:space="preserve">Pub date: </w:t>
      </w:r>
      <w:r>
        <w:t>2026-08-24 08:22:56+00:00</w:t>
      </w:r>
      <w:r>
        <w:t xml:space="preserve">    </w:t>
      </w:r>
      <w:r>
        <w:rPr>
          <w:b/>
        </w:rPr>
        <w:t xml:space="preserve">DOI: </w:t>
      </w:r>
      <w:hyperlink r:id="rId147">
        <w:r>
          <w:rPr>
            <w:color w:val="1155CC"/>
            <w:u w:val="single"/>
          </w:rPr>
          <w:t>10.1002/aenm.71504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可充电水性锌离子电池为大规模储能提供了一种经济高效且安全的解决方案。然而，不受控制的锌枝晶生长、寄生析氢和较差的镀锌/剥离可逆性仍然限制了它们的实际部署。在此，设计了一种含 Ga-In 液态金属的水凝胶电解质来稳定锌阳极。液态金属的受控释放调节锌/电解质界面环境，促进锌沿（103）面优先沉积，减轻结构脆化，从而提高长期界面稳定性。同时，水凝胶内释放的液态金属促进锌枝晶的溶解，降低内部短路的风险。因此，使用设计的水凝胶电解质的 Zn 对称电池可在 1 mA cm 电流下稳定循环 6000 小时</w:t>
      </w:r>
      <w:r>
        <w:t xml:space="preserve"> </w:t>
      </w:r>
      <w:r>
        <w:t>−2</w:t>
      </w:r>
      <w:r>
        <w:t xml:space="preserve"> </w:t>
      </w:r>
      <w:r>
        <w:t>和 1 毫安时厘米</w:t>
      </w:r>
      <w:r>
        <w:t xml:space="preserve"> </w:t>
      </w:r>
      <w:r>
        <w:t>−2</w:t>
      </w:r>
      <w:r>
        <w:t xml:space="preserve"> </w:t>
      </w:r>
      <w:r>
        <w:t>。此外，锌|| NH</w:t>
      </w:r>
      <w:r>
        <w:rPr>
          <w:vertAlign w:val="subscript"/>
        </w:rPr>
        <w:t>4</w:t>
      </w:r>
      <w:r>
        <w:t>+</w:t>
      </w:r>
      <w:r>
        <w:t xml:space="preserve"> </w:t>
      </w:r>
      <w:r>
        <w:t>‐V</w:t>
      </w:r>
      <w:r>
        <w:rPr>
          <w:vertAlign w:val="subscript"/>
        </w:rPr>
        <w:t>2</w:t>
      </w:r>
      <w:r>
        <w:t>氧</w:t>
      </w:r>
      <w:r>
        <w:rPr>
          <w:vertAlign w:val="subscript"/>
        </w:rPr>
        <w:t>5</w:t>
      </w:r>
      <w:r>
        <w:t>全电池在 200 mA g 电流下稳定运行超过 1750 小时</w:t>
      </w:r>
      <w:r>
        <w:t xml:space="preserve"> </w:t>
      </w:r>
      <w:r>
        <w:t>−1</w:t>
      </w:r>
      <w:r>
        <w:t xml:space="preserve"> </w:t>
      </w:r>
      <w:r>
        <w:t>容量保持率为 85%。这些结果表明，具有可控液态金属释放的水凝胶电解质为稳定水性锌离子电池中的锌阳极提供了有效的策略。</w:t>
      </w:r>
    </w:p>
    <w:p>
      <w:pPr>
        <w:spacing w:before="0" w:after="200" w:lineRule="auto" w:line="276"/>
      </w:pPr>
      <w:r>
        <w:rPr>
          <w:b/>
        </w:rPr>
        <w:t xml:space="preserve">Abstract (EN): </w:t>
      </w:r>
      <w:r>
        <w:t>Rechargeable aqueous zinc‐ion batteries offer a cost‐effective and safe solution for large‐scale energy storage. However, uncontrolled Zn dendrite growth, parasitic hydrogen evolution, and poor Zn plating/stripping reversibility still limit their practical deployment. Herein, a Ga‐In liquid metal‐containing hydrogel electrolyte is designed to stabilize the Zn anode. The controlled release of liquid metal regulates the Zn/electrolyte interfacial environment, promotes preferential Zn deposition along the (103) plane, and alleviates structural embrittlement, thereby improving long‐term interfacial stability. Meanwhile, liquid metal released within the hydrogel facilitates the dissolution of Zn dendrites, reducing the risk of internal short circuits. As a result, Zn symmetric cells using the designed hydrogel electrolyte deliver stable cycling for 6000 h at 1 mA cm</w:t>
      </w:r>
      <w:r>
        <w:t xml:space="preserve"> </w:t>
      </w:r>
      <w:r>
        <w:t>−2</w:t>
      </w:r>
      <w:r>
        <w:t xml:space="preserve"> </w:t>
      </w:r>
      <w:r>
        <w:t>and 1 mAh cm</w:t>
      </w:r>
      <w:r>
        <w:t xml:space="preserve"> </w:t>
      </w:r>
      <w:r>
        <w:t>−2</w:t>
      </w:r>
      <w:r>
        <w:t xml:space="preserve"> </w:t>
      </w:r>
      <w:r>
        <w:t>. Moreover, Zn || NH</w:t>
      </w:r>
      <w:r>
        <w:rPr>
          <w:vertAlign w:val="subscript"/>
        </w:rPr>
        <w:t>4</w:t>
      </w:r>
      <w:r>
        <w:t>+</w:t>
      </w:r>
      <w:r>
        <w:t xml:space="preserve"> </w:t>
      </w:r>
      <w:r>
        <w:t>‐V</w:t>
      </w:r>
      <w:r>
        <w:rPr>
          <w:vertAlign w:val="subscript"/>
        </w:rPr>
        <w:t>2</w:t>
      </w:r>
      <w:r>
        <w:t>O</w:t>
      </w:r>
      <w:r>
        <w:rPr>
          <w:vertAlign w:val="subscript"/>
        </w:rPr>
        <w:t>5</w:t>
      </w:r>
      <w:r>
        <w:t>full cells operate steadily for over 1750 h at 200 mA g</w:t>
      </w:r>
      <w:r>
        <w:t xml:space="preserve"> </w:t>
      </w:r>
      <w:r>
        <w:t>−1</w:t>
      </w:r>
      <w:r>
        <w:t xml:space="preserve"> </w:t>
      </w:r>
      <w:r>
        <w:t>with 85% capacity retention. These results demonstrate that a hydrogel electrolyte with controllable liquid metal release provides an effective strategy for stabilizing Zn anodes in aqueous zinc‐ion batteries.</w:t>
      </w:r>
    </w:p>
    <w:p>
      <w:pPr>
        <w:spacing w:before="120" w:after="120"/>
      </w:pPr>
      <w:r>
        <w:rPr>
          <w:sz w:val="18"/>
        </w:rPr>
        <w:t>——————————————————————————————————————————————————————————————————————</w:t>
      </w:r>
    </w:p>
    <w:p>
      <w:pPr>
        <w:spacing w:before="160" w:after="40" w:line="240" w:lineRule="auto"/>
      </w:pPr>
      <w:r>
        <w:rPr>
          <w:b/>
        </w:rPr>
        <w:t xml:space="preserve">[9] </w:t>
      </w:r>
      <w:hyperlink r:id="rId148">
        <w:r>
          <w:rPr>
            <w:color w:val="1155CC"/>
            <w:u w:val="single"/>
          </w:rPr>
          <w:t>Operando 磁力测量解码固体电解质界面中的空间电荷存储</w:t>
        </w:r>
      </w:hyperlink>
    </w:p>
    <w:p>
      <w:pPr>
        <w:spacing w:before="0" w:after="80"/>
      </w:pPr>
      <w:r>
        <w:rPr>
          <w:i/>
          <w:sz w:val="20"/>
        </w:rPr>
        <w:t>EN: Operando Magnetometry Decodes Space‐Charge Storage in the Solid‐Electrolyte Interphase</w:t>
      </w:r>
    </w:p>
    <w:p>
      <w:pPr>
        <w:spacing w:before="0" w:after="120"/>
      </w:pPr>
      <w:r>
        <w:rPr>
          <w:b/>
        </w:rPr>
        <w:t xml:space="preserve">Source: </w:t>
      </w:r>
      <w:r>
        <w:t>Wiley: Advanced Materials: Table of Contents</w:t>
      </w:r>
      <w:r>
        <w:t xml:space="preserve">    </w:t>
      </w:r>
      <w:r>
        <w:rPr>
          <w:b/>
        </w:rPr>
        <w:t xml:space="preserve">Pub date: </w:t>
      </w:r>
      <w:r>
        <w:t>2026-08-24 11:34:21+00:00</w:t>
      </w:r>
      <w:r>
        <w:t xml:space="preserve">    </w:t>
      </w:r>
      <w:r>
        <w:rPr>
          <w:b/>
        </w:rPr>
        <w:t xml:space="preserve">DOI: </w:t>
      </w:r>
      <w:hyperlink r:id="rId149">
        <w:r>
          <w:rPr>
            <w:color w:val="1155CC"/>
            <w:u w:val="single"/>
          </w:rPr>
          <w:t>10.1002/adma.74811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固体电解质界面（SEI）对于锂离子电池（LIB）中的离子传输和电极稳定性至关重要，但在循环过程中电荷如何在SEI/电极界面上动态分布和迁移仍然难以捉摸。在这里，我们将操作磁力测量与 Fe 结合起来</w:t>
      </w:r>
      <w:r>
        <w:rPr>
          <w:vertAlign w:val="subscript"/>
        </w:rPr>
        <w:t>3</w:t>
      </w:r>
      <w:r>
        <w:t>C 磁性探针可跟踪电化学界面上的实时电荷迁移。通过进一步将操作常压 X 射线光电子能谱 (AP-XPS) 与多尺度结构和化学表征相结合，我们提供了支持电极界面上以 SEI 为中心的空间电荷存储的收敛证据。该界面空间电荷层额外提供约 236 mAh g</w:t>
      </w:r>
      <w:r>
        <w:t xml:space="preserve"> </w:t>
      </w:r>
      <w:r>
        <w:t>−1</w:t>
      </w:r>
      <w:r>
        <w:t xml:space="preserve"> </w:t>
      </w:r>
      <w:r>
        <w:t>在 0.01–1.4 V 范围内。富含无机物的 SEI 形成有效的离子通道，而 Fe</w:t>
      </w:r>
      <w:r>
        <w:rPr>
          <w:vertAlign w:val="subscript"/>
        </w:rPr>
        <w:t>3</w:t>
      </w:r>
      <w:r>
        <w:t>C可容纳自旋极化电子，从而能够在界面上实现解耦离子和电子存储。此外，与 Fe 组装的锂离子混合电容器</w:t>
      </w:r>
      <w:r>
        <w:rPr>
          <w:vertAlign w:val="subscript"/>
        </w:rPr>
        <w:t>3</w:t>
      </w:r>
      <w:r>
        <w:t>C NP@C 电极的能量密度为 98.9 Wh kg</w:t>
      </w:r>
      <w:r>
        <w:t xml:space="preserve"> </w:t>
      </w:r>
      <w:r>
        <w:t>−1</w:t>
      </w:r>
      <w:r>
        <w:t xml:space="preserve"> </w:t>
      </w:r>
      <w:r>
        <w:t>功率密度为 20,000 W kg</w:t>
      </w:r>
      <w:r>
        <w:t xml:space="preserve"> </w:t>
      </w:r>
      <w:r>
        <w:t>−1</w:t>
      </w:r>
      <w:r>
        <w:t xml:space="preserve"> </w:t>
      </w:r>
      <w:r>
        <w:t>以及持续的长期稳定性。这些发现扩展了 SEI 的功能作用，并表明操作磁力测量可以作为 Fe 中磁耦合界面过程的灵敏实时探针。</w:t>
      </w:r>
    </w:p>
    <w:p>
      <w:pPr>
        <w:spacing w:before="0" w:after="200" w:lineRule="auto" w:line="276"/>
      </w:pPr>
      <w:r>
        <w:rPr>
          <w:b/>
        </w:rPr>
        <w:t xml:space="preserve">Abstract (EN): </w:t>
      </w:r>
      <w:r>
        <w:t>The solid‐electrolyte interphase (SEI) is central to ion transport and electrode stability in lithium‐ion batteries (LIBs), yet how charges dynamically distribute and migrate across the SEI/electrode interface during cycling remains elusive. Here, we couple operando magnetometry with an Fe</w:t>
      </w:r>
      <w:r>
        <w:rPr>
          <w:vertAlign w:val="subscript"/>
        </w:rPr>
        <w:t>3</w:t>
      </w:r>
      <w:r>
        <w:t>C magnetic probe to track real‑time charge migration across this electrochemical interface. By further integrating operando ambient‐pressure x‐ray photoelectron spectroscopy (AP‐XPS) with multiscale structural and chemical characterizations, we provide converging evidence that supports SEI‐centered space‐charge storage at the electrode interface. This interfacial space‐charge layer delivers an additional ≈236 mAh g</w:t>
      </w:r>
      <w:r>
        <w:t xml:space="preserve"> </w:t>
      </w:r>
      <w:r>
        <w:t>−1</w:t>
      </w:r>
      <w:r>
        <w:t xml:space="preserve"> </w:t>
      </w:r>
      <w:r>
        <w:t>within 0.01–1.4 V. The inorganic‐rich SEI forms efficient ionic pathways, whereas Fe</w:t>
      </w:r>
      <w:r>
        <w:rPr>
          <w:vertAlign w:val="subscript"/>
        </w:rPr>
        <w:t>3</w:t>
      </w:r>
      <w:r>
        <w:t>C accommodates spin‑polarized electrons, enabling decoupled ionic and electronic storage across the interface. Additionally, the lithium‐ion hybrid capacitors assembled with the Fe</w:t>
      </w:r>
      <w:r>
        <w:rPr>
          <w:vertAlign w:val="subscript"/>
        </w:rPr>
        <w:t>3</w:t>
      </w:r>
      <w:r>
        <w:t>C NP@C electrode deliver an energy density of 98.9 Wh kg</w:t>
      </w:r>
      <w:r>
        <w:t xml:space="preserve"> </w:t>
      </w:r>
      <w:r>
        <w:t>−1</w:t>
      </w:r>
      <w:r>
        <w:t xml:space="preserve"> </w:t>
      </w:r>
      <w:r>
        <w:t>at a power density of 20,000 W kg</w:t>
      </w:r>
      <w:r>
        <w:t xml:space="preserve"> </w:t>
      </w:r>
      <w:r>
        <w:t>−1</w:t>
      </w:r>
      <w:r>
        <w:t xml:space="preserve"> </w:t>
      </w:r>
      <w:r>
        <w:t>together with sustained long‐term stability. These findings expand the functional role of the SEI and show that operando magnetometry can serve as a sensitive real‐time probe of magnetically coupled interfacial processes in the Fe</w:t>
      </w:r>
      <w:r>
        <w:rPr>
          <w:vertAlign w:val="subscript"/>
        </w:rPr>
        <w:t>3</w:t>
      </w:r>
      <w:r>
        <w:t>C‐based and related magnetic systems.</w:t>
      </w:r>
    </w:p>
    <w:p>
      <w:pPr>
        <w:spacing w:before="120" w:after="120"/>
      </w:pPr>
      <w:r>
        <w:rPr>
          <w:sz w:val="18"/>
        </w:rPr>
        <w:t>——————————————————————————————————————————————————————————————————————</w:t>
      </w:r>
    </w:p>
    <w:p>
      <w:pPr>
        <w:spacing w:before="160" w:after="40" w:line="240" w:lineRule="auto"/>
      </w:pPr>
      <w:r>
        <w:rPr>
          <w:b/>
        </w:rPr>
        <w:t xml:space="preserve">[10] </w:t>
      </w:r>
      <w:hyperlink r:id="rId150">
        <w:r>
          <w:rPr>
            <w:color w:val="1155CC"/>
            <w:u w:val="single"/>
          </w:rPr>
          <w:t>顺序引导衍生的锌阳极定制界面配置，具有深度可逆性和多功能性</w:t>
        </w:r>
      </w:hyperlink>
    </w:p>
    <w:p>
      <w:pPr>
        <w:spacing w:before="0" w:after="80"/>
      </w:pPr>
      <w:r>
        <w:rPr>
          <w:i/>
          <w:sz w:val="20"/>
        </w:rPr>
        <w:t>EN: Sequential guidance-derived custom interphase configuration for zinc anodes with deep reversibility and versatility</w:t>
      </w:r>
    </w:p>
    <w:p>
      <w:pPr>
        <w:spacing w:before="0" w:after="120"/>
      </w:pPr>
      <w:r>
        <w:rPr>
          <w:b/>
        </w:rPr>
        <w:t xml:space="preserve">Source: </w:t>
      </w:r>
      <w:r>
        <w:t>Matter</w:t>
      </w:r>
      <w:r>
        <w:t xml:space="preserve">    </w:t>
      </w:r>
      <w:r>
        <w:rPr>
          <w:b/>
        </w:rPr>
        <w:t xml:space="preserve">Pub date: </w:t>
      </w:r>
      <w:r>
        <w:t>2026-08-25 00:00:00+00:00</w:t>
      </w:r>
      <w:r>
        <w:t xml:space="preserve">    </w:t>
      </w:r>
      <w:r>
        <w:rPr>
          <w:b/>
        </w:rPr>
        <w:t xml:space="preserve">DOI: </w:t>
      </w:r>
      <w:hyperlink r:id="rId151">
        <w:r>
          <w:rPr>
            <w:color w:val="1155CC"/>
            <w:u w:val="single"/>
          </w:rPr>
          <w:t>10.1016/j.matt.2026.102973</w:t>
        </w:r>
      </w:hyperlink>
    </w:p>
    <w:p>
      <w:pPr>
        <w:spacing w:before="0" w:after="120"/>
      </w:pPr>
      <w:r>
        <w:rPr>
          <w:b/>
        </w:rPr>
        <w:t xml:space="preserve">Notes: </w:t>
      </w:r>
      <w:r>
        <w:t>abstract_source=rss_cell</w:t>
      </w:r>
    </w:p>
    <w:p>
      <w:pPr>
        <w:spacing w:before="0" w:after="80" w:lineRule="auto" w:line="276"/>
      </w:pPr>
      <w:r>
        <w:rPr>
          <w:b/>
        </w:rPr>
        <w:t xml:space="preserve">摘要（ZH）: </w:t>
      </w:r>
      <w:r>
        <w:t>不受控制的锌枝晶和副反应阻碍了锌电池的实际部署。我们设计了一种顺序原位形成的层状固体电解质界面（SEI），以稳定具有深度可逆性和多功能性的锌金属。该工作建立了系统的研究框架，横向探讨SEI的结构与绩效关系，纵向深入分析其形成机制和底层原理。</w:t>
      </w:r>
    </w:p>
    <w:p>
      <w:pPr>
        <w:spacing w:before="0" w:after="200" w:lineRule="auto" w:line="276"/>
      </w:pPr>
      <w:r>
        <w:rPr>
          <w:b/>
        </w:rPr>
        <w:t xml:space="preserve">Abstract (EN): </w:t>
      </w:r>
      <w:r>
        <w:t>Uncontrolled zinc dendrites and side reactions block practical zinc battery deployment. We design a sequentially in situ-formed layered solid electrolyte interphase (SEI) to stabilize zinc metal with deep reversibility and versatility. This work establishes a systematic research framework, exploring the structure-performance relationship of SEIs horizontally and deeply analyzing their formation mechanisms and underlying principles vertically.</w:t>
      </w:r>
    </w:p>
    <w:p>
      <w:pPr>
        <w:spacing w:before="120" w:after="120"/>
      </w:pPr>
      <w:r>
        <w:rPr>
          <w:sz w:val="18"/>
        </w:rPr>
        <w:t>——————————————————————————————————————————————————————————————————————</w:t>
      </w:r>
    </w:p>
    <w:p>
      <w:pPr>
        <w:spacing w:before="160" w:after="40" w:line="240" w:lineRule="auto"/>
      </w:pPr>
      <w:r>
        <w:rPr>
          <w:b/>
        </w:rPr>
        <w:t xml:space="preserve">[11] </w:t>
      </w:r>
      <w:hyperlink r:id="rId107">
        <w:r>
          <w:rPr>
            <w:color w:val="1155CC"/>
            <w:u w:val="single"/>
          </w:rPr>
          <w:t>石墨炔基异核双原子催化剂可实现高能量密度锂硫电池</w:t>
        </w:r>
      </w:hyperlink>
    </w:p>
    <w:p>
      <w:pPr>
        <w:spacing w:before="0" w:after="80"/>
      </w:pPr>
      <w:r>
        <w:rPr>
          <w:i/>
          <w:sz w:val="20"/>
        </w:rPr>
        <w:t>EN: Graphdiyne‐Based Heteronuclear Dual‐Atom Catalysts Enable High‐Energy‐Density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2026-08-25 04:23:45+00:00</w:t>
      </w:r>
      <w:r>
        <w:t xml:space="preserve">    </w:t>
      </w:r>
      <w:r>
        <w:rPr>
          <w:b/>
        </w:rPr>
        <w:t xml:space="preserve">DOI: </w:t>
      </w:r>
      <w:hyperlink r:id="rId108">
        <w:r>
          <w:rPr>
            <w:color w:val="1155CC"/>
            <w:u w:val="single"/>
          </w:rPr>
          <w:t>10.1002/anie.3002971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锂硫（Li-S）电池的实际应用受到多硫化锂（LiPS）穿梭、硫（S）氧化还原动力学缓慢和锂枝晶生长的阻碍。在这里，我们报告了锚定在石墨二炔（GDY）（Co-Pt DAs/GDY）上的异核Co-Pt双原子催化剂（DAC），以提高S氧化还原转化动力学并促进均匀的Li沉积，从而实现高能量密度的Li-S电池。之间独特的电子耦合</w:t>
      </w:r>
      <w:r>
        <w:t xml:space="preserve"> </w:t>
      </w:r>
      <w:r>
        <w:t>sp</w:t>
      </w:r>
      <w:r>
        <w:t xml:space="preserve"> </w:t>
      </w:r>
      <w:r>
        <w:t>‐GDY 和 Co-Pt 双原子的杂化碳引发</w:t>
      </w:r>
      <w:r>
        <w:t xml:space="preserve"> </w:t>
      </w:r>
      <w:r>
        <w:t>p</w:t>
      </w:r>
      <w:r>
        <w:t xml:space="preserve"> </w:t>
      </w:r>
      <w:r>
        <w:t>‐</w:t>
      </w:r>
      <w:r>
        <w:t xml:space="preserve"> </w:t>
      </w:r>
      <w:r>
        <w:t>d</w:t>
      </w:r>
      <w:r>
        <w:t xml:space="preserve"> </w:t>
      </w:r>
      <w:r>
        <w:t>‐</w:t>
      </w:r>
      <w:r>
        <w:t xml:space="preserve"> </w:t>
      </w:r>
      <w:r>
        <w:t>d</w:t>
      </w:r>
      <w:r>
        <w:t xml:space="preserve"> </w:t>
      </w:r>
      <w:r>
        <w:t>轨道共振。这种共振优化了界面电子配置，以促进强</w:t>
      </w:r>
      <w:r>
        <w:t xml:space="preserve"> </w:t>
      </w:r>
      <w:r>
        <w:t>d</w:t>
      </w:r>
      <w:r>
        <w:t xml:space="preserve"> </w:t>
      </w:r>
      <w:r>
        <w:t>‐</w:t>
      </w:r>
      <w:r>
        <w:t xml:space="preserve"> </w:t>
      </w:r>
      <w:r>
        <w:t>p</w:t>
      </w:r>
      <w:r>
        <w:t xml:space="preserve"> </w:t>
      </w:r>
      <w:r>
        <w:t>与LiPSs的轨道杂化，赋予双原子位点对连续S氧化还原反应的位点隔离氧化还原互补催化行为。同时，相邻的 Pt 原子将 Co 位点调整为高自旋状态，进一步增强了它们的吸附和催化能力。受益于这些特性，S 正极的氧化还原动力学和电化学性能显着增强，S@Co-Pt DAs/GDY 正极具有 21.3 mA h cm 的卓越面积容量</w:t>
      </w:r>
      <w:r>
        <w:t xml:space="preserve"> </w:t>
      </w:r>
      <w:r>
        <w:t>−2</w:t>
      </w:r>
      <w:r>
        <w:t xml:space="preserve"> </w:t>
      </w:r>
      <w:r>
        <w:t>以及在实际条件下出色的循环稳定性。此外，Co-Pt DAs/GDY 表现出很强的锂离子亲和力，并提供双原子锂成核</w:t>
      </w:r>
    </w:p>
    <w:p>
      <w:pPr>
        <w:spacing w:before="0" w:after="200" w:lineRule="auto" w:line="276"/>
      </w:pPr>
      <w:r>
        <w:rPr>
          <w:b/>
        </w:rPr>
        <w:t xml:space="preserve">Abstract (EN): </w:t>
      </w:r>
      <w:r>
        <w:t>The practical application of lithium–sulfur (Li–S) batteries are hindered by lithium (Li) polysulfides (LiPSs) shuttling, sluggish sulfur (S) redox kinetics, and Li dendrite growth. Here, we report heteronuclear Co‐Pt dual‐atom catalysts (DACs) anchored on graphdiyne (GDY) (Co‐Pt DAs/GDY) to boost S redox conversion kinetics and promote uniform Li deposition to enable high‐energy‐density Li–S batteries. The unique electronic coupling between</w:t>
      </w:r>
      <w:r>
        <w:t xml:space="preserve"> </w:t>
      </w:r>
      <w:r>
        <w:t>sp</w:t>
      </w:r>
      <w:r>
        <w:t xml:space="preserve"> </w:t>
      </w:r>
      <w:r>
        <w:t>‐hybridized carbon of GDY and Co‐Pt dual atoms triggers a</w:t>
      </w:r>
      <w:r>
        <w:t xml:space="preserve"> </w:t>
      </w:r>
      <w:r>
        <w:t>p</w:t>
      </w:r>
      <w:r>
        <w:t xml:space="preserve"> </w:t>
      </w:r>
      <w:r>
        <w:t>‐</w:t>
      </w:r>
      <w:r>
        <w:t xml:space="preserve"> </w:t>
      </w:r>
      <w:r>
        <w:t>d</w:t>
      </w:r>
      <w:r>
        <w:t xml:space="preserve"> </w:t>
      </w:r>
      <w:r>
        <w:t>‐</w:t>
      </w:r>
      <w:r>
        <w:t xml:space="preserve"> </w:t>
      </w:r>
      <w:r>
        <w:t>d</w:t>
      </w:r>
      <w:r>
        <w:t xml:space="preserve"> </w:t>
      </w:r>
      <w:r>
        <w:t>orbital resonance. This resonance optimizes the interfacial electronic configuration to promote strong</w:t>
      </w:r>
      <w:r>
        <w:t xml:space="preserve"> </w:t>
      </w:r>
      <w:r>
        <w:t>d</w:t>
      </w:r>
      <w:r>
        <w:t xml:space="preserve"> </w:t>
      </w:r>
      <w:r>
        <w:t>‐</w:t>
      </w:r>
      <w:r>
        <w:t xml:space="preserve"> </w:t>
      </w:r>
      <w:r>
        <w:t>p</w:t>
      </w:r>
      <w:r>
        <w:t xml:space="preserve"> </w:t>
      </w:r>
      <w:r>
        <w:t>orbital hybridization with LiPSs, endowing dual‐atom sites with site‑isolated redox‑complementary catalytic behavior toward sequential S redox reactions. Meanwhile, adjacent Pt atoms tailor Co sites to a high‐spin state, further strengthening their adsorption and catalytic capabilities. Benefiting from these features, the redox kinetics and electrochemical performance of S cathodes are significantly enhanced, S@Co‐Pt DAs/GDY cathodes deliver a remarkable areal capacity of 21.3 mA h cm</w:t>
      </w:r>
      <w:r>
        <w:t xml:space="preserve"> </w:t>
      </w:r>
      <w:r>
        <w:t>−2</w:t>
      </w:r>
      <w:r>
        <w:t xml:space="preserve"> </w:t>
      </w:r>
      <w:r>
        <w:t>and an excellent cycling stability under realistic conditions. Moreover, Co‐Pt DAs/GDY exhibits strong Li‐ion affinity and offers dual‐atom Li nucleation sites, enabling stable cycling of Li@Co‐Pt DAs/GDY anodes for more than 9200 h. Assembled Ah‐level Li–S pouch cells achieve a high‐energy‐density of 502 Wh kg</w:t>
      </w:r>
      <w:r>
        <w:t xml:space="preserve"> </w:t>
      </w:r>
      <w:r>
        <w:t>−1</w:t>
      </w:r>
      <w:r>
        <w:t xml:space="preserve"> </w:t>
      </w:r>
      <w:r>
        <w:t>(based on the total cell mass).</w:t>
      </w:r>
    </w:p>
    <w:p>
      <w:pPr>
        <w:spacing w:before="120" w:after="120"/>
      </w:pPr>
      <w:r>
        <w:rPr>
          <w:sz w:val="18"/>
        </w:rPr>
        <w:t>——————————————————————————————————————————————————————————————————————</w:t>
      </w:r>
    </w:p>
    <w:p>
      <w:pPr>
        <w:spacing w:before="160" w:after="40" w:line="240" w:lineRule="auto"/>
      </w:pPr>
      <w:r>
        <w:rPr>
          <w:b/>
        </w:rPr>
        <w:t xml:space="preserve">[12] </w:t>
      </w:r>
      <w:hyperlink r:id="rId113">
        <w:r>
          <w:rPr>
            <w:color w:val="1155CC"/>
            <w:u w:val="single"/>
          </w:rPr>
          <w:t>实验室之外的水性锌离子电池的挑战和设计策略</w:t>
        </w:r>
      </w:hyperlink>
    </w:p>
    <w:p>
      <w:pPr>
        <w:spacing w:before="0" w:after="80"/>
      </w:pPr>
      <w:r>
        <w:rPr>
          <w:i/>
          <w:sz w:val="20"/>
        </w:rPr>
        <w:t>EN: Challenges and Design Strategies Toward Aqueous Zinc‐Ion Batteries Beyond Laboratory</w:t>
      </w:r>
    </w:p>
    <w:p>
      <w:pPr>
        <w:spacing w:before="0" w:after="120"/>
      </w:pPr>
      <w:r>
        <w:rPr>
          <w:b/>
        </w:rPr>
        <w:t xml:space="preserve">Source: </w:t>
      </w:r>
      <w:r>
        <w:t>Wiley: Advanced Energy Materials: Table of Contents</w:t>
      </w:r>
      <w:r>
        <w:t xml:space="preserve">    </w:t>
      </w:r>
      <w:r>
        <w:rPr>
          <w:b/>
        </w:rPr>
        <w:t xml:space="preserve">Pub date: </w:t>
      </w:r>
      <w:r>
        <w:t>2026-08-25 08:02:56+00:00</w:t>
      </w:r>
      <w:r>
        <w:t xml:space="preserve">    </w:t>
      </w:r>
      <w:r>
        <w:rPr>
          <w:b/>
        </w:rPr>
        <w:t xml:space="preserve">DOI: </w:t>
      </w:r>
      <w:hyperlink r:id="rId114">
        <w:r>
          <w:rPr>
            <w:color w:val="1155CC"/>
            <w:u w:val="single"/>
          </w:rPr>
          <w:t>10.1002/aenm.71454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ZIB）因其高安全性、成本效益和环境友好性而被广泛认为是下一代大规模储能最有前途的候选材料之一。尽管最近在材料设计和界面化学方面取得了进展，但实验室规模的突破与工业要求之间的差距仍然阻碍了实际部署。本文从能量密度、快速充电能力、循环稳定性和宽温适应性等角度分析了阻碍水系ZIB实际应用的关键瓶颈。讨论了这些挑战背后的主要局限性及其物理化学起源。接下来是解决这些问题和挑战的相应方法，包括阴极设计、锌阳极调节、电解质优化和隔膜修改。最后，提出了高能、安全和长寿命的水性 ZIB 的实际应用的未来发展途径的基本观点。</w:t>
      </w:r>
    </w:p>
    <w:p>
      <w:pPr>
        <w:spacing w:before="0" w:after="200" w:lineRule="auto" w:line="276"/>
      </w:pPr>
      <w:r>
        <w:rPr>
          <w:b/>
        </w:rPr>
        <w:t xml:space="preserve">Abstract (EN): </w:t>
      </w:r>
      <w:r>
        <w:t>Aqueous zinc‐ion batteries (ZIBs) are widely regarded as one of the most promising candidates for next‐generation large‐scale energy storage due to their high safety, cost‐effectiveness, and environmental benignity. Despite recent progress in materials design and interfacial chemistry, practical deployment remains hindered by the gap between laboratory‐scale breakthroughs and industrial requirements. In this review, the critical bottlenecks hindering the practical application of aqueous ZIBs are analyzed from the perspectives of energy density, fast‐charging capability, cycling stability, and wide‐temperature adaptability. The main limitations underlying these challenges, together with their physicochemical origins, are discussed. This is followed by the corresponding approaches involving cathode design, zinc anode regulation, electrolyte optimization, and separator modification for addressing these issues and challenges. Finally, fundamental perspectives on future development pathways toward practical application of high‐energy, safety, and long‐life aqueous ZIBs are presented.</w:t>
      </w:r>
    </w:p>
    <w:p>
      <w:pPr>
        <w:spacing w:before="120" w:after="120"/>
      </w:pPr>
      <w:r>
        <w:rPr>
          <w:sz w:val="18"/>
        </w:rPr>
        <w:t>——————————————————————————————————————————————————————————————————————</w:t>
      </w:r>
    </w:p>
    <w:p>
      <w:pPr>
        <w:spacing w:before="160" w:after="40" w:line="240" w:lineRule="auto"/>
      </w:pPr>
      <w:r>
        <w:rPr>
          <w:b/>
        </w:rPr>
        <w:t xml:space="preserve">[13] </w:t>
      </w:r>
      <w:hyperlink r:id="rId115">
        <w:r>
          <w:rPr>
            <w:color w:val="1155CC"/>
            <w:u w:val="single"/>
          </w:rPr>
          <w:t>全固态锂电池的多物理场耦合机制和多尺度设计</w:t>
        </w:r>
      </w:hyperlink>
    </w:p>
    <w:p>
      <w:pPr>
        <w:spacing w:before="0" w:after="80"/>
      </w:pPr>
      <w:r>
        <w:rPr>
          <w:i/>
          <w:sz w:val="20"/>
        </w:rPr>
        <w:t>EN: Multi‐Physical Field Coupling Mechanisms and Multi‐Scale Design for All‐Solid‐State Lithium Batteries</w:t>
      </w:r>
    </w:p>
    <w:p>
      <w:pPr>
        <w:spacing w:before="0" w:after="120"/>
      </w:pPr>
      <w:r>
        <w:rPr>
          <w:b/>
        </w:rPr>
        <w:t xml:space="preserve">Source: </w:t>
      </w:r>
      <w:r>
        <w:t>Wiley: Advanced Materials: Table of Contents</w:t>
      </w:r>
      <w:r>
        <w:t xml:space="preserve">    </w:t>
      </w:r>
      <w:r>
        <w:rPr>
          <w:b/>
        </w:rPr>
        <w:t xml:space="preserve">Pub date: </w:t>
      </w:r>
      <w:r>
        <w:t>2026-08-25 12:37:44+00:00</w:t>
      </w:r>
      <w:r>
        <w:t xml:space="preserve">    </w:t>
      </w:r>
      <w:r>
        <w:rPr>
          <w:b/>
        </w:rPr>
        <w:t xml:space="preserve">DOI: </w:t>
      </w:r>
      <w:hyperlink r:id="rId116">
        <w:r>
          <w:rPr>
            <w:color w:val="1155CC"/>
            <w:u w:val="single"/>
          </w:rPr>
          <w:t>10.1002/adma.74798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锂电池（ASSLB）因其固有的安全性和有前景的高能量密度能力而被视为下一代储能技术的关键发展路线。本文围绕多物理场耦合，以同时实现高安全性和高能量密度为目标，系统总结了ASSLBs的多尺度设计策略。在本征材料尺度上，这项工作总结了高电压/高容量阴极、高能量密度阳极和各种固态电解质（SSE）的性能特征、失效机制和优化方法。从电极-电解质界面的角度来看，特别强调阴极-电解质和阳极-电解质界面的多物理场耦合失效演化，以及界面改性和结构工程对界面接触、离子传导、体积变化效应和结构耐久性的调节机制。在全电池系统规模上，详细阐述了优化设计，包括电池配置细化、单片集成制造以及协同热管理和安全工程。最后，针对该领域当前的挑战，例如模糊的动态多物理场耦合基础知识和耦合故障行为实时预测的不可行性，本文总结了建立和实现原位多物理场特征分析的前景。</w:t>
      </w:r>
    </w:p>
    <w:p>
      <w:pPr>
        <w:spacing w:before="0" w:after="200" w:lineRule="auto" w:line="276"/>
      </w:pPr>
      <w:r>
        <w:rPr>
          <w:b/>
        </w:rPr>
        <w:t xml:space="preserve">Abstract (EN): </w:t>
      </w:r>
      <w:r>
        <w:t>All‐solid‐state lithium batteries (ASSLBs) are regarded as a pivotal developmental route for next‐generation energy storage technologies owing to their inherent safety and promising high‐energy‐density capability. Focusing on multi‐physical field coupling and aiming to achieve high safety and high energy density simultaneously, this review systematically summarizes the multi‐scale design strategies of ASSLBs. At the intrinsic material scale, this work summarizes the performance characteristics, failure mechanisms and optimization approaches of high‐voltage/high‐capacity cathodes, high‐energy‐density anodes, and diverse solid‐state electrolytes (SSEs). From the electrode–electrolyte interfacial perspective, particular emphasis is placed on the multi‐physical field coupling failure evolution of cathode–electrolyte and anode–electrolyte interfaces, alongside the modulation mechanisms of interfacial modification and structural engineering on interfacial contact, ionic conduction, volume variation effects and structural durability. At the full‐cell system scale, optimization designs including cell configuration refinement, monolithic integration manufacturing, and synergistic thermal management and safety engineering are elaborated. Finally, addressing the current challenges in the field, such as ambiguous dynamic multi‐physical‐field coupling fundamentals and the infeasibility of real‐time prediction on coupled failure behaviors, this review concludes with prospects for the establishment and implementation of an in‐situ multi‐physical‐field characterization framework, delivering experimental foundations and theoretical guidelines toward the multi‐scale synergistic optimization of ASSLBs.</w:t>
      </w:r>
    </w:p>
    <w:p>
      <w:pPr>
        <w:spacing w:before="120" w:after="120"/>
      </w:pPr>
      <w:r>
        <w:rPr>
          <w:sz w:val="18"/>
        </w:rPr>
        <w:t>——————————————————————————————————————————————————————————————————————</w:t>
      </w:r>
    </w:p>
    <w:p>
      <w:pPr>
        <w:spacing w:before="160" w:after="40" w:line="240" w:lineRule="auto"/>
      </w:pPr>
      <w:r>
        <w:rPr>
          <w:b/>
        </w:rPr>
        <w:t xml:space="preserve">[14] </w:t>
      </w:r>
      <w:hyperlink r:id="rId152">
        <w:r>
          <w:rPr>
            <w:color w:val="1155CC"/>
            <w:u w:val="single"/>
          </w:rPr>
          <w:t>界面重建使死钠复活，实现 3,800 次循环 Ah 级无阳极钠电池</w:t>
        </w:r>
      </w:hyperlink>
    </w:p>
    <w:p>
      <w:pPr>
        <w:spacing w:before="0" w:after="80"/>
      </w:pPr>
      <w:r>
        <w:rPr>
          <w:i/>
          <w:sz w:val="20"/>
        </w:rPr>
        <w:t>EN: Interface Reconstruction Reviving Dead Na Enables 3,800‐Cycle Ah‑Level Anode‑Free Sodium Batteries</w:t>
      </w:r>
    </w:p>
    <w:p>
      <w:pPr>
        <w:spacing w:before="0" w:after="120"/>
      </w:pPr>
      <w:r>
        <w:rPr>
          <w:b/>
        </w:rPr>
        <w:t xml:space="preserve">Source: </w:t>
      </w:r>
      <w:r>
        <w:t>Wiley: Advanced Materials: Table of Contents</w:t>
      </w:r>
      <w:r>
        <w:t xml:space="preserve">    </w:t>
      </w:r>
      <w:r>
        <w:rPr>
          <w:b/>
        </w:rPr>
        <w:t xml:space="preserve">Pub date: </w:t>
      </w:r>
      <w:r>
        <w:t>2026-08-25 12:39:02+00:00</w:t>
      </w:r>
      <w:r>
        <w:t xml:space="preserve">    </w:t>
      </w:r>
      <w:r>
        <w:rPr>
          <w:b/>
        </w:rPr>
        <w:t xml:space="preserve">DOI: </w:t>
      </w:r>
      <w:hyperlink r:id="rId153">
        <w:r>
          <w:rPr>
            <w:color w:val="1155CC"/>
            <w:u w:val="single"/>
          </w:rPr>
          <w:t>10.1002/adma.74820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失活或“死”钠的积累是无阳极钠电池（AFSB）容量快速衰减的主要原因。这些死钠通常被钝化的固体电解质界面（SEI）封装，使其电化学不活跃。目前的策略主要集中在抑制死钠的形成，但很少对其重新激活进行探索。在这里，我们通过定制的过放电方法通过电化学重建界面来重新激活死的Na，从而恢复损失的容量并延长循环寿命。具体来说，这种再激活过程选择性地溶解死Na周围的钝化SEI以恢复其活性，同时重建薄的、均匀的、富含NaF的界面，以确保随后的稳定循环。总的来说，通过定期使用该方法，Ah级无阳极软包电池在2C下实现了3,800次循环，容量保持率为83.5%，比之前报告中的最佳循环能力提高了343%。此外，实用的 5 Ah 无阳极软包电池（181.1 Wh kg</w:t>
      </w:r>
      <w:r>
        <w:t xml:space="preserve"> </w:t>
      </w:r>
      <w:r>
        <w:t>−1</w:t>
      </w:r>
      <w:r>
        <w:t xml:space="preserve"> </w:t>
      </w:r>
      <w:r>
        <w:t>）还表现出超过 2,500 次循环的稳定循环，容量保持率为 93.7%，与商用 LiFePO 的性能相当</w:t>
      </w:r>
      <w:r>
        <w:rPr>
          <w:vertAlign w:val="subscript"/>
        </w:rPr>
        <w:t>4</w:t>
      </w:r>
      <w:r>
        <w:t>电池，展现出巨大的应用潜力。此外，这种死钠再激活方法在不同的电解质和阴极中都被证明有效，为实际实现钠离子提供了一条通用且有效的途径。</w:t>
      </w:r>
    </w:p>
    <w:p>
      <w:pPr>
        <w:spacing w:before="0" w:after="200" w:lineRule="auto" w:line="276"/>
      </w:pPr>
      <w:r>
        <w:rPr>
          <w:b/>
        </w:rPr>
        <w:t xml:space="preserve">Abstract (EN): </w:t>
      </w:r>
      <w:r>
        <w:t>The accumulation of inactivated or ‘dead’ Na is the primary cause of rapid capacity decay in anode‐free sodium batteries (AFSBs). These dead Na is typically encapsulated by a passivated solid electrolyte interphase (SEI), which renders it electrochemically inactive. Current strategies have primarily focused on suppressing dead Na formation, yet its reactivation has rarely been explored. Here, we reactivate dead Na by electrochemically reconstructing the interface through a tailored overdischarge method, thereby recovering the lost capacity and extending cycle life. Specifically, this reactivation process selectively dissolves the passivating SEI surrounding dead Na to restore its activity, while simultaneously rebuilding a thin, homogeneous, and NaF‑rich interphase that ensures subsequent stable cycling. Collectively, by periodically using the method, an Ah‐level anode‐free pouch cell realizes 3,800 cycles at 2C with 83.5% capacity retention, representing a 343% enhancement over the best cyclability in the previous report. Besides, a practical 5 Ah anode‐free pouch cell (181.1 Wh kg</w:t>
      </w:r>
      <w:r>
        <w:t xml:space="preserve"> </w:t>
      </w:r>
      <w:r>
        <w:t>−1</w:t>
      </w:r>
      <w:r>
        <w:t xml:space="preserve"> </w:t>
      </w:r>
      <w:r>
        <w:t>) also exhibits stable cycling over 2,500 cycles with 93.7% capacity retention, comparable to the performance of commercial LiFePO</w:t>
      </w:r>
      <w:r>
        <w:rPr>
          <w:vertAlign w:val="subscript"/>
        </w:rPr>
        <w:t>4</w:t>
      </w:r>
      <w:r>
        <w:t>batteries, demonstrating great application potential. Moreover, with proven effectiveness across diverse electrolytes and cathodes, this dead Na reactivation method offers a universal and effective pathway toward practical realization of AFSBs.</w:t>
      </w:r>
    </w:p>
    <w:p>
      <w:pPr>
        <w:spacing w:before="120" w:after="120"/>
      </w:pPr>
      <w:r>
        <w:rPr>
          <w:sz w:val="18"/>
        </w:rPr>
        <w:t>——————————————————————————————————————————————————————————————————————</w:t>
      </w:r>
    </w:p>
    <w:p>
      <w:pPr>
        <w:spacing w:before="160" w:after="40" w:line="240" w:lineRule="auto"/>
      </w:pPr>
      <w:r>
        <w:rPr>
          <w:b/>
        </w:rPr>
        <w:t xml:space="preserve">[15] </w:t>
      </w:r>
      <w:hyperlink r:id="rId154">
        <w:r>
          <w:rPr>
            <w:color w:val="1155CC"/>
            <w:u w:val="single"/>
          </w:rPr>
          <w:t>全固态电池空洞抑制锂负极</w:t>
        </w:r>
      </w:hyperlink>
    </w:p>
    <w:p>
      <w:pPr>
        <w:spacing w:before="0" w:after="80"/>
      </w:pPr>
      <w:r>
        <w:rPr>
          <w:i/>
          <w:sz w:val="20"/>
        </w:rPr>
        <w:t>EN: Void suppressive lithium anodes for all-solid-state batteries</w:t>
      </w:r>
    </w:p>
    <w:p>
      <w:pPr>
        <w:spacing w:before="0" w:after="120"/>
      </w:pPr>
      <w:r>
        <w:rPr>
          <w:b/>
        </w:rPr>
        <w:t xml:space="preserve">Source: </w:t>
      </w:r>
      <w:r>
        <w:t>Nature Materials</w:t>
      </w:r>
      <w:r>
        <w:t xml:space="preserve">    </w:t>
      </w:r>
      <w:r>
        <w:rPr>
          <w:b/>
        </w:rPr>
        <w:t xml:space="preserve">Pub date: </w:t>
      </w:r>
      <w:r>
        <w:t>2026-08-26 00:00:00+00:00</w:t>
      </w:r>
      <w:r>
        <w:t xml:space="preserve">    </w:t>
      </w:r>
      <w:r>
        <w:rPr>
          <w:b/>
        </w:rPr>
        <w:t xml:space="preserve">DOI: </w:t>
      </w:r>
      <w:hyperlink r:id="rId155">
        <w:r>
          <w:rPr>
            <w:color w:val="1155CC"/>
            <w:u w:val="single"/>
          </w:rPr>
          <w:t>10.1038/s41563-026-02729-w</w:t>
        </w:r>
      </w:hyperlink>
    </w:p>
    <w:p>
      <w:pPr>
        <w:spacing w:before="0" w:after="120"/>
      </w:pPr>
      <w:r>
        <w:rPr>
          <w:b/>
        </w:rPr>
        <w:t xml:space="preserve">Notes: </w:t>
      </w:r>
      <w:r>
        <w:t>abstract_source=pubmed</w:t>
      </w:r>
    </w:p>
    <w:p>
      <w:pPr>
        <w:spacing w:before="0" w:after="80" w:lineRule="auto" w:line="276"/>
      </w:pPr>
      <w:r>
        <w:rPr>
          <w:b/>
        </w:rPr>
        <w:t xml:space="preserve">摘要（ZH）: </w:t>
      </w:r>
      <w:r>
        <w:t>全固态锂金属电池具有高能量密度和安全性，是一种很有前景的下一代储能技术。然而，空洞形成和枝晶生长的问题仍未解决。在这里，我们证明了空洞的形成是由锂完全剥离面积容量和施加电流密度的乘积控制的，我们将其定义为空洞抑制能力（VSC）。通过增加自扩散率和初始锂原子浓度来增强 VSC。在熔融锂（LiMgLa）中使用Mg-1wt％La孕育剂细化晶粒，增强锂自扩散率和VSC，导致LiMg负极的临界电流密度/容量从1.2mA cm-2/0.6mAh cm-2增加到LiMgLa 阳极为 2.2 mA cm-2/1.1 mAh cm-2。 LiMgLa 阳极在室温下以 0.7mAcm-2 电流稳定镀锂/脱锂超过 1,200 小时。相场模型表明，当剥离容量大于完全耗尽容量的70%时，界面过电势将高于电解质的临界过电势，导致枝晶生长和电池失效。我们的观察为设计具有高功率和能量密度的全固态锂金属电池提供了一条途径。</w:t>
      </w:r>
    </w:p>
    <w:p>
      <w:pPr>
        <w:spacing w:before="0" w:after="200" w:lineRule="auto" w:line="276"/>
      </w:pPr>
      <w:r>
        <w:rPr>
          <w:b/>
        </w:rPr>
        <w:t xml:space="preserve">Abstract (EN): </w:t>
      </w:r>
      <w:r>
        <w:t>The all-solid-state lithium metal battery is a promising next-generation energy-storage technology due to it offering high energy density and safety. However, the issues of void formation and dendrite growth both remain unsolved. Here we demonstrate that void formation is controlled by the product of lithium full stripping areal capacity and applied current density, which we define as the void suppression capability (VSC). The VSC is enhanced by increasing self-diffusivity and initial lithium atom concentration. Using a Mg-1 wt% La inoculant in molten lithium (LiMgLa) to refine grains, lithium self-diffusivity and VSC are enhanced, resulting in an increase in the critical current density/capacity from 1.2 mA cm-2/0.6 mAh cm-2 for the LiMg anode to 2.2 mA cm-2/1.1 mAh cm-2 for the LiMgLa anode. The LiMgLa anodes enable stable lithium plating/stripping for over 1,200 h at 0.7 mA cm-2 at room temperature. Phase-field modelling shows that the interfacial overpotential will be higher than the critical overpotential of the electrolyte when the stripped capacity is larger than 70% of the full depletion capacity, leading to dendrite growth and cell failure. Our observations offer a route to the design of all-solid-state lithium metal batteries with high powers and energy densities.</w:t>
      </w:r>
    </w:p>
    <w:p>
      <w:pPr>
        <w:spacing w:before="120" w:after="120"/>
      </w:pPr>
      <w:r>
        <w:rPr>
          <w:sz w:val="18"/>
        </w:rPr>
        <w:t>——————————————————————————————————————————————————————————————————————</w:t>
      </w:r>
    </w:p>
    <w:p>
      <w:pPr>
        <w:spacing w:before="160" w:after="40" w:line="240" w:lineRule="auto"/>
      </w:pPr>
      <w:r>
        <w:rPr>
          <w:b/>
        </w:rPr>
        <w:t xml:space="preserve">[16] </w:t>
      </w:r>
      <w:hyperlink r:id="rId123">
        <w:r>
          <w:rPr>
            <w:color w:val="1155CC"/>
            <w:u w:val="single"/>
          </w:rPr>
          <w:t>自牺牲阻燃低聚物实现阴离子为主的溶剂化结构，用于高安全性和长寿命的高压锂金属电池</w:t>
        </w:r>
      </w:hyperlink>
    </w:p>
    <w:p>
      <w:pPr>
        <w:spacing w:before="0" w:after="80"/>
      </w:pPr>
      <w:r>
        <w:rPr>
          <w:i/>
          <w:sz w:val="20"/>
        </w:rPr>
        <w:t>EN: Self‐Sacrificing Flame‐Retardant Oligomer Enables Anion‐Dominated Solvation Structure for High‐Safety and Long‐Life High‐Voltage Lithium‐Metal Batteries</w:t>
      </w:r>
    </w:p>
    <w:p>
      <w:pPr>
        <w:spacing w:before="0" w:after="120"/>
      </w:pPr>
      <w:r>
        <w:rPr>
          <w:b/>
        </w:rPr>
        <w:t xml:space="preserve">Source: </w:t>
      </w:r>
      <w:r>
        <w:t>Wiley: Advanced Materials: Table of Contents</w:t>
      </w:r>
      <w:r>
        <w:t xml:space="preserve">    </w:t>
      </w:r>
      <w:r>
        <w:rPr>
          <w:b/>
        </w:rPr>
        <w:t xml:space="preserve">Pub date: </w:t>
      </w:r>
      <w:r>
        <w:t>2026-08-26 06:22:39+00:00</w:t>
      </w:r>
      <w:r>
        <w:t xml:space="preserve">    </w:t>
      </w:r>
      <w:r>
        <w:rPr>
          <w:b/>
        </w:rPr>
        <w:t xml:space="preserve">DOI: </w:t>
      </w:r>
      <w:hyperlink r:id="rId124">
        <w:r>
          <w:rPr>
            <w:color w:val="1155CC"/>
            <w:u w:val="single"/>
          </w:rPr>
          <w:t>10.1002/adma.74775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CM811锂金属电池的商业化长期以来受到两大瓶颈的制约：电解质的易燃性和电极界面兼容性差。本研究设计了一种多功能不饱和低聚物电解质添加剂（PE）作为电池安全性和稳定性的协调者和烈士。它集成了柔性链段以促进锂离子传输，含磷链段实现了气相和凝聚相阻燃性，P=O和C=C的协同作用有效地稳定了锂金属负极和高压正极。该添加剂选择性地分配成Li</w:t>
      </w:r>
      <w:r>
        <w:t xml:space="preserve"> </w:t>
      </w:r>
      <w:r>
        <w:t>+</w:t>
      </w:r>
      <w:r>
        <w:t xml:space="preserve"> </w:t>
      </w:r>
      <w:r>
        <w:t>溶剂化壳层，其中 P=O 键与 Li 配位</w:t>
      </w:r>
      <w:r>
        <w:t xml:space="preserve"> </w:t>
      </w:r>
      <w:r>
        <w:t>+</w:t>
      </w:r>
      <w:r>
        <w:t xml:space="preserve"> </w:t>
      </w:r>
      <w:r>
        <w:t>C=C 键与 PF 建立阴离子-C=C 相互作用</w:t>
      </w:r>
      <w:r>
        <w:rPr>
          <w:vertAlign w:val="subscript"/>
        </w:rPr>
        <w:t>6</w:t>
      </w:r>
      <w:r>
        <w:t>-</w:t>
      </w:r>
      <w:r>
        <w:t>，在具有常规锂盐浓度的商业电解液中构建独特的阴离子主导溶剂化环境，以触发高度稳定的LiF/Li</w:t>
      </w:r>
      <w:r>
        <w:t xml:space="preserve"> </w:t>
      </w:r>
      <w:r>
        <w:t>x</w:t>
      </w:r>
      <w:r>
        <w:t xml:space="preserve"> </w:t>
      </w:r>
      <w:r>
        <w:t>采购订单</w:t>
      </w:r>
      <w:r>
        <w:t xml:space="preserve"> </w:t>
      </w:r>
      <w:r>
        <w:t>y</w:t>
      </w:r>
      <w:r>
        <w:t xml:space="preserve"> </w:t>
      </w:r>
      <w:r>
        <w:t>‐电极表面形成丰富的界面层。在低添加水平下，电解液的可燃性显着降低，同时电池性能得到全面增强。 NCM811‖锂电池在1 C下实现了超过500次循环的稳定循环，保持80%的容量保持率。即使在 5 C 下，它们在 160 次循环后仍保留 76% 的容量。通过战略性设计局部分子</w:t>
      </w:r>
    </w:p>
    <w:p>
      <w:pPr>
        <w:spacing w:before="0" w:after="200" w:lineRule="auto" w:line="276"/>
      </w:pPr>
      <w:r>
        <w:rPr>
          <w:b/>
        </w:rPr>
        <w:t xml:space="preserve">Abstract (EN): </w:t>
      </w:r>
      <w:r>
        <w:t>The commercialization of NCM811‐lithium metal batteries has long been constrained by two major bottlenecks: electrolytes’ flammability and poor electrode interface compatibility. This study designed a multifunctional unsaturated oligomer electrolyte additive (PE) as a coordinator and martyr for batteries’ safety and stability. It integrates flexible segments to promote lithium‐ion transport, phosphorus‐containing segments to achieve both vapor‐phase and condensed‐phase flame retardancy, and the synergy of P═O and C═C effectively stabilizes both the lithium‐metal anode and high‐voltage cathode. This additive selectively partitions into Li</w:t>
      </w:r>
      <w:r>
        <w:t xml:space="preserve"> </w:t>
      </w:r>
      <w:r>
        <w:t>+</w:t>
      </w:r>
      <w:r>
        <w:t xml:space="preserve"> </w:t>
      </w:r>
      <w:r>
        <w:t>solvation shell, where P═O bond coordinates with Li</w:t>
      </w:r>
      <w:r>
        <w:t xml:space="preserve"> </w:t>
      </w:r>
      <w:r>
        <w:t>+</w:t>
      </w:r>
      <w:r>
        <w:t xml:space="preserve"> </w:t>
      </w:r>
      <w:r>
        <w:t>and C═C bond establishes anion‐C═C interaction with PF</w:t>
      </w:r>
      <w:r>
        <w:rPr>
          <w:vertAlign w:val="subscript"/>
        </w:rPr>
        <w:t>6</w:t>
      </w:r>
      <w:r>
        <w:t>−</w:t>
      </w:r>
      <w:r>
        <w:t>, constructing a unique anion‐dominated solvation environment in commercial electrolyte with conventional lithium salt concentration to trigger highly stable and LiF/Li</w:t>
      </w:r>
      <w:r>
        <w:t xml:space="preserve"> </w:t>
      </w:r>
      <w:r>
        <w:t>x</w:t>
      </w:r>
      <w:r>
        <w:t xml:space="preserve"> </w:t>
      </w:r>
      <w:r>
        <w:t>PO</w:t>
      </w:r>
      <w:r>
        <w:t xml:space="preserve"> </w:t>
      </w:r>
      <w:r>
        <w:t>y</w:t>
      </w:r>
      <w:r>
        <w:t xml:space="preserve"> </w:t>
      </w:r>
      <w:r>
        <w:t>‐rich interfacial layer formation on electrode surface. At low addition levels, electrolyte flammability is significantly reduced while battery performance is comprehensively enhanced. NCM811‖Li batteries achieved stable cycling for over 500 cycles at 1 C, maintaining 80% capacity retention. Even at 5 C, they retained 76% capacity after 160 cycles. By strategically designing localized molecular structures to synergistically enhance flame retardancy, ion transport, and interfacial stability within a single molecule, this study provides a promising paradigm for the development of electrolytes for high‐safety, long‐life, and high‐energy‐density lithium batteries.</w:t>
      </w:r>
    </w:p>
    <w:p>
      <w:pPr>
        <w:spacing w:before="120" w:after="120"/>
      </w:pPr>
      <w:r>
        <w:rPr>
          <w:sz w:val="18"/>
        </w:rPr>
        <w:t>——————————————————————————————————————————————————————————————————————</w:t>
      </w:r>
    </w:p>
    <w:p>
      <w:pPr>
        <w:spacing w:before="160" w:after="40" w:line="240" w:lineRule="auto"/>
      </w:pPr>
      <w:r>
        <w:rPr>
          <w:b/>
        </w:rPr>
        <w:t xml:space="preserve">[17] </w:t>
      </w:r>
      <w:hyperlink r:id="rId156">
        <w:r>
          <w:rPr>
            <w:color w:val="1155CC"/>
            <w:u w:val="single"/>
          </w:rPr>
          <w:t>实现应力变化接近零的长循环硅基全固态电池</w:t>
        </w:r>
      </w:hyperlink>
    </w:p>
    <w:p>
      <w:pPr>
        <w:spacing w:before="0" w:after="80"/>
      </w:pPr>
      <w:r>
        <w:rPr>
          <w:i/>
          <w:sz w:val="20"/>
        </w:rPr>
        <w:t>EN: Realizing long-cycling silicon-based all-solid-state batteries with near-zero-stress variation</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57">
        <w:r>
          <w:rPr>
            <w:color w:val="1155CC"/>
            <w:u w:val="single"/>
          </w:rPr>
          <w:t>10.1126/sciadv.aef3043</w:t>
        </w:r>
      </w:hyperlink>
    </w:p>
    <w:p>
      <w:pPr>
        <w:spacing w:before="0" w:after="120"/>
      </w:pPr>
      <w:r>
        <w:rPr>
          <w:b/>
        </w:rPr>
        <w:t xml:space="preserve">Notes: </w:t>
      </w:r>
      <w:r>
        <w:t>abstract_source=crossref</w:t>
      </w:r>
    </w:p>
    <w:p>
      <w:pPr>
        <w:spacing w:before="0" w:after="80" w:lineRule="auto" w:line="276"/>
      </w:pPr>
      <w:r>
        <w:rPr>
          <w:b/>
        </w:rPr>
        <w:t xml:space="preserve">摘要（ZH）: </w:t>
      </w:r>
      <w:r>
        <w:t>硅阳极为全固态电池 (ASSB) 提供了一种引人注目的锂金属替代品，可提供高容量且无枝晶风险。然而，它们的应用受到对全固态配置中电化学机械（ECM）失效机制的不完全理解而受到阻碍。通过结合光学显微镜、原子力显微镜和压力监测的多重原位表征，这项工作揭示了硅基 ASSB 中基本的应力介导的降解途径。应力演化——尤其是面内应变失配和面外机械约束——控制着主要的失效准则，取代了传统的体积变化指标。这种应力主导的机制源于受约束的全固态系统中体积和模量之间的相互作用。在这些见解的指导下，开发了补充缓解策略，包括减少界面应力的电极/电解质模量工程和适应机械波动的弹性约束设计。协同实施实现了接近零的应力变化和突破性的循环稳定性（5000 次循环后容量保持率为 90.1%）。这项工作建立了高能量密度电池的范例，将设计重点从体积调节转移到全固态系统中的全面应力管理。</w:t>
      </w:r>
    </w:p>
    <w:p>
      <w:pPr>
        <w:spacing w:before="0" w:after="200" w:lineRule="auto" w:line="276"/>
      </w:pPr>
      <w:r>
        <w:rPr>
          <w:b/>
        </w:rPr>
        <w:t xml:space="preserve">Abstract (EN): </w:t>
      </w:r>
      <w:r>
        <w:t>Silicon anodes present a compelling alternative to lithium metal for all-solid-state batteries (ASSBs), offering high capacity without dendrite risks. However, their application is hindered by incomplete understanding of electro-chemo-mechanical (ECM) failure mechanisms in all-solid-state configurations. Through multiple in situ characterizations combining optical microscopy, atomic force microscopy, and pressure monitoring, this work uncovers fundamental stress-mediated degradation pathways in silicon-based ASSBs. Stress evolution—particularly in-plane strain mismatch and out-of-plane mechanical constraints—governs the dominant failure criterion, superseding traditional volume change metrics. This stress-dominated mechanism arises from the interplay between volume and modulus in constrained all-solid-state systems. Guided by these insights, complementary mitigation strategies were developed, including electrode/electrolyte modulus engineering to reduce interfacial stresses and elastic constraint design to accommodate mechanical fluctuations. The synergistic implementation achieves near-zero stress variation and breakthrough cycling stability (90.1% capacity retention after 5000 cycles). This work establishes a paradigm for high-energy-density batteries, shifting the design focus from volume accommodation to comprehensive stress management in all-solid-state systems.</w:t>
      </w:r>
    </w:p>
    <w:p>
      <w:pPr>
        <w:spacing w:before="120" w:after="120"/>
      </w:pPr>
      <w:r>
        <w:rPr>
          <w:sz w:val="18"/>
        </w:rPr>
        <w:t>——————————————————————————————————————————————————————————————————————</w:t>
      </w:r>
    </w:p>
    <w:p>
      <w:pPr>
        <w:spacing w:before="160" w:after="40" w:line="240" w:lineRule="auto"/>
      </w:pPr>
      <w:r>
        <w:rPr>
          <w:b/>
        </w:rPr>
        <w:t xml:space="preserve">[18] </w:t>
      </w:r>
      <w:hyperlink r:id="rId158">
        <w:r>
          <w:rPr>
            <w:color w:val="1155CC"/>
            <w:u w:val="single"/>
          </w:rPr>
          <w:t>从被动茧到主动变形：高电流驱动的超稳定阳极硅演化</w:t>
        </w:r>
      </w:hyperlink>
    </w:p>
    <w:p>
      <w:pPr>
        <w:spacing w:before="0" w:after="80"/>
      </w:pPr>
      <w:r>
        <w:rPr>
          <w:i/>
          <w:sz w:val="20"/>
        </w:rPr>
        <w:t>EN: From Passive Cocoon to Active Metamorphosis: High‐Current‐Driven Evolution of Silicon for Ultrastable Anodes</w:t>
      </w:r>
    </w:p>
    <w:p>
      <w:pPr>
        <w:spacing w:before="0" w:after="120"/>
      </w:pPr>
      <w:r>
        <w:rPr>
          <w:b/>
        </w:rPr>
        <w:t xml:space="preserve">Source: </w:t>
      </w:r>
      <w:r>
        <w:t>Wiley: Angewandte Chemie International Edition: Table of Contents</w:t>
      </w:r>
      <w:r>
        <w:t xml:space="preserve">    </w:t>
      </w:r>
      <w:r>
        <w:rPr>
          <w:b/>
        </w:rPr>
        <w:t xml:space="preserve">Pub date: </w:t>
      </w:r>
      <w:r>
        <w:t>2026-08-26 07:21:19+00:00</w:t>
      </w:r>
      <w:r>
        <w:t xml:space="preserve">    </w:t>
      </w:r>
      <w:r>
        <w:rPr>
          <w:b/>
        </w:rPr>
        <w:t xml:space="preserve">DOI: </w:t>
      </w:r>
      <w:hyperlink r:id="rId159">
        <w:r>
          <w:rPr>
            <w:color w:val="1155CC"/>
            <w:u w:val="single"/>
          </w:rPr>
          <w:t>10.1002/anie.3879325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严重的体积膨胀、不稳定的固体电解质界面（SEI）以及限制性低电流预锂化的必要性仍然严重阻碍了锂离子电池中硅阳极的商业可行性。在提高初始库仑效率 (ICE) 的同时，低电流激活会加速长时间循环过程中的容量逐渐衰减，并阻止快速充电。此外，传统的纳米结构仅在被动遏制的范式上运行，导致根本上的电化学不稳定性尚未得到解决。受蝴蝶变形的启发，我们引入了仿生电化学范例。类似于驱动保护茧内转化的内源酶，我们采用初始高电流作为“电化学酶”来触发限制在共价有机框架（COF）“茧”内的硅的受控尺寸减小。在该架构的调控下，高电流脉冲驱动控制硅粉化，通过全面阐明的协同机制同步实现原位预锂化并生成稳定的非晶态锂硅相。受益于这种结构演变，工程阳极表现出卓越的坚固性。在 10 000 和 20 000 mA g 电流下经过 2000 次循环后，其容量仍保持在 74.5% 和 71.9%</w:t>
      </w:r>
      <w:r>
        <w:t xml:space="preserve"> </w:t>
      </w:r>
      <w:r>
        <w:t>−1</w:t>
      </w:r>
      <w:r>
        <w:t xml:space="preserve"> </w:t>
      </w:r>
      <w:r>
        <w:t>，并成功适应极快充电（118 秒）。通过概念化从被动遏制到主动原位监管的转变，本研究揭示了一种转变</w:t>
      </w:r>
    </w:p>
    <w:p>
      <w:pPr>
        <w:spacing w:before="0" w:after="200" w:lineRule="auto" w:line="276"/>
      </w:pPr>
      <w:r>
        <w:rPr>
          <w:b/>
        </w:rPr>
        <w:t xml:space="preserve">Abstract (EN): </w:t>
      </w:r>
      <w:r>
        <w:t>The commercial viability of silicon anodes in lithium‐ion batteries remains heavily impeded by severe volume expansion, unstable solid‐electrolyte interphases (SEI), and the necessity for restrictive low‐current pre‐lithiation. While improving initial Coulombic efficiency (ICE), low‐current activation accelerates progressive capacity decay over extended cycling and prevents fast‐charging. Furthermore, conventional nanostructuring operates on a paradigm of mere passive containment, leaving root electrochemical instabilities fundamentally unresolved. Inspired by butterfly metamorphosis, we introduce a biomimetic electrochemical paradigm. Analogous to endogenous enzymes driving transformation within a protective cocoon, we employ an initial high current as an “electrochemical enzyme” to trigger the controlled size reduction of Si confined within a covalent organic framework (COF) “cocoon.” Regulated by this architecture, the high‐current pulse drives controlled Si pulverization, synchronously realizing in situ pre‐lithiation and generating a stable amorphous Li‐Si phase via a comprehensively elucidated synergistic mechanism. Benefiting from this structural evolution, the engineered anode exhibits superior robustness. It retains 74.5% and 71.9% capacity over 2000 cycles at 10 000 and 20 000 mA g</w:t>
      </w:r>
      <w:r>
        <w:t xml:space="preserve"> </w:t>
      </w:r>
      <w:r>
        <w:t>−1</w:t>
      </w:r>
      <w:r>
        <w:t xml:space="preserve"> </w:t>
      </w:r>
      <w:r>
        <w:t>, respectively, and successfully accommodates extreme fast charging (118 s). By conceptualizing a transition from passive containment to active in situ regulation, this study unveils a transformative design paradigm for high‐energy, high‐power battery materials.</w:t>
      </w:r>
    </w:p>
    <w:p>
      <w:pPr>
        <w:spacing w:before="120" w:after="120"/>
      </w:pPr>
      <w:r>
        <w:rPr>
          <w:sz w:val="18"/>
        </w:rPr>
        <w:t>——————————————————————————————————————————————————————————————————————</w:t>
      </w:r>
    </w:p>
    <w:p>
      <w:pPr>
        <w:spacing w:before="160" w:after="40" w:line="240" w:lineRule="auto"/>
      </w:pPr>
      <w:r>
        <w:rPr>
          <w:b/>
        </w:rPr>
        <w:t xml:space="preserve">[19] </w:t>
      </w:r>
      <w:hyperlink r:id="rId160">
        <w:r>
          <w:rPr>
            <w:color w:val="1155CC"/>
            <w:u w:val="single"/>
          </w:rPr>
          <w:t>塑性变形驱动的 (110) 织构非外延沉积可实现稳定的锂和钠金属阳极</w:t>
        </w:r>
      </w:hyperlink>
    </w:p>
    <w:p>
      <w:pPr>
        <w:spacing w:before="0" w:after="80"/>
      </w:pPr>
      <w:r>
        <w:rPr>
          <w:i/>
          <w:sz w:val="20"/>
        </w:rPr>
        <w:t>EN: Plastic‐Deformation‐Driven Nonepitaxial Deposition of (110)‐Texture Enables Stable Lithium and Sodium Metal Anodes</w:t>
      </w:r>
    </w:p>
    <w:p>
      <w:pPr>
        <w:spacing w:before="0" w:after="120"/>
      </w:pPr>
      <w:r>
        <w:rPr>
          <w:b/>
        </w:rPr>
        <w:t xml:space="preserve">Source: </w:t>
      </w:r>
      <w:r>
        <w:t>Wiley: Advanced Materials: Table of Contents</w:t>
      </w:r>
      <w:r>
        <w:t xml:space="preserve">    </w:t>
      </w:r>
      <w:r>
        <w:rPr>
          <w:b/>
        </w:rPr>
        <w:t xml:space="preserve">Pub date: </w:t>
      </w:r>
      <w:r>
        <w:t>2026-08-26 08:10:40+00:00</w:t>
      </w:r>
      <w:r>
        <w:t xml:space="preserve">    </w:t>
      </w:r>
      <w:r>
        <w:rPr>
          <w:b/>
        </w:rPr>
        <w:t xml:space="preserve">DOI: </w:t>
      </w:r>
      <w:hyperlink r:id="rId161">
        <w:r>
          <w:rPr>
            <w:color w:val="1155CC"/>
            <w:u w:val="single"/>
          </w:rPr>
          <w:t>10.1002/adma.74659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受控制的锂沉积和枝晶生长严重限制了锂金属电池的循环寿命。实现(110)取向的锂沉积是缓解这些问题的有效策略。然而，当前的调节方法通常依赖于特定的基质或受限的电化学条件，限制了它们的通用性并忽视了锂的固有机械响应。在这里，我们展示了一种应力驱动的塑性变形机制，该机制可驱动独立于外部化学或衬底结构的非外延但 (110) 优先的生长模式。施加的应力主要通过晶体滑移驱动塑性变形，逐渐重新定向晶粒并强化 (110) 织构。它显着提高了电化学稳定性，使 Li||Li 对称电池能够循环超过 2000 小时，Li||NCM811 全电池能够循环超过 500 次。重要的是，该策略仅依赖于锂的固有机械性能，既不需要基材改性，也不需要界面工程，从而确保了跨各种系统的广泛兼容性。该原理也适用于钠金属阳极，实现了类似的应力驱动的 (110) 织构形成。这项工作有效地将晶体取向控制与传统外延约束解耦，建立了一种基于通用力学的调节碱金属沉积的方法。</w:t>
      </w:r>
    </w:p>
    <w:p>
      <w:pPr>
        <w:spacing w:before="0" w:after="200" w:lineRule="auto" w:line="276"/>
      </w:pPr>
      <w:r>
        <w:rPr>
          <w:b/>
        </w:rPr>
        <w:t xml:space="preserve">Abstract (EN): </w:t>
      </w:r>
      <w:r>
        <w:t>Uncontrolled Li deposition and dendrite growth severely limit the cycle life of Li metal batteries. Realizing (110)‐oriented Li deposition is an effective strategy for mitigating these issues. However, current regulation methods generally rely on specific substrates or constrained electrochemical conditions, limiting their universality and overlooking the intrinsic mechanical responses of Li. Here we demonstrate a stress‑driven plastic deformation mechanism that drives a nonepitaxial yet (110)‑preferred growth mode independent of external chemistry or substrate structure. The applied stress drives plastic deformation predominantly via crystallographic slip, which gradually reorients grains and strengthens the (110) texture. It markedly improves electrochemical stability, enabling Li||Li symmetric cells to cycle for over 2000 h and Li||NCM811 full cells for over 500 cycles. Importantly, this strategy relies solely on the intrinsic mechanical properties of Li, requiring neither substrate modification nor interfacial engineering, thus ensuring broad compatibility across various systems. The principle also extends to sodium metal anodes, where analogous stress‐driven (110) texture formation is achieved. This work effectively decouples crystallographic orientation control from conventional epitaxial constraints, establishing a universal mechanics‐based approach for regulating alkali metal deposition.</w:t>
      </w:r>
    </w:p>
    <w:p>
      <w:pPr>
        <w:spacing w:before="120" w:after="120"/>
      </w:pPr>
      <w:r>
        <w:rPr>
          <w:sz w:val="18"/>
        </w:rPr>
        <w:t>——————————————————————————————————————————————————————————————————————</w:t>
      </w:r>
    </w:p>
    <w:p>
      <w:pPr>
        <w:spacing w:before="160" w:after="40" w:line="240" w:lineRule="auto"/>
      </w:pPr>
      <w:r>
        <w:rPr>
          <w:b/>
        </w:rPr>
        <w:t xml:space="preserve">[20] </w:t>
      </w:r>
      <w:hyperlink r:id="rId162">
        <w:r>
          <w:rPr>
            <w:color w:val="1155CC"/>
            <w:u w:val="single"/>
          </w:rPr>
          <w:t>低温下镁金属阳极的非常规无枝晶沉积</w:t>
        </w:r>
      </w:hyperlink>
    </w:p>
    <w:p>
      <w:pPr>
        <w:spacing w:before="0" w:after="80"/>
      </w:pPr>
      <w:r>
        <w:rPr>
          <w:i/>
          <w:sz w:val="20"/>
        </w:rPr>
        <w:t>EN: Unconventional Dendrite‐Free Deposition of Mg Metal Anodes at Low Temperatures</w:t>
      </w:r>
    </w:p>
    <w:p>
      <w:pPr>
        <w:spacing w:before="0" w:after="120"/>
      </w:pPr>
      <w:r>
        <w:rPr>
          <w:b/>
        </w:rPr>
        <w:t xml:space="preserve">Source: </w:t>
      </w:r>
      <w:r>
        <w:t>Wiley: Angewandte Chemie International Edition: Table of Contents</w:t>
      </w:r>
      <w:r>
        <w:t xml:space="preserve">    </w:t>
      </w:r>
      <w:r>
        <w:rPr>
          <w:b/>
        </w:rPr>
        <w:t xml:space="preserve">Pub date: </w:t>
      </w:r>
      <w:r>
        <w:t>2026-08-26 12:39:40+00:00</w:t>
      </w:r>
      <w:r>
        <w:t xml:space="preserve">    </w:t>
      </w:r>
      <w:r>
        <w:rPr>
          <w:b/>
        </w:rPr>
        <w:t xml:space="preserve">DOI: </w:t>
      </w:r>
      <w:hyperlink r:id="rId163">
        <w:r>
          <w:rPr>
            <w:color w:val="1155CC"/>
            <w:u w:val="single"/>
          </w:rPr>
          <w:t>10.1002/anie.2311794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温度通过调节电解质的离子电导率、去溶剂化能和固体电解质界面（SEI）中的电荷转移过程，在控制金属阳极的电镀行为中发挥着关键作用。虽然低温通常会引发金属阳极（例如锂、钠和锌）上的枝晶生长，但迄今为止温度对镁电镀/剥离行为的影响仍然未知。在此，我们报告了镁阳极的非常规温度依赖性沉积行为，该行为往往在低温下形成无枝晶沉积物。低温透射电子显微镜、原子力显微镜和X射线光电子能谱的结合表明，在低温下形成的SEI层具有超薄的厚度（~2-3 nm），并且富含高模量无机化合物，有利于镁阳极的均匀沉积。因此，镁金属阳极在 -20°C 下经过 2000 次循环后，平均库仑效率高达 99.92%。这项研究证明了镁金属阳极在低温下的非常规沉积行为，支撑了其低温应用的潜力，并增进了对金属沉积的基本理解。</w:t>
      </w:r>
    </w:p>
    <w:p>
      <w:pPr>
        <w:spacing w:before="0" w:after="200" w:lineRule="auto" w:line="276"/>
      </w:pPr>
      <w:r>
        <w:rPr>
          <w:b/>
        </w:rPr>
        <w:t xml:space="preserve">Abstract (EN): </w:t>
      </w:r>
      <w:r>
        <w:t>Temperature plays a critical role in governing the plating behavior of metallic anodes by regulating ionic conductivity of the electrolyte, desolvation energy, and charge transfer processes in the solid‐electrolyte interphase (SEI). While low temperature commonly triggers dendritic growth on metallic anodes (e.g., Li, Na, and Zn), the temperature effect on Mg plating/stripping behaviors remains unknown thus far. Herein, we report an unconventional temperature‐dependent deposition behavior of Mg anodes that tends to form dendrite‐free deposits at low temperatures. Integration of cryo‐transmission electron microscopy, atomic force microscopy, and x‐ray photoelectron spectroscopy reveals that the SEI layer formed at low temperatures has an ultrathin thickness (∼2‐3 nm) and is enriched in high‐modulus inorganic compounds, which facilitates the uniform deposition of Mg anodes. As a result, the Mg metal anode realizes an exceptional average Coulombic efficiency up to 99.92% over 2000 cycles at −20°C. This study demonstrates the unconventional deposition behavior of Mg metal anodes at low temperatures, underpinning their potential for low‐temperature applications and advancing the fundamental understanding of metal deposition.</w:t>
      </w:r>
    </w:p>
    <w:p>
      <w:pPr>
        <w:spacing w:before="120" w:after="120"/>
      </w:pPr>
      <w:r>
        <w:rPr>
          <w:sz w:val="18"/>
        </w:rPr>
        <w:t>——————————————————————————————————————————————————————————————————————</w:t>
      </w:r>
    </w:p>
    <w:p>
      <w:pPr>
        <w:spacing w:before="160" w:after="40" w:line="240" w:lineRule="auto"/>
      </w:pPr>
      <w:r>
        <w:rPr>
          <w:b/>
        </w:rPr>
        <w:t xml:space="preserve">[21] </w:t>
      </w:r>
      <w:hyperlink r:id="rId128">
        <w:r>
          <w:rPr>
            <w:color w:val="1155CC"/>
            <w:u w:val="single"/>
          </w:rPr>
          <w:t>使用用于相间调节的区域异构腈添加剂实现锂离子电池的快速充电</w:t>
        </w:r>
      </w:hyperlink>
    </w:p>
    <w:p>
      <w:pPr>
        <w:spacing w:before="0" w:after="80"/>
      </w:pPr>
      <w:r>
        <w:rPr>
          <w:i/>
          <w:sz w:val="20"/>
        </w:rPr>
        <w:t>EN: Enabling Fast Charging of Lithium‐Ion Batteries With Regioisomeric Nitrile Additives for Interphase Regulation</w:t>
      </w:r>
    </w:p>
    <w:p>
      <w:pPr>
        <w:spacing w:before="0" w:after="120"/>
      </w:pPr>
      <w:r>
        <w:rPr>
          <w:b/>
        </w:rPr>
        <w:t xml:space="preserve">Source: </w:t>
      </w:r>
      <w:r>
        <w:t>Wiley: Angewandte Chemie International Edition: Table of Contents</w:t>
      </w:r>
      <w:r>
        <w:t xml:space="preserve">    </w:t>
      </w:r>
      <w:r>
        <w:rPr>
          <w:b/>
        </w:rPr>
        <w:t xml:space="preserve">Pub date: </w:t>
      </w:r>
      <w:r>
        <w:t>2026-08-27 04:23:19+00:00</w:t>
      </w:r>
      <w:r>
        <w:t xml:space="preserve">    </w:t>
      </w:r>
      <w:r>
        <w:rPr>
          <w:b/>
        </w:rPr>
        <w:t xml:space="preserve">DOI: </w:t>
      </w:r>
      <w:hyperlink r:id="rId129">
        <w:r>
          <w:rPr>
            <w:color w:val="1155CC"/>
            <w:u w:val="single"/>
          </w:rPr>
          <w:t>10.1002/anie.6426355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不稳定的电极-电解质界面（EEI）和缓慢的界面动力学，在各种工作条件下实现快速充电对于锂（Li）离子电池来说仍然具有挑战性。在这里，我们引入了一种基于腈的添加剂策略来调节界面形成，同时保持与商用 LP57 电解质的完全兼容性，从而避免了对昂贵的盐或复杂的电解质重新配制的需要。通过仅加入 0.5 wt.% 的 3-（三氟甲基）苯甲腈 (AD3)，改性电解质显着增强了 1 Ah 石墨 (Gr) 的快速充电性能 |李妮</w:t>
      </w:r>
      <w:r>
        <w:t xml:space="preserve"> </w:t>
      </w:r>
      <w:r>
        <w:t>0.8</w:t>
      </w:r>
      <w:r>
        <w:t xml:space="preserve"> </w:t>
      </w:r>
      <w:r>
        <w:t>锰</w:t>
      </w:r>
      <w:r>
        <w:t xml:space="preserve"> </w:t>
      </w:r>
      <w:r>
        <w:t>0.1</w:t>
      </w:r>
      <w:r>
        <w:t xml:space="preserve"> </w:t>
      </w:r>
      <w:r>
        <w:t>钴</w:t>
      </w:r>
      <w:r>
        <w:t xml:space="preserve"> </w:t>
      </w:r>
      <w:r>
        <w:t>0.1</w:t>
      </w:r>
      <w:r>
        <w:t xml:space="preserve"> </w:t>
      </w:r>
      <w:r>
        <w:t>氧</w:t>
      </w:r>
      <w:r>
        <w:rPr>
          <w:vertAlign w:val="subscript"/>
        </w:rPr>
        <w:t>2</w:t>
      </w:r>
      <w:r>
        <w:t>软包电池，同时还提高了低温、高温和高压稳定性。机理分析表明 AD3 从根本上改变了两个电极的界面形成。在阴极，AD3 抑制分解产物的渗透，并能够形成更薄、更均匀的阴极电解质界面。在阳极，它的优先还原导致形成薄的（10 nm）、控制良好的固体电解质界面（SEI），并有效抑制锂沉积，与 LP57 中形成的厚（450 nm）的富锂层形成鲜明对比。弛豫时间分布 (DRT) 分析证实，界面改进减少了寄生反应并降低了界面电阻。的w</w:t>
      </w:r>
    </w:p>
    <w:p>
      <w:pPr>
        <w:spacing w:before="0" w:after="200" w:lineRule="auto" w:line="276"/>
      </w:pPr>
      <w:r>
        <w:rPr>
          <w:b/>
        </w:rPr>
        <w:t xml:space="preserve">Abstract (EN): </w:t>
      </w:r>
      <w:r>
        <w:t>Achieving fast charging across a wide range of operating conditions remains challenging for lithium (Li)‐ion batteries due to unstable electrode–electrolyte interphases (EEIs) and sluggish interfacial kinetics. Here, we introduce a nitrile‐based additive strategy to regulate interphase formation, while maintaining full compatibility with the commercial LP57 electrolyte, thereby avoiding the need for expensive salts or complex electrolyte reformulation. By incorporating only 0.5 wt.% of 3‐(trifluoromethyl) benzonitrile (AD3), the modified electrolyte significantly enhances fast‐charging performance in 1 Ah Graphite (Gr) | LiNi</w:t>
      </w:r>
      <w:r>
        <w:t xml:space="preserve"> </w:t>
      </w:r>
      <w:r>
        <w:t>0.8</w:t>
      </w:r>
      <w:r>
        <w:t xml:space="preserve"> </w:t>
      </w:r>
      <w:r>
        <w:t>Mn</w:t>
      </w:r>
      <w:r>
        <w:t xml:space="preserve"> </w:t>
      </w:r>
      <w:r>
        <w:t>0.1</w:t>
      </w:r>
      <w:r>
        <w:t xml:space="preserve"> </w:t>
      </w:r>
      <w:r>
        <w:t>Co</w:t>
      </w:r>
      <w:r>
        <w:t xml:space="preserve"> </w:t>
      </w:r>
      <w:r>
        <w:t>0.1</w:t>
      </w:r>
      <w:r>
        <w:t xml:space="preserve"> </w:t>
      </w:r>
      <w:r>
        <w:t>O</w:t>
      </w:r>
      <w:r>
        <w:rPr>
          <w:vertAlign w:val="subscript"/>
        </w:rPr>
        <w:t>2</w:t>
      </w:r>
      <w:r>
        <w:t>pouch cells, while also improving low‐temperature, high‐temperature, and high‐voltage stabilities. Mechanistic analysis reveals that AD3 fundamentally alters the interphase formation at both electrodes. At the cathode, AD3 suppresses penetration of decomposition products and enables the formation of a thinner, more uniform cathode‐electrolyte interphase. At the anode, its preferential reduction leads to a thin (10 nm), well‐controlled solid‐electrolyte interphase (SEI) and effectively suppresses Li plating, in contrast to a thick (450 nm), Li‐rich layer formed in LP57. The interfacial improvements reduce parasitic reactions and lower interfacial resistance, as confirmed by distribution of relaxation times (DRT) analysis. The work demonstrates that minimal additive engineering can simultaneously stabilize interphases and enable fast charging, offering a cost‐effective, industry‐compatible pathway for next‐generation Li‐ion batteries.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164">
        <w:r>
          <w:rPr>
            <w:color w:val="1155CC"/>
            <w:u w:val="single"/>
          </w:rPr>
          <w:t>Li2– x La(1+ x )/3Nb2O6F 单晶中迁移耦合的局部氟化物弛豫</w:t>
        </w:r>
      </w:hyperlink>
    </w:p>
    <w:p>
      <w:pPr>
        <w:spacing w:before="0" w:after="80"/>
      </w:pPr>
      <w:r>
        <w:rPr>
          <w:i/>
          <w:sz w:val="20"/>
        </w:rPr>
        <w:t>EN: Migration-Coupled Local Fluoride Relaxation in Li2– x La(1+ x )/3Nb2O6F Single Crystals</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165">
        <w:r>
          <w:rPr>
            <w:color w:val="1155CC"/>
            <w:u w:val="single"/>
          </w:rPr>
          <w:t>10.1021/jacs.6c08912</w:t>
        </w:r>
      </w:hyperlink>
    </w:p>
    <w:p>
      <w:pPr>
        <w:spacing w:before="0" w:after="120"/>
      </w:pPr>
      <w:r>
        <w:rPr>
          <w:b/>
        </w:rPr>
        <w:t xml:space="preserve">Notes: </w:t>
      </w:r>
      <w:r>
        <w:t>abstract_source=crossref</w:t>
      </w:r>
    </w:p>
    <w:p>
      <w:pPr>
        <w:spacing w:before="0" w:after="80" w:lineRule="auto" w:line="276"/>
      </w:pPr>
      <w:r>
        <w:rPr>
          <w:b/>
        </w:rPr>
        <w:t xml:space="preserve">摘要（ZH）: </w:t>
      </w:r>
      <w:r>
        <w:t>摘要 在化学性质稳定的固体电解质中，特别是氧化物和氟氧化物，很难实现高锂离子电导率，因为它们刚性的、不易极化的阴离子框架通常会产生高迁移势垒。烧绿石型氟氧化物Li2–xLa(1+x)/3Nb2O6F (LLNOF)是一个不寻常的例子，它结合了高体积锂离子电导率和低活化能，但这种行为的起源仍不清楚，很大程度上是因为还没有单晶研究。在这里，我们报告了毫米级 LLNOF 单晶的首次生长，并建立了近各向同性的块状锂离子传导。体积锂离子电导率随着 x 的减小而增加，在 25 °C 时达到 16.3 mS cm-1，而活化能系统地降低。单晶X射线衍射和最大熵法分析表明，立方烧绿石骨架得以保留，而F位点周围的电子密度分布包含朝向邻近16d位点的定向偏心分量。该分量在 150 K 时解析为密度最大值，并在室温下以相同位移保留为肩部，表明局部偏心分量仍然存在，但已热平均。总之，这些观察结果支持氟化物环境的局部重排与锂/空位交换相结合。他们认为迁移耦合的局部氟化物弛豫是在缺乏高度极化阴离子框架的化学稳定固体中低势垒锂离子传输的可行机制。</w:t>
      </w:r>
    </w:p>
    <w:p>
      <w:pPr>
        <w:spacing w:before="0" w:after="200" w:lineRule="auto" w:line="276"/>
      </w:pPr>
      <w:r>
        <w:rPr>
          <w:b/>
        </w:rPr>
        <w:t xml:space="preserve">Abstract (EN): </w:t>
      </w:r>
      <w:r>
        <w:t>High Li–ion conductivity is difficult to achieve in chemically robust solid electrolytes, especially oxides and oxyfluorides, because their rigid, less polarizable anion frameworks generally give rise to high migration barriers. The pyrochlore-type oxyfluoride Li2–xLa(1+x)/3Nb2O6F (LLNOF) is an unusual example that combines high bulk Li–ion conductivity with a low activation energy, but the origin of this behavior has remained unclear, largely because no single-crystal study has been available. Here we report the first growth of millimeter-sized LLNOF single crystals and establish nearly isotropic bulk Li–ion conduction. The bulk Li–ion conductivity increases with decreasing x, reaching 16.3 mS cm–1 at 25 °C, while the activation energy decreases systematically. Single-crystal X-ray diffraction and maximum entropy method analyses reveal that the cubic pyrochlore framework is retained, while the electron-density distribution around the F site contains a directional off-centered component toward neighboring 16d sites. This component is resolved as a density maximum at 150 K and remains as a shoulder at the same displacement at room temperature, indicating that the local off-centered component persists but is thermally averaged. Together, these observations support a local rearrangement of the fluoride environment coupled to Li/vacancy exchange. They identify migration-coupled local fluoride relaxation as a viable mechanism for low-barrier Li–ion transport in chemically robust solids lacking highly polarizable anion frameworks.</w:t>
      </w:r>
    </w:p>
    <w:p>
      <w:pPr>
        <w:spacing w:before="120" w:after="120"/>
      </w:pPr>
      <w:r>
        <w:rPr>
          <w:sz w:val="18"/>
        </w:rPr>
        <w:t>——————————————————————————————————————————————————————————————————————</w:t>
      </w:r>
    </w:p>
    <w:p>
      <w:pPr>
        <w:spacing w:before="160" w:after="40" w:line="240" w:lineRule="auto"/>
      </w:pPr>
      <w:r>
        <w:rPr>
          <w:b/>
        </w:rPr>
        <w:t xml:space="preserve">[2] </w:t>
      </w:r>
      <w:hyperlink r:id="rId134">
        <w:r>
          <w:rPr>
            <w:color w:val="1155CC"/>
            <w:u w:val="single"/>
          </w:rPr>
          <w:t>锂离子电池硅基阳极电解质介导的界面工程：从液态到准固态和全固态系统</w:t>
        </w:r>
      </w:hyperlink>
    </w:p>
    <w:p>
      <w:pPr>
        <w:spacing w:before="0" w:after="80"/>
      </w:pPr>
      <w:r>
        <w:rPr>
          <w:i/>
          <w:sz w:val="20"/>
        </w:rPr>
        <w:t>EN: Electrolyte-mediated interfacial engineering for silicon-based anodes in lithium-ion batteries: From liquid to quasi-solid and all-solid-state systems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135">
        <w:r>
          <w:rPr>
            <w:color w:val="1155CC"/>
            <w:u w:val="single"/>
          </w:rPr>
          <w:t>10.1016/j.apenergy.2026.128654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66">
        <w:r>
          <w:rPr>
            <w:color w:val="1155CC"/>
            <w:u w:val="single"/>
          </w:rPr>
          <w:t>协同三相电解质设计使 4.6 V LiCoO2 准固态电池具有超长循环性能</w:t>
        </w:r>
      </w:hyperlink>
    </w:p>
    <w:p>
      <w:pPr>
        <w:spacing w:before="0" w:after="80"/>
      </w:pPr>
      <w:r>
        <w:rPr>
          <w:i/>
          <w:sz w:val="20"/>
        </w:rPr>
        <w:t>EN: A Synergistic Triphase Electrolyte Design Enables 4.6 V LiCoO2 Quasi‐Solid‐State Batteries with Ultra‐Long Cycling</w:t>
      </w:r>
    </w:p>
    <w:p>
      <w:pPr>
        <w:spacing w:before="0" w:after="120"/>
      </w:pPr>
      <w:r>
        <w:rPr>
          <w:b/>
        </w:rPr>
        <w:t xml:space="preserve">Source: </w:t>
      </w:r>
      <w:r>
        <w:t>Wiley: Advanced Materials: Table of Contents</w:t>
      </w:r>
      <w:r>
        <w:t xml:space="preserve">    </w:t>
      </w:r>
      <w:r>
        <w:rPr>
          <w:b/>
        </w:rPr>
        <w:t xml:space="preserve">Pub date: </w:t>
      </w:r>
      <w:r>
        <w:t>2026-08-21 11:18:38+00:00</w:t>
      </w:r>
      <w:r>
        <w:t xml:space="preserve">    </w:t>
      </w:r>
      <w:r>
        <w:rPr>
          <w:b/>
        </w:rPr>
        <w:t xml:space="preserve">DOI: </w:t>
      </w:r>
      <w:hyperlink r:id="rId167">
        <w:r>
          <w:rPr>
            <w:color w:val="1155CC"/>
            <w:u w:val="single"/>
          </w:rPr>
          <w:t>10.1002/adma.74770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推挤钴酸锂</w:t>
      </w:r>
      <w:r>
        <w:rPr>
          <w:vertAlign w:val="subscript"/>
        </w:rPr>
        <w:t>2</w:t>
      </w:r>
      <w:r>
        <w:t>≥4.5 V 会导致耦合退化：电解质氧化和阴极结构崩溃，尤其是在高倍率下。在这里，我们提出了一种三相协同凝胶电解质来解决这两种故障模式。该系统通过原位热聚合构建，集成了富含醚的交联聚合物网络、具有路易斯酸碱位点的表面活化氮化铝填料和氟化电解质。该设计规范了Li</w:t>
      </w:r>
      <w:r>
        <w:t xml:space="preserve"> </w:t>
      </w:r>
      <w:r>
        <w:t>+</w:t>
      </w:r>
      <w:r>
        <w:t xml:space="preserve"> </w:t>
      </w:r>
      <w:r>
        <w:t>运输，限制自由溶剂分子，并重建溶剂化鞘。更重要的是，它在早期诱导出均匀的、富含无机物的阴极-电解质界面。因此，LiCoO</w:t>
      </w:r>
      <w:r>
        <w:rPr>
          <w:vertAlign w:val="subscript"/>
        </w:rPr>
        <w:t>2</w:t>
      </w:r>
      <w:r>
        <w:t>基于 的准固态电池具有卓越的稳定性：在 4.6 V 和 5 C 下循环超过 1000 次，每个循环平均衰减仅为 ∼0.03%，在实际 Si-C||LiCoO 中循环 500 次后容量保持率为 85.98%</w:t>
      </w:r>
      <w:r>
        <w:rPr>
          <w:vertAlign w:val="subscript"/>
        </w:rPr>
        <w:t>2</w:t>
      </w:r>
      <w:r>
        <w:t>袋状电池。 Operando EIS-DRT 分析表明，三相电解质显着抑制了高电压下相间相关极化的增长和波动，使得剩余的阻抗演化更多地受传输/接触过程控制。这项工作表明，通过协同电解质设计解耦界面和结构退化是实现高电压、高功率、长寿命准固态电池的关键。</w:t>
      </w:r>
    </w:p>
    <w:p>
      <w:pPr>
        <w:spacing w:before="0" w:after="200" w:lineRule="auto" w:line="276"/>
      </w:pPr>
      <w:r>
        <w:rPr>
          <w:b/>
        </w:rPr>
        <w:t xml:space="preserve">Abstract (EN): </w:t>
      </w:r>
      <w:r>
        <w:t>Pushing LiCoO</w:t>
      </w:r>
      <w:r>
        <w:rPr>
          <w:vertAlign w:val="subscript"/>
        </w:rPr>
        <w:t>2</w:t>
      </w:r>
      <w:r>
        <w:t>to ≥4.5 V causes coupled degradation: electrolyte oxidation and cathode structural collapse, especially at high rates. Here, we propose a triphase synergistic gel‐electrolyte to tackle both failure modes. The system, constructed by in situ thermal polymerization, integrates an ether‐rich crosslinked polymer network, surface‐activated AlN fillers with Lewis acid–base sites, and a fluorinated electrolyte. This design regulates Li</w:t>
      </w:r>
      <w:r>
        <w:t xml:space="preserve"> </w:t>
      </w:r>
      <w:r>
        <w:t>+</w:t>
      </w:r>
      <w:r>
        <w:t xml:space="preserve"> </w:t>
      </w:r>
      <w:r>
        <w:t>transport, confines free solvent molecules, and reconstructs the solvation sheath. More importantly, it induces a uniform, inorganic‐rich cathode–electrolyte interphase at an early stage. Consequently, LiCoO</w:t>
      </w:r>
      <w:r>
        <w:rPr>
          <w:vertAlign w:val="subscript"/>
        </w:rPr>
        <w:t>2</w:t>
      </w:r>
      <w:r>
        <w:t>‐based quasi‐solid‐state cells deliver exceptional stability: over 1000 cycles at 4.6 V and 5 C with an average decay of only ∼0.03% per cycle, and 85.98% capacity retention after 500 cycles in practical Si–C||LiCoO</w:t>
      </w:r>
      <w:r>
        <w:rPr>
          <w:vertAlign w:val="subscript"/>
        </w:rPr>
        <w:t>2</w:t>
      </w:r>
      <w:r>
        <w:t>pouch cells. Operando EIS‐DRT analysis reveals that the triphase electrolyte substantially suppresses the growth and fluctuation of interphase‐related polarization at high voltage, making the remaining impedance evolution more governed by transport/contact processes. This work demonstrates that decoupling interfacial and structural degradation through a synergistic electrolyte design is key to realizing high‐voltage, high‐power, long‐life quasi‐solid‐state batteries.</w:t>
      </w:r>
    </w:p>
    <w:p>
      <w:pPr>
        <w:spacing w:before="120" w:after="120"/>
      </w:pPr>
      <w:r>
        <w:rPr>
          <w:sz w:val="18"/>
        </w:rPr>
        <w:t>——————————————————————————————————————————————————————————————————————</w:t>
      </w:r>
    </w:p>
    <w:p>
      <w:pPr>
        <w:spacing w:before="160" w:after="40" w:line="240" w:lineRule="auto"/>
      </w:pPr>
      <w:r>
        <w:rPr>
          <w:b/>
        </w:rPr>
        <w:t xml:space="preserve">[4] </w:t>
      </w:r>
      <w:hyperlink r:id="rId168">
        <w:r>
          <w:rPr>
            <w:color w:val="1155CC"/>
            <w:u w:val="single"/>
          </w:rPr>
          <w:t>用于导航亚稳态 α-Li₃PS4 成核和淬火性的时间-温度-变换图</w:t>
        </w:r>
      </w:hyperlink>
    </w:p>
    <w:p>
      <w:pPr>
        <w:spacing w:before="0" w:after="80"/>
      </w:pPr>
      <w:r>
        <w:rPr>
          <w:i/>
          <w:sz w:val="20"/>
        </w:rPr>
        <w:t>EN: Time-Temperature-Transformation Diagrams to Navigate the Nucleation and Quenchability of Metastable α-Li₃PS4</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α-Li₃PS₄是一种有前途的固态电解质，在其多晶型物中具有最高的离子电导率。然而，它的形成呈现出热力学悖论：α相在高温下是平衡相，当冷却到室温时转变为稳定的γ-Li3PS4多晶型；然而，α-Li3PS4 可以通过在相对较低的温度下快速加热来合成并淬灭至亚稳态。这种可合成性和异常稳定性的起源仍然难以捉摸。在这里，我们通过提出一个实验和计算的时间-温度-变换（TTT）图来解决这个悖论，该图是根据温度-尺寸相图和实验高时间分辨率等温测量构建的。我们的密度泛函理论计算表明，在纳米尺度上，α相因其低表面能而稳定，这在很宽的温度范围内大大降低了其成核势垒。使用原位亚秒同步加速器 X 射线衍射和电子显微镜可以直接观察到这种尺寸依赖性的稳定性，捕获纳米级 α-Li3PS4 的快速成核及其随后的缓慢转变。这项工作提出了一个综合了热力学和动力学因素的通用框架，用于理解成核和相变机制，为功能性亚稳态材料的靶向合成提供了合理的策略。</w:t>
      </w:r>
    </w:p>
    <w:p>
      <w:pPr>
        <w:spacing w:before="0" w:after="200" w:lineRule="auto" w:line="276"/>
      </w:pPr>
      <w:r>
        <w:rPr>
          <w:b/>
        </w:rPr>
        <w:t xml:space="preserve">Abstract (EN): </w:t>
      </w:r>
      <w:r>
        <w:t>α-Li₃PS₄ is a promising solid-state electrolyte with the highest ionic conductivity among its polymorphs. However, its formation presents a thermodynamic paradox: the α-phase is the equilibrium phase at high temperature and transforms to the stable γ-Li3PS4 polymorph when cooled to room temperature; however, α-Li3PS4 can be synthesized and quenched in a metastable state via rapid heating at relatively low temperatures. The origin of this synthesizability and anomalous stability has remained elusive. Here, we address this paradox by presenting an experimental and computational time-temperature-transformation (TTT) diagram, constructed from a temperature-size phase diagram and experimental high-time-resolution isothermal measurements. Our density functional theory calculations reveal that at the nanoscale, the α-phase is stabilized by its low surface energy, which drastically lowers its nucleation barrier across a wide temperature range. This size-dependent stabilization is directly visualized using in-situ sub-second synchrotron X-ray diffraction and electron microscopy, capturing the rapid nucleation of nano-sized α-Li3PS4 and its subsequent slow transformation. This work presents a generalizable framework that integrates thermodynamic and kinetic factors for understanding nucleation and phase transformation mechanisms, providing a rational strategy for the targeted synthesis of functional metastable materials.</w:t>
      </w:r>
    </w:p>
    <w:p>
      <w:pPr>
        <w:spacing w:before="120" w:after="120"/>
      </w:pPr>
      <w:r>
        <w:rPr>
          <w:sz w:val="18"/>
        </w:rPr>
        <w:t>——————————————————————————————————————————————————————————————————————</w:t>
      </w:r>
    </w:p>
    <w:p>
      <w:pPr>
        <w:spacing w:before="160" w:after="40" w:line="240" w:lineRule="auto"/>
      </w:pPr>
      <w:r>
        <w:rPr>
          <w:b/>
        </w:rPr>
        <w:t xml:space="preserve">[5] </w:t>
      </w:r>
      <w:hyperlink r:id="rId169">
        <w:r>
          <w:rPr>
            <w:color w:val="1155CC"/>
            <w:u w:val="single"/>
          </w:rPr>
          <w:t>超越表面催化：用于水性多硫化物电化学的动态阳离子调节界面水门控</w:t>
        </w:r>
      </w:hyperlink>
    </w:p>
    <w:p>
      <w:pPr>
        <w:spacing w:before="0" w:after="80"/>
      </w:pPr>
      <w:r>
        <w:rPr>
          <w:i/>
          <w:sz w:val="20"/>
        </w:rPr>
        <w:t>EN: Beyond Surface Catalysis: Dynamic Cation‐Regulated Interfacial Water Gating for Aqueous Polysulfide Electrochemistry</w:t>
      </w:r>
    </w:p>
    <w:p>
      <w:pPr>
        <w:spacing w:before="0" w:after="120"/>
      </w:pPr>
      <w:r>
        <w:rPr>
          <w:b/>
        </w:rPr>
        <w:t xml:space="preserve">Source: </w:t>
      </w:r>
      <w:r>
        <w:t>Wiley: Angewandte Chemie International Edition: Table of Contents</w:t>
      </w:r>
      <w:r>
        <w:t xml:space="preserve">    </w:t>
      </w:r>
      <w:r>
        <w:rPr>
          <w:b/>
        </w:rPr>
        <w:t xml:space="preserve">Pub date: </w:t>
      </w:r>
      <w:r>
        <w:t>2026-08-22 09:15:09+00:00</w:t>
      </w:r>
      <w:r>
        <w:t xml:space="preserve">    </w:t>
      </w:r>
      <w:r>
        <w:rPr>
          <w:b/>
        </w:rPr>
        <w:t xml:space="preserve">DOI: </w:t>
      </w:r>
      <w:hyperlink r:id="rId170">
        <w:r>
          <w:rPr>
            <w:color w:val="1155CC"/>
            <w:u w:val="single"/>
          </w:rPr>
          <w:t>10.1002/anie.6113925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硫电化学在高能量密度存储方面具有广阔的前景，但目前受到缓慢的氧化还原动力学和严重极化的限制。尽管在催化剂设计方面做出了大量努力来增强多硫化物的吸附，但动力学改进基本上处于停滞状态，这表明局部表面活性位点不再是主要瓶颈。通过超越对表面活性位点的传统关注，我们确定了由双电层（EDL）结构控制的基本动力学限制，该结构作为被动背景在很大程度上被忽视。我们提出了一种通用的界面水门控框架，其中电解质阳离子动态调节 EDL 内的氢键网络和静电屏蔽，以调节多硫化物的可及性。通过整合</w:t>
      </w:r>
      <w:r>
        <w:t xml:space="preserve"> </w:t>
      </w:r>
      <w:r>
        <w:t>操作</w:t>
      </w:r>
      <w:r>
        <w:t xml:space="preserve"> </w:t>
      </w:r>
      <w:r>
        <w:t>紫外可见光谱和原位衰减全反射表面增强红外吸收光谱（ATR-SEIRAS），我们揭示了阳离子水合介导的氧化还原动力学对阳离子浓度的火山型依赖性，这是由静电阳离子屏蔽和空间界面拥塞之间的竞争决定的。我们的研究结果将界面水重新定义为动态可调介质和氧化还原反应的参与成分。这项工作将焦点从局部表面催化转移到全局 EDL 调节，为克服多价水电化学系统的动力学极限提供了分子水平的指导。</w:t>
      </w:r>
    </w:p>
    <w:p>
      <w:pPr>
        <w:spacing w:before="0" w:after="200" w:lineRule="auto" w:line="276"/>
      </w:pPr>
      <w:r>
        <w:rPr>
          <w:b/>
        </w:rPr>
        <w:t xml:space="preserve">Abstract (EN): </w:t>
      </w:r>
      <w:r>
        <w:t>Aqueous sulfur electrochemistry holds great promise for high‐energy density storage but is currently constrained by sluggish redox kinetics and severe polarization. Despite extensive efforts in catalyst design to enhance polysulfide adsorption, kinetic improvements have largely plateaued, suggesting that localized surface‐active sites are no longer the primary bottleneck. By transcending the conventional focus on surface‐active sites, we identify a fundamental kinetic limitation governed by the electrical double layer (EDL) structure, which has been largely overlooked as a passive background. We propose a generalizable framework of interfacial water gating, wherein electrolyte cations dynamically modulate the hydrogen‐bond network and electrostatic shielding within the EDL to regulate polysulfide accessibility. By integrating</w:t>
      </w:r>
      <w:r>
        <w:t xml:space="preserve"> </w:t>
      </w:r>
      <w:r>
        <w:t>operando</w:t>
      </w:r>
      <w:r>
        <w:t xml:space="preserve"> </w:t>
      </w:r>
      <w:r>
        <w:t>UV–visible spectroscopy and in situ attenuated total reflection surface‐enhanced infrared absorption spectroscopy (ATR‐SEIRAS), we reveal a cation‐hydration‐mediated, volcano‐type dependence of redox kinetics on cation concentration, dictated by the competition between electrostatic cation‐shielding and steric interfacial congestion. Our findings redefine interfacial water as a dynamic tunable medium and a participatory component of the redox reaction. This work shifts the focus from localized surface catalysis to global EDL regulation, providing molecular‐level guidance for overcoming kinetic limits in multivalent aqueous electrochemical systems.</w:t>
      </w:r>
    </w:p>
    <w:p>
      <w:pPr>
        <w:spacing w:before="120" w:after="120"/>
      </w:pPr>
      <w:r>
        <w:rPr>
          <w:sz w:val="18"/>
        </w:rPr>
        <w:t>——————————————————————————————————————————————————————————————————————</w:t>
      </w:r>
    </w:p>
    <w:p>
      <w:pPr>
        <w:spacing w:before="160" w:after="40" w:line="240" w:lineRule="auto"/>
      </w:pPr>
      <w:r>
        <w:rPr>
          <w:b/>
        </w:rPr>
        <w:t xml:space="preserve">[6] </w:t>
      </w:r>
      <w:hyperlink r:id="rId171">
        <w:r>
          <w:rPr>
            <w:color w:val="1155CC"/>
            <w:u w:val="single"/>
          </w:rPr>
          <w:t>通过一步顺序原位聚合设计锂+动力学缓冲和阴离子锚定界面相以实现稳定的固体锂金属电池</w:t>
        </w:r>
      </w:hyperlink>
    </w:p>
    <w:p>
      <w:pPr>
        <w:spacing w:before="0" w:after="80"/>
      </w:pPr>
      <w:r>
        <w:rPr>
          <w:i/>
          <w:sz w:val="20"/>
        </w:rPr>
        <w:t>EN: Engineering Li+ Kinetic‐Buffering and Anion‐Anchoring Interphase via One‐Step Sequential In Situ Polymerization for Stable Solid Li Metal Batteries</w:t>
      </w:r>
    </w:p>
    <w:p>
      <w:pPr>
        <w:spacing w:before="0" w:after="120"/>
      </w:pPr>
      <w:r>
        <w:rPr>
          <w:b/>
        </w:rPr>
        <w:t xml:space="preserve">Source: </w:t>
      </w:r>
      <w:r>
        <w:t>Wiley: Angewandte Chemie International Edition: Table of Contents</w:t>
      </w:r>
      <w:r>
        <w:t xml:space="preserve">    </w:t>
      </w:r>
      <w:r>
        <w:rPr>
          <w:b/>
        </w:rPr>
        <w:t xml:space="preserve">Pub date: </w:t>
      </w:r>
      <w:r>
        <w:t>2026-08-22 09:32:45+00:00</w:t>
      </w:r>
      <w:r>
        <w:t xml:space="preserve">    </w:t>
      </w:r>
      <w:r>
        <w:rPr>
          <w:b/>
        </w:rPr>
        <w:t xml:space="preserve">DOI: </w:t>
      </w:r>
      <w:hyperlink r:id="rId172">
        <w:r>
          <w:rPr>
            <w:color w:val="1155CC"/>
            <w:u w:val="single"/>
          </w:rPr>
          <w:t>10.1002/anie.1504807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不受管制的锂阻碍了对高能固态锂金属电池的追求</w:t>
      </w:r>
      <w:r>
        <w:t xml:space="preserve"> </w:t>
      </w:r>
      <w:r>
        <w:t>+</w:t>
      </w:r>
      <w:r>
        <w:t xml:space="preserve"> </w:t>
      </w:r>
      <w:r>
        <w:t>电解质/阳极界面的沉积动力学。目前的研究通常侧重于增强整体离子电导率，往往忽视了设计界面 Li+ 动力学的关键需求。在这里，我们报告了一种通过一步顺序原位聚合构建的动力学调制双层固体聚合物电解质。利用由快速自由基聚合和缓慢阳离子开环组成的独特动力学反应，在聚（1,3,5-三恶烷）基质和锂阳极之间自发地设计出薄的、富含氟的 PHFBMA 界面。该界面充当 Li</w:t>
      </w:r>
      <w:r>
        <w:t xml:space="preserve"> </w:t>
      </w:r>
      <w:r>
        <w:t>+</w:t>
      </w:r>
      <w:r>
        <w:t xml:space="preserve"> </w:t>
      </w:r>
      <w:r>
        <w:t>动力学缓冲和阴离子锚定区，不仅增强界面化学/机械稳定性，而且协同固定 FSI</w:t>
      </w:r>
      <w:r>
        <w:t xml:space="preserve"> </w:t>
      </w:r>
      <w:r>
        <w:t>-</w:t>
      </w:r>
      <w:r>
        <w:t>阴离子和Li</w:t>
      </w:r>
      <w:r>
        <w:t xml:space="preserve"> </w:t>
      </w:r>
      <w:r>
        <w:t>+</w:t>
      </w:r>
      <w:r>
        <w:t xml:space="preserve"> </w:t>
      </w:r>
      <w:r>
        <w:t>，打造本土化高丽</w:t>
      </w:r>
      <w:r>
        <w:t xml:space="preserve"> </w:t>
      </w:r>
      <w:r>
        <w:t>+</w:t>
      </w:r>
      <w:r>
        <w:t xml:space="preserve"> </w:t>
      </w:r>
      <w:r>
        <w:t>浓度。由此产生的结构建立了一个引导离子传输路径，其中Li</w:t>
      </w:r>
      <w:r>
        <w:t xml:space="preserve"> </w:t>
      </w:r>
      <w:r>
        <w:t>+</w:t>
      </w:r>
      <w:r>
        <w:t xml:space="preserve"> </w:t>
      </w:r>
      <w:r>
        <w:t>通量首先“加速”穿过双层聚合物电解质的界面（由 Li 促进）</w:t>
      </w:r>
      <w:r>
        <w:t xml:space="preserve"> </w:t>
      </w:r>
      <w:r>
        <w:t>+</w:t>
      </w:r>
      <w:r>
        <w:t xml:space="preserve"> </w:t>
      </w:r>
      <w:r>
        <w:t>固定化），然后“缓冲”并均质化，然后沉积到锂金属表面（通过局部高锂确保</w:t>
      </w:r>
      <w:r>
        <w:t xml:space="preserve"> </w:t>
      </w:r>
      <w:r>
        <w:t>+</w:t>
      </w:r>
    </w:p>
    <w:p>
      <w:pPr>
        <w:spacing w:before="0" w:after="200" w:lineRule="auto" w:line="276"/>
      </w:pPr>
      <w:r>
        <w:rPr>
          <w:b/>
        </w:rPr>
        <w:t xml:space="preserve">Abstract (EN): </w:t>
      </w:r>
      <w:r>
        <w:t>The pursuit of high‐energy solid‐state Li metal batteries is hindered by unregulated Li</w:t>
      </w:r>
      <w:r>
        <w:t xml:space="preserve"> </w:t>
      </w:r>
      <w:r>
        <w:t>+</w:t>
      </w:r>
      <w:r>
        <w:t xml:space="preserve"> </w:t>
      </w:r>
      <w:r>
        <w:t>deposition kinetics at the electrolyte/anode interface. Current research generally focuses on enhancing bulk ionic conductivity, often overlooking the critical need to engineer interfacial Li+ kinetics. Here, we report a kinetically modulated bilayer solid polymer electrolyte constructed by one‐step sequential in situ polymerization. Distinct kinetics reactions consisting of fast radical polymerization followed by slow cationic ring‐opening is exploited to spontaneously engineer a thin, fluorine‐rich PHFBMA interphase between a poly(1,3,5‐trioxane) matrix and Li anode. This interphase functions as a Li</w:t>
      </w:r>
      <w:r>
        <w:t xml:space="preserve"> </w:t>
      </w:r>
      <w:r>
        <w:t>+</w:t>
      </w:r>
      <w:r>
        <w:t xml:space="preserve"> </w:t>
      </w:r>
      <w:r>
        <w:t>kinetic‐buffering and anion‐anchoring zone, which not only enhances interfacial chemical/mechanical stability, but also synergistically immobilizes FSI</w:t>
      </w:r>
      <w:r>
        <w:t xml:space="preserve"> </w:t>
      </w:r>
      <w:r>
        <w:t>−</w:t>
      </w:r>
      <w:r>
        <w:t>anions and Li</w:t>
      </w:r>
      <w:r>
        <w:t xml:space="preserve"> </w:t>
      </w:r>
      <w:r>
        <w:t>+</w:t>
      </w:r>
      <w:r>
        <w:t xml:space="preserve"> </w:t>
      </w:r>
      <w:r>
        <w:t>, creating a localized high Li</w:t>
      </w:r>
      <w:r>
        <w:t xml:space="preserve"> </w:t>
      </w:r>
      <w:r>
        <w:t>+</w:t>
      </w:r>
      <w:r>
        <w:t xml:space="preserve"> </w:t>
      </w:r>
      <w:r>
        <w:t>concentration. The resulting architecture establishes a guided ion‐transport pathway, where Li</w:t>
      </w:r>
      <w:r>
        <w:t xml:space="preserve"> </w:t>
      </w:r>
      <w:r>
        <w:t>+</w:t>
      </w:r>
      <w:r>
        <w:t xml:space="preserve"> </w:t>
      </w:r>
      <w:r>
        <w:t>flux is first “accelerated” across the interphase of bilayer polymer electrolyte (facilitated by Li</w:t>
      </w:r>
      <w:r>
        <w:t xml:space="preserve"> </w:t>
      </w:r>
      <w:r>
        <w:t>+</w:t>
      </w:r>
      <w:r>
        <w:t xml:space="preserve"> </w:t>
      </w:r>
      <w:r>
        <w:t>immobilization), and then “buffered” and homogenized before deposition onto the Li metal surface (ensured by localized high Li</w:t>
      </w:r>
      <w:r>
        <w:t xml:space="preserve"> </w:t>
      </w:r>
      <w:r>
        <w:t>+</w:t>
      </w:r>
      <w:r>
        <w:t xml:space="preserve"> </w:t>
      </w:r>
      <w:r>
        <w:t>concentration). Consequently, Li||Li symmetric cells demonstrate stable cycling over 1500 h and Li||LiFePO</w:t>
      </w:r>
      <w:r>
        <w:rPr>
          <w:vertAlign w:val="subscript"/>
        </w:rPr>
        <w:t>4</w:t>
      </w:r>
      <w:r>
        <w:t>can maintain ∼100% capacity after 3500 cycles at 5.0 C.</w:t>
      </w:r>
    </w:p>
    <w:p>
      <w:pPr>
        <w:spacing w:before="120" w:after="120"/>
      </w:pPr>
      <w:r>
        <w:rPr>
          <w:sz w:val="18"/>
        </w:rPr>
        <w:t>——————————————————————————————————————————————————————————————————————</w:t>
      </w:r>
    </w:p>
    <w:p>
      <w:pPr>
        <w:spacing w:before="160" w:after="40" w:line="240" w:lineRule="auto"/>
      </w:pPr>
      <w:r>
        <w:rPr>
          <w:b/>
        </w:rPr>
        <w:t xml:space="preserve">[7] </w:t>
      </w:r>
      <w:hyperlink r:id="rId173">
        <w:r>
          <w:rPr>
            <w:color w:val="1155CC"/>
            <w:u w:val="single"/>
          </w:rPr>
          <w:t>氘代非质子电解质使可充电锂电池具有高（电）化学和热稳定性</w:t>
        </w:r>
      </w:hyperlink>
    </w:p>
    <w:p>
      <w:pPr>
        <w:spacing w:before="0" w:after="80"/>
      </w:pPr>
      <w:r>
        <w:rPr>
          <w:i/>
          <w:sz w:val="20"/>
        </w:rPr>
        <w:t>EN: Deuterated Aprotic Electrolytes Enable Rechargeable Lithium Batteries With High (Electro)Chemical and Thermal Stability</w:t>
      </w:r>
    </w:p>
    <w:p>
      <w:pPr>
        <w:spacing w:before="0" w:after="120"/>
      </w:pPr>
      <w:r>
        <w:rPr>
          <w:b/>
        </w:rPr>
        <w:t xml:space="preserve">Source: </w:t>
      </w:r>
      <w:r>
        <w:t>Wiley: Angewandte Chemie International Edition: Table of Contents</w:t>
      </w:r>
      <w:r>
        <w:t xml:space="preserve">    </w:t>
      </w:r>
      <w:r>
        <w:rPr>
          <w:b/>
        </w:rPr>
        <w:t xml:space="preserve">Pub date: </w:t>
      </w:r>
      <w:r>
        <w:t>2026-08-23 17:49:10+00:00</w:t>
      </w:r>
      <w:r>
        <w:t xml:space="preserve">    </w:t>
      </w:r>
      <w:r>
        <w:rPr>
          <w:b/>
        </w:rPr>
        <w:t xml:space="preserve">DOI: </w:t>
      </w:r>
      <w:hyperlink r:id="rId174">
        <w:r>
          <w:rPr>
            <w:color w:val="1155CC"/>
            <w:u w:val="single"/>
          </w:rPr>
          <w:t>10.1002/anie.6024891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优异（电）化学和热稳定性的电解质是高能量密度可充电锂电池的重要先决条件。传统的非质子醚和酯溶剂含有可极化的C─H键，会引发高压正极表面的寄生质子转移反应，导致电解液放热分解，损害电池循环稳定性和安全性。在这里，我们证明可极化 C-H 部分的氘取代引入了动力学和热力学同位素效应，以延迟质子转移并降低溶剂氧化吉布斯自由能。因此，氘化电解质在层状氧化物阴极的高压充放电过程中表现出改善的阳极稳定性和减轻的分解，形成紧凑且坚固的阴极电解质界面，并抑制CO</w:t>
      </w:r>
      <w:r>
        <w:rPr>
          <w:vertAlign w:val="subscript"/>
        </w:rPr>
        <w:t>2</w:t>
      </w:r>
      <w:r>
        <w:t>释放。与质子化类似物相比，氘化溶剂的燃烧热函也较低，这意味着热量产生显着减少，如量热测量所证实。使用氘代四氢呋喃和碳酸二甲酯作为模型溶剂，我们验证了此类电解质能够实现可逆的阴极电化学，并显着改善 Li||LiNi 的循环性能和热安全性</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电池。这种亚原子修饰</w:t>
      </w:r>
    </w:p>
    <w:p>
      <w:pPr>
        <w:spacing w:before="0" w:after="200" w:lineRule="auto" w:line="276"/>
      </w:pPr>
      <w:r>
        <w:rPr>
          <w:b/>
        </w:rPr>
        <w:t xml:space="preserve">Abstract (EN): </w:t>
      </w:r>
      <w:r>
        <w:t>Electrolytes with exceptional (electro)chemical and thermal stability are essential prerequisites for high‐energy‐density rechargeable lithium batteries. Conventional aprotic ether and ester solvents contain polarizable C─H bonds that trigger parasitic proton transfer reactions on the high‐voltage cathode surface, driving exothermic electrolyte decomposition and impairing battery cycling stability and safety. Here, we show that deuterium substitution at polarizable C–H moieties introduces kinetic and thermodynamic isotope effects to retard proton transfer and lower solvent oxidation Gibbs free energy. Consequently, the deuterated electrolytes exhibit improved anodic stability and mitigated decomposition during high‐voltage charge–discharge of layered oxide cathodes, forming a compact and robust cathode–electrolyte interphase with suppressed CO</w:t>
      </w:r>
      <w:r>
        <w:rPr>
          <w:vertAlign w:val="subscript"/>
        </w:rPr>
        <w:t>2</w:t>
      </w:r>
      <w:r>
        <w:t>release. The deuterated solvents also have lower combustion enthalpies than their protiated analogs, which translates to substantially reduced heat generation as confirmed by calorimetric measurements. Using deuterated tetrahydrofuran and dimethyl carbonate as model solvents, we validate that such electrolytes enable reversible cathode electrochemistry, as well as markedly improved cycling performance and thermal safety of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batteries. This subatomic modification strategy offers a rational electrolyte design framework toward high‐performance batteries.</w:t>
      </w:r>
    </w:p>
    <w:p>
      <w:pPr>
        <w:spacing w:before="120" w:after="120"/>
      </w:pPr>
      <w:r>
        <w:rPr>
          <w:sz w:val="18"/>
        </w:rPr>
        <w:t>——————————————————————————————————————————————————————————————————————</w:t>
      </w:r>
    </w:p>
    <w:p>
      <w:pPr>
        <w:spacing w:before="160" w:after="40" w:line="240" w:lineRule="auto"/>
      </w:pPr>
      <w:r>
        <w:rPr>
          <w:b/>
        </w:rPr>
        <w:t xml:space="preserve">[8] </w:t>
      </w:r>
      <w:hyperlink r:id="rId175">
        <w:r>
          <w:rPr>
            <w:color w:val="1155CC"/>
            <w:u w:val="single"/>
          </w:rPr>
          <w:t>全固态电池硫化物固体电解质的分子尺度工程：前景与挑战</w:t>
        </w:r>
      </w:hyperlink>
    </w:p>
    <w:p>
      <w:pPr>
        <w:spacing w:before="0" w:after="80"/>
      </w:pPr>
      <w:r>
        <w:rPr>
          <w:i/>
          <w:sz w:val="20"/>
        </w:rPr>
        <w:t>EN: Molecular-scale engineering of sulfide solid electrolytes for all-solid-state batteries: Prospects and challenges</w:t>
      </w:r>
    </w:p>
    <w:p>
      <w:pPr>
        <w:spacing w:before="0" w:after="120"/>
      </w:pPr>
      <w:r>
        <w:rPr>
          <w:b/>
        </w:rPr>
        <w:t xml:space="preserve">Source: </w:t>
      </w:r>
      <w:r>
        <w:t>Chem</w:t>
      </w:r>
      <w:r>
        <w:t xml:space="preserve">    </w:t>
      </w:r>
      <w:r>
        <w:rPr>
          <w:b/>
        </w:rPr>
        <w:t xml:space="preserve">Pub date: </w:t>
      </w:r>
      <w:r>
        <w:t>2026-08-24 00:00:00+00:00</w:t>
      </w:r>
      <w:r>
        <w:t xml:space="preserve">    </w:t>
      </w:r>
      <w:r>
        <w:rPr>
          <w:b/>
        </w:rPr>
        <w:t xml:space="preserve">DOI: </w:t>
      </w:r>
      <w:hyperlink r:id="rId176">
        <w:r>
          <w:rPr>
            <w:color w:val="1155CC"/>
            <w:u w:val="single"/>
          </w:rPr>
          <w:t>10.1016/j.chempr.2026.103206</w:t>
        </w:r>
      </w:hyperlink>
    </w:p>
    <w:p>
      <w:pPr>
        <w:spacing w:before="0" w:after="120"/>
      </w:pPr>
      <w:r>
        <w:rPr>
          <w:b/>
        </w:rPr>
        <w:t xml:space="preserve">Notes: </w:t>
      </w:r>
      <w:r>
        <w:t>abstract_source=rss_cell</w:t>
      </w:r>
    </w:p>
    <w:p>
      <w:pPr>
        <w:spacing w:before="0" w:after="80" w:lineRule="auto" w:line="276"/>
      </w:pPr>
      <w:r>
        <w:rPr>
          <w:b/>
        </w:rPr>
        <w:t xml:space="preserve">摘要（ZH）: </w:t>
      </w:r>
      <w:r>
        <w:t>有机分子添加剂正在改变硫化物固体电解质与电极及其环境的相互作用方式。随着界面稳定性越来越限制电池性能，这篇综述研究了分子、聚合物和超分子组装体如何调整界面行为，揭示了新兴的结构-功能关系，可以指导更安全、更高性能的全固态电池的设计。</w:t>
      </w:r>
    </w:p>
    <w:p>
      <w:pPr>
        <w:spacing w:before="0" w:after="200" w:lineRule="auto" w:line="276"/>
      </w:pPr>
      <w:r>
        <w:rPr>
          <w:b/>
        </w:rPr>
        <w:t xml:space="preserve">Abstract (EN): </w:t>
      </w:r>
      <w:r>
        <w:t>Organic molecular additives are transforming how sulfide solid electrolytes interact with electrodes and their environment. As interfacial stability increasingly limits battery performance, this review examines how molecules, polymers, and supramolecular assemblies tune interfacial behavior, revealing emerging structure-function relationships that can guide the design of safer, higher-performance all-solid-state batteries.</w:t>
      </w:r>
    </w:p>
    <w:p>
      <w:pPr>
        <w:spacing w:before="120" w:after="120"/>
      </w:pPr>
      <w:r>
        <w:rPr>
          <w:sz w:val="18"/>
        </w:rPr>
        <w:t>——————————————————————————————————————————————————————————————————————</w:t>
      </w:r>
    </w:p>
    <w:p>
      <w:pPr>
        <w:spacing w:before="160" w:after="40" w:line="240" w:lineRule="auto"/>
      </w:pPr>
      <w:r>
        <w:rPr>
          <w:b/>
        </w:rPr>
        <w:t xml:space="preserve">[9] </w:t>
      </w:r>
      <w:hyperlink r:id="rId177">
        <w:r>
          <w:rPr>
            <w:color w:val="1155CC"/>
            <w:u w:val="single"/>
          </w:rPr>
          <w:t>卤化物材料的氧化还原化学解锁下一代全固态电池</w:t>
        </w:r>
      </w:hyperlink>
    </w:p>
    <w:p>
      <w:pPr>
        <w:spacing w:before="0" w:after="80"/>
      </w:pPr>
      <w:r>
        <w:rPr>
          <w:i/>
          <w:sz w:val="20"/>
        </w:rPr>
        <w:t>EN: Redox chemistry of halide materials unlocking next-generation all-solid-state batteries</w:t>
      </w:r>
    </w:p>
    <w:p>
      <w:pPr>
        <w:spacing w:before="0" w:after="120"/>
      </w:pPr>
      <w:r>
        <w:rPr>
          <w:b/>
        </w:rPr>
        <w:t xml:space="preserve">Source: </w:t>
      </w:r>
      <w:r>
        <w:t>Joule</w:t>
      </w:r>
      <w:r>
        <w:t xml:space="preserve">    </w:t>
      </w:r>
      <w:r>
        <w:rPr>
          <w:b/>
        </w:rPr>
        <w:t xml:space="preserve">Pub date: </w:t>
      </w:r>
      <w:r>
        <w:t>2026-08-24 00:00:00+00:00</w:t>
      </w:r>
      <w:r>
        <w:t xml:space="preserve">    </w:t>
      </w:r>
      <w:r>
        <w:rPr>
          <w:b/>
        </w:rPr>
        <w:t xml:space="preserve">DOI: </w:t>
      </w:r>
      <w:hyperlink r:id="rId178">
        <w:r>
          <w:rPr>
            <w:color w:val="1155CC"/>
            <w:u w:val="single"/>
          </w:rPr>
          <w:t>10.1016/j.joule.2026.102641</w:t>
        </w:r>
      </w:hyperlink>
    </w:p>
    <w:p>
      <w:pPr>
        <w:spacing w:before="0" w:after="120"/>
      </w:pPr>
      <w:r>
        <w:rPr>
          <w:b/>
        </w:rPr>
        <w:t xml:space="preserve">Notes: </w:t>
      </w:r>
      <w:r>
        <w:t>abstract_source=rss_cell</w:t>
      </w:r>
    </w:p>
    <w:p>
      <w:pPr>
        <w:spacing w:before="0" w:after="80" w:lineRule="auto" w:line="276"/>
      </w:pPr>
      <w:r>
        <w:rPr>
          <w:b/>
        </w:rPr>
        <w:t xml:space="preserve">摘要（ZH）: </w:t>
      </w:r>
      <w:r>
        <w:t>长期以来，固体电解质一直被视为全固态电池中的惰性“死物质”。这种观点通过强调卤化物材料的氧化还原化学来挑战这一观点，卤化物材料既可以充当离子导体，也可以充当容量贡献者。战略性电压窗口匹配设计可大幅提高电极能量密度，为电动航空及其他领域的 600 Wh kg−1 下一代全固态电池铺平道路。</w:t>
      </w:r>
    </w:p>
    <w:p>
      <w:pPr>
        <w:spacing w:before="0" w:after="200" w:lineRule="auto" w:line="276"/>
      </w:pPr>
      <w:r>
        <w:rPr>
          <w:b/>
        </w:rPr>
        <w:t xml:space="preserve">Abstract (EN): </w:t>
      </w:r>
      <w:r>
        <w:t>Solid electrolytes have long been treated as inert “dead mass” in all-solid-state batteries. This perspective challenges that view by highlighting the redox chemistry of halide materials, which can serve as both ionic conductors and capacity contributors. A strategic voltage window matching design enables substantial electrode energy density gains, paving the way toward 600 Wh kg−1 next-generation all-solid-state batteries for electric aviation and beyond.</w:t>
      </w:r>
    </w:p>
    <w:p>
      <w:pPr>
        <w:spacing w:before="120" w:after="120"/>
      </w:pPr>
      <w:r>
        <w:rPr>
          <w:sz w:val="18"/>
        </w:rPr>
        <w:t>——————————————————————————————————————————————————————————————————————</w:t>
      </w:r>
    </w:p>
    <w:p>
      <w:pPr>
        <w:spacing w:before="160" w:after="40" w:line="240" w:lineRule="auto"/>
      </w:pPr>
      <w:r>
        <w:rPr>
          <w:b/>
        </w:rPr>
        <w:t xml:space="preserve">[10] </w:t>
      </w:r>
      <w:hyperlink r:id="rId179">
        <w:r>
          <w:rPr>
            <w:color w:val="1155CC"/>
            <w:u w:val="single"/>
          </w:rPr>
          <w:t>下一代水系铵离子电池电解质工程的挑战和机遇</w:t>
        </w:r>
      </w:hyperlink>
    </w:p>
    <w:p>
      <w:pPr>
        <w:spacing w:before="0" w:after="80"/>
      </w:pPr>
      <w:r>
        <w:rPr>
          <w:i/>
          <w:sz w:val="20"/>
        </w:rPr>
        <w:t>EN: Electrolyte Engineering Challenges and Opportunities for Next‐Generation Aqueous Ammonium‐Ion Batteries</w:t>
      </w:r>
    </w:p>
    <w:p>
      <w:pPr>
        <w:spacing w:before="0" w:after="120"/>
      </w:pPr>
      <w:r>
        <w:rPr>
          <w:b/>
        </w:rPr>
        <w:t xml:space="preserve">Source: </w:t>
      </w:r>
      <w:r>
        <w:t>Wiley: Advanced Materials: Table of Contents</w:t>
      </w:r>
      <w:r>
        <w:t xml:space="preserve">    </w:t>
      </w:r>
      <w:r>
        <w:rPr>
          <w:b/>
        </w:rPr>
        <w:t xml:space="preserve">Pub date: </w:t>
      </w:r>
      <w:r>
        <w:t>2026-08-24 04:07:05+00:00</w:t>
      </w:r>
      <w:r>
        <w:t xml:space="preserve">    </w:t>
      </w:r>
      <w:r>
        <w:rPr>
          <w:b/>
        </w:rPr>
        <w:t xml:space="preserve">DOI: </w:t>
      </w:r>
      <w:hyperlink r:id="rId180">
        <w:r>
          <w:rPr>
            <w:color w:val="1155CC"/>
            <w:u w:val="single"/>
          </w:rPr>
          <w:t>10.1002/adma.74782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水铵离子电池（AAIB）已成为一种有前途的后锂能源存储技术，将本质安全性与可持续可行性结合起来。然而，与其他水离子电池不同，AAIB 电解质的工程面临着一个根本性的困境：其独特的富含氢键 (HB) 的环境，使得超快 NH</w:t>
      </w:r>
      <w:r>
        <w:rPr>
          <w:vertAlign w:val="subscript"/>
        </w:rPr>
        <w:t>4</w:t>
      </w:r>
      <w:r>
        <w:t>+</w:t>
      </w:r>
      <w:r>
        <w:t xml:space="preserve"> </w:t>
      </w:r>
      <w:r>
        <w:t>运输，同时加剧水分解并破坏电解质稳定性。在这篇综述中，我们首次全面分析了 HB 网络在 AAIB 电解质中的双重作用，并描述了它们对电池性能的影响。然后，我们系统地研究和评估了为规避这一困境而设计的主流策略，特别是阴离子工程、盐浓度调节、pH调节、有机共溶剂设计、功能添加剂引入和半固体电解质构建，同时讨论了它们各自的权衡和未来展望。最后，我们概述了涉及耦合反应电池、界面建模、机器学习辅助电解质发现和可持续铵采购的未来方向。这些见解为平衡下一代 AAIB 中的离子传输动力学和电解质稳定性提供了框架。</w:t>
      </w:r>
    </w:p>
    <w:p>
      <w:pPr>
        <w:spacing w:before="0" w:after="200" w:lineRule="auto" w:line="276"/>
      </w:pPr>
      <w:r>
        <w:rPr>
          <w:b/>
        </w:rPr>
        <w:t xml:space="preserve">Abstract (EN): </w:t>
      </w:r>
      <w:r>
        <w:t>Aqueous ammonium‐ion batteries (AAIBs) have emerged as a promising post‐lithium energy‐storage technology, combining intrinsic safety with sustainable viability. However, unlike other aqueous‐ion batteries, the engineering of AAIB electrolytes confronts a fundamental dilemma: their unique hydrogen‐bond (HB)‐rich environment, which enabling ultrafast NH</w:t>
      </w:r>
      <w:r>
        <w:rPr>
          <w:vertAlign w:val="subscript"/>
        </w:rPr>
        <w:t>4</w:t>
      </w:r>
      <w:r>
        <w:t>+</w:t>
      </w:r>
      <w:r>
        <w:t xml:space="preserve"> </w:t>
      </w:r>
      <w:r>
        <w:t>transport, concurrently exacerbates water decomposition and undermines electrolyte stability. In this review, we present the first comprehensive analysis of the dual role of HB networks in AAIB electrolytes and delineate their consequences for battery performance. We then systematically examine and evaluate the prevailing strategies devised to circumvent this dilemma, specifically anion engineering, salt‐concentration tuning, pH regulation, organic co‐solvent design, functional‐additive introduction, and semi‐solid electrolyte construction, while concurrently discussing their respective trade‐offs and future outlook. Finally, we outline future directions involving coupled‐reaction batteries, interfacial modeling, machine‐learning‐assisted electrolyte discovery, and sustainable ammonium sourcing. These insights provide a framework for balancing ion‐transport kinetics and electrolyte stability in next‐generation AAIBs.</w:t>
      </w:r>
    </w:p>
    <w:p>
      <w:pPr>
        <w:spacing w:before="120" w:after="120"/>
      </w:pPr>
      <w:r>
        <w:rPr>
          <w:sz w:val="18"/>
        </w:rPr>
        <w:t>——————————————————————————————————————————————————————————————————————</w:t>
      </w:r>
    </w:p>
    <w:p>
      <w:pPr>
        <w:spacing w:before="160" w:after="40" w:line="240" w:lineRule="auto"/>
      </w:pPr>
      <w:r>
        <w:rPr>
          <w:b/>
        </w:rPr>
        <w:t xml:space="preserve">[11] </w:t>
      </w:r>
      <w:hyperlink r:id="rId181">
        <w:r>
          <w:rPr>
            <w:color w:val="1155CC"/>
            <w:u w:val="single"/>
          </w:rPr>
          <w:t>利用数据驱动和基本见解进行锂金属电池电解质创新</w:t>
        </w:r>
      </w:hyperlink>
    </w:p>
    <w:p>
      <w:pPr>
        <w:spacing w:before="0" w:after="80"/>
      </w:pPr>
      <w:r>
        <w:rPr>
          <w:i/>
          <w:sz w:val="20"/>
        </w:rPr>
        <w:t>EN: Leveraging Data‐Driven and Fundamental Insights for Electrolyte Innovation in Lithium Metal Batteries</w:t>
      </w:r>
    </w:p>
    <w:p>
      <w:pPr>
        <w:spacing w:before="0" w:after="120"/>
      </w:pPr>
      <w:r>
        <w:rPr>
          <w:b/>
        </w:rPr>
        <w:t xml:space="preserve">Source: </w:t>
      </w:r>
      <w:r>
        <w:t>Wiley: Advanced Materials: Table of Contents</w:t>
      </w:r>
      <w:r>
        <w:t xml:space="preserve">    </w:t>
      </w:r>
      <w:r>
        <w:rPr>
          <w:b/>
        </w:rPr>
        <w:t xml:space="preserve">Pub date: </w:t>
      </w:r>
      <w:r>
        <w:t>2026-08-24 04:09:52+00:00</w:t>
      </w:r>
      <w:r>
        <w:t xml:space="preserve">    </w:t>
      </w:r>
      <w:r>
        <w:rPr>
          <w:b/>
        </w:rPr>
        <w:t xml:space="preserve">DOI: </w:t>
      </w:r>
      <w:hyperlink r:id="rId182">
        <w:r>
          <w:rPr>
            <w:color w:val="1155CC"/>
            <w:u w:val="single"/>
          </w:rPr>
          <w:t>10.1002/adma.74635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数据科学的兴起和数十年积累的电池研究为计算在研究中的普遍使用铺平了道路。在这里，我们对根据严格选择标准从 100 多篇科学文章中筛选出来的最大的实验库仑效率 (CE) 数据集进行了分析，以提取仅通过传统科学方法难以获得的见解。通过根据使用 Aurbach 或循环方法测量的 CE 分割数据集，按质量标准化电解质配方，并利用先进的数据分析与物理信息特征工程相结合，我们发现较高的 sF、较低的 sC 和 sO 值分别受氟化度、碳链长度和氧量的影响，有助于提高 CE。令人惊讶的是，当所有其他特征相同时，沸腾成为决定性因素，较低的沸点对应于较高的 CE。通过利用获得的见解和模型的准确 CE 预测（</w:t>
      </w:r>
      <w:r>
        <w:t xml:space="preserve"> </w:t>
      </w:r>
      <w:r>
        <w:t>右</w:t>
      </w:r>
      <w:r>
        <w:rPr>
          <w:vertAlign w:val="subscript"/>
        </w:rPr>
        <w:t>2</w:t>
      </w:r>
      <w:r>
        <w:t>= 0.85），新电解质在 Li||Cu 电池中实现了 99.57% 的高 CE，与 Li 相比，氧化稳定性极佳，约为 4.8 V</w:t>
      </w:r>
      <w:r>
        <w:t xml:space="preserve"> </w:t>
      </w:r>
      <w:r>
        <w:t>+</w:t>
      </w:r>
      <w:r>
        <w:t xml:space="preserve"> </w:t>
      </w:r>
      <w:r>
        <w:t>/Li，Li||NMC811 电池经过 700 多次循环后容量保持率为 80%。这项工作中提出的多功能机器学习工作流程和精心设计的功能可以激发其他电池化学物质的液体电解质的设计。</w:t>
      </w:r>
    </w:p>
    <w:p>
      <w:pPr>
        <w:spacing w:before="0" w:after="200" w:lineRule="auto" w:line="276"/>
      </w:pPr>
      <w:r>
        <w:rPr>
          <w:b/>
        </w:rPr>
        <w:t xml:space="preserve">Abstract (EN): </w:t>
      </w:r>
      <w:r>
        <w:t>The rise of data science and decades of accumulated battery research have paved the way for the general use of computing in research. Here, the largest experimental coulombic efficiency (CE) dataset curated from over 100 scientific articles under strict selection criteria was analyzed to extract insights that would have been difficult to achieve through traditional scientific methods alone. By splitting the dataset according to CE measured using the Aurbach or cycle methods, normalizing electrolyte formulations by mass, and utilizing advanced data analytics coupled with physically informed feature engineering, we discovered that higher sF, lower sC, and sO values, influenced by fluorination degree, carbon chain length, and oxygen amount, respectively, contribute to improved CE. Surprisingly, boiling becomes a governing factor when all other features are identical, with lower boiling corresponding to higher CE. By leveraging insights gained and the model's accurate CE prediction (</w:t>
      </w:r>
      <w:r>
        <w:t xml:space="preserve"> </w:t>
      </w:r>
      <w:r>
        <w:t>R</w:t>
      </w:r>
      <w:r>
        <w:rPr>
          <w:vertAlign w:val="subscript"/>
        </w:rPr>
        <w:t>2</w:t>
      </w:r>
      <w:r>
        <w:t>= 0.85), a new electrolyte enabled a high CE of 99.57% in Li||Cu cells, excellent oxidative stability of ∼4.8 V versus Li</w:t>
      </w:r>
      <w:r>
        <w:t xml:space="preserve"> </w:t>
      </w:r>
      <w:r>
        <w:t>+</w:t>
      </w:r>
      <w:r>
        <w:t xml:space="preserve"> </w:t>
      </w:r>
      <w:r>
        <w:t>/Li, and 80% of capacity retention after more than 700 cycles in Li||NMC811 cells. The versatile machine learning workflow and the crafted features presented in this work can inspire the design of liquid electrolytes for other battery chemistries.</w:t>
      </w:r>
    </w:p>
    <w:p>
      <w:pPr>
        <w:spacing w:before="120" w:after="120"/>
      </w:pPr>
      <w:r>
        <w:rPr>
          <w:sz w:val="18"/>
        </w:rPr>
        <w:t>——————————————————————————————————————————————————————————————————————</w:t>
      </w:r>
    </w:p>
    <w:p>
      <w:pPr>
        <w:spacing w:before="160" w:after="40" w:line="240" w:lineRule="auto"/>
      </w:pPr>
      <w:r>
        <w:rPr>
          <w:b/>
        </w:rPr>
        <w:t xml:space="preserve">[12] </w:t>
      </w:r>
      <w:hyperlink r:id="rId183">
        <w:r>
          <w:rPr>
            <w:color w:val="1155CC"/>
            <w:u w:val="single"/>
          </w:rPr>
          <w:t>自适应固体电解质界面的温度响应双电层解锁了宽温水系锌离子电池</w:t>
        </w:r>
      </w:hyperlink>
    </w:p>
    <w:p>
      <w:pPr>
        <w:spacing w:before="0" w:after="80"/>
      </w:pPr>
      <w:r>
        <w:rPr>
          <w:i/>
          <w:sz w:val="20"/>
        </w:rPr>
        <w:t>EN: Temperature‐Responsive Electrical Double Layer for Self‐Adaptive Solid Electrolyte Interphase Unlocks Wide‐Temperature Aqueous Zinc Ion Batteries</w:t>
      </w:r>
    </w:p>
    <w:p>
      <w:pPr>
        <w:spacing w:before="0" w:after="120"/>
      </w:pPr>
      <w:r>
        <w:rPr>
          <w:b/>
        </w:rPr>
        <w:t xml:space="preserve">Source: </w:t>
      </w:r>
      <w:r>
        <w:t>Wiley: Advanced Energy Materials: Table of Contents</w:t>
      </w:r>
      <w:r>
        <w:t xml:space="preserve">    </w:t>
      </w:r>
      <w:r>
        <w:rPr>
          <w:b/>
        </w:rPr>
        <w:t xml:space="preserve">Pub date: </w:t>
      </w:r>
      <w:r>
        <w:t>2026-08-24 08:14:33+00:00</w:t>
      </w:r>
      <w:r>
        <w:t xml:space="preserve">    </w:t>
      </w:r>
      <w:r>
        <w:rPr>
          <w:b/>
        </w:rPr>
        <w:t xml:space="preserve">DOI: </w:t>
      </w:r>
      <w:hyperlink r:id="rId184">
        <w:r>
          <w:rPr>
            <w:color w:val="1155CC"/>
            <w:u w:val="single"/>
          </w:rPr>
          <w:t>10.1002/aenm.71472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宽温水性锌离子电池（AZIB）构建自适应固体电解质中间相（SEI）仍未被探索，但极具挑战性。在此，通过筛选高供体数添加剂设计了温度响应型双电层（EDL），并且EDL组合物表现出温度响应行为，其中升高的温度促进阴离子积累，而低于环境的温度有利于添加剂富集，从而驱动独特的自适应界面化学。实验和理论分析表明，低于环境的温度通过优先的添加剂分解促进有机-无机杂化SEI的形成，而高温通过阴离子分解产生强大的富含无机的SEI。自适应SEI可以显着调节Zn</w:t>
      </w:r>
      <w:r>
        <w:t xml:space="preserve"> </w:t>
      </w:r>
      <w:r>
        <w:t>2+</w:t>
      </w:r>
      <w:r>
        <w:t xml:space="preserve"> </w:t>
      </w:r>
      <w:r>
        <w:t>不同温度下的成核动力学，促进均匀的锌沉积，在长时间的循环过程中晶粒尺寸逐渐增加。因此，Zn||Zn 电池在 50 mA cm 电流下表现出超过 5300 次循环的高度可逆电镀/剥离</w:t>
      </w:r>
      <w:r>
        <w:t xml:space="preserve"> </w:t>
      </w:r>
      <w:r>
        <w:t>−2</w:t>
      </w:r>
      <w:r>
        <w:t xml:space="preserve"> </w:t>
      </w:r>
      <w:r>
        <w:t>，同时在 -40°C 至 60°C 的宽温度范围内表现出广泛的耐热性。锌||I</w:t>
      </w:r>
      <w:r>
        <w:rPr>
          <w:vertAlign w:val="subscript"/>
        </w:rPr>
        <w:t>2</w:t>
      </w:r>
      <w:r>
        <w:t>全电池具有1000-30000次循环的良好循环寿命，Ah级软包电池进一步验证了实用性。这项工作建立了温度响应 EDL、界面化学和电化学性能之间的相关性</w:t>
      </w:r>
    </w:p>
    <w:p>
      <w:pPr>
        <w:spacing w:before="0" w:after="200" w:lineRule="auto" w:line="276"/>
      </w:pPr>
      <w:r>
        <w:rPr>
          <w:b/>
        </w:rPr>
        <w:t xml:space="preserve">Abstract (EN): </w:t>
      </w:r>
      <w:r>
        <w:t>Constructing a self‐adaptive solid electrolyte interphase (SEI) for wide‐temperature aqueous zinc ion batteries (AZIBs) remains unexplored yet highly challenging. Herein, a temperature‐responsive electrical double layer (EDL) is designed via screening high donor‐number additive, and the EDL composition exhibits temperature‐responsive behavior where elevated temperatures promote anion accumulation and low‐to‐ambient temperatures favor additive enrichment, thereby driving distinct self‐adaptive interfacial chemistries. Experimental and theoretical analyses reveal that low‐to‐ambient temperatures facilitate organic‐inorganic hybrid SEI formation through preferential additive decomposition, whereas high temperatures yield a robust inorganic‐rich SEI via anion decomposition. The self‐adaptive SEIs can significantly modulate Zn</w:t>
      </w:r>
      <w:r>
        <w:t xml:space="preserve"> </w:t>
      </w:r>
      <w:r>
        <w:t>2+</w:t>
      </w:r>
      <w:r>
        <w:t xml:space="preserve"> </w:t>
      </w:r>
      <w:r>
        <w:t>nucleation kinetics across temperatures, promoting uniform Zn deposition with progressively increasing grain sizes during prolonged cycling. Consequently, Zn||Zn cell showcases highly reversible plating/stripping exceeding 5300 cycles at 50 mA cm</w:t>
      </w:r>
      <w:r>
        <w:t xml:space="preserve"> </w:t>
      </w:r>
      <w:r>
        <w:t>−2</w:t>
      </w:r>
      <w:r>
        <w:t xml:space="preserve"> </w:t>
      </w:r>
      <w:r>
        <w:t>, while exhibiting broad thermal tolerance across a wide temperature range of −40°C to 60°C. Zn||I</w:t>
      </w:r>
      <w:r>
        <w:rPr>
          <w:vertAlign w:val="subscript"/>
        </w:rPr>
        <w:t>2</w:t>
      </w:r>
      <w:r>
        <w:t>full batteries deliver good cycling life of 1000–30 000 cycles, and Ah‐level pouch cell further validates practicality. This work builds the correlation among the temperature‐responsive EDL, interfacial chemistry, and electrochemical performance, advancing wide‐temperature batteries.</w:t>
      </w:r>
    </w:p>
    <w:p>
      <w:pPr>
        <w:spacing w:before="120" w:after="120"/>
      </w:pPr>
      <w:r>
        <w:rPr>
          <w:sz w:val="18"/>
        </w:rPr>
        <w:t>——————————————————————————————————————————————————————————————————————</w:t>
      </w:r>
    </w:p>
    <w:p>
      <w:pPr>
        <w:spacing w:before="160" w:after="40" w:line="240" w:lineRule="auto"/>
      </w:pPr>
      <w:r>
        <w:rPr>
          <w:b/>
        </w:rPr>
        <w:t xml:space="preserve">[13] </w:t>
      </w:r>
      <w:hyperlink r:id="rId146">
        <w:r>
          <w:rPr>
            <w:color w:val="1155CC"/>
            <w:u w:val="single"/>
          </w:rPr>
          <w:t>用于无枝晶锌阳极的具有受控液态金属释放的复合水凝胶</w:t>
        </w:r>
      </w:hyperlink>
    </w:p>
    <w:p>
      <w:pPr>
        <w:spacing w:before="0" w:after="80"/>
      </w:pPr>
      <w:r>
        <w:rPr>
          <w:i/>
          <w:sz w:val="20"/>
        </w:rPr>
        <w:t>EN: Composite Hydrogels With Controlled Liquid Metal Release for Dendrite‐Free Zinc Anodes</w:t>
      </w:r>
    </w:p>
    <w:p>
      <w:pPr>
        <w:spacing w:before="0" w:after="120"/>
      </w:pPr>
      <w:r>
        <w:rPr>
          <w:b/>
        </w:rPr>
        <w:t xml:space="preserve">Source: </w:t>
      </w:r>
      <w:r>
        <w:t>Wiley: Advanced Energy Materials: Table of Contents</w:t>
      </w:r>
      <w:r>
        <w:t xml:space="preserve">    </w:t>
      </w:r>
      <w:r>
        <w:rPr>
          <w:b/>
        </w:rPr>
        <w:t xml:space="preserve">Pub date: </w:t>
      </w:r>
      <w:r>
        <w:t>2026-08-24 08:22:56+00:00</w:t>
      </w:r>
      <w:r>
        <w:t xml:space="preserve">    </w:t>
      </w:r>
      <w:r>
        <w:rPr>
          <w:b/>
        </w:rPr>
        <w:t xml:space="preserve">DOI: </w:t>
      </w:r>
      <w:hyperlink r:id="rId147">
        <w:r>
          <w:rPr>
            <w:color w:val="1155CC"/>
            <w:u w:val="single"/>
          </w:rPr>
          <w:t>10.1002/aenm.71504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可充电水性锌离子电池为大规模储能提供了一种经济高效且安全的解决方案。然而，不受控制的锌枝晶生长、寄生析氢和较差的镀锌/剥离可逆性仍然限制了它们的实际部署。在此，设计了一种含 Ga-In 液态金属的水凝胶电解质来稳定锌阳极。液态金属的受控释放调节锌/电解质界面环境，促进锌沿（103）面优先沉积，减轻结构脆化，从而提高长期界面稳定性。同时，水凝胶内释放的液态金属促进锌枝晶的溶解，降低内部短路的风险。因此，使用设计的水凝胶电解质的 Zn 对称电池可在 1 mA cm 电流下稳定循环 6000 小时</w:t>
      </w:r>
      <w:r>
        <w:t xml:space="preserve"> </w:t>
      </w:r>
      <w:r>
        <w:t>−2</w:t>
      </w:r>
      <w:r>
        <w:t xml:space="preserve"> </w:t>
      </w:r>
      <w:r>
        <w:t>和 1 毫安时厘米</w:t>
      </w:r>
      <w:r>
        <w:t xml:space="preserve"> </w:t>
      </w:r>
      <w:r>
        <w:t>−2</w:t>
      </w:r>
      <w:r>
        <w:t xml:space="preserve"> </w:t>
      </w:r>
      <w:r>
        <w:t>。此外，锌|| NH</w:t>
      </w:r>
      <w:r>
        <w:rPr>
          <w:vertAlign w:val="subscript"/>
        </w:rPr>
        <w:t>4</w:t>
      </w:r>
      <w:r>
        <w:t>+</w:t>
      </w:r>
      <w:r>
        <w:t xml:space="preserve"> </w:t>
      </w:r>
      <w:r>
        <w:t>‐V</w:t>
      </w:r>
      <w:r>
        <w:rPr>
          <w:vertAlign w:val="subscript"/>
        </w:rPr>
        <w:t>2</w:t>
      </w:r>
      <w:r>
        <w:t>氧</w:t>
      </w:r>
      <w:r>
        <w:rPr>
          <w:vertAlign w:val="subscript"/>
        </w:rPr>
        <w:t>5</w:t>
      </w:r>
      <w:r>
        <w:t>全电池在 200 mA g 电流下稳定运行超过 1750 小时</w:t>
      </w:r>
      <w:r>
        <w:t xml:space="preserve"> </w:t>
      </w:r>
      <w:r>
        <w:t>−1</w:t>
      </w:r>
      <w:r>
        <w:t xml:space="preserve"> </w:t>
      </w:r>
      <w:r>
        <w:t>容量保持率为 85%。这些结果表明，具有可控液态金属释放的水凝胶电解质为稳定水性锌离子电池中的锌阳极提供了有效的策略。</w:t>
      </w:r>
    </w:p>
    <w:p>
      <w:pPr>
        <w:spacing w:before="0" w:after="200" w:lineRule="auto" w:line="276"/>
      </w:pPr>
      <w:r>
        <w:rPr>
          <w:b/>
        </w:rPr>
        <w:t xml:space="preserve">Abstract (EN): </w:t>
      </w:r>
      <w:r>
        <w:t>Rechargeable aqueous zinc‐ion batteries offer a cost‐effective and safe solution for large‐scale energy storage. However, uncontrolled Zn dendrite growth, parasitic hydrogen evolution, and poor Zn plating/stripping reversibility still limit their practical deployment. Herein, a Ga‐In liquid metal‐containing hydrogel electrolyte is designed to stabilize the Zn anode. The controlled release of liquid metal regulates the Zn/electrolyte interfacial environment, promotes preferential Zn deposition along the (103) plane, and alleviates structural embrittlement, thereby improving long‐term interfacial stability. Meanwhile, liquid metal released within the hydrogel facilitates the dissolution of Zn dendrites, reducing the risk of internal short circuits. As a result, Zn symmetric cells using the designed hydrogel electrolyte deliver stable cycling for 6000 h at 1 mA cm</w:t>
      </w:r>
      <w:r>
        <w:t xml:space="preserve"> </w:t>
      </w:r>
      <w:r>
        <w:t>−2</w:t>
      </w:r>
      <w:r>
        <w:t xml:space="preserve"> </w:t>
      </w:r>
      <w:r>
        <w:t>and 1 mAh cm</w:t>
      </w:r>
      <w:r>
        <w:t xml:space="preserve"> </w:t>
      </w:r>
      <w:r>
        <w:t>−2</w:t>
      </w:r>
      <w:r>
        <w:t xml:space="preserve"> </w:t>
      </w:r>
      <w:r>
        <w:t>. Moreover, Zn || NH</w:t>
      </w:r>
      <w:r>
        <w:rPr>
          <w:vertAlign w:val="subscript"/>
        </w:rPr>
        <w:t>4</w:t>
      </w:r>
      <w:r>
        <w:t>+</w:t>
      </w:r>
      <w:r>
        <w:t xml:space="preserve"> </w:t>
      </w:r>
      <w:r>
        <w:t>‐V</w:t>
      </w:r>
      <w:r>
        <w:rPr>
          <w:vertAlign w:val="subscript"/>
        </w:rPr>
        <w:t>2</w:t>
      </w:r>
      <w:r>
        <w:t>O</w:t>
      </w:r>
      <w:r>
        <w:rPr>
          <w:vertAlign w:val="subscript"/>
        </w:rPr>
        <w:t>5</w:t>
      </w:r>
      <w:r>
        <w:t>full cells operate steadily for over 1750 h at 200 mA g</w:t>
      </w:r>
      <w:r>
        <w:t xml:space="preserve"> </w:t>
      </w:r>
      <w:r>
        <w:t>−1</w:t>
      </w:r>
      <w:r>
        <w:t xml:space="preserve"> </w:t>
      </w:r>
      <w:r>
        <w:t>with 85% capacity retention. These results demonstrate that a hydrogel electrolyte with controllable liquid metal release provides an effective strategy for stabilizing Zn anodes in aqueous zinc‐ion batteries.</w:t>
      </w:r>
    </w:p>
    <w:p>
      <w:pPr>
        <w:spacing w:before="120" w:after="120"/>
      </w:pPr>
      <w:r>
        <w:rPr>
          <w:sz w:val="18"/>
        </w:rPr>
        <w:t>——————————————————————————————————————————————————————————————————————</w:t>
      </w:r>
    </w:p>
    <w:p>
      <w:pPr>
        <w:spacing w:before="160" w:after="40" w:line="240" w:lineRule="auto"/>
      </w:pPr>
      <w:r>
        <w:rPr>
          <w:b/>
        </w:rPr>
        <w:t xml:space="preserve">[14] </w:t>
      </w:r>
      <w:hyperlink r:id="rId185">
        <w:r>
          <w:rPr>
            <w:color w:val="1155CC"/>
            <w:u w:val="single"/>
          </w:rPr>
          <w:t>用于实用固态锂金属电池的具有高熵界面的 5 µm 厚电解质</w:t>
        </w:r>
      </w:hyperlink>
    </w:p>
    <w:p>
      <w:pPr>
        <w:spacing w:before="0" w:after="80"/>
      </w:pPr>
      <w:r>
        <w:rPr>
          <w:i/>
          <w:sz w:val="20"/>
        </w:rPr>
        <w:t>EN: A 5 µm-thick electrolyte with a high-entropy interphase for practical solid-state lithium metal batteries</w:t>
      </w:r>
    </w:p>
    <w:p>
      <w:pPr>
        <w:spacing w:before="0" w:after="120"/>
      </w:pPr>
      <w:r>
        <w:rPr>
          <w:b/>
        </w:rPr>
        <w:t xml:space="preserve">Source: </w:t>
      </w:r>
      <w:r>
        <w:t>National Science Review Advance Access</w:t>
      </w:r>
      <w:r>
        <w:t xml:space="preserve">    </w:t>
      </w:r>
      <w:r>
        <w:rPr>
          <w:b/>
        </w:rPr>
        <w:t xml:space="preserve">Pub date: </w:t>
      </w:r>
      <w:r>
        <w:t>2026-08-25 00:00:00+00:00</w:t>
      </w:r>
      <w:r>
        <w:t xml:space="preserve">    </w:t>
      </w:r>
      <w:r>
        <w:rPr>
          <w:b/>
        </w:rPr>
        <w:t xml:space="preserve">DOI: </w:t>
      </w:r>
      <w:hyperlink r:id="rId186">
        <w:r>
          <w:rPr>
            <w:color w:val="1155CC"/>
            <w:u w:val="single"/>
          </w:rPr>
          <w:t>10.1093/nsr/nwag511</w:t>
        </w:r>
      </w:hyperlink>
    </w:p>
    <w:p>
      <w:pPr>
        <w:spacing w:before="0" w:after="120"/>
      </w:pPr>
      <w:r>
        <w:rPr>
          <w:b/>
        </w:rPr>
        <w:t xml:space="preserve">Notes: </w:t>
      </w:r>
      <w:r>
        <w:t>abstract_source=rss_oup</w:t>
      </w:r>
    </w:p>
    <w:p>
      <w:pPr>
        <w:spacing w:before="0" w:after="80" w:lineRule="auto" w:line="276"/>
      </w:pPr>
      <w:r>
        <w:rPr>
          <w:b/>
        </w:rPr>
        <w:t xml:space="preserve">摘要（ZH）: </w:t>
      </w:r>
      <w:r>
        <w:t>具有超薄和轻质电解质的固态锂金属电池有望用于高能量密度存储，但在实际电流密度下容易出现枝晶穿透。这种限制主要源于不受控制且化学异质的固体电解质界面（SEI），导致明显的界面不稳定性并导致界面处的Li+通量不均匀且缓慢。在这里，我们设计了一种具有高构型熵的均匀界面，其优化的成分通过机器学习筛选，通过稳定SEI结构和促进高效的Li+传输来提供双重功能。该界面的高熵性质得到了实验支持，并促进了均匀且快速的界面 Li+ 通量，使 5 µm 厚的电解质能够维持 5.2 mA cm−2 的临界电流密度，并在 3 mA cm−2 下保持稳定的长期锂沉积/剥离 850 小时。采用这种超薄轻质电解质的Li||LiNi0.8Co0.1Mn0.1O2软包电池的面积容量为5.4 mAh cm−2，能量密度为573 Wh kg−1，显示出实用固态锂金属电池的巨大潜力。</w:t>
      </w:r>
    </w:p>
    <w:p>
      <w:pPr>
        <w:spacing w:before="0" w:after="200" w:lineRule="auto" w:line="276"/>
      </w:pPr>
      <w:r>
        <w:rPr>
          <w:b/>
        </w:rPr>
        <w:t xml:space="preserve">Abstract (EN): </w:t>
      </w:r>
      <w:r>
        <w:t>Solid-state lithium metal batteries with ultrathin and lightweight electrolytes are promising for high-energy-density storage but are prone to dendrite penetration under practical current densities. This limitation arises primarily from the uncontrolled and chemically heterogeneous solid-electrolyte interphase (SEI), inducing obvious interfacial instability and leading to uneven and sluggish Li+ flux at the interface. Here, we design a homogeneous interphase with high configurational entropy, with its optimized composition screened by machine learning, providing dual functions by stabilizing the SEI structure and promoting efficient Li+ transport. The high-entropy nature of this interphase is experimentally supported and promotes uniform and fast interfacial Li+ flux, enabling a 5 µm-thick electrolyte to sustain a critical current density of 5.2 mA cm−2 and maintain stable long-term lithium plating/stripping at 3 mA cm−2 for 850 h. Li||LiNi0.8Co0.1Mn0.1O2 pouch cells with this ultrathin and lightweight electrolyte deliver an areal capacity of 5.4 mAh cm−2 and an energy density of 573 Wh kg−1, showing great potential for practical solid-state lithium metal batteries.</w:t>
      </w:r>
    </w:p>
    <w:p>
      <w:pPr>
        <w:spacing w:before="120" w:after="120"/>
      </w:pPr>
      <w:r>
        <w:rPr>
          <w:sz w:val="18"/>
        </w:rPr>
        <w:t>——————————————————————————————————————————————————————————————————————</w:t>
      </w:r>
    </w:p>
    <w:p>
      <w:pPr>
        <w:spacing w:before="160" w:after="40" w:line="240" w:lineRule="auto"/>
      </w:pPr>
      <w:r>
        <w:rPr>
          <w:b/>
        </w:rPr>
        <w:t xml:space="preserve">[15] </w:t>
      </w:r>
      <w:hyperlink r:id="rId187">
        <w:r>
          <w:rPr>
            <w:color w:val="1155CC"/>
            <w:u w:val="single"/>
          </w:rPr>
          <w:t>酯羰基的空间电子工程实现了高压高倍率锂金属电池电子转移的热力学动力学调节</w:t>
        </w:r>
      </w:hyperlink>
    </w:p>
    <w:p>
      <w:pPr>
        <w:spacing w:before="0" w:after="80"/>
      </w:pPr>
      <w:r>
        <w:rPr>
          <w:i/>
          <w:sz w:val="20"/>
        </w:rPr>
        <w:t>EN: Steric‐Electronic Engineering of Ester Carbonyls Enables Thermodynamic‐Kinetic Regulation of Electron Transfer for High‐Voltage and High‐Rate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2026-08-25 04:07:35+00:00</w:t>
      </w:r>
      <w:r>
        <w:t xml:space="preserve">    </w:t>
      </w:r>
      <w:r>
        <w:rPr>
          <w:b/>
        </w:rPr>
        <w:t xml:space="preserve">DOI: </w:t>
      </w:r>
      <w:hyperlink r:id="rId188">
        <w:r>
          <w:rPr>
            <w:color w:val="1155CC"/>
            <w:u w:val="single"/>
          </w:rPr>
          <w:t>10.1002/anie.5288915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酯基电解质广泛用于锂离子电池（LIB），但其本质上不稳定的羰基会引发不可控的还原分解，并且工作温度范围窄，限制了其在高能锂金属电池（LMB）中的应用。在这项研究中，我们建立了一种针对酯羰基的分子级电子转移调控策略，该策略同时在热力学和动力学上抑制电子转移，同时定制溶剂化结构，从而将不受控制的溶剂分解转化为明确的界面化学。这种策略最终产生了一种轻质、宽温且稳定的新戊酸乙酯基电解质。该电解质支持 Li||NCM 811 电池在 -40°C 至 50°C 范围内稳定运行，并在 4.6 V 和 10 C 条件下实现稳健循环。商业相关的 Li||NCM 811 全电池进一步证明了在 4.6 V 条件下的卓越耐用性，在 300 次循环后容量衰减可忽略不计。 432 Wh 公斤</w:t>
      </w:r>
      <w:r>
        <w:t xml:space="preserve"> </w:t>
      </w:r>
      <w:r>
        <w:t>−1</w:t>
      </w:r>
      <w:r>
        <w:t xml:space="preserve"> </w:t>
      </w:r>
      <w:r>
        <w:t>软包电池 (2.5 Ah) 具有 0.94 的低负/正比和贫电解液 (1.17 g Ah</w:t>
      </w:r>
      <w:r>
        <w:t xml:space="preserve"> </w:t>
      </w:r>
      <w:r>
        <w:t>−1</w:t>
      </w:r>
      <w:r>
        <w:t xml:space="preserve"> </w:t>
      </w:r>
      <w:r>
        <w:t>），在高电压（4.6 V）条件下稳定循环。我们相信这些发现可能会扩展到其他酯基电解质，并为钠/钾/钙/镁电池系统提供信息。</w:t>
      </w:r>
    </w:p>
    <w:p>
      <w:pPr>
        <w:spacing w:before="0" w:after="200" w:lineRule="auto" w:line="276"/>
      </w:pPr>
      <w:r>
        <w:rPr>
          <w:b/>
        </w:rPr>
        <w:t xml:space="preserve">Abstract (EN): </w:t>
      </w:r>
      <w:r>
        <w:t>Ester‐based electrolytes, widely used in lithium‐ion batteries (LIBs), suffer from the intrinsically unstable carbonyl groups that trigger uncontrollable reductive decomposition, along with the narrow operating temperature window, limiting their application in high‐energy lithium metal batteries (LMBs). In this study, we establish a molecular‐level electron transfer regulation strategy toward ester carbonyls that simultaneously suppresses electron transfer thermodynamically and kinetically, while tailoring the solvation structure, thereby converting uncontrolled solvent decomposition into well‐defined interphase chemistry. This strategy ultimately yields a lightweight, wide‐temperature, and stable ethyl pivalate‐based electrolyte. The electrolyte supports stable operation from −40°C to 50°C and robust cycling in Li||NCM 811 cells at 4.6 V and 10 C. Commercially relevant Li||NCM 811 full cells further demonstrate exceptional durability at 4.6 V, with negligible capacity decay over 300 cycles. A 432 Wh kg</w:t>
      </w:r>
      <w:r>
        <w:t xml:space="preserve"> </w:t>
      </w:r>
      <w:r>
        <w:t>−1</w:t>
      </w:r>
      <w:r>
        <w:t xml:space="preserve"> </w:t>
      </w:r>
      <w:r>
        <w:t>pouch cell (2.5 Ah) with a low negative/positive ratio of 0.94 and lean electrolyte (1.17 g Ah</w:t>
      </w:r>
      <w:r>
        <w:t xml:space="preserve"> </w:t>
      </w:r>
      <w:r>
        <w:t>−1</w:t>
      </w:r>
      <w:r>
        <w:t xml:space="preserve"> </w:t>
      </w:r>
      <w:r>
        <w:t>), stable cycling under high‐voltage (4.6 V) conditions. We believe the findings may extend to other ester‐based electrolytes and inform sodium/potassium/calcium/magnesium battery systems.</w:t>
      </w:r>
    </w:p>
    <w:p>
      <w:pPr>
        <w:spacing w:before="120" w:after="120"/>
      </w:pPr>
      <w:r>
        <w:rPr>
          <w:sz w:val="18"/>
        </w:rPr>
        <w:t>——————————————————————————————————————————————————————————————————————</w:t>
      </w:r>
    </w:p>
    <w:p>
      <w:pPr>
        <w:spacing w:before="160" w:after="40" w:line="240" w:lineRule="auto"/>
      </w:pPr>
      <w:r>
        <w:rPr>
          <w:b/>
        </w:rPr>
        <w:t xml:space="preserve">[16] </w:t>
      </w:r>
      <w:hyperlink r:id="rId189">
        <w:r>
          <w:rPr>
            <w:color w:val="1155CC"/>
            <w:u w:val="single"/>
          </w:rPr>
          <w:t>机械联锁网络为耐用锂离子电池提供高性能碳酸丙烯酯基凝胶电解质</w:t>
        </w:r>
      </w:hyperlink>
    </w:p>
    <w:p>
      <w:pPr>
        <w:spacing w:before="0" w:after="80"/>
      </w:pPr>
      <w:r>
        <w:rPr>
          <w:i/>
          <w:sz w:val="20"/>
        </w:rPr>
        <w:t>EN: Mechanically Interlocked Networks Enable High‐Performance Propylene Carbonate‐Based Gel Electrolytes for Durable Lithium‐Ion Batteries</w:t>
      </w:r>
    </w:p>
    <w:p>
      <w:pPr>
        <w:spacing w:before="0" w:after="120"/>
      </w:pPr>
      <w:r>
        <w:rPr>
          <w:b/>
        </w:rPr>
        <w:t xml:space="preserve">Source: </w:t>
      </w:r>
      <w:r>
        <w:t>Wiley: Angewandte Chemie International Edition: Table of Contents</w:t>
      </w:r>
      <w:r>
        <w:t xml:space="preserve">    </w:t>
      </w:r>
      <w:r>
        <w:rPr>
          <w:b/>
        </w:rPr>
        <w:t xml:space="preserve">Pub date: </w:t>
      </w:r>
      <w:r>
        <w:t>2026-08-25 04:59:27+00:00</w:t>
      </w:r>
      <w:r>
        <w:t xml:space="preserve">    </w:t>
      </w:r>
      <w:r>
        <w:rPr>
          <w:b/>
        </w:rPr>
        <w:t xml:space="preserve">DOI: </w:t>
      </w:r>
      <w:hyperlink r:id="rId190">
        <w:r>
          <w:rPr>
            <w:color w:val="1155CC"/>
            <w:u w:val="single"/>
          </w:rPr>
          <w:t>10.1002/anie.1853847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碳酸丙烯酯 (PC) 具有较宽的液相温度范围，是极端条件下运行的锂离子电池 (LIB) 的理想电解质溶剂。然而坚强的李</w:t>
      </w:r>
      <w:r>
        <w:t xml:space="preserve"> </w:t>
      </w:r>
      <w:r>
        <w:t>+</w:t>
      </w:r>
      <w:r>
        <w:t xml:space="preserve"> </w:t>
      </w:r>
      <w:r>
        <w:t>-PC配位会引发石墨阳极的严重溶剂共嵌入，导致不可逆的剥落和容量衰减。在此，提出了机械互锁网络（MIN）来构建凝胶聚合物电解质（GPE），通过双功能分子设计有效解决了这种长期存在的不相容性。 MIN 内的冠醚部分与 PC 建立偶极-偶极相互作用，破坏了优先的 Li</w:t>
      </w:r>
      <w:r>
        <w:t xml:space="preserve"> </w:t>
      </w:r>
      <w:r>
        <w:t>+</w:t>
      </w:r>
      <w:r>
        <w:t xml:space="preserve"> </w:t>
      </w:r>
      <w:r>
        <w:t>-PC配位，从而抑制溶剂共插层。 MINs独特的拓扑特征赋予凝胶主体高链迁移率，从而实现快速Li</w:t>
      </w:r>
      <w:r>
        <w:t xml:space="preserve"> </w:t>
      </w:r>
      <w:r>
        <w:t>+</w:t>
      </w:r>
      <w:r>
        <w:t xml:space="preserve"> </w:t>
      </w:r>
      <w:r>
        <w:t>超越传统 GPE 的传输。当集成到1 Ah级石墨||LiFePO中时</w:t>
      </w:r>
      <w:r>
        <w:rPr>
          <w:vertAlign w:val="subscript"/>
        </w:rPr>
        <w:t>4</w:t>
      </w:r>
      <w:r>
        <w:t>软包电池，带有 PC 和 LiPF 的 MIN-GPE (MGPE)</w:t>
      </w:r>
      <w:r>
        <w:rPr>
          <w:vertAlign w:val="subscript"/>
        </w:rPr>
        <w:t>6</w:t>
      </w:r>
      <w:r>
        <w:t>可提供超过 300 个循环的更高循环稳定性，并在 −20°C 至 30°C 的温度范围内展现出可靠的性能。此外，MGPE 与高压 LiNi 表现出良好的兼容性</w:t>
      </w:r>
      <w:r>
        <w:t xml:space="preserve"> </w:t>
      </w:r>
      <w:r>
        <w:t>0.8</w:t>
      </w:r>
      <w:r>
        <w:t xml:space="preserve"> </w:t>
      </w:r>
      <w:r>
        <w:t>钴</w:t>
      </w:r>
      <w:r>
        <w:t xml:space="preserve"> </w:t>
      </w:r>
      <w:r>
        <w:t>0.1</w:t>
      </w:r>
      <w:r>
        <w:t xml:space="preserve"> </w:t>
      </w:r>
      <w:r>
        <w:t>锰</w:t>
      </w:r>
      <w:r>
        <w:t xml:space="preserve"> </w:t>
      </w:r>
      <w:r>
        <w:t>0.1</w:t>
      </w:r>
      <w:r>
        <w:t xml:space="preserve"> </w:t>
      </w:r>
      <w:r>
        <w:t>氧</w:t>
      </w:r>
    </w:p>
    <w:p>
      <w:pPr>
        <w:spacing w:before="0" w:after="200" w:lineRule="auto" w:line="276"/>
      </w:pPr>
      <w:r>
        <w:rPr>
          <w:b/>
        </w:rPr>
        <w:t xml:space="preserve">Abstract (EN): </w:t>
      </w:r>
      <w:r>
        <w:t>Propylene carbonate (PC), with a wide liquid‐phase temperature range, represents an ideal electrolyte solvent for lithium‐ion batteries (LIBs) operating under extreme conditions. However, the strong Li</w:t>
      </w:r>
      <w:r>
        <w:t xml:space="preserve"> </w:t>
      </w:r>
      <w:r>
        <w:t>+</w:t>
      </w:r>
      <w:r>
        <w:t xml:space="preserve"> </w:t>
      </w:r>
      <w:r>
        <w:t>‒PC coordination triggers severe solvent co‐intercalation of graphite anodes, leading to irreversible exfoliation and capacity decay. Herein, the mechanically interlocked network (MIN) is proposed to construct the gel polymer electrolyte (GPE) that effectively resolves this long‐standing incompatibility through a dual‐functional molecular design. The crown ether moieties within MIN establish dipole–dipole interactions with PC, disrupting the preferential Li</w:t>
      </w:r>
      <w:r>
        <w:t xml:space="preserve"> </w:t>
      </w:r>
      <w:r>
        <w:t>+</w:t>
      </w:r>
      <w:r>
        <w:t xml:space="preserve"> </w:t>
      </w:r>
      <w:r>
        <w:t>‒PC coordination and thereby suppressing solvent co‐intercalation. The unique topological feature of MINs endows the gel host with high chain mobility, enabling rapid Li</w:t>
      </w:r>
      <w:r>
        <w:t xml:space="preserve"> </w:t>
      </w:r>
      <w:r>
        <w:t>+</w:t>
      </w:r>
      <w:r>
        <w:t xml:space="preserve"> </w:t>
      </w:r>
      <w:r>
        <w:t>transport that exceeds conventional GPEs. When integrated into 1 Ah‐level graphite||LiFePO</w:t>
      </w:r>
      <w:r>
        <w:rPr>
          <w:vertAlign w:val="subscript"/>
        </w:rPr>
        <w:t>4</w:t>
      </w:r>
      <w:r>
        <w:t>pouch cells, the MIN‐GPE (MGPE) with PC and LiPF</w:t>
      </w:r>
      <w:r>
        <w:rPr>
          <w:vertAlign w:val="subscript"/>
        </w:rPr>
        <w:t>6</w:t>
      </w:r>
      <w:r>
        <w:t>delivers improved cycling stability over 300 cycles and demonstrates reliable performance across a temperature range from −20°C to 30°C. Furthermore, MGPE exhibits favorable compatibility with high‐voltage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cathodes. This work highlights the potential of MINs as a versatile framework for GPE design to address PC incompatibility of graphite and sluggish Li</w:t>
      </w:r>
      <w:r>
        <w:t xml:space="preserve"> </w:t>
      </w:r>
      <w:r>
        <w:t>+</w:t>
      </w:r>
      <w:r>
        <w:t xml:space="preserve"> </w:t>
      </w:r>
      <w:r>
        <w:t>transport of the polymer host, offering new insights into the development of PC electrolytes for durable LIBs.</w:t>
      </w:r>
    </w:p>
    <w:p>
      <w:pPr>
        <w:spacing w:before="120" w:after="120"/>
      </w:pPr>
      <w:r>
        <w:rPr>
          <w:sz w:val="18"/>
        </w:rPr>
        <w:t>——————————————————————————————————————————————————————————————————————</w:t>
      </w:r>
    </w:p>
    <w:p>
      <w:pPr>
        <w:spacing w:before="160" w:after="40" w:line="240" w:lineRule="auto"/>
      </w:pPr>
      <w:r>
        <w:rPr>
          <w:b/>
        </w:rPr>
        <w:t xml:space="preserve">[17] </w:t>
      </w:r>
      <w:hyperlink r:id="rId113">
        <w:r>
          <w:rPr>
            <w:color w:val="1155CC"/>
            <w:u w:val="single"/>
          </w:rPr>
          <w:t>实验室之外的水性锌离子电池的挑战和设计策略</w:t>
        </w:r>
      </w:hyperlink>
    </w:p>
    <w:p>
      <w:pPr>
        <w:spacing w:before="0" w:after="80"/>
      </w:pPr>
      <w:r>
        <w:rPr>
          <w:i/>
          <w:sz w:val="20"/>
        </w:rPr>
        <w:t>EN: Challenges and Design Strategies Toward Aqueous Zinc‐Ion Batteries Beyond Laboratory</w:t>
      </w:r>
    </w:p>
    <w:p>
      <w:pPr>
        <w:spacing w:before="0" w:after="120"/>
      </w:pPr>
      <w:r>
        <w:rPr>
          <w:b/>
        </w:rPr>
        <w:t xml:space="preserve">Source: </w:t>
      </w:r>
      <w:r>
        <w:t>Wiley: Advanced Energy Materials: Table of Contents</w:t>
      </w:r>
      <w:r>
        <w:t xml:space="preserve">    </w:t>
      </w:r>
      <w:r>
        <w:rPr>
          <w:b/>
        </w:rPr>
        <w:t xml:space="preserve">Pub date: </w:t>
      </w:r>
      <w:r>
        <w:t>2026-08-25 08:02:56+00:00</w:t>
      </w:r>
      <w:r>
        <w:t xml:space="preserve">    </w:t>
      </w:r>
      <w:r>
        <w:rPr>
          <w:b/>
        </w:rPr>
        <w:t xml:space="preserve">DOI: </w:t>
      </w:r>
      <w:hyperlink r:id="rId114">
        <w:r>
          <w:rPr>
            <w:color w:val="1155CC"/>
            <w:u w:val="single"/>
          </w:rPr>
          <w:t>10.1002/aenm.71454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ZIB）因其高安全性、成本效益和环境友好性而被广泛认为是下一代大规模储能最有前途的候选材料之一。尽管最近在材料设计和界面化学方面取得了进展，但实验室规模的突破与工业要求之间的差距仍然阻碍了实际部署。本文从能量密度、快速充电能力、循环稳定性和宽温适应性等角度分析了阻碍水系ZIB实际应用的关键瓶颈。讨论了这些挑战背后的主要局限性及其物理化学起源。接下来是解决这些问题和挑战的相应方法，包括阴极设计、锌阳极调节、电解质优化和隔膜修改。最后，提出了高能、安全和长寿命的水性 ZIB 的实际应用的未来发展途径的基本观点。</w:t>
      </w:r>
    </w:p>
    <w:p>
      <w:pPr>
        <w:spacing w:before="0" w:after="200" w:lineRule="auto" w:line="276"/>
      </w:pPr>
      <w:r>
        <w:rPr>
          <w:b/>
        </w:rPr>
        <w:t xml:space="preserve">Abstract (EN): </w:t>
      </w:r>
      <w:r>
        <w:t>Aqueous zinc‐ion batteries (ZIBs) are widely regarded as one of the most promising candidates for next‐generation large‐scale energy storage due to their high safety, cost‐effectiveness, and environmental benignity. Despite recent progress in materials design and interfacial chemistry, practical deployment remains hindered by the gap between laboratory‐scale breakthroughs and industrial requirements. In this review, the critical bottlenecks hindering the practical application of aqueous ZIBs are analyzed from the perspectives of energy density, fast‐charging capability, cycling stability, and wide‐temperature adaptability. The main limitations underlying these challenges, together with their physicochemical origins, are discussed. This is followed by the corresponding approaches involving cathode design, zinc anode regulation, electrolyte optimization, and separator modification for addressing these issues and challenges. Finally, fundamental perspectives on future development pathways toward practical application of high‐energy, safety, and long‐life aqueous ZIBs are presented.</w:t>
      </w:r>
    </w:p>
    <w:p>
      <w:pPr>
        <w:spacing w:before="120" w:after="120"/>
      </w:pPr>
      <w:r>
        <w:rPr>
          <w:sz w:val="18"/>
        </w:rPr>
        <w:t>——————————————————————————————————————————————————————————————————————</w:t>
      </w:r>
    </w:p>
    <w:p>
      <w:pPr>
        <w:spacing w:before="160" w:after="40" w:line="240" w:lineRule="auto"/>
      </w:pPr>
      <w:r>
        <w:rPr>
          <w:b/>
        </w:rPr>
        <w:t xml:space="preserve">[18] </w:t>
      </w:r>
      <w:hyperlink r:id="rId115">
        <w:r>
          <w:rPr>
            <w:color w:val="1155CC"/>
            <w:u w:val="single"/>
          </w:rPr>
          <w:t>全固态锂电池的多物理场耦合机制和多尺度设计</w:t>
        </w:r>
      </w:hyperlink>
    </w:p>
    <w:p>
      <w:pPr>
        <w:spacing w:before="0" w:after="80"/>
      </w:pPr>
      <w:r>
        <w:rPr>
          <w:i/>
          <w:sz w:val="20"/>
        </w:rPr>
        <w:t>EN: Multi‐Physical Field Coupling Mechanisms and Multi‐Scale Design for All‐Solid‐State Lithium Batteries</w:t>
      </w:r>
    </w:p>
    <w:p>
      <w:pPr>
        <w:spacing w:before="0" w:after="120"/>
      </w:pPr>
      <w:r>
        <w:rPr>
          <w:b/>
        </w:rPr>
        <w:t xml:space="preserve">Source: </w:t>
      </w:r>
      <w:r>
        <w:t>Wiley: Advanced Materials: Table of Contents</w:t>
      </w:r>
      <w:r>
        <w:t xml:space="preserve">    </w:t>
      </w:r>
      <w:r>
        <w:rPr>
          <w:b/>
        </w:rPr>
        <w:t xml:space="preserve">Pub date: </w:t>
      </w:r>
      <w:r>
        <w:t>2026-08-25 12:37:44+00:00</w:t>
      </w:r>
      <w:r>
        <w:t xml:space="preserve">    </w:t>
      </w:r>
      <w:r>
        <w:rPr>
          <w:b/>
        </w:rPr>
        <w:t xml:space="preserve">DOI: </w:t>
      </w:r>
      <w:hyperlink r:id="rId116">
        <w:r>
          <w:rPr>
            <w:color w:val="1155CC"/>
            <w:u w:val="single"/>
          </w:rPr>
          <w:t>10.1002/adma.74798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锂电池（ASSLB）因其固有的安全性和有前景的高能量密度能力而被视为下一代储能技术的关键发展路线。本文围绕多物理场耦合，以同时实现高安全性和高能量密度为目标，系统总结了ASSLBs的多尺度设计策略。在本征材料尺度上，这项工作总结了高电压/高容量阴极、高能量密度阳极和各种固态电解质（SSE）的性能特征、失效机制和优化方法。从电极-电解质界面的角度来看，特别强调阴极-电解质和阳极-电解质界面的多物理场耦合失效演化，以及界面改性和结构工程对界面接触、离子传导、体积变化效应和结构耐久性的调节机制。在全电池系统规模上，详细阐述了优化设计，包括电池配置细化、单片集成制造以及协同热管理和安全工程。最后，针对该领域当前的挑战，例如模糊的动态多物理场耦合基础知识和耦合故障行为实时预测的不可行性，本文总结了建立和实现原位多物理场特征分析的前景。</w:t>
      </w:r>
    </w:p>
    <w:p>
      <w:pPr>
        <w:spacing w:before="0" w:after="200" w:lineRule="auto" w:line="276"/>
      </w:pPr>
      <w:r>
        <w:rPr>
          <w:b/>
        </w:rPr>
        <w:t xml:space="preserve">Abstract (EN): </w:t>
      </w:r>
      <w:r>
        <w:t>All‐solid‐state lithium batteries (ASSLBs) are regarded as a pivotal developmental route for next‐generation energy storage technologies owing to their inherent safety and promising high‐energy‐density capability. Focusing on multi‐physical field coupling and aiming to achieve high safety and high energy density simultaneously, this review systematically summarizes the multi‐scale design strategies of ASSLBs. At the intrinsic material scale, this work summarizes the performance characteristics, failure mechanisms and optimization approaches of high‐voltage/high‐capacity cathodes, high‐energy‐density anodes, and diverse solid‐state electrolytes (SSEs). From the electrode–electrolyte interfacial perspective, particular emphasis is placed on the multi‐physical field coupling failure evolution of cathode–electrolyte and anode–electrolyte interfaces, alongside the modulation mechanisms of interfacial modification and structural engineering on interfacial contact, ionic conduction, volume variation effects and structural durability. At the full‐cell system scale, optimization designs including cell configuration refinement, monolithic integration manufacturing, and synergistic thermal management and safety engineering are elaborated. Finally, addressing the current challenges in the field, such as ambiguous dynamic multi‐physical‐field coupling fundamentals and the infeasibility of real‐time prediction on coupled failure behaviors, this review concludes with prospects for the establishment and implementation of an in‐situ multi‐physical‐field characterization framework, delivering experimental foundations and theoretical guidelines toward the multi‐scale synergistic optimization of ASSLBs.</w:t>
      </w:r>
    </w:p>
    <w:p>
      <w:pPr>
        <w:spacing w:before="120" w:after="120"/>
      </w:pPr>
      <w:r>
        <w:rPr>
          <w:sz w:val="18"/>
        </w:rPr>
        <w:t>——————————————————————————————————————————————————————————————————————</w:t>
      </w:r>
    </w:p>
    <w:p>
      <w:pPr>
        <w:spacing w:before="160" w:after="40" w:line="240" w:lineRule="auto"/>
      </w:pPr>
      <w:r>
        <w:rPr>
          <w:b/>
        </w:rPr>
        <w:t xml:space="preserve">[19] </w:t>
      </w:r>
      <w:hyperlink r:id="rId191">
        <w:r>
          <w:rPr>
            <w:color w:val="1155CC"/>
            <w:u w:val="single"/>
          </w:rPr>
          <w:t>消除界面应力集中可实现高能量和高安全性凝胶聚合物锂金属软包电池</w:t>
        </w:r>
      </w:hyperlink>
    </w:p>
    <w:p>
      <w:pPr>
        <w:spacing w:before="0" w:after="80"/>
      </w:pPr>
      <w:r>
        <w:rPr>
          <w:i/>
          <w:sz w:val="20"/>
        </w:rPr>
        <w:t>EN: Eliminating Interfacial Stress Concentration Enables High‐Energy and High‐Safety Gel Polymer Lithium Metal Pouch Cells</w:t>
      </w:r>
    </w:p>
    <w:p>
      <w:pPr>
        <w:spacing w:before="0" w:after="120"/>
      </w:pPr>
      <w:r>
        <w:rPr>
          <w:b/>
        </w:rPr>
        <w:t xml:space="preserve">Source: </w:t>
      </w:r>
      <w:r>
        <w:t>Wiley: Angewandte Chemie International Edition: Table of Contents</w:t>
      </w:r>
      <w:r>
        <w:t xml:space="preserve">    </w:t>
      </w:r>
      <w:r>
        <w:rPr>
          <w:b/>
        </w:rPr>
        <w:t xml:space="preserve">Pub date: </w:t>
      </w:r>
      <w:r>
        <w:t>2026-08-25 15:35:13+00:00</w:t>
      </w:r>
      <w:r>
        <w:t xml:space="preserve">    </w:t>
      </w:r>
      <w:r>
        <w:rPr>
          <w:b/>
        </w:rPr>
        <w:t xml:space="preserve">DOI: </w:t>
      </w:r>
      <w:hyperlink r:id="rId192">
        <w:r>
          <w:rPr>
            <w:color w:val="1155CC"/>
            <w:u w:val="single"/>
          </w:rPr>
          <w:t>10.1002/anie.5503056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界面应力集中不仅会降低循环过程中的电化学性能，而且在极端滥用条件下也会带来严重的安全风险。钉子穿透后，局部应力积累可能引发灾难性的机械故障和快速热失控。在此，我们报告了一种凝胶聚合物电解质（NFGPE），旨在通过双锚定聚合物框架使界面应力离域。该设计将三（2-丙烯酰氧基乙基）异氰脲酸酯（TAIC）和N-[4-氰基-3-（三氟甲基）苯基]甲基丙烯酰胺（CTFMA）集成到机械坚固的高度交联网络中。 CTFMA不仅可以作为刚性分子间隔物来补偿TAIC的体积收缩并缓解应力积累，而且可以利用其缺电子的氰基锚定在阴极表面上，选择性地吸引阴离子并排斥溶剂分子，从而促进薄的、富含无机物的阴极电解质界面（CEI）的形成。同时，TAIC自发吸附到锂阳极上，促进形成稳定的、富含无机物的固体电解质界面（SEI）。交联单体的双边锚定结构与高度支撑结构相结合，确保两个界面之间无空隙、紧密的电极||电解质接触，有效地使整个电池的界面应力离域。由此产生的基于 NFGPE 的纽扣电池可以在 -20°C 至 70°C 的温度范围内稳定运行，锂金属软包电池确保了 528.7 Wh kg 的高能量密度</w:t>
      </w:r>
    </w:p>
    <w:p>
      <w:pPr>
        <w:spacing w:before="0" w:after="200" w:lineRule="auto" w:line="276"/>
      </w:pPr>
      <w:r>
        <w:rPr>
          <w:b/>
        </w:rPr>
        <w:t xml:space="preserve">Abstract (EN): </w:t>
      </w:r>
      <w:r>
        <w:t>Interfacial stress concentration not only degrades electrochemical performance during cycling but also poses critical safety risks under extreme abuse conditions. Upon nail penetration, localized stress accumulation can trigger catastrophic mechanical failure and rapid thermal runaway. Herein, we report a gel polymer electrolyte (NFGPE) engineered to delocalize interfacial stress through a dual‐anchoring polymer framework. The design integrates tri(2‐acryloyloxyethyl) isocyanurate (TAIC) and N‐[4‐cyano‐3‐(trifluoromethyl)phenyl]methacrylamide (CTFMA) into a mechanically robust, highly cross‐linked network. CTFMA can not only act as rigid molecular spacers to compensate for volumetric shrinkage of TAIC and relieve stress accumulation, but also anchor onto the cathode surface using its electron‐deficient cyano groups to selectively attract anions and repel solvent molecules, thereby promoting the formation of a thin, inorganic‐rich cathode‐electrolyte interphase (CEI). Meanwhile, TAIC spontaneously adsorbs onto the lithium anode, facilitating the formation of a stable, inorganic‐rich solid‐electrolyte interphase (SEI). The bilateral anchoring structure of the crosslinking monomer, combined with the highly supportive structure, ensures void‐free, intimate electrode||electrolyte contact across both interfaces, effectively delocalizing interfacial stress throughout the cell. The resulting NFGPE‐based coin cell can stably operate from −20°C to 70°C, the lithium metal pouch cells ensure a high‐energy density of 528.7 Wh kg</w:t>
      </w:r>
      <w:r>
        <w:t xml:space="preserve"> </w:t>
      </w:r>
      <w:r>
        <w:t>−1</w:t>
      </w:r>
      <w:r>
        <w:t xml:space="preserve"> </w:t>
      </w:r>
      <w:r>
        <w:t>, and pass nail penetration tests without thermal runaway.</w:t>
      </w:r>
    </w:p>
    <w:p>
      <w:pPr>
        <w:spacing w:before="120" w:after="120"/>
      </w:pPr>
      <w:r>
        <w:rPr>
          <w:sz w:val="18"/>
        </w:rPr>
        <w:t>——————————————————————————————————————————————————————————————————————</w:t>
      </w:r>
    </w:p>
    <w:p>
      <w:pPr>
        <w:spacing w:before="160" w:after="40" w:line="240" w:lineRule="auto"/>
      </w:pPr>
      <w:r>
        <w:rPr>
          <w:b/>
        </w:rPr>
        <w:t xml:space="preserve">[20] </w:t>
      </w:r>
      <w:hyperlink r:id="rId193">
        <w:r>
          <w:rPr>
            <w:color w:val="1155CC"/>
            <w:u w:val="single"/>
          </w:rPr>
          <w:t>通过分子设计进行自适应溶剂化演化，实现高性能宽温锂离子电池</w:t>
        </w:r>
      </w:hyperlink>
    </w:p>
    <w:p>
      <w:pPr>
        <w:spacing w:before="0" w:after="80"/>
      </w:pPr>
      <w:r>
        <w:rPr>
          <w:i/>
          <w:sz w:val="20"/>
        </w:rPr>
        <w:t>EN: Adaptive Solvation Evolution by Molecular Design Enables High‐Performance Wide‐Temperature Lithium‐Ion Batteries</w:t>
      </w:r>
    </w:p>
    <w:p>
      <w:pPr>
        <w:spacing w:before="0" w:after="120"/>
      </w:pPr>
      <w:r>
        <w:rPr>
          <w:b/>
        </w:rPr>
        <w:t xml:space="preserve">Source: </w:t>
      </w:r>
      <w:r>
        <w:t>Wiley: Angewandte Chemie International Edition: Table of Contents</w:t>
      </w:r>
      <w:r>
        <w:t xml:space="preserve">    </w:t>
      </w:r>
      <w:r>
        <w:rPr>
          <w:b/>
        </w:rPr>
        <w:t xml:space="preserve">Pub date: </w:t>
      </w:r>
      <w:r>
        <w:t>2026-08-26 04:17:39+00:00</w:t>
      </w:r>
      <w:r>
        <w:t xml:space="preserve">    </w:t>
      </w:r>
      <w:r>
        <w:rPr>
          <w:b/>
        </w:rPr>
        <w:t xml:space="preserve">DOI: </w:t>
      </w:r>
      <w:hyperlink r:id="rId194">
        <w:r>
          <w:rPr>
            <w:color w:val="1155CC"/>
            <w:u w:val="single"/>
          </w:rPr>
          <w:t>10.1002/anie.2577060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溶剂化结构是锂离子电池（LIB）在极端环境下性能的决定性因素，其随温度变化的演变尤其难以捉摸。这项工作报告了一种调节溶剂之间配位相互作用的策略，Li</w:t>
      </w:r>
      <w:r>
        <w:t xml:space="preserve"> </w:t>
      </w:r>
      <w:r>
        <w:t>+</w:t>
      </w:r>
      <w:r>
        <w:t xml:space="preserve"> </w:t>
      </w:r>
      <w:r>
        <w:t>，和阴离子通过α-甲基取代溶剂的局部空间屏蔽效应，从而形成溶剂化结构的温度自适应演化，确保在整个温度范围（-80°C至100°C）内有效的离子传输。实用的软包电池表现出出色的性能：1 Ah LiFePO</w:t>
      </w:r>
      <w:r>
        <w:rPr>
          <w:vertAlign w:val="subscript"/>
        </w:rPr>
        <w:t>4</w:t>
      </w:r>
      <w:r>
        <w:t>(LFP)||石墨 (Gr) 商业软包电池在 2 C 和 25°C 下循环 2000 次后仍保留 87.4% 的容量，并在低至 -60°C (0.47 Ah) 时提供稳定的放电容量。与此同时，1 Ah LiNi</w:t>
      </w:r>
      <w:r>
        <w:t xml:space="preserve"> </w:t>
      </w:r>
      <w:r>
        <w:t>0.8</w:t>
      </w:r>
      <w:r>
        <w:t xml:space="preserve"> </w:t>
      </w:r>
      <w:r>
        <w:t>锰</w:t>
      </w:r>
      <w:r>
        <w:t xml:space="preserve"> </w:t>
      </w:r>
      <w:r>
        <w:t>0.1</w:t>
      </w:r>
      <w:r>
        <w:t xml:space="preserve"> </w:t>
      </w:r>
      <w:r>
        <w:t>钴</w:t>
      </w:r>
      <w:r>
        <w:t xml:space="preserve"> </w:t>
      </w:r>
      <w:r>
        <w:t>0.1</w:t>
      </w:r>
      <w:r>
        <w:t xml:space="preserve"> </w:t>
      </w:r>
      <w:r>
        <w:t>氧</w:t>
      </w:r>
      <w:r>
        <w:rPr>
          <w:vertAlign w:val="subscript"/>
        </w:rPr>
        <w:t>2</w:t>
      </w:r>
      <w:r>
        <w:t>(NMC811)||Gr 软包电池在 1 C 和 25°C 下经过 4000 个循环后仍保持 83.2% 的容量，同时在 -80°C 下提供 0.49 Ah 电流，甚至在 100°C 下也能保持运行功能。该策略为开发具有广泛温度适应性和长循环寿命的锂离子电池电解质提供了一条实用途径。</w:t>
      </w:r>
    </w:p>
    <w:p>
      <w:pPr>
        <w:spacing w:before="0" w:after="200" w:lineRule="auto" w:line="276"/>
      </w:pPr>
      <w:r>
        <w:rPr>
          <w:b/>
        </w:rPr>
        <w:t xml:space="preserve">Abstract (EN): </w:t>
      </w:r>
      <w:r>
        <w:t>The solvation structure is a decisive factor for the performance of lithium‐ion batteries (LIBs) under extreme environments, and its evolution with temperature changes is particularly elusive. This work reports a strategy to regulate the coordination interactions between solvents, Li</w:t>
      </w:r>
      <w:r>
        <w:t xml:space="preserve"> </w:t>
      </w:r>
      <w:r>
        <w:t>+</w:t>
      </w:r>
      <w:r>
        <w:t xml:space="preserve"> </w:t>
      </w:r>
      <w:r>
        <w:t>, and anions through a local steric shielding effect of α‐methyl‐substituted solvents, thereby forming a temperature‐adaptive evolution of the solvation structure, ensuring efficient ion transport over the entire temperature range (from −80°C to 100°C). Practical pouch cells demonstrated outstanding performance: 1 Ah LiFePO</w:t>
      </w:r>
      <w:r>
        <w:rPr>
          <w:vertAlign w:val="subscript"/>
        </w:rPr>
        <w:t>4</w:t>
      </w:r>
      <w:r>
        <w:t>(LFP)||graphite (Gr) commercial pouch cells retained 87.4% capacity after 2000 cycles at 2 C and 25°C, and delivered stable discharge capacities down to −60°C (0.47 Ah). Meanwhile, the 1 Ah LiNi</w:t>
      </w:r>
      <w:r>
        <w:t xml:space="preserve"> </w:t>
      </w:r>
      <w:r>
        <w:t>0.8</w:t>
      </w:r>
      <w:r>
        <w:t xml:space="preserve"> </w:t>
      </w:r>
      <w:r>
        <w:t>Mn</w:t>
      </w:r>
      <w:r>
        <w:t xml:space="preserve"> </w:t>
      </w:r>
      <w:r>
        <w:t>0.1</w:t>
      </w:r>
      <w:r>
        <w:t xml:space="preserve"> </w:t>
      </w:r>
      <w:r>
        <w:t>Co</w:t>
      </w:r>
      <w:r>
        <w:t xml:space="preserve"> </w:t>
      </w:r>
      <w:r>
        <w:t>0.1</w:t>
      </w:r>
      <w:r>
        <w:t xml:space="preserve"> </w:t>
      </w:r>
      <w:r>
        <w:t>O</w:t>
      </w:r>
      <w:r>
        <w:rPr>
          <w:vertAlign w:val="subscript"/>
        </w:rPr>
        <w:t>2</w:t>
      </w:r>
      <w:r>
        <w:t>(NMC811)||Gr pouch cells maintained 83.2% capacity over 4000 cycles at 1 C and 25°C, while also delivering 0.49 Ah at −80°C and maintaining operational functionality even at 100°C. The strategy offers a practical route toward LIB electrolytes with broad temperature adaptability and long cycle life.</w:t>
      </w:r>
    </w:p>
    <w:p>
      <w:pPr>
        <w:spacing w:before="120" w:after="120"/>
      </w:pPr>
      <w:r>
        <w:rPr>
          <w:sz w:val="18"/>
        </w:rPr>
        <w:t>——————————————————————————————————————————————————————————————————————</w:t>
      </w:r>
    </w:p>
    <w:p>
      <w:pPr>
        <w:spacing w:before="160" w:after="40" w:line="240" w:lineRule="auto"/>
      </w:pPr>
      <w:r>
        <w:rPr>
          <w:b/>
        </w:rPr>
        <w:t xml:space="preserve">[21] </w:t>
      </w:r>
      <w:hyperlink r:id="rId195">
        <w:r>
          <w:rPr>
            <w:color w:val="1155CC"/>
            <w:u w:val="single"/>
          </w:rPr>
          <w:t>描述符引导的动态溶剂化-壳层重构使 PEO 基聚合物电解质具有 10.9 mS cm−1 离子电导率</w:t>
        </w:r>
      </w:hyperlink>
    </w:p>
    <w:p>
      <w:pPr>
        <w:spacing w:before="0" w:after="80"/>
      </w:pPr>
      <w:r>
        <w:rPr>
          <w:i/>
          <w:sz w:val="20"/>
        </w:rPr>
        <w:t>EN: Descriptor‐Guided Dynamic Solvation‐Shell Reconstruction Enables PEO‐Based Polymer Electrolytes With 10.9 mS cm−1 Ionic Conductivity</w:t>
      </w:r>
    </w:p>
    <w:p>
      <w:pPr>
        <w:spacing w:before="0" w:after="120"/>
      </w:pPr>
      <w:r>
        <w:rPr>
          <w:b/>
        </w:rPr>
        <w:t xml:space="preserve">Source: </w:t>
      </w:r>
      <w:r>
        <w:t>Wiley: Angewandte Chemie International Edition: Table of Contents</w:t>
      </w:r>
      <w:r>
        <w:t xml:space="preserve">    </w:t>
      </w:r>
      <w:r>
        <w:rPr>
          <w:b/>
        </w:rPr>
        <w:t xml:space="preserve">Pub date: </w:t>
      </w:r>
      <w:r>
        <w:t>2026-08-26 04:25:28+00:00</w:t>
      </w:r>
      <w:r>
        <w:t xml:space="preserve">    </w:t>
      </w:r>
      <w:r>
        <w:rPr>
          <w:b/>
        </w:rPr>
        <w:t xml:space="preserve">DOI: </w:t>
      </w:r>
      <w:hyperlink r:id="rId196">
        <w:r>
          <w:rPr>
            <w:color w:val="1155CC"/>
            <w:u w:val="single"/>
          </w:rPr>
          <w:t>10.1002/anie.3211208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聚合物电解质锂金属电池长期以来一直受到聚合物电解质固有的低离子电导率和不稳定的高压阴极界面的限制，特别是在离子传输和界面动力学变得缓慢的低温下。在这里，我们提出了一种基于聚环氧乙烷（PEO）的准固体电解质的描述符引导的动态溶剂化壳重建策略，通过引入具有竞争性Li的丁腈增塑剂</w:t>
      </w:r>
      <w:r>
        <w:t xml:space="preserve"> </w:t>
      </w:r>
      <w:r>
        <w:t>+</w:t>
      </w:r>
      <w:r>
        <w:t xml:space="preserve"> </w:t>
      </w:r>
      <w:r>
        <w:t>亲和力快的本地李</w:t>
      </w:r>
      <w:r>
        <w:t xml:space="preserve"> </w:t>
      </w:r>
      <w:r>
        <w:t>+</w:t>
      </w:r>
      <w:r>
        <w:t xml:space="preserve"> </w:t>
      </w:r>
      <w:r>
        <w:t>扩散率。这些腈配体竞争性地进入第一个Li</w:t>
      </w:r>
      <w:r>
        <w:t xml:space="preserve"> </w:t>
      </w:r>
      <w:r>
        <w:t>+</w:t>
      </w:r>
      <w:r>
        <w:t xml:space="preserve"> </w:t>
      </w:r>
      <w:r>
        <w:t>溶剂化壳，削弱持久性Li</w:t>
      </w:r>
      <w:r>
        <w:t xml:space="preserve"> </w:t>
      </w:r>
      <w:r>
        <w:t>+</w:t>
      </w:r>
      <w:r>
        <w:t xml:space="preserve"> </w:t>
      </w:r>
      <w:r>
        <w:t>‐醚氧配位和位移Li</w:t>
      </w:r>
      <w:r>
        <w:t xml:space="preserve"> </w:t>
      </w:r>
      <w:r>
        <w:t>+</w:t>
      </w:r>
      <w:r>
        <w:t xml:space="preserve"> </w:t>
      </w:r>
      <w:r>
        <w:t>从聚合物笼限制跳跃迁移到配体交换辅助运输。优化后的电解质室温离子电导率达到10.9 mS cm</w:t>
      </w:r>
      <w:r>
        <w:t xml:space="preserve"> </w:t>
      </w:r>
      <w:r>
        <w:t>−1</w:t>
      </w:r>
      <w:r>
        <w:t xml:space="preserve"> </w:t>
      </w:r>
      <w:r>
        <w:t>，比原始 PEO 电解质高出近三个数量级。同时，含腈溶剂化壳调节界面分解途径，抑制高压Li‖NCM811电池中PEO的氧化降解，并促进致密阴极电解质界面的形成。受益于同时增强的散装锂</w:t>
      </w:r>
      <w:r>
        <w:t xml:space="preserve"> </w:t>
      </w:r>
      <w:r>
        <w:t>+</w:t>
      </w:r>
      <w:r>
        <w:t xml:space="preserve"> </w:t>
      </w:r>
      <w:r>
        <w:t>输运和高压界面稳定性</w:t>
      </w:r>
    </w:p>
    <w:p>
      <w:pPr>
        <w:spacing w:before="0" w:after="200" w:lineRule="auto" w:line="276"/>
      </w:pPr>
      <w:r>
        <w:rPr>
          <w:b/>
        </w:rPr>
        <w:t xml:space="preserve">Abstract (EN): </w:t>
      </w:r>
      <w:r>
        <w:t>High‐voltage polymer electrolyte lithium metal batteries have long been constrained by the intrinsically low ionic conductivity of polymer electrolytes and unstable high‐voltage cathode interfaces, especially at low temperatures where ion transport and interfacial kinetics become sluggish. Here, we propose a descriptor‐guided dynamic solvation‐shell reconstruction strategy for poly(ethylene oxide) (PEO)‐based quasi‐solid electrolytes by introducing nitrile plasticizers with competitive Li</w:t>
      </w:r>
      <w:r>
        <w:t xml:space="preserve"> </w:t>
      </w:r>
      <w:r>
        <w:t>+</w:t>
      </w:r>
      <w:r>
        <w:t xml:space="preserve"> </w:t>
      </w:r>
      <w:r>
        <w:t>affinity and fast local Li</w:t>
      </w:r>
      <w:r>
        <w:t xml:space="preserve"> </w:t>
      </w:r>
      <w:r>
        <w:t>+</w:t>
      </w:r>
      <w:r>
        <w:t xml:space="preserve"> </w:t>
      </w:r>
      <w:r>
        <w:t>diffusivity. These nitrile ligands competitively enter the first Li</w:t>
      </w:r>
      <w:r>
        <w:t xml:space="preserve"> </w:t>
      </w:r>
      <w:r>
        <w:t>+</w:t>
      </w:r>
      <w:r>
        <w:t xml:space="preserve"> </w:t>
      </w:r>
      <w:r>
        <w:t>solvation shell, weaken persistent Li</w:t>
      </w:r>
      <w:r>
        <w:t xml:space="preserve"> </w:t>
      </w:r>
      <w:r>
        <w:t>+</w:t>
      </w:r>
      <w:r>
        <w:t xml:space="preserve"> </w:t>
      </w:r>
      <w:r>
        <w:t>‐ether oxygen coordination, and shift Li</w:t>
      </w:r>
      <w:r>
        <w:t xml:space="preserve"> </w:t>
      </w:r>
      <w:r>
        <w:t>+</w:t>
      </w:r>
      <w:r>
        <w:t xml:space="preserve"> </w:t>
      </w:r>
      <w:r>
        <w:t>migration from polymer‐cage‐confined hopping to ligand‐exchange‐assisted transport. The optimized electrolyte achieves a room‐temperature ionic conductivity of 10.9 mS cm</w:t>
      </w:r>
      <w:r>
        <w:t xml:space="preserve"> </w:t>
      </w:r>
      <w:r>
        <w:t>−1</w:t>
      </w:r>
      <w:r>
        <w:t xml:space="preserve"> </w:t>
      </w:r>
      <w:r>
        <w:t>, nearly three orders of magnitude higher than that of the pristine PEO electrolyte. Meanwhile, the nitrile‐containing solvation shell regulates interfacial decomposition pathways, suppresses oxidative PEO degradation in high‐voltage Li‖NCM811 cells, and promotes the formation of compact cathode electrolyte interphases. Benefiting from simultaneously enhanced bulk Li</w:t>
      </w:r>
      <w:r>
        <w:t xml:space="preserve"> </w:t>
      </w:r>
      <w:r>
        <w:t>+</w:t>
      </w:r>
      <w:r>
        <w:t xml:space="preserve"> </w:t>
      </w:r>
      <w:r>
        <w:t>transport and high‐voltage interfacial stability, the optimized electrolyte enables stable fast‐charging cycling and low‐temperature operation in Li‖NCM811 cells. This work establishes descriptor‐guided dynamic first‐solvation‐shell reconstruction as a molecular design principle for high‐conductivity, high‐voltage‐stable PEO‐based quasi‐solid electrolytes.</w:t>
      </w:r>
    </w:p>
    <w:p>
      <w:pPr>
        <w:spacing w:before="120" w:after="120"/>
      </w:pPr>
      <w:r>
        <w:rPr>
          <w:sz w:val="18"/>
        </w:rPr>
        <w:t>——————————————————————————————————————————————————————————————————————</w:t>
      </w:r>
    </w:p>
    <w:p>
      <w:pPr>
        <w:spacing w:before="160" w:after="40" w:line="240" w:lineRule="auto"/>
      </w:pPr>
      <w:r>
        <w:rPr>
          <w:b/>
        </w:rPr>
        <w:t xml:space="preserve">[22] </w:t>
      </w:r>
      <w:hyperlink r:id="rId119">
        <w:r>
          <w:rPr>
            <w:color w:val="1155CC"/>
            <w:u w:val="single"/>
          </w:rPr>
          <w:t>通过电解质氢键干预揭示锌-二氧化锰电池的质子共插入化学</w:t>
        </w:r>
      </w:hyperlink>
    </w:p>
    <w:p>
      <w:pPr>
        <w:spacing w:before="0" w:after="80"/>
      </w:pPr>
      <w:r>
        <w:rPr>
          <w:i/>
          <w:sz w:val="20"/>
        </w:rPr>
        <w:t>EN: Unraveling the Proton Co‐Insertion Chemistry through Electrolyte Hydrogen‐Bond Intervention for Zinc‐Manganese Dioxide Batteries</w:t>
      </w:r>
    </w:p>
    <w:p>
      <w:pPr>
        <w:spacing w:before="0" w:after="120"/>
      </w:pPr>
      <w:r>
        <w:rPr>
          <w:b/>
        </w:rPr>
        <w:t xml:space="preserve">Source: </w:t>
      </w:r>
      <w:r>
        <w:t>Wiley: Advanced Energy Materials: Table of Contents</w:t>
      </w:r>
      <w:r>
        <w:t xml:space="preserve">    </w:t>
      </w:r>
      <w:r>
        <w:rPr>
          <w:b/>
        </w:rPr>
        <w:t xml:space="preserve">Pub date: </w:t>
      </w:r>
      <w:r>
        <w:t>2026-08-26 06:00:06+00:00</w:t>
      </w:r>
      <w:r>
        <w:t xml:space="preserve">    </w:t>
      </w:r>
      <w:r>
        <w:rPr>
          <w:b/>
        </w:rPr>
        <w:t xml:space="preserve">DOI: </w:t>
      </w:r>
      <w:hyperlink r:id="rId120">
        <w:r>
          <w:rPr>
            <w:color w:val="1155CC"/>
            <w:u w:val="single"/>
          </w:rPr>
          <w:t>10.1002/aenm.71483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水相Zn-MnO</w:t>
      </w:r>
      <w:r>
        <w:rPr>
          <w:vertAlign w:val="subscript"/>
        </w:rPr>
        <w:t>2</w:t>
      </w:r>
      <w:r>
        <w:t>由于其固有的安全性和环境兼容性，电池在大规模能源部署方面很有前景。然而，与相对较好理解的阳极稳定性相比，它们的商业实施受到阴极难以捉摸的质子共插入机制的严重瓶颈。在此，我们揭开了底层的 H</w:t>
      </w:r>
      <w:r>
        <w:t xml:space="preserve"> </w:t>
      </w:r>
      <w:r>
        <w:t>+</w:t>
      </w:r>
      <w:r>
        <w:t xml:space="preserve"> </w:t>
      </w:r>
      <w:r>
        <w:t>‐MnO 内的储存现象</w:t>
      </w:r>
      <w:r>
        <w:rPr>
          <w:vertAlign w:val="subscript"/>
        </w:rPr>
        <w:t>2</w:t>
      </w:r>
      <w:r>
        <w:t>通过量身定制的氢键干预策略。我们的研究结果表明，灾难性的容量下降完全源于第二个放电平台，这本质上是由氢键网络控制的。通过加强氢键环境，我们有效地调节质子嵌入动力学并抑制过量的H</w:t>
      </w:r>
      <w:r>
        <w:t xml:space="preserve"> </w:t>
      </w:r>
      <w:r>
        <w:t>+</w:t>
      </w:r>
      <w:r>
        <w:t xml:space="preserve"> </w:t>
      </w:r>
      <w:r>
        <w:t>否则会引发结构倒塌的通量。虽然传统的水性电解质会导致严重的锰溶解和不可逆的空位形成，但我们的策略保留了 MnO 的结构完整性</w:t>
      </w:r>
      <w:r>
        <w:rPr>
          <w:vertAlign w:val="subscript"/>
        </w:rPr>
        <w:t>2</w:t>
      </w:r>
      <w:r>
        <w:t>的 2 × 2 隧道框架。理论计算证实H的掺入</w:t>
      </w:r>
      <w:r>
        <w:t xml:space="preserve"> </w:t>
      </w:r>
      <w:r>
        <w:t>+</w:t>
      </w:r>
      <w:r>
        <w:t xml:space="preserve"> </w:t>
      </w:r>
      <w:r>
        <w:t>转化为α-H</w:t>
      </w:r>
      <w:r>
        <w:t xml:space="preserve"> </w:t>
      </w:r>
      <w:r>
        <w:t>x</w:t>
      </w:r>
      <w:r>
        <w:t xml:space="preserve"> </w:t>
      </w:r>
      <w:r>
        <w:t>二氧化锰</w:t>
      </w:r>
      <w:r>
        <w:rPr>
          <w:vertAlign w:val="subscript"/>
        </w:rPr>
        <w:t>2</w:t>
      </w:r>
      <w:r>
        <w:t>削弱 Mn─O 键并形成显着的空位。利用这些机械洞察力</w:t>
      </w:r>
    </w:p>
    <w:p>
      <w:pPr>
        <w:spacing w:before="0" w:after="200" w:lineRule="auto" w:line="276"/>
      </w:pPr>
      <w:r>
        <w:rPr>
          <w:b/>
        </w:rPr>
        <w:t xml:space="preserve">Abstract (EN): </w:t>
      </w:r>
      <w:r>
        <w:t>Aqueous Zn‐MnO</w:t>
      </w:r>
      <w:r>
        <w:rPr>
          <w:vertAlign w:val="subscript"/>
        </w:rPr>
        <w:t>2</w:t>
      </w:r>
      <w:r>
        <w:t>batteries are promising for large‐format energy deployment due to their inherent safety and environmental compatibility. Nevertheless, their commercial implementation is critically bottlenecked by the elusive proton co‐insertion mechanism at the cathode, in contrast to the relatively well‐understood anode stability. Herein, we unveil the underlying H</w:t>
      </w:r>
      <w:r>
        <w:t xml:space="preserve"> </w:t>
      </w:r>
      <w:r>
        <w:t>+</w:t>
      </w:r>
      <w:r>
        <w:t xml:space="preserve"> </w:t>
      </w:r>
      <w:r>
        <w:t>‐storage phenomenon within MnO</w:t>
      </w:r>
      <w:r>
        <w:rPr>
          <w:vertAlign w:val="subscript"/>
        </w:rPr>
        <w:t>2</w:t>
      </w:r>
      <w:r>
        <w:t>via a tailored hydrogen‐bond intervention strategy. Our findings reveal that the catastrophic capacity degradation originates squarely from the second discharge plateau, which is intrinsically governed by the hydrogen‐bond network. By reinforcing the hydrogen‐bond environment, we effectively modulate proton intercalation kinetics and suppress the excessive H</w:t>
      </w:r>
      <w:r>
        <w:t xml:space="preserve"> </w:t>
      </w:r>
      <w:r>
        <w:t>+</w:t>
      </w:r>
      <w:r>
        <w:t xml:space="preserve"> </w:t>
      </w:r>
      <w:r>
        <w:t>flux that otherwise triggers structural collapse. While traditional aqueous electrolytes lead to severe manganese dissolution and irreversible vacancy formation, our strategy preserves the structural integrity of the MnO</w:t>
      </w:r>
      <w:r>
        <w:rPr>
          <w:vertAlign w:val="subscript"/>
        </w:rPr>
        <w:t>2</w:t>
      </w:r>
      <w:r>
        <w:t>’s 2 × 2 tunnel framework. Theoretical calculations confirm that the incorporation of H</w:t>
      </w:r>
      <w:r>
        <w:t xml:space="preserve"> </w:t>
      </w:r>
      <w:r>
        <w:t>+</w:t>
      </w:r>
      <w:r>
        <w:t xml:space="preserve"> </w:t>
      </w:r>
      <w:r>
        <w:t>into α‐H</w:t>
      </w:r>
      <w:r>
        <w:t xml:space="preserve"> </w:t>
      </w:r>
      <w:r>
        <w:t>x</w:t>
      </w:r>
      <w:r>
        <w:t xml:space="preserve"> </w:t>
      </w:r>
      <w:r>
        <w:t>MnO</w:t>
      </w:r>
      <w:r>
        <w:rPr>
          <w:vertAlign w:val="subscript"/>
        </w:rPr>
        <w:t>2</w:t>
      </w:r>
      <w:r>
        <w:t>weakens the Mn─O bonds with notable vacancy formation. Leveraging these mechanistic insights, we demonstrate Zn‐MnO</w:t>
      </w:r>
      <w:r>
        <w:rPr>
          <w:vertAlign w:val="subscript"/>
        </w:rPr>
        <w:t>2</w:t>
      </w:r>
      <w:r>
        <w:t>pouch cells under stringent practical conditions—high areal capacity (2.62 mAh cm</w:t>
      </w:r>
      <w:r>
        <w:t xml:space="preserve"> </w:t>
      </w:r>
      <w:r>
        <w:t>−2</w:t>
      </w:r>
      <w:r>
        <w:t xml:space="preserve"> </w:t>
      </w:r>
      <w:r>
        <w:t>), restricted N/P ratio (2.2), and lean electrolyte (30 µL mAh</w:t>
      </w:r>
      <w:r>
        <w:t xml:space="preserve"> </w:t>
      </w:r>
      <w:r>
        <w:t>−1</w:t>
      </w:r>
      <w:r>
        <w:t xml:space="preserve"> </w:t>
      </w:r>
      <w:r>
        <w:t>)—yielding a specific energy of 167 Wh kg</w:t>
      </w:r>
      <w:r>
        <w:t xml:space="preserve"> </w:t>
      </w:r>
      <w:r>
        <w:t>−1</w:t>
      </w:r>
      <w:r>
        <w:t xml:space="preserve"> </w:t>
      </w:r>
      <w:r>
        <w:t>. Meanwhile, this electrolyte demonstrates an excellent one‐year cycling lifespan at −10°C. This work provides insight for high‐performance aqueous batteries.</w:t>
      </w:r>
    </w:p>
    <w:p>
      <w:pPr>
        <w:spacing w:before="120" w:after="120"/>
      </w:pPr>
      <w:r>
        <w:rPr>
          <w:sz w:val="18"/>
        </w:rPr>
        <w:t>——————————————————————————————————————————————————————————————————————</w:t>
      </w:r>
    </w:p>
    <w:p>
      <w:pPr>
        <w:spacing w:before="160" w:after="40" w:line="240" w:lineRule="auto"/>
      </w:pPr>
      <w:r>
        <w:rPr>
          <w:b/>
        </w:rPr>
        <w:t xml:space="preserve">[23] </w:t>
      </w:r>
      <w:hyperlink r:id="rId121">
        <w:r>
          <w:rPr>
            <w:color w:val="1155CC"/>
            <w:u w:val="single"/>
          </w:rPr>
          <w:t>固态电池用纳米晶LCO/LLZO复合正极膜</w:t>
        </w:r>
      </w:hyperlink>
    </w:p>
    <w:p>
      <w:pPr>
        <w:spacing w:before="0" w:after="80"/>
      </w:pPr>
      <w:r>
        <w:rPr>
          <w:i/>
          <w:sz w:val="20"/>
        </w:rPr>
        <w:t>EN: Nanocrystalline LCO/LLZO Composite Cathode Films for Solid State Batteries</w:t>
      </w:r>
    </w:p>
    <w:p>
      <w:pPr>
        <w:spacing w:before="0" w:after="120"/>
      </w:pPr>
      <w:r>
        <w:rPr>
          <w:b/>
        </w:rPr>
        <w:t xml:space="preserve">Source: </w:t>
      </w:r>
      <w:r>
        <w:t>Wiley: Advanced Energy Materials: Table of Contents</w:t>
      </w:r>
      <w:r>
        <w:t xml:space="preserve">    </w:t>
      </w:r>
      <w:r>
        <w:rPr>
          <w:b/>
        </w:rPr>
        <w:t xml:space="preserve">Pub date: </w:t>
      </w:r>
      <w:r>
        <w:t>2026-08-26 06:12:07+00:00</w:t>
      </w:r>
      <w:r>
        <w:t xml:space="preserve">    </w:t>
      </w:r>
      <w:r>
        <w:rPr>
          <w:b/>
        </w:rPr>
        <w:t xml:space="preserve">DOI: </w:t>
      </w:r>
      <w:hyperlink r:id="rId122">
        <w:r>
          <w:rPr>
            <w:color w:val="1155CC"/>
            <w:u w:val="single"/>
          </w:rPr>
          <w:t>10.1002/aenm.71490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高性能复合阴极的可扩展制造仍然是氧化物基全固态电池（ASSB）的一个关键障碍。锂石榴石（Li</w:t>
      </w:r>
      <w:r>
        <w:rPr>
          <w:vertAlign w:val="subscript"/>
        </w:rPr>
        <w:t>7</w:t>
      </w:r>
      <w:r>
        <w:t>拉</w:t>
      </w:r>
      <w:r>
        <w:rPr>
          <w:vertAlign w:val="subscript"/>
        </w:rPr>
        <w:t>3</w:t>
      </w:r>
      <w:r>
        <w:t>锆</w:t>
      </w:r>
      <w:r>
        <w:rPr>
          <w:vertAlign w:val="subscript"/>
        </w:rPr>
        <w:t>2</w:t>
      </w:r>
      <w:r>
        <w:t>氧</w:t>
      </w:r>
      <w:r>
        <w:rPr>
          <w:vertAlign w:val="subscript"/>
        </w:rPr>
        <w:t>12</w:t>
      </w:r>
      <w:r>
        <w:t>，LLZO）电解质提供高离子电导率和与锂金属的相容性，然而，将它们与高压层状氧化物结合通常受到高温陶瓷加工的限制，高温陶瓷加工使制造复杂化并促进界面副反应。在这里我们报告了LiCoO</w:t>
      </w:r>
      <w:r>
        <w:rPr>
          <w:vertAlign w:val="subscript"/>
        </w:rPr>
        <w:t>2</w:t>
      </w:r>
      <w:r>
        <w:t>/LLZO 复合阴极通过单溶液喷雾沉积制备，在 750°C 的最高加工温度下共沉积所有成分。该过程产生致密、无裂纹、微米厚的层，具有纳米晶、相分离的微观结构。立方LLZO和层状LiCoO的两相</w:t>
      </w:r>
      <w:r>
        <w:rPr>
          <w:vertAlign w:val="subscript"/>
        </w:rPr>
        <w:t>2</w:t>
      </w:r>
      <w:r>
        <w:t>独立结晶，仅形成少量二次相，并且未检测到钴迁移到 LLZO 基材中。与首次充电后观察到的低阴极电解质界面电阻一致，锂金属全电池表现出 111.7 mAh g</w:t>
      </w:r>
      <w:r>
        <w:t xml:space="preserve"> </w:t>
      </w:r>
      <w:r>
        <w:t>−1</w:t>
      </w:r>
      <w:r>
        <w:t xml:space="preserve"> </w:t>
      </w:r>
      <w:r>
        <w:t>计算机辅助制造</w:t>
      </w:r>
      <w:r>
        <w:t xml:space="preserve"> </w:t>
      </w:r>
      <w:r>
        <w:t>首次放电容量，100次循环后仍保留93%的容量。容量衰减主要是由阴极电解质界面阻抗的逐渐增长决定的，而事后显微镜检查则发现</w:t>
      </w:r>
    </w:p>
    <w:p>
      <w:pPr>
        <w:spacing w:before="0" w:after="200" w:lineRule="auto" w:line="276"/>
      </w:pPr>
      <w:r>
        <w:rPr>
          <w:b/>
        </w:rPr>
        <w:t xml:space="preserve">Abstract (EN): </w:t>
      </w:r>
      <w:r>
        <w:t>Scalable fabrication of high‐performing composite cathodes remains a key hurdle for oxide‐based all‐solid‐state batteries (ASSBs). Li‐garnet (Li</w:t>
      </w:r>
      <w:r>
        <w:rPr>
          <w:vertAlign w:val="subscript"/>
        </w:rPr>
        <w:t>7</w:t>
      </w:r>
      <w:r>
        <w:t>La</w:t>
      </w:r>
      <w:r>
        <w:rPr>
          <w:vertAlign w:val="subscript"/>
        </w:rPr>
        <w:t>3</w:t>
      </w:r>
      <w:r>
        <w:t>Zr</w:t>
      </w:r>
      <w:r>
        <w:rPr>
          <w:vertAlign w:val="subscript"/>
        </w:rPr>
        <w:t>2</w:t>
      </w:r>
      <w:r>
        <w:t>O</w:t>
      </w:r>
      <w:r>
        <w:rPr>
          <w:vertAlign w:val="subscript"/>
        </w:rPr>
        <w:t>12</w:t>
      </w:r>
      <w:r>
        <w:t>, LLZO) electrolytes provide high ionic conductivity and compatibility with lithium metal, yet, combining them with high‐voltage layered oxides is often limited by high‐temperature ceramic processing that complicates manufacturing and promotes interfacial side reactions. Here we report a LiCoO</w:t>
      </w:r>
      <w:r>
        <w:rPr>
          <w:vertAlign w:val="subscript"/>
        </w:rPr>
        <w:t>2</w:t>
      </w:r>
      <w:r>
        <w:t>/LLZO composite cathode prepared by single‐solution spray deposition that co‐deposits all constituents at a maximum processing temperature of 750°C. The process produces dense, crack‐free, micrometer‐thick layers with nanograined, phase‐separated microstructures. The two phases of cubic LLZO and layered LiCoO</w:t>
      </w:r>
      <w:r>
        <w:rPr>
          <w:vertAlign w:val="subscript"/>
        </w:rPr>
        <w:t>2</w:t>
      </w:r>
      <w:r>
        <w:t>crystallize independently, only minor secondary phases form, and no cobalt migration into the LLZO substrate is detected. Consistent with a low cathode‐electrolyte interfacial resistance observed after the first charge, full cells with lithium metal exhibit 111.7 mAh g</w:t>
      </w:r>
      <w:r>
        <w:t xml:space="preserve"> </w:t>
      </w:r>
      <w:r>
        <w:t>−1</w:t>
      </w:r>
      <w:r>
        <w:t xml:space="preserve"> </w:t>
      </w:r>
      <w:r>
        <w:t>CAM</w:t>
      </w:r>
      <w:r>
        <w:t xml:space="preserve"> </w:t>
      </w:r>
      <w:r>
        <w:t>initial discharge capacity and retain 93% of the capacity over 100 cycles. Capacity fade is dominated by progressive growth of cathode‐electrolyte interfacial impedance, whereas post‐mortem microscopy reveals preserved adhesion and morphology, suggesting the nanograined architecture accommodates cathode volume changes without severe cracking or delamination. Overall, single‐solution co‐deposition offers a practical, low‐thermal‐budget route to oxide composite cathodes and a scalable platform for extending LLZO‐based ASSBs to broader cathode chemistries.</w:t>
      </w:r>
    </w:p>
    <w:p>
      <w:pPr>
        <w:spacing w:before="120" w:after="120"/>
      </w:pPr>
      <w:r>
        <w:rPr>
          <w:sz w:val="18"/>
        </w:rPr>
        <w:t>——————————————————————————————————————————————————————————————————————</w:t>
      </w:r>
    </w:p>
    <w:p>
      <w:pPr>
        <w:spacing w:before="160" w:after="40" w:line="240" w:lineRule="auto"/>
      </w:pPr>
      <w:r>
        <w:rPr>
          <w:b/>
        </w:rPr>
        <w:t xml:space="preserve">[24] </w:t>
      </w:r>
      <w:hyperlink r:id="rId123">
        <w:r>
          <w:rPr>
            <w:color w:val="1155CC"/>
            <w:u w:val="single"/>
          </w:rPr>
          <w:t>自牺牲阻燃低聚物实现阴离子为主的溶剂化结构，用于高安全性和长寿命的高压锂金属电池</w:t>
        </w:r>
      </w:hyperlink>
    </w:p>
    <w:p>
      <w:pPr>
        <w:spacing w:before="0" w:after="80"/>
      </w:pPr>
      <w:r>
        <w:rPr>
          <w:i/>
          <w:sz w:val="20"/>
        </w:rPr>
        <w:t>EN: Self‐Sacrificing Flame‐Retardant Oligomer Enables Anion‐Dominated Solvation Structure for High‐Safety and Long‐Life High‐Voltage Lithium‐Metal Batteries</w:t>
      </w:r>
    </w:p>
    <w:p>
      <w:pPr>
        <w:spacing w:before="0" w:after="120"/>
      </w:pPr>
      <w:r>
        <w:rPr>
          <w:b/>
        </w:rPr>
        <w:t xml:space="preserve">Source: </w:t>
      </w:r>
      <w:r>
        <w:t>Wiley: Advanced Materials: Table of Contents</w:t>
      </w:r>
      <w:r>
        <w:t xml:space="preserve">    </w:t>
      </w:r>
      <w:r>
        <w:rPr>
          <w:b/>
        </w:rPr>
        <w:t xml:space="preserve">Pub date: </w:t>
      </w:r>
      <w:r>
        <w:t>2026-08-26 06:22:39+00:00</w:t>
      </w:r>
      <w:r>
        <w:t xml:space="preserve">    </w:t>
      </w:r>
      <w:r>
        <w:rPr>
          <w:b/>
        </w:rPr>
        <w:t xml:space="preserve">DOI: </w:t>
      </w:r>
      <w:hyperlink r:id="rId124">
        <w:r>
          <w:rPr>
            <w:color w:val="1155CC"/>
            <w:u w:val="single"/>
          </w:rPr>
          <w:t>10.1002/adma.74775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CM811锂金属电池的商业化长期以来受到两大瓶颈的制约：电解质的易燃性和电极界面兼容性差。本研究设计了一种多功能不饱和低聚物电解质添加剂（PE）作为电池安全性和稳定性的协调者和烈士。它集成了柔性链段以促进锂离子传输，含磷链段实现了气相和凝聚相阻燃性，P=O和C=C的协同作用有效地稳定了锂金属负极和高压正极。该添加剂选择性地分配成Li</w:t>
      </w:r>
      <w:r>
        <w:t xml:space="preserve"> </w:t>
      </w:r>
      <w:r>
        <w:t>+</w:t>
      </w:r>
      <w:r>
        <w:t xml:space="preserve"> </w:t>
      </w:r>
      <w:r>
        <w:t>溶剂化壳层，其中 P=O 键与 Li 配位</w:t>
      </w:r>
      <w:r>
        <w:t xml:space="preserve"> </w:t>
      </w:r>
      <w:r>
        <w:t>+</w:t>
      </w:r>
      <w:r>
        <w:t xml:space="preserve"> </w:t>
      </w:r>
      <w:r>
        <w:t>C=C 键与 PF 建立阴离子-C=C 相互作用</w:t>
      </w:r>
      <w:r>
        <w:rPr>
          <w:vertAlign w:val="subscript"/>
        </w:rPr>
        <w:t>6</w:t>
      </w:r>
      <w:r>
        <w:t>-</w:t>
      </w:r>
      <w:r>
        <w:t>，在具有常规锂盐浓度的商业电解液中构建独特的阴离子主导溶剂化环境，以触发高度稳定的LiF/Li</w:t>
      </w:r>
      <w:r>
        <w:t xml:space="preserve"> </w:t>
      </w:r>
      <w:r>
        <w:t>x</w:t>
      </w:r>
      <w:r>
        <w:t xml:space="preserve"> </w:t>
      </w:r>
      <w:r>
        <w:t>采购订单</w:t>
      </w:r>
      <w:r>
        <w:t xml:space="preserve"> </w:t>
      </w:r>
      <w:r>
        <w:t>y</w:t>
      </w:r>
      <w:r>
        <w:t xml:space="preserve"> </w:t>
      </w:r>
      <w:r>
        <w:t>‐电极表面形成丰富的界面层。在低添加水平下，电解液的可燃性显着降低，同时电池性能得到全面增强。 NCM811‖锂电池在1 C下实现了超过500次循环的稳定循环，保持80%的容量保持率。即使在 5 C 下，它们在 160 次循环后仍保留 76% 的容量。通过战略性设计局部分子</w:t>
      </w:r>
    </w:p>
    <w:p>
      <w:pPr>
        <w:spacing w:before="0" w:after="200" w:lineRule="auto" w:line="276"/>
      </w:pPr>
      <w:r>
        <w:rPr>
          <w:b/>
        </w:rPr>
        <w:t xml:space="preserve">Abstract (EN): </w:t>
      </w:r>
      <w:r>
        <w:t>The commercialization of NCM811‐lithium metal batteries has long been constrained by two major bottlenecks: electrolytes’ flammability and poor electrode interface compatibility. This study designed a multifunctional unsaturated oligomer electrolyte additive (PE) as a coordinator and martyr for batteries’ safety and stability. It integrates flexible segments to promote lithium‐ion transport, phosphorus‐containing segments to achieve both vapor‐phase and condensed‐phase flame retardancy, and the synergy of P═O and C═C effectively stabilizes both the lithium‐metal anode and high‐voltage cathode. This additive selectively partitions into Li</w:t>
      </w:r>
      <w:r>
        <w:t xml:space="preserve"> </w:t>
      </w:r>
      <w:r>
        <w:t>+</w:t>
      </w:r>
      <w:r>
        <w:t xml:space="preserve"> </w:t>
      </w:r>
      <w:r>
        <w:t>solvation shell, where P═O bond coordinates with Li</w:t>
      </w:r>
      <w:r>
        <w:t xml:space="preserve"> </w:t>
      </w:r>
      <w:r>
        <w:t>+</w:t>
      </w:r>
      <w:r>
        <w:t xml:space="preserve"> </w:t>
      </w:r>
      <w:r>
        <w:t>and C═C bond establishes anion‐C═C interaction with PF</w:t>
      </w:r>
      <w:r>
        <w:rPr>
          <w:vertAlign w:val="subscript"/>
        </w:rPr>
        <w:t>6</w:t>
      </w:r>
      <w:r>
        <w:t>−</w:t>
      </w:r>
      <w:r>
        <w:t>, constructing a unique anion‐dominated solvation environment in commercial electrolyte with conventional lithium salt concentration to trigger highly stable and LiF/Li</w:t>
      </w:r>
      <w:r>
        <w:t xml:space="preserve"> </w:t>
      </w:r>
      <w:r>
        <w:t>x</w:t>
      </w:r>
      <w:r>
        <w:t xml:space="preserve"> </w:t>
      </w:r>
      <w:r>
        <w:t>PO</w:t>
      </w:r>
      <w:r>
        <w:t xml:space="preserve"> </w:t>
      </w:r>
      <w:r>
        <w:t>y</w:t>
      </w:r>
      <w:r>
        <w:t xml:space="preserve"> </w:t>
      </w:r>
      <w:r>
        <w:t>‐rich interfacial layer formation on electrode surface. At low addition levels, electrolyte flammability is significantly reduced while battery performance is comprehensively enhanced. NCM811‖Li batteries achieved stable cycling for over 500 cycles at 1 C, maintaining 80% capacity retention. Even at 5 C, they retained 76% capacity after 160 cycles. By strategically designing localized molecular structures to synergistically enhance flame retardancy, ion transport, and interfacial stability within a single molecule, this study provides a promising paradigm for the development of electrolytes for high‐safety, long‐life, and high‐energy‐density lithium batteries.</w:t>
      </w:r>
    </w:p>
    <w:p>
      <w:pPr>
        <w:spacing w:before="120" w:after="120"/>
      </w:pPr>
      <w:r>
        <w:rPr>
          <w:sz w:val="18"/>
        </w:rPr>
        <w:t>——————————————————————————————————————————————————————————————————————</w:t>
      </w:r>
    </w:p>
    <w:p>
      <w:pPr>
        <w:spacing w:before="160" w:after="40" w:line="240" w:lineRule="auto"/>
      </w:pPr>
      <w:r>
        <w:rPr>
          <w:b/>
        </w:rPr>
        <w:t xml:space="preserve">[25] </w:t>
      </w:r>
      <w:hyperlink r:id="rId197">
        <w:r>
          <w:rPr>
            <w:color w:val="1155CC"/>
            <w:u w:val="single"/>
          </w:rPr>
          <w:t>稳定固态锂金属电池的晶体转变HOF/MOF异质结构设计原理</w:t>
        </w:r>
      </w:hyperlink>
    </w:p>
    <w:p>
      <w:pPr>
        <w:spacing w:before="0" w:after="80"/>
      </w:pPr>
      <w:r>
        <w:rPr>
          <w:i/>
          <w:sz w:val="20"/>
        </w:rPr>
        <w:t>EN: Design Principles of Crystal‐Transformed HOF/MOF Heterostructures for Stable Solid‐State Lithium Metal Batteries</w:t>
      </w:r>
    </w:p>
    <w:p>
      <w:pPr>
        <w:spacing w:before="0" w:after="120"/>
      </w:pPr>
      <w:r>
        <w:rPr>
          <w:b/>
        </w:rPr>
        <w:t xml:space="preserve">Source: </w:t>
      </w:r>
      <w:r>
        <w:t>Wiley: Advanced Materials: Table of Contents</w:t>
      </w:r>
      <w:r>
        <w:t xml:space="preserve">    </w:t>
      </w:r>
      <w:r>
        <w:rPr>
          <w:b/>
        </w:rPr>
        <w:t xml:space="preserve">Pub date: </w:t>
      </w:r>
      <w:r>
        <w:t>2026-08-26 07:05:15+00:00</w:t>
      </w:r>
      <w:r>
        <w:t xml:space="preserve">    </w:t>
      </w:r>
      <w:r>
        <w:rPr>
          <w:b/>
        </w:rPr>
        <w:t xml:space="preserve">DOI: </w:t>
      </w:r>
      <w:hyperlink r:id="rId198">
        <w:r>
          <w:rPr>
            <w:color w:val="1155CC"/>
            <w:u w:val="single"/>
          </w:rPr>
          <w:t>10.1002/adma.74814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具有高离子电导率、界面鲁棒性和热稳定性的固态电解质（SSE）的合理设计仍然是锂金属电池（LMB）的关键挑战。在此，我们建立了晶体转化的氢键有机骨架/三核铜簇有机骨架异质结构（HOFa/TrCuMOF</w:t>
      </w:r>
      <w:r>
        <w:rPr>
          <w:vertAlign w:val="subscript"/>
        </w:rPr>
        <w:t>8</w:t>
      </w:r>
      <w:r>
        <w:t>）作为 LMB 的热稳定 SSE。晶体转变的HOF/MOF异质结构构建连续低能Li</w:t>
      </w:r>
      <w:r>
        <w:t xml:space="preserve"> </w:t>
      </w:r>
      <w:r>
        <w:t>+</w:t>
      </w:r>
      <w:r>
        <w:t xml:space="preserve"> </w:t>
      </w:r>
      <w:r>
        <w:t>运输途径，而悬挂的-CH</w:t>
      </w:r>
      <w:r>
        <w:rPr>
          <w:vertAlign w:val="subscript"/>
        </w:rPr>
        <w:t>3</w:t>
      </w:r>
      <w:r>
        <w:t>具有强位阻诱导阴离子吸附，有效抑制TFSI</w:t>
      </w:r>
      <w:r>
        <w:t xml:space="preserve"> </w:t>
      </w:r>
      <w:r>
        <w:t>-</w:t>
      </w:r>
      <w:r>
        <w:t>迁移。同时，配位限制的 TrCu 与亚胺 (C = N) 基团协同作用，通过 Li 创建动态极化的局域电子环境</w:t>
      </w:r>
      <w:r>
        <w:t xml:space="preserve"> </w:t>
      </w:r>
      <w:r>
        <w:t>+</w:t>
      </w:r>
      <w:r>
        <w:t xml:space="preserve"> </w:t>
      </w:r>
      <w:r>
        <w:t>‐诱导电荷重新分布，从而促进选择性Li</w:t>
      </w:r>
      <w:r>
        <w:t xml:space="preserve"> </w:t>
      </w:r>
      <w:r>
        <w:t>+</w:t>
      </w:r>
      <w:r>
        <w:t xml:space="preserve"> </w:t>
      </w:r>
      <w:r>
        <w:t>运输。因此，HOFa/TrCuMOF</w:t>
      </w:r>
      <w:r>
        <w:rPr>
          <w:vertAlign w:val="subscript"/>
        </w:rPr>
        <w:t>8</w:t>
      </w:r>
      <w:r>
        <w:t>上证所表现出高利好</w:t>
      </w:r>
      <w:r>
        <w:t xml:space="preserve"> </w:t>
      </w:r>
      <w:r>
        <w:t>+</w:t>
      </w:r>
      <w:r>
        <w:t xml:space="preserve"> </w:t>
      </w:r>
      <w:r>
        <w:t>迁移数 (0.94) 和离子电导率 (2.7 mS cm</w:t>
      </w:r>
      <w:r>
        <w:t xml:space="preserve"> </w:t>
      </w:r>
      <w:r>
        <w:t>−1</w:t>
      </w:r>
      <w:r>
        <w:t xml:space="preserve"> </w:t>
      </w:r>
      <w:r>
        <w:t>30°C）。与聚丙烯 (PP) 隔膜相比，柔性 HOFa/TrCuMOF</w:t>
      </w:r>
      <w:r>
        <w:rPr>
          <w:vertAlign w:val="subscript"/>
        </w:rPr>
        <w:t>8</w:t>
      </w:r>
      <w:r>
        <w:t>SSE在高温（180°C）下保持结构完整性，有效抑制电解质收缩</w:t>
      </w:r>
    </w:p>
    <w:p>
      <w:pPr>
        <w:spacing w:before="0" w:after="200" w:lineRule="auto" w:line="276"/>
      </w:pPr>
      <w:r>
        <w:rPr>
          <w:b/>
        </w:rPr>
        <w:t xml:space="preserve">Abstract (EN): </w:t>
      </w:r>
      <w:r>
        <w:t>The rational design of solid‐state electrolytes (SSEs) with high ionic conductivity, interfacial robustness, and thermal stability remains a critical challenge for lithium metal batteries (LMBs). Herein, we established the crystal‐transformed hydrogen‐bonded organic framework/trinuclear Cu cluster organic framework heterostructures (HOFa/TrCuMOF</w:t>
      </w:r>
      <w:r>
        <w:rPr>
          <w:vertAlign w:val="subscript"/>
        </w:rPr>
        <w:t>8</w:t>
      </w:r>
      <w:r>
        <w:t>) as thermally stable SSEs for LMBs. The crystal‐transformed HOF/MOF heterostructure constructs continuous low‐energy Li</w:t>
      </w:r>
      <w:r>
        <w:t xml:space="preserve"> </w:t>
      </w:r>
      <w:r>
        <w:t>+</w:t>
      </w:r>
      <w:r>
        <w:t xml:space="preserve"> </w:t>
      </w:r>
      <w:r>
        <w:t>transport pathways, while the pendant ‐CH</w:t>
      </w:r>
      <w:r>
        <w:rPr>
          <w:vertAlign w:val="subscript"/>
        </w:rPr>
        <w:t>3</w:t>
      </w:r>
      <w:r>
        <w:t>with strong steric hindrance induces anion adsorption to effectively suppress TFSI</w:t>
      </w:r>
      <w:r>
        <w:t xml:space="preserve"> </w:t>
      </w:r>
      <w:r>
        <w:t>−</w:t>
      </w:r>
      <w:r>
        <w:t>migration. Meanwhile, coordination‐confined TrCu synergizes with imine (C = N) groups to create a dynamically polarized local electronic environment through Li</w:t>
      </w:r>
      <w:r>
        <w:t xml:space="preserve"> </w:t>
      </w:r>
      <w:r>
        <w:t>+</w:t>
      </w:r>
      <w:r>
        <w:t xml:space="preserve"> </w:t>
      </w:r>
      <w:r>
        <w:t>‐induced charge redistribution, thereby promoting selective Li</w:t>
      </w:r>
      <w:r>
        <w:t xml:space="preserve"> </w:t>
      </w:r>
      <w:r>
        <w:t>+</w:t>
      </w:r>
      <w:r>
        <w:t xml:space="preserve"> </w:t>
      </w:r>
      <w:r>
        <w:t>transport. Consequently, the HOFa/TrCuMOF</w:t>
      </w:r>
      <w:r>
        <w:rPr>
          <w:vertAlign w:val="subscript"/>
        </w:rPr>
        <w:t>8</w:t>
      </w:r>
      <w:r>
        <w:t>SSEs deliver a high Li</w:t>
      </w:r>
      <w:r>
        <w:t xml:space="preserve"> </w:t>
      </w:r>
      <w:r>
        <w:t>+</w:t>
      </w:r>
      <w:r>
        <w:t xml:space="preserve"> </w:t>
      </w:r>
      <w:r>
        <w:t>transference number (0.94) and ionic conductivity (2.7 mS cm</w:t>
      </w:r>
      <w:r>
        <w:t xml:space="preserve"> </w:t>
      </w:r>
      <w:r>
        <w:t>−1</w:t>
      </w:r>
      <w:r>
        <w:t xml:space="preserve"> </w:t>
      </w:r>
      <w:r>
        <w:t>at 30°C). Compared with polypropylene (PP) separators, the flexible HOFa/TrCuMOF</w:t>
      </w:r>
      <w:r>
        <w:rPr>
          <w:vertAlign w:val="subscript"/>
        </w:rPr>
        <w:t>8</w:t>
      </w:r>
      <w:r>
        <w:t>SSEs maintain structural integrity at high temperatures (180°C), effectively suppressing electrolyte shrinkage and thermal short‐circuit propagation. The assembled Li|HOFa/TrCuMOF</w:t>
      </w:r>
      <w:r>
        <w:rPr>
          <w:vertAlign w:val="subscript"/>
        </w:rPr>
        <w:t>8</w:t>
      </w:r>
      <w:r>
        <w:t>SSEs|LiFePO</w:t>
      </w:r>
      <w:r>
        <w:rPr>
          <w:vertAlign w:val="subscript"/>
        </w:rPr>
        <w:t>4</w:t>
      </w:r>
      <w:r>
        <w:t>LMBs achieve 97.8% capacity retention after 1000 cycles at 2 C and maintain stable cycling even at 100°C. Remarkably, the Li|HOFa/TrCuMOF</w:t>
      </w:r>
      <w:r>
        <w:rPr>
          <w:vertAlign w:val="subscript"/>
        </w:rPr>
        <w:t>8</w:t>
      </w:r>
      <w:r>
        <w:t>SSEs|NCM811 pouch cell exhibits an impressive energy density of 259.4 Wh kg</w:t>
      </w:r>
      <w:r>
        <w:t xml:space="preserve"> </w:t>
      </w:r>
      <w:r>
        <w:t>−1</w:t>
      </w:r>
      <w:r>
        <w:t xml:space="preserve"> </w:t>
      </w:r>
      <w:r>
        <w:t>with enhanced thermal safety. This work provides a crystal‐transformation strategy for engineering HOF/MOF heterostructures toward thermally stable solid‐state lithium batteries.</w:t>
      </w:r>
    </w:p>
    <w:p>
      <w:pPr>
        <w:spacing w:before="120" w:after="120"/>
      </w:pPr>
      <w:r>
        <w:rPr>
          <w:sz w:val="18"/>
        </w:rPr>
        <w:t>——————————————————————————————————————————————————————————————————————</w:t>
      </w:r>
    </w:p>
    <w:p>
      <w:pPr>
        <w:spacing w:before="160" w:after="40" w:line="240" w:lineRule="auto"/>
      </w:pPr>
      <w:r>
        <w:rPr>
          <w:b/>
        </w:rPr>
        <w:t xml:space="preserve">[26] </w:t>
      </w:r>
      <w:hyperlink r:id="rId199">
        <w:r>
          <w:rPr>
            <w:color w:val="1155CC"/>
            <w:u w:val="single"/>
          </w:rPr>
          <w:t>一种用于高压钠金属电池的双界面稳定添加剂</w:t>
        </w:r>
      </w:hyperlink>
    </w:p>
    <w:p>
      <w:pPr>
        <w:spacing w:before="0" w:after="80"/>
      </w:pPr>
      <w:r>
        <w:rPr>
          <w:i/>
          <w:sz w:val="20"/>
        </w:rPr>
        <w:t>EN: A Dual‐Interface Stabilizing Additive for High‐voltage Sodium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2026-08-26 09:10:06+00:00</w:t>
      </w:r>
      <w:r>
        <w:t xml:space="preserve">    </w:t>
      </w:r>
      <w:r>
        <w:rPr>
          <w:b/>
        </w:rPr>
        <w:t xml:space="preserve">DOI: </w:t>
      </w:r>
      <w:hyperlink r:id="rId200">
        <w:r>
          <w:rPr>
            <w:color w:val="1155CC"/>
            <w:u w:val="single"/>
          </w:rPr>
          <w:t>10.1002/anie.5330124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由于电解质和电极之间的界面不相容，高压钠金属电池（SMB）会快速退化。在本研究中，3-吡啶基三氟硼酸钾（KPBF</w:t>
      </w:r>
      <w:r>
        <w:rPr>
          <w:vertAlign w:val="subscript"/>
        </w:rPr>
        <w:t>3</w:t>
      </w:r>
      <w:r>
        <w:t>）被提出作为一种双界面电解质添加剂，其中吡啶部分可以有效调节阴离子的电子结构，降低其最低未占据分子轨道能级并增强其与Na的结合亲和力</w:t>
      </w:r>
      <w:r>
        <w:t xml:space="preserve"> </w:t>
      </w:r>
      <w:r>
        <w:t>+</w:t>
      </w:r>
      <w:r>
        <w:t xml:space="preserve"> </w:t>
      </w:r>
      <w:r>
        <w:t>。这促进了PBF的优先还原分解</w:t>
      </w:r>
      <w:r>
        <w:rPr>
          <w:vertAlign w:val="subscript"/>
        </w:rPr>
        <w:t>3</w:t>
      </w:r>
      <w:r>
        <w:t>-</w:t>
      </w:r>
      <w:r>
        <w:t>，形成坚固的富含NaF的固体电解质界面，抑制Na枝晶的生长。同时，B─F键的断裂有利于形成薄而均匀的富含NaF的正极电解质界面（CEI），显着抑制电解质氧化并大大提高高电压稳定性。因此，Na||Na 对称电池在 5 mA cm 电流下实现了 6000 小时的超长循环寿命</w:t>
      </w:r>
      <w:r>
        <w:t xml:space="preserve"> </w:t>
      </w:r>
      <w:r>
        <w:t>−2</w:t>
      </w:r>
      <w:r>
        <w:t xml:space="preserve"> </w:t>
      </w:r>
      <w:r>
        <w:t>，而 Na||Cu 电池表现出高达 99.89% 的平均库仑效率 (ACE)。此外，Na||Na</w:t>
      </w:r>
      <w:r>
        <w:rPr>
          <w:vertAlign w:val="subscript"/>
        </w:rPr>
        <w:t>3</w:t>
      </w:r>
      <w:r>
        <w:t>V</w:t>
      </w:r>
      <w:r>
        <w:rPr>
          <w:vertAlign w:val="subscript"/>
        </w:rPr>
        <w:t>2</w:t>
      </w:r>
      <w:r>
        <w:t>（采购订单</w:t>
      </w:r>
      <w:r>
        <w:rPr>
          <w:vertAlign w:val="subscript"/>
        </w:rPr>
        <w:t>4</w:t>
      </w:r>
      <w:r>
        <w:t>）</w:t>
      </w:r>
      <w:r>
        <w:rPr>
          <w:vertAlign w:val="subscript"/>
        </w:rPr>
        <w:t>2</w:t>
      </w:r>
      <w:r>
        <w:t>F</w:t>
      </w:r>
      <w:r>
        <w:rPr>
          <w:vertAlign w:val="subscript"/>
        </w:rPr>
        <w:t>3</w:t>
      </w:r>
      <w:r>
        <w:t>电池在 10 C 和 4.3 V 下经过 10000 次循环后显示出 90.8% 的容量保留率，并且在</w:t>
      </w:r>
    </w:p>
    <w:p>
      <w:pPr>
        <w:spacing w:before="0" w:after="200" w:lineRule="auto" w:line="276"/>
      </w:pPr>
      <w:r>
        <w:rPr>
          <w:b/>
        </w:rPr>
        <w:t xml:space="preserve">Abstract (EN): </w:t>
      </w:r>
      <w:r>
        <w:t>High‐voltage sodium metal batteries (SMBs) suffer from fast degradation stemming from the interfacial incompatibility between electrolytes and electrodes. In this study, potassium 3‐pyridyltrifluoroborate (KPBF</w:t>
      </w:r>
      <w:r>
        <w:rPr>
          <w:vertAlign w:val="subscript"/>
        </w:rPr>
        <w:t>3</w:t>
      </w:r>
      <w:r>
        <w:t>) is proposed as a dual‐interface electrolyte additive, where the pyridine moiety can effectively modulate the anion's electronic structure, lowering its lowest unoccupied molecular orbital energy level and enhancing its binding affinity for Na</w:t>
      </w:r>
      <w:r>
        <w:t xml:space="preserve"> </w:t>
      </w:r>
      <w:r>
        <w:t>+</w:t>
      </w:r>
      <w:r>
        <w:t xml:space="preserve"> </w:t>
      </w:r>
      <w:r>
        <w:t>. This promotes the preferential reductive decomposition of PBF</w:t>
      </w:r>
      <w:r>
        <w:rPr>
          <w:vertAlign w:val="subscript"/>
        </w:rPr>
        <w:t>3</w:t>
      </w:r>
      <w:r>
        <w:t>−</w:t>
      </w:r>
      <w:r>
        <w:t>, forming a robust NaF‐rich solid electrolyte interphase that suppresses Na dendrite growth. Simultaneously, the cleavage of B─F bonds facilitates the formation of a thin and uniform NaF‐rich cathode electrolyte interphase (CEI), significantly suppressing electrolyte oxidation and greatly improving the high‐voltage stability. Consequently, Na||Na symmetric cells achieve an ultra‐long cycling life of 6000 h at 5 mA cm</w:t>
      </w:r>
      <w:r>
        <w:t xml:space="preserve"> </w:t>
      </w:r>
      <w:r>
        <w:t>−2</w:t>
      </w:r>
      <w:r>
        <w:t xml:space="preserve"> </w:t>
      </w:r>
      <w:r>
        <w:t>, while Na||Cu cells exhibit a high average Coulombic efficiency (ACE) of 99.89%. Moreover, Na||Na</w:t>
      </w:r>
      <w:r>
        <w:rPr>
          <w:vertAlign w:val="subscript"/>
        </w:rPr>
        <w:t>3</w:t>
      </w:r>
      <w:r>
        <w:t>V</w:t>
      </w:r>
      <w:r>
        <w:rPr>
          <w:vertAlign w:val="subscript"/>
        </w:rPr>
        <w:t>2</w:t>
      </w:r>
      <w:r>
        <w:t>(PO</w:t>
      </w:r>
      <w:r>
        <w:rPr>
          <w:vertAlign w:val="subscript"/>
        </w:rPr>
        <w:t>4</w:t>
      </w:r>
      <w:r>
        <w:t>)</w:t>
      </w:r>
      <w:r>
        <w:rPr>
          <w:vertAlign w:val="subscript"/>
        </w:rPr>
        <w:t>2</w:t>
      </w:r>
      <w:r>
        <w:t>F</w:t>
      </w:r>
      <w:r>
        <w:rPr>
          <w:vertAlign w:val="subscript"/>
        </w:rPr>
        <w:t>3</w:t>
      </w:r>
      <w:r>
        <w:t>cells demonstrate 90.8% capacity retention over 10000 cycles at 10 C and 4.3 V, and 90.0% retention after 2500 cycles at 4.4 V. Notably, this additive also enables SMBs with a low N/P ratio of 2.65 to deliver a high capacity retention of 88.4% after 1000 cycles.</w:t>
      </w:r>
    </w:p>
    <w:p>
      <w:pPr>
        <w:spacing w:before="120" w:after="120"/>
      </w:pPr>
      <w:r>
        <w:rPr>
          <w:sz w:val="18"/>
        </w:rPr>
        <w:t>——————————————————————————————————————————————————————————————————————</w:t>
      </w:r>
    </w:p>
    <w:p>
      <w:pPr>
        <w:spacing w:before="160" w:after="40" w:line="240" w:lineRule="auto"/>
      </w:pPr>
      <w:r>
        <w:rPr>
          <w:b/>
        </w:rPr>
        <w:t xml:space="preserve">[27] </w:t>
      </w:r>
      <w:hyperlink r:id="rId201">
        <w:r>
          <w:rPr>
            <w:color w:val="1155CC"/>
            <w:u w:val="single"/>
          </w:rPr>
          <w:t>用于宽温水凝胶锌离子电池的双二醇协同电解质</w:t>
        </w:r>
      </w:hyperlink>
    </w:p>
    <w:p>
      <w:pPr>
        <w:spacing w:before="0" w:after="80"/>
      </w:pPr>
      <w:r>
        <w:rPr>
          <w:i/>
          <w:sz w:val="20"/>
        </w:rPr>
        <w:t>EN: Dual‑Diol Synergized Electrolyte for Wide‑Temperature Hydrogel Zn‑Ion Batteries</w:t>
      </w:r>
    </w:p>
    <w:p>
      <w:pPr>
        <w:spacing w:before="0" w:after="120"/>
      </w:pPr>
      <w:r>
        <w:rPr>
          <w:b/>
        </w:rPr>
        <w:t xml:space="preserve">Source: </w:t>
      </w:r>
      <w:r>
        <w:t>Wiley: Advanced Energy Materials: Table of Contents</w:t>
      </w:r>
      <w:r>
        <w:t xml:space="preserve">    </w:t>
      </w:r>
      <w:r>
        <w:rPr>
          <w:b/>
        </w:rPr>
        <w:t xml:space="preserve">Pub date: </w:t>
      </w:r>
      <w:r>
        <w:t>2026-08-26 11:13:41+00:00</w:t>
      </w:r>
      <w:r>
        <w:t xml:space="preserve">    </w:t>
      </w:r>
      <w:r>
        <w:rPr>
          <w:b/>
        </w:rPr>
        <w:t xml:space="preserve">DOI: </w:t>
      </w:r>
      <w:hyperlink r:id="rId202">
        <w:r>
          <w:rPr>
            <w:color w:val="1155CC"/>
            <w:u w:val="single"/>
          </w:rPr>
          <w:t>10.1002/aenm.71520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具有成本低、安全性好、环境友好等特点，在下一代电化学储能领域具有广阔的前景。然而，较差的界面稳定性、不可控的锌枝晶形成和较差的耐温性严重阻碍了它们在柔性电子器件中的实际应用。在此，通过简单的一锅法将甘油（Gly）和乙二醇（EG）掺入聚丙烯酰胺（PAM）水凝胶基质中，以制造宽温度耐受的基于PAM的复合水凝胶电解质（PAM/Gly/EG）。受益于两种二醇的协同效应，富含羟基的结构重建了承压水的固有氢键网络，而配位相互作用则调节了Zn的溶剂化构型</w:t>
      </w:r>
      <w:r>
        <w:t xml:space="preserve"> </w:t>
      </w:r>
      <w:r>
        <w:t>2+</w:t>
      </w:r>
      <w:r>
        <w:t xml:space="preserve"> </w:t>
      </w:r>
      <w:r>
        <w:t>，从而从根本上抑制了Zn枝晶的生长和寄生析氢。由此产生的 Zn||Zn 对称电池在 1 mA·cm 电流下可提供超过 3000 小时的长稳定寿命</w:t>
      </w:r>
      <w:r>
        <w:t xml:space="preserve"> </w:t>
      </w:r>
      <w:r>
        <w:t>−2</w:t>
      </w:r>
      <w:r>
        <w:t xml:space="preserve"> </w:t>
      </w:r>
      <w:r>
        <w:t>，并在-20°C 下稳定循环 500 小时，在 50°C 下维持稳定循环 300 小时。这种协同二醇改性策略为宽温柔性AZIB的结构优化和实际部署提供了可行的途径。</w:t>
      </w:r>
    </w:p>
    <w:p>
      <w:pPr>
        <w:spacing w:before="0" w:after="200" w:lineRule="auto" w:line="276"/>
      </w:pPr>
      <w:r>
        <w:rPr>
          <w:b/>
        </w:rPr>
        <w:t xml:space="preserve">Abstract (EN): </w:t>
      </w:r>
      <w:r>
        <w:t>Aqueous zinc‐ion batteries (AZIBs) feature low cost, superior safety, and eco‐friendliness, promising extensive prospects for next‐generation electrochemical energy storage. Nevertheless, inferior interfacial stability, uncontrollable Zn dendrite formation, and poor temperature tolerance severely hinder their practical exploitation in flexible electronic devices. Herein, glycerol (Gly) and ethylene glycol (EG) are incorporated into a polyacrylamide (PAM) hydrogel matrix via a facile one‐pot route to fabricate a wide‐temperature‐tolerant PAM‐based composite hydrogel electrolyte (PAM/Gly/EG). Benefiting from the synergistic effect of the two diols, the hydroxyl‐rich structure reconstructs the intrinsic hydrogen bond network of confined water, while coordination interactions modulate the solvation configuration of Zn</w:t>
      </w:r>
      <w:r>
        <w:t xml:space="preserve"> </w:t>
      </w:r>
      <w:r>
        <w:t>2+</w:t>
      </w:r>
      <w:r>
        <w:t xml:space="preserve"> </w:t>
      </w:r>
      <w:r>
        <w:t>, thereby fundamentally restraining Zn dendrite propagation and parasitic hydrogen evolution. The resultant Zn||Zn symmetric cell delivers a long stable lifespan over 3000 h at 1 mA·cm</w:t>
      </w:r>
      <w:r>
        <w:t xml:space="preserve"> </w:t>
      </w:r>
      <w:r>
        <w:t>−2</w:t>
      </w:r>
      <w:r>
        <w:t xml:space="preserve"> </w:t>
      </w:r>
      <w:r>
        <w:t>, and sustains steady cycling for 500 h at −20°C and 300 h at 50°C. This synergistic diol modification strategy affords a feasible avenue for structural optimization and practical deployment of wide‐temperature flexible AZIBs.</w:t>
      </w:r>
    </w:p>
    <w:p>
      <w:pPr>
        <w:spacing w:before="120" w:after="120"/>
      </w:pPr>
      <w:r>
        <w:rPr>
          <w:sz w:val="18"/>
        </w:rPr>
        <w:t>——————————————————————————————————————————————————————————————————————</w:t>
      </w:r>
    </w:p>
    <w:p>
      <w:pPr>
        <w:spacing w:before="160" w:after="40" w:line="240" w:lineRule="auto"/>
      </w:pPr>
      <w:r>
        <w:rPr>
          <w:b/>
        </w:rPr>
        <w:t xml:space="preserve">[28] </w:t>
      </w:r>
      <w:hyperlink r:id="rId203">
        <w:r>
          <w:rPr>
            <w:color w:val="1155CC"/>
            <w:u w:val="single"/>
          </w:rPr>
          <w:t>用于高倍率和长循环钠金属电池的配位化学多功能电解质</w:t>
        </w:r>
      </w:hyperlink>
    </w:p>
    <w:p>
      <w:pPr>
        <w:spacing w:before="0" w:after="80"/>
      </w:pPr>
      <w:r>
        <w:rPr>
          <w:i/>
          <w:sz w:val="20"/>
        </w:rPr>
        <w:t>EN: Coordination Chemistry Enabled Multifunctional Electrolytes for High‐Rate and Long‐Cycle Sodium‐Metal Batteries</w:t>
      </w:r>
    </w:p>
    <w:p>
      <w:pPr>
        <w:spacing w:before="0" w:after="120"/>
      </w:pPr>
      <w:r>
        <w:rPr>
          <w:b/>
        </w:rPr>
        <w:t xml:space="preserve">Source: </w:t>
      </w:r>
      <w:r>
        <w:t>Wiley: Advanced Energy Materials: Table of Contents</w:t>
      </w:r>
      <w:r>
        <w:t xml:space="preserve">    </w:t>
      </w:r>
      <w:r>
        <w:rPr>
          <w:b/>
        </w:rPr>
        <w:t xml:space="preserve">Pub date: </w:t>
      </w:r>
      <w:r>
        <w:t>2026-08-26 11:26:03+00:00</w:t>
      </w:r>
      <w:r>
        <w:t xml:space="preserve">    </w:t>
      </w:r>
      <w:r>
        <w:rPr>
          <w:b/>
        </w:rPr>
        <w:t xml:space="preserve">DOI: </w:t>
      </w:r>
      <w:hyperlink r:id="rId204">
        <w:r>
          <w:rPr>
            <w:color w:val="1155CC"/>
            <w:u w:val="single"/>
          </w:rPr>
          <w:t>10.1002/aenm.71442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金属电池（SMB）因其在资源、成本、性能等方面的突出优势，逐渐成为锂离子电池（LIB）的有力补充。然而，不稳定的固体电解质界面（SEI）阻碍了它们的实际实施。这种界面问题会引发枝晶生长和电解质消耗，导致电池的循环寿命缩短和库仑效率低。这项研究提出了一种高效的策略：结合溶剂配位添加剂四甲氧基锗烷（Ge(OCH</w:t>
      </w:r>
      <w:r>
        <w:rPr>
          <w:vertAlign w:val="subscript"/>
        </w:rPr>
        <w:t>3</w:t>
      </w:r>
      <w:r>
        <w:t>）</w:t>
      </w:r>
      <w:r>
        <w:rPr>
          <w:vertAlign w:val="subscript"/>
        </w:rPr>
        <w:t>4</w:t>
      </w:r>
      <w:r>
        <w:t>）进入常规电解液中。该添加剂削弱了钠离子（Na</w:t>
      </w:r>
      <w:r>
        <w:t xml:space="preserve"> </w:t>
      </w:r>
      <w:r>
        <w:t>+</w:t>
      </w:r>
      <w:r>
        <w:t xml:space="preserve"> </w:t>
      </w:r>
      <w:r>
        <w:t>）和溶剂，从而加速Na</w:t>
      </w:r>
      <w:r>
        <w:t xml:space="preserve"> </w:t>
      </w:r>
      <w:r>
        <w:t>+</w:t>
      </w:r>
      <w:r>
        <w:t xml:space="preserve"> </w:t>
      </w:r>
      <w:r>
        <w:t>运输动力学。同时，它能够原位形成锗/氧化锗（Ge/GeO</w:t>
      </w:r>
      <w:r>
        <w:rPr>
          <w:vertAlign w:val="subscript"/>
        </w:rPr>
        <w:t>2</w:t>
      </w:r>
      <w:r>
        <w:t>）在钠（Na）金属表面上含有SEI层，这反过来又降低了Na金属的成核能垒。这种双重功能促进了 Na 的均匀成核和沉积</w:t>
      </w:r>
      <w:r>
        <w:t xml:space="preserve"> </w:t>
      </w:r>
      <w:r>
        <w:t>+</w:t>
      </w:r>
      <w:r>
        <w:t xml:space="preserve"> </w:t>
      </w:r>
      <w:r>
        <w:t>。结果，Na||Na 对称电池在 10 mA cm 高电流密度下稳定循环超过 3500 次</w:t>
      </w:r>
      <w:r>
        <w:t xml:space="preserve"> </w:t>
      </w:r>
      <w:r>
        <w:t>−2</w:t>
      </w:r>
      <w:r>
        <w:t xml:space="preserve"> </w:t>
      </w:r>
      <w:r>
        <w:t>。此外，钠</w:t>
      </w:r>
      <w:r>
        <w:rPr>
          <w:vertAlign w:val="subscript"/>
        </w:rPr>
        <w:t>3</w:t>
      </w:r>
      <w:r>
        <w:t>V</w:t>
      </w:r>
      <w:r>
        <w:rPr>
          <w:vertAlign w:val="subscript"/>
        </w:rPr>
        <w:t>2</w:t>
      </w:r>
    </w:p>
    <w:p>
      <w:pPr>
        <w:spacing w:before="0" w:after="200" w:lineRule="auto" w:line="276"/>
      </w:pPr>
      <w:r>
        <w:rPr>
          <w:b/>
        </w:rPr>
        <w:t xml:space="preserve">Abstract (EN): </w:t>
      </w:r>
      <w:r>
        <w:t>Sodium‐metal batteries (SMBs) are gradually emerging as a powerful supplement to lithium‐ion batteries (LIBs) due to their prominent advantages in resources, cost, performance, and other aspects. However, their practical implementation is hindered by the unstable solid electrolyte interphase (SEI). This interfacial issue triggers dendrite growth and electrolyte consumption, resulting in shortened cycle life and low coulombic efficiency of the batteries. This study proposes a highly efficient strategy: incorporating a solvent‐coordinating additive‐tetramethoxygermane (Ge(OCH</w:t>
      </w:r>
      <w:r>
        <w:rPr>
          <w:vertAlign w:val="subscript"/>
        </w:rPr>
        <w:t>3</w:t>
      </w:r>
      <w:r>
        <w:t>)</w:t>
      </w:r>
      <w:r>
        <w:rPr>
          <w:vertAlign w:val="subscript"/>
        </w:rPr>
        <w:t>4</w:t>
      </w:r>
      <w:r>
        <w:t>) into the conventional electrolyte. This additive weakens the coordination ability between sodium ions (Na</w:t>
      </w:r>
      <w:r>
        <w:t xml:space="preserve"> </w:t>
      </w:r>
      <w:r>
        <w:t>+</w:t>
      </w:r>
      <w:r>
        <w:t xml:space="preserve"> </w:t>
      </w:r>
      <w:r>
        <w:t>) and solvents, thereby accelerating Na</w:t>
      </w:r>
      <w:r>
        <w:t xml:space="preserve"> </w:t>
      </w:r>
      <w:r>
        <w:t>+</w:t>
      </w:r>
      <w:r>
        <w:t xml:space="preserve"> </w:t>
      </w:r>
      <w:r>
        <w:t>transport kinetics. Simultaneously, it enables the in situ formation of a germanium/germanium oxide (Ge/GeO</w:t>
      </w:r>
      <w:r>
        <w:rPr>
          <w:vertAlign w:val="subscript"/>
        </w:rPr>
        <w:t>2</w:t>
      </w:r>
      <w:r>
        <w:t>)‐containing SEI layer on the sodium (Na) metal surface, which in turn reduces the nucleation energy barrier of Na metal. This dual functionality facilitates the uniform nucleation and deposition of Na</w:t>
      </w:r>
      <w:r>
        <w:t xml:space="preserve"> </w:t>
      </w:r>
      <w:r>
        <w:t>+</w:t>
      </w:r>
      <w:r>
        <w:t xml:space="preserve"> </w:t>
      </w:r>
      <w:r>
        <w:t>. As a result, the Na||Na symmetric cell cycles stably over 3500 cycles at a high current density of 10 mA cm</w:t>
      </w:r>
      <w:r>
        <w:t xml:space="preserve"> </w:t>
      </w:r>
      <w:r>
        <w:t>−2</w:t>
      </w:r>
      <w:r>
        <w:t xml:space="preserve"> </w:t>
      </w:r>
      <w:r>
        <w:t>. Furthermore, the Na</w:t>
      </w:r>
      <w:r>
        <w:rPr>
          <w:vertAlign w:val="subscript"/>
        </w:rPr>
        <w:t>3</w:t>
      </w:r>
      <w:r>
        <w:t>V</w:t>
      </w:r>
      <w:r>
        <w:rPr>
          <w:vertAlign w:val="subscript"/>
        </w:rPr>
        <w:t>2</w:t>
      </w:r>
      <w:r>
        <w:t>(PO</w:t>
      </w:r>
      <w:r>
        <w:rPr>
          <w:vertAlign w:val="subscript"/>
        </w:rPr>
        <w:t>4</w:t>
      </w:r>
      <w:r>
        <w:t>)</w:t>
      </w:r>
      <w:r>
        <w:rPr>
          <w:vertAlign w:val="subscript"/>
        </w:rPr>
        <w:t>3</w:t>
      </w:r>
      <w:r>
        <w:t>(NVP)||Na full cell achieves ultra‐high‐rate performance up to 100 C and demonstrated stable cycling for 4400 cycles at 20 C, with a capacity retention of 93.3%. This work provides an effective approach for the design of advanced SMB electrolyte systems.</w:t>
      </w:r>
    </w:p>
    <w:p>
      <w:pPr>
        <w:spacing w:before="120" w:after="120"/>
      </w:pPr>
      <w:r>
        <w:rPr>
          <w:sz w:val="18"/>
        </w:rPr>
        <w:t>——————————————————————————————————————————————————————————————————————</w:t>
      </w:r>
    </w:p>
    <w:p>
      <w:pPr>
        <w:spacing w:before="160" w:after="40" w:line="240" w:lineRule="auto"/>
      </w:pPr>
      <w:r>
        <w:rPr>
          <w:b/>
        </w:rPr>
        <w:t xml:space="preserve">[29] </w:t>
      </w:r>
      <w:hyperlink r:id="rId128">
        <w:r>
          <w:rPr>
            <w:color w:val="1155CC"/>
            <w:u w:val="single"/>
          </w:rPr>
          <w:t>使用用于相间调节的区域异构腈添加剂实现锂离子电池的快速充电</w:t>
        </w:r>
      </w:hyperlink>
    </w:p>
    <w:p>
      <w:pPr>
        <w:spacing w:before="0" w:after="80"/>
      </w:pPr>
      <w:r>
        <w:rPr>
          <w:i/>
          <w:sz w:val="20"/>
        </w:rPr>
        <w:t>EN: Enabling Fast Charging of Lithium‐Ion Batteries With Regioisomeric Nitrile Additives for Interphase Regulation</w:t>
      </w:r>
    </w:p>
    <w:p>
      <w:pPr>
        <w:spacing w:before="0" w:after="120"/>
      </w:pPr>
      <w:r>
        <w:rPr>
          <w:b/>
        </w:rPr>
        <w:t xml:space="preserve">Source: </w:t>
      </w:r>
      <w:r>
        <w:t>Wiley: Angewandte Chemie International Edition: Table of Contents</w:t>
      </w:r>
      <w:r>
        <w:t xml:space="preserve">    </w:t>
      </w:r>
      <w:r>
        <w:rPr>
          <w:b/>
        </w:rPr>
        <w:t xml:space="preserve">Pub date: </w:t>
      </w:r>
      <w:r>
        <w:t>2026-08-27 04:23:19+00:00</w:t>
      </w:r>
      <w:r>
        <w:t xml:space="preserve">    </w:t>
      </w:r>
      <w:r>
        <w:rPr>
          <w:b/>
        </w:rPr>
        <w:t xml:space="preserve">DOI: </w:t>
      </w:r>
      <w:hyperlink r:id="rId129">
        <w:r>
          <w:rPr>
            <w:color w:val="1155CC"/>
            <w:u w:val="single"/>
          </w:rPr>
          <w:t>10.1002/anie.6426355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不稳定的电极-电解质界面（EEI）和缓慢的界面动力学，在各种工作条件下实现快速充电对于锂（Li）离子电池来说仍然具有挑战性。在这里，我们引入了一种基于腈的添加剂策略来调节界面形成，同时保持与商用 LP57 电解质的完全兼容性，从而避免了对昂贵的盐或复杂的电解质重新配制的需要。通过仅加入 0.5 wt.% 的 3-（三氟甲基）苯甲腈 (AD3)，改性电解质显着增强了 1 Ah 石墨 (Gr) 的快速充电性能 |李妮</w:t>
      </w:r>
      <w:r>
        <w:t xml:space="preserve"> </w:t>
      </w:r>
      <w:r>
        <w:t>0.8</w:t>
      </w:r>
      <w:r>
        <w:t xml:space="preserve"> </w:t>
      </w:r>
      <w:r>
        <w:t>锰</w:t>
      </w:r>
      <w:r>
        <w:t xml:space="preserve"> </w:t>
      </w:r>
      <w:r>
        <w:t>0.1</w:t>
      </w:r>
      <w:r>
        <w:t xml:space="preserve"> </w:t>
      </w:r>
      <w:r>
        <w:t>钴</w:t>
      </w:r>
      <w:r>
        <w:t xml:space="preserve"> </w:t>
      </w:r>
      <w:r>
        <w:t>0.1</w:t>
      </w:r>
      <w:r>
        <w:t xml:space="preserve"> </w:t>
      </w:r>
      <w:r>
        <w:t>氧</w:t>
      </w:r>
      <w:r>
        <w:rPr>
          <w:vertAlign w:val="subscript"/>
        </w:rPr>
        <w:t>2</w:t>
      </w:r>
      <w:r>
        <w:t>软包电池，同时还提高了低温、高温和高压稳定性。机理分析表明 AD3 从根本上改变了两个电极的界面形成。在阴极，AD3 抑制分解产物的渗透，并能够形成更薄、更均匀的阴极电解质界面。在阳极，它的优先还原导致形成薄的（10 nm）、控制良好的固体电解质界面（SEI），并有效抑制锂沉积，与 LP57 中形成的厚（450 nm）的富锂层形成鲜明对比。弛豫时间分布 (DRT) 分析证实，界面改进减少了寄生反应并降低了界面电阻。的w</w:t>
      </w:r>
    </w:p>
    <w:p>
      <w:pPr>
        <w:spacing w:before="0" w:after="200" w:lineRule="auto" w:line="276"/>
      </w:pPr>
      <w:r>
        <w:rPr>
          <w:b/>
        </w:rPr>
        <w:t xml:space="preserve">Abstract (EN): </w:t>
      </w:r>
      <w:r>
        <w:t>Achieving fast charging across a wide range of operating conditions remains challenging for lithium (Li)‐ion batteries due to unstable electrode–electrolyte interphases (EEIs) and sluggish interfacial kinetics. Here, we introduce a nitrile‐based additive strategy to regulate interphase formation, while maintaining full compatibility with the commercial LP57 electrolyte, thereby avoiding the need for expensive salts or complex electrolyte reformulation. By incorporating only 0.5 wt.% of 3‐(trifluoromethyl) benzonitrile (AD3), the modified electrolyte significantly enhances fast‐charging performance in 1 Ah Graphite (Gr) | LiNi</w:t>
      </w:r>
      <w:r>
        <w:t xml:space="preserve"> </w:t>
      </w:r>
      <w:r>
        <w:t>0.8</w:t>
      </w:r>
      <w:r>
        <w:t xml:space="preserve"> </w:t>
      </w:r>
      <w:r>
        <w:t>Mn</w:t>
      </w:r>
      <w:r>
        <w:t xml:space="preserve"> </w:t>
      </w:r>
      <w:r>
        <w:t>0.1</w:t>
      </w:r>
      <w:r>
        <w:t xml:space="preserve"> </w:t>
      </w:r>
      <w:r>
        <w:t>Co</w:t>
      </w:r>
      <w:r>
        <w:t xml:space="preserve"> </w:t>
      </w:r>
      <w:r>
        <w:t>0.1</w:t>
      </w:r>
      <w:r>
        <w:t xml:space="preserve"> </w:t>
      </w:r>
      <w:r>
        <w:t>O</w:t>
      </w:r>
      <w:r>
        <w:rPr>
          <w:vertAlign w:val="subscript"/>
        </w:rPr>
        <w:t>2</w:t>
      </w:r>
      <w:r>
        <w:t>pouch cells, while also improving low‐temperature, high‐temperature, and high‐voltage stabilities. Mechanistic analysis reveals that AD3 fundamentally alters the interphase formation at both electrodes. At the cathode, AD3 suppresses penetration of decomposition products and enables the formation of a thinner, more uniform cathode‐electrolyte interphase. At the anode, its preferential reduction leads to a thin (10 nm), well‐controlled solid‐electrolyte interphase (SEI) and effectively suppresses Li plating, in contrast to a thick (450 nm), Li‐rich layer formed in LP57. The interfacial improvements reduce parasitic reactions and lower interfacial resistance, as confirmed by distribution of relaxation times (DRT) analysis. The work demonstrates that minimal additive engineering can simultaneously stabilize interphases and enable fast charging, offering a cost‐effective, industry‐compatible pathway for next‐generation Li‐ion batteries.</w:t>
      </w:r>
    </w:p>
    <w:p>
      <w:pPr>
        <w:spacing w:before="120" w:after="120"/>
      </w:pPr>
      <w:r>
        <w:rPr>
          <w:sz w:val="18"/>
        </w:rPr>
        <w:t>——————————————————————————————————————————————————————————————————————</w:t>
      </w:r>
    </w:p>
    <w:p>
      <w:pPr>
        <w:spacing w:before="160" w:after="40" w:line="240" w:lineRule="auto"/>
      </w:pPr>
      <w:r>
        <w:rPr>
          <w:b/>
        </w:rPr>
        <w:t xml:space="preserve">[30] </w:t>
      </w:r>
      <w:hyperlink r:id="rId205">
        <w:r>
          <w:rPr>
            <w:color w:val="1155CC"/>
            <w:u w:val="single"/>
          </w:rPr>
          <w:t>协同分子和聚合物网络设计为锂金属电池提供稳定的 LiPF6 基凝胶聚合物电解质</w:t>
        </w:r>
      </w:hyperlink>
    </w:p>
    <w:p>
      <w:pPr>
        <w:spacing w:before="0" w:after="80"/>
      </w:pPr>
      <w:r>
        <w:rPr>
          <w:i/>
          <w:sz w:val="20"/>
        </w:rPr>
        <w:t>EN: Synergistic Molecular and Polymer Network Design Enables Stable LiPF6‐Based Gel Polymer Electrolytes for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2026-08-27 06:10:34+00:00</w:t>
      </w:r>
      <w:r>
        <w:t xml:space="preserve">    </w:t>
      </w:r>
      <w:r>
        <w:rPr>
          <w:b/>
        </w:rPr>
        <w:t xml:space="preserve">DOI: </w:t>
      </w:r>
      <w:hyperlink r:id="rId206">
        <w:r>
          <w:rPr>
            <w:color w:val="1155CC"/>
            <w:u w:val="single"/>
          </w:rPr>
          <w:t>10.1002/anie.6028878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高压锂金属电池遭受严重的界面降解和电解质分解，限制了循环稳定性和实际应用。传统 LiPF</w:t>
      </w:r>
      <w:r>
        <w:rPr>
          <w:vertAlign w:val="subscript"/>
        </w:rPr>
        <w:t>6</w:t>
      </w:r>
      <w:r>
        <w:t>含有氟代碳酸乙烯酯 (FEC)、LiPF 的电解质</w:t>
      </w:r>
      <w:r>
        <w:rPr>
          <w:vertAlign w:val="subscript"/>
        </w:rPr>
        <w:t>6</w:t>
      </w:r>
      <w:r>
        <w:t>分解产生路易斯酸物质，引发 FEC 脱氟和 HF 形成，导致渐进的相间降解。在这里，我们报告了一种多功能凝胶聚合物电解质（MGPE），它将溶剂化调节与聚合物网络限制相结合并中断PF</w:t>
      </w:r>
      <w:r>
        <w:rPr>
          <w:vertAlign w:val="subscript"/>
        </w:rPr>
        <w:t>5</w:t>
      </w:r>
      <w:r>
        <w:t>–通过强PF的FEC降解途径</w:t>
      </w:r>
      <w:r>
        <w:rPr>
          <w:vertAlign w:val="subscript"/>
        </w:rPr>
        <w:t>6</w:t>
      </w:r>
      <w:r>
        <w:t>-</w:t>
      </w:r>
      <w:r>
        <w:t>绑定。氟化芳香族添加剂1,1,2,2-四氟乙氧基苯调节Li</w:t>
      </w:r>
      <w:r>
        <w:t xml:space="preserve"> </w:t>
      </w:r>
      <w:r>
        <w:t>+</w:t>
      </w:r>
      <w:r>
        <w:t xml:space="preserve"> </w:t>
      </w:r>
      <w:r>
        <w:t>溶剂化结构并促进优先形成稳定的阴极电解质界面，将氧化稳定性提高至 5.0 V。同时，3,5-双（三氟甲基）苯乙烯的原位聚合构建了对 PF 具有强亲和力的氟化芳香族网络</w:t>
      </w:r>
      <w:r>
        <w:rPr>
          <w:vertAlign w:val="subscript"/>
        </w:rPr>
        <w:t>6</w:t>
      </w:r>
      <w:r>
        <w:t>-</w:t>
      </w:r>
      <w:r>
        <w:t>，抑制路易斯酸性PF</w:t>
      </w:r>
      <w:r>
        <w:rPr>
          <w:vertAlign w:val="subscript"/>
        </w:rPr>
        <w:t>5</w:t>
      </w:r>
      <w:r>
        <w:t>形成。溶剂化调节、PF 之间的协同相互作用</w:t>
      </w:r>
      <w:r>
        <w:rPr>
          <w:vertAlign w:val="subscript"/>
        </w:rPr>
        <w:t>5</w:t>
      </w:r>
      <w:r>
        <w:t>抑制，氟化网络限制引导界面向致密的富含 LiF 层演化</w:t>
      </w:r>
    </w:p>
    <w:p>
      <w:pPr>
        <w:spacing w:before="0" w:after="200" w:lineRule="auto" w:line="276"/>
      </w:pPr>
      <w:r>
        <w:rPr>
          <w:b/>
        </w:rPr>
        <w:t xml:space="preserve">Abstract (EN): </w:t>
      </w:r>
      <w:r>
        <w:t>High‐voltage lithium metal batteries suffer from severe interfacial degradation and electrolyte decomposition, limiting cycling stability and practical application. In conventional LiPF</w:t>
      </w:r>
      <w:r>
        <w:rPr>
          <w:vertAlign w:val="subscript"/>
        </w:rPr>
        <w:t>6</w:t>
      </w:r>
      <w:r>
        <w:t>‐based electrolytes containing fluoroethylene carbonate (FEC), LiPF</w:t>
      </w:r>
      <w:r>
        <w:rPr>
          <w:vertAlign w:val="subscript"/>
        </w:rPr>
        <w:t>6</w:t>
      </w:r>
      <w:r>
        <w:t>decomposition generates Lewis‐acid species that trigger FEC defluorination and HF formation, causing progressive interphase degradation. Here we report a multifunctional gel polymer electrolyte (MGPE) that integrates solvation regulation with polymer‐network confinement and interrupts the PF</w:t>
      </w:r>
      <w:r>
        <w:rPr>
          <w:vertAlign w:val="subscript"/>
        </w:rPr>
        <w:t>5</w:t>
      </w:r>
      <w:r>
        <w:t>–FEC degradation pathway via strong PF</w:t>
      </w:r>
      <w:r>
        <w:rPr>
          <w:vertAlign w:val="subscript"/>
        </w:rPr>
        <w:t>6</w:t>
      </w:r>
      <w:r>
        <w:t>−</w:t>
      </w:r>
      <w:r>
        <w:t>binding. The fluorinated aromatic additive 1,1,2,2‐tetrafluoroethoxybenzene modulates the Li</w:t>
      </w:r>
      <w:r>
        <w:t xml:space="preserve"> </w:t>
      </w:r>
      <w:r>
        <w:t>+</w:t>
      </w:r>
      <w:r>
        <w:t xml:space="preserve"> </w:t>
      </w:r>
      <w:r>
        <w:t>solvation structure and promotes preferential formation of a stable cathode‐electrolyte interphase, enhancing oxidative stability up to 5.0 V. Meanwhile, in situ polymerization of 3,5‐bis(trifluoromethyl)styrene constructs a fluorinated aromatic network with strong affinity toward PF</w:t>
      </w:r>
      <w:r>
        <w:rPr>
          <w:vertAlign w:val="subscript"/>
        </w:rPr>
        <w:t>6</w:t>
      </w:r>
      <w:r>
        <w:t>−</w:t>
      </w:r>
      <w:r>
        <w:t>, suppressing Lewis‑acidic PF</w:t>
      </w:r>
      <w:r>
        <w:rPr>
          <w:vertAlign w:val="subscript"/>
        </w:rPr>
        <w:t>5</w:t>
      </w:r>
      <w:r>
        <w:t>formation. The synergistic interplay between solvation regulation, PF</w:t>
      </w:r>
      <w:r>
        <w:rPr>
          <w:vertAlign w:val="subscript"/>
        </w:rPr>
        <w:t>5</w:t>
      </w:r>
      <w:r>
        <w:t>suppression, and fluorinated‐network confinement steers interphase evolution toward dense LiF‐rich layers on both electrodes, enabling Li||LiCoO</w:t>
      </w:r>
      <w:r>
        <w:rPr>
          <w:vertAlign w:val="subscript"/>
        </w:rPr>
        <w:t>2</w:t>
      </w:r>
      <w:r>
        <w:t>cells to retain 82.6% capacity after 400 cycles at 4.5 V and 90.3% after 200 cycles at a cathode loading of ∼11 mg cm</w:t>
      </w:r>
      <w:r>
        <w:t xml:space="preserve"> </w:t>
      </w:r>
      <w:r>
        <w:t>−2</w:t>
      </w:r>
      <w:r>
        <w:t xml:space="preserve"> </w:t>
      </w:r>
      <w:r>
        <w:t>. Furthermore, 1.3 Ah pouch cells (N/P = 1.1) show 80.7% capacity retention after 30 cycles under practical conditions. This work provides an electrolyte‐engineering strategy to suppress PF</w:t>
      </w:r>
      <w:r>
        <w:rPr>
          <w:vertAlign w:val="subscript"/>
        </w:rPr>
        <w:t>5</w:t>
      </w:r>
      <w:r>
        <w:t>‐induced degradation and stabilize interphase evolution, enabling safer high‐energy lithium metal batteries.</w:t>
      </w:r>
    </w:p>
    <w:p>
      <w:pPr>
        <w:spacing w:before="120" w:after="120"/>
      </w:pPr>
      <w:r>
        <w:rPr>
          <w:sz w:val="18"/>
        </w:rPr>
        <w:t>——————————————————————————————————————————————————————————————————————</w:t>
      </w:r>
    </w:p>
    <w:p>
      <w:pPr>
        <w:spacing w:before="160" w:after="40" w:line="240" w:lineRule="auto"/>
      </w:pPr>
      <w:r>
        <w:rPr>
          <w:b/>
        </w:rPr>
        <w:t xml:space="preserve">[31] </w:t>
      </w:r>
      <w:hyperlink r:id="rId207">
        <w:r>
          <w:rPr>
            <w:color w:val="1155CC"/>
            <w:u w:val="single"/>
          </w:rPr>
          <w:t>非缠结链能够在低温下通过凝胶聚合物电解质中的离子陷阱快速传输 Na+</w:t>
        </w:r>
      </w:hyperlink>
    </w:p>
    <w:p>
      <w:pPr>
        <w:spacing w:before="0" w:after="80"/>
      </w:pPr>
      <w:r>
        <w:rPr>
          <w:i/>
          <w:sz w:val="20"/>
        </w:rPr>
        <w:t>EN: Non‐Entangled Chains Enable Rapid Na+ Transport Through Ion‐Traps in Gel Polymer Electrolytes at Low Temperatures</w:t>
      </w:r>
    </w:p>
    <w:p>
      <w:pPr>
        <w:spacing w:before="0" w:after="120"/>
      </w:pPr>
      <w:r>
        <w:rPr>
          <w:b/>
        </w:rPr>
        <w:t xml:space="preserve">Source: </w:t>
      </w:r>
      <w:r>
        <w:t>Wiley: Angewandte Chemie International Edition: Table of Contents</w:t>
      </w:r>
      <w:r>
        <w:t xml:space="preserve">    </w:t>
      </w:r>
      <w:r>
        <w:rPr>
          <w:b/>
        </w:rPr>
        <w:t xml:space="preserve">Pub date: </w:t>
      </w:r>
      <w:r>
        <w:t>2026-08-27 06:44:43+00:00</w:t>
      </w:r>
      <w:r>
        <w:t xml:space="preserve">    </w:t>
      </w:r>
      <w:r>
        <w:rPr>
          <w:b/>
        </w:rPr>
        <w:t xml:space="preserve">DOI: </w:t>
      </w:r>
      <w:hyperlink r:id="rId208">
        <w:r>
          <w:rPr>
            <w:color w:val="1155CC"/>
            <w:u w:val="single"/>
          </w:rPr>
          <w:t>10.1002/anie.1625450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电解质由于其安全性以及与高能量密度电池系统的兼容性，在全气候可充电电池中很有前景。然而，随着温度和液相含量的降低，链缠结引起的拓扑陷阱成为限制连续离子运动和界面电荷转移的主要传输瓶颈。在这里，我们揭示了缠结凝胶聚合物中温度依赖性离子陷阱是慢Na的关键因素</w:t>
      </w:r>
      <w:r>
        <w:t xml:space="preserve"> </w:t>
      </w:r>
      <w:r>
        <w:t>+</w:t>
      </w:r>
      <w:r>
        <w:t xml:space="preserve"> </w:t>
      </w:r>
      <w:r>
        <w:t>低温运输。具体来说，我们提出了一种耐低温凝胶聚合物电解质，称为非缠结聚（1,3-二氧戊环）（NPDOL），它促进双（三氟甲基磺酰基）亚胺钠（NaTFSI）解离并为连续的Na提供均匀的配位位点。</w:t>
      </w:r>
      <w:r>
        <w:t xml:space="preserve"> </w:t>
      </w:r>
      <w:r>
        <w:t>+</w:t>
      </w:r>
      <w:r>
        <w:t xml:space="preserve"> </w:t>
      </w:r>
      <w:r>
        <w:t>运输。同时，非缠结的高熵聚合物骨架减少了链弛豫时间并扩大了自由体积，从而降低了离子陷阱的密度并增强了Na</w:t>
      </w:r>
      <w:r>
        <w:t xml:space="preserve"> </w:t>
      </w:r>
      <w:r>
        <w:t>+</w:t>
      </w:r>
      <w:r>
        <w:t xml:space="preserve"> </w:t>
      </w:r>
      <w:r>
        <w:t>扩散动力学。此外，离子阱密度的降低提高了Na</w:t>
      </w:r>
      <w:r>
        <w:t xml:space="preserve"> </w:t>
      </w:r>
      <w:r>
        <w:t>+</w:t>
      </w:r>
      <w:r>
        <w:t xml:space="preserve"> </w:t>
      </w:r>
      <w:r>
        <w:t>转移数（</w:t>
      </w:r>
      <w:r>
        <w:t xml:space="preserve"> </w:t>
      </w:r>
      <w:r>
        <w:t>t</w:t>
      </w:r>
      <w:r>
        <w:t xml:space="preserve"> </w:t>
      </w:r>
      <w:r>
        <w:t>钠+</w:t>
      </w:r>
      <w:r>
        <w:t xml:space="preserve"> </w:t>
      </w:r>
      <w:r>
        <w:t>= 0.85），产生薄而均匀的固体电解质界面（SEI），并改善界面Na</w:t>
      </w:r>
      <w:r>
        <w:t xml:space="preserve"> </w:t>
      </w:r>
      <w:r>
        <w:t>+</w:t>
      </w:r>
      <w:r>
        <w:t xml:space="preserve"> </w:t>
      </w:r>
      <w:r>
        <w:t>电荷转移。 NPDOL电解质具有高离子电导率（</w:t>
      </w:r>
      <w:r>
        <w:t xml:space="preserve"> </w:t>
      </w:r>
      <w:r>
        <w:t>σ</w:t>
      </w:r>
    </w:p>
    <w:p>
      <w:pPr>
        <w:spacing w:before="0" w:after="200" w:lineRule="auto" w:line="276"/>
      </w:pPr>
      <w:r>
        <w:rPr>
          <w:b/>
        </w:rPr>
        <w:t xml:space="preserve">Abstract (EN): </w:t>
      </w:r>
      <w:r>
        <w:t>Polymer electrolytes are promising for all‐climate rechargeable batteries due to their safety and compatibility with high‐energy‐density battery systems. However, topological traps induced by chain entanglement become a major transport bottleneck limiting continuous ion motion and interfacial charge transfer as temperature and liquid‐phase content decrease. Here, we unveil that temperature‐dependent ion‐traps in the entangled gel polymer are a key factor for slow Na</w:t>
      </w:r>
      <w:r>
        <w:t xml:space="preserve"> </w:t>
      </w:r>
      <w:r>
        <w:t>+</w:t>
      </w:r>
      <w:r>
        <w:t xml:space="preserve"> </w:t>
      </w:r>
      <w:r>
        <w:t>transport at low temperatures. Specifically, we propose a low‐temperature‐tolerant gel polymer electrolyte, denoted as non‐entangled poly(1,3‐dioxolane) (NPDOL), which promotes sodium bis(trifluoromethylsulfonyl)imide (NaTFSI) dissociation and provides homogeneous coordination sites for continuous Na</w:t>
      </w:r>
      <w:r>
        <w:t xml:space="preserve"> </w:t>
      </w:r>
      <w:r>
        <w:t>+</w:t>
      </w:r>
      <w:r>
        <w:t xml:space="preserve"> </w:t>
      </w:r>
      <w:r>
        <w:t>transport. Meanwhile, the non‐entangled, high‐entropy polymer framework decreases chain relaxation time and expands free volume, thereby reducing the density of ion‐traps and enhancing Na</w:t>
      </w:r>
      <w:r>
        <w:t xml:space="preserve"> </w:t>
      </w:r>
      <w:r>
        <w:t>+</w:t>
      </w:r>
      <w:r>
        <w:t xml:space="preserve"> </w:t>
      </w:r>
      <w:r>
        <w:t>diffusion kinetics. Furthermore, reduced ion‐trap density improves the Na</w:t>
      </w:r>
      <w:r>
        <w:t xml:space="preserve"> </w:t>
      </w:r>
      <w:r>
        <w:t>+</w:t>
      </w:r>
      <w:r>
        <w:t xml:space="preserve"> </w:t>
      </w:r>
      <w:r>
        <w:t>transference number (</w:t>
      </w:r>
      <w:r>
        <w:t xml:space="preserve"> </w:t>
      </w:r>
      <w:r>
        <w:t>t</w:t>
      </w:r>
      <w:r>
        <w:t xml:space="preserve"> </w:t>
      </w:r>
      <w:r>
        <w:t>Na+</w:t>
      </w:r>
      <w:r>
        <w:t xml:space="preserve"> </w:t>
      </w:r>
      <w:r>
        <w:t>= 0.85), resulting in a thin and uniform solid electrolyte interphase (SEI) with improved interfacial Na</w:t>
      </w:r>
      <w:r>
        <w:t xml:space="preserve"> </w:t>
      </w:r>
      <w:r>
        <w:t>+</w:t>
      </w:r>
      <w:r>
        <w:t xml:space="preserve"> </w:t>
      </w:r>
      <w:r>
        <w:t>charge‐transfer. The NPDOL electrolyte exhibits high ionic conductivity (</w:t>
      </w:r>
      <w:r>
        <w:t xml:space="preserve"> </w:t>
      </w:r>
      <w:r>
        <w:t>σ</w:t>
      </w:r>
      <w:r>
        <w:t xml:space="preserve"> </w:t>
      </w:r>
      <w:r>
        <w:t>) of 0.25 mS cm</w:t>
      </w:r>
      <w:r>
        <w:t xml:space="preserve"> </w:t>
      </w:r>
      <w:r>
        <w:t>−1</w:t>
      </w:r>
      <w:r>
        <w:t xml:space="preserve"> </w:t>
      </w:r>
      <w:r>
        <w:t>at ‐50°C, enabling Na//NPDOL//Na</w:t>
      </w:r>
      <w:r>
        <w:rPr>
          <w:vertAlign w:val="subscript"/>
        </w:rPr>
        <w:t>3</w:t>
      </w:r>
      <w:r>
        <w:t>V</w:t>
      </w:r>
      <w:r>
        <w:rPr>
          <w:vertAlign w:val="subscript"/>
        </w:rPr>
        <w:t>2</w:t>
      </w:r>
      <w:r>
        <w:t>(PO</w:t>
      </w:r>
      <w:r>
        <w:rPr>
          <w:vertAlign w:val="subscript"/>
        </w:rPr>
        <w:t>4</w:t>
      </w:r>
      <w:r>
        <w:t>)</w:t>
      </w:r>
      <w:r>
        <w:rPr>
          <w:vertAlign w:val="subscript"/>
        </w:rPr>
        <w:t>3</w:t>
      </w:r>
      <w:r>
        <w:t>full cells to deliver nearly 100% capacity retention at ‐40°C. This strategy of reducing chain entanglement to suppress Na</w:t>
      </w:r>
      <w:r>
        <w:t xml:space="preserve"> </w:t>
      </w:r>
      <w:r>
        <w:t>+</w:t>
      </w:r>
      <w:r>
        <w:t xml:space="preserve"> </w:t>
      </w:r>
      <w:r>
        <w:t>traps widens the low‐temperature operational window of batteries, paving the way for high‐performance energy storage systems.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209">
        <w:r>
          <w:rPr>
            <w:color w:val="1155CC"/>
            <w:u w:val="single"/>
          </w:rPr>
          <w:t>基于机理分析的LiFePO4电池退化模式直接诊断方法</w:t>
        </w:r>
      </w:hyperlink>
    </w:p>
    <w:p>
      <w:pPr>
        <w:spacing w:before="0" w:after="80"/>
      </w:pPr>
      <w:r>
        <w:rPr>
          <w:i/>
          <w:sz w:val="20"/>
        </w:rPr>
        <w:t>EN: A direct diagnosis method for degradation modes of LiFePO4 batteries based on mechanism analysis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10">
        <w:r>
          <w:rPr>
            <w:color w:val="1155CC"/>
            <w:u w:val="single"/>
          </w:rPr>
          <w:t>10.1016/j.apenergy.2026.128689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11">
        <w:r>
          <w:rPr>
            <w:color w:val="1155CC"/>
            <w:u w:val="single"/>
          </w:rPr>
          <w:t>用于具有电压调节的配电网络中 BESS 协调的隐私保护联合强化学习</w:t>
        </w:r>
      </w:hyperlink>
    </w:p>
    <w:p>
      <w:pPr>
        <w:spacing w:before="0" w:after="80"/>
      </w:pPr>
      <w:r>
        <w:rPr>
          <w:i/>
          <w:sz w:val="20"/>
        </w:rPr>
        <w:t>EN: Privacy-preserving federated reinforcement learning for BESS coordination in distribution networks with voltage regulation</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12">
        <w:r>
          <w:rPr>
            <w:color w:val="1155CC"/>
            <w:u w:val="single"/>
          </w:rPr>
          <w:t>10.1016/j.apenergy.2026.128681</w:t>
        </w:r>
      </w:hyperlink>
    </w:p>
    <w:p>
      <w:pPr>
        <w:spacing w:before="0" w:after="120"/>
      </w:pPr>
      <w:r>
        <w:rPr>
          <w:b/>
        </w:rPr>
        <w:t xml:space="preserve">Notes: </w:t>
      </w:r>
      <w:r>
        <w:t>abstract_source=openalex</w:t>
      </w:r>
    </w:p>
    <w:p>
      <w:pPr>
        <w:spacing w:before="0" w:after="80" w:lineRule="auto" w:line="276"/>
      </w:pPr>
      <w:r>
        <w:rPr>
          <w:b/>
        </w:rPr>
        <w:t xml:space="preserve">摘要（ZH）: </w:t>
      </w:r>
      <w:r>
        <w:t>分布式能源（DER）在配电网络中的日益集成，特别是电池储能系统（BESS），使得能源交易和运营成本降低成为可能，但也给协调能源管理带来了挑战。分布式 BESS 的有效协调需要访问住宅数据，这引发了重大的数据隐私问题。近年来，联合强化学习（FRL）已成为一种有前景的人工智能方法，用于保护隐私的 BESS 能源管理。然而，FRL在配电网中的应用受到一些挑战的限制，包括耦合BESS交互引起的电压约束下的协调、中间结果共享造成的隐私泄漏以及高BESS渗透率下的可扩展性问题。为了解决这些挑战，本文提出了一种用于BESS与电压调节协调的隐私保护联合强化学习方案（PPFRL-BC）。 BESS 能源管理问题是在 (ε,δ) 差分隐私约束下制定的，其中隐私保护奖励函数共同捕获系统级奖励和电压调节要求。在此基础上，所提出的 PPFRL-BC 方案能够在不直接共享原始住宅数据的情况下实现协调的 BESS 操作，同时采用面向 BESS 的高斯噪声机制来减轻与中间结果共享相关的隐私泄漏。为了进一步提高可扩展性，引入了近似动作分支方法来降低大型中的计算复杂度</w:t>
      </w:r>
    </w:p>
    <w:p>
      <w:pPr>
        <w:spacing w:before="0" w:after="200" w:lineRule="auto" w:line="276"/>
      </w:pPr>
      <w:r>
        <w:rPr>
          <w:b/>
        </w:rPr>
        <w:t xml:space="preserve">Abstract (EN): </w:t>
      </w:r>
      <w:r>
        <w:t>The increasing integration of distributed energy resources (DERs) in distribution networks, particularly battery energy storage systems (BESSs), enables energy trading and operational cost reduction but also introduces challenges for coordinated energy management. Effective coordination of distributed BESSs requires access to residential data, raising significant data privacy concerns. In recent years, federated reinforcement learning (FRL) has emerged as a promising AI approach for privacy-preserving BESS energy management. However, the application of FRL in distribution networks is limited by several challenges, including coordination under voltage constraints caused by coupled BESS interactions, privacy leakage from intermediate result sharing, and scalability issues under high BESS penetration.To address these challenges, this paper proposes a privacy-preserving federated reinforcement learning scheme for BESS coordination with voltage regulation (PPFRL-BC). The BESS energy management problem is formulated under (ε,δ)-differential privacy constraints, within which privacy-preserving reward functions jointly capture system-level rewards and voltage regulation requirements. Building on this formulation, the proposed PPFRL-BC scheme enables coordinated BESS operation without direct sharing of raw residential data, while a BESS-oriented Gaussian noise mechanism is incorporated to mitigate privacy leakage associated with intermediate result sharing. To further improve scalability, an approximate action branching method is introduced to reduce computational complexity in large-scale distribution networks.Case studies on the IEEE 33-bus and 123-bus test feeders demonstrate that the proposed PPFRL-BC scheme effectively coordinates distributed BESS operations, maintains voltage regulation under network constraints and preserves data privacy, while achieving performance comparable to the centralized scheme and outperforming both decentralized and conventional horizontal FRL schemes.</w:t>
      </w:r>
    </w:p>
    <w:p>
      <w:pPr>
        <w:spacing w:before="120" w:after="120"/>
      </w:pPr>
      <w:r>
        <w:rPr>
          <w:sz w:val="18"/>
        </w:rPr>
        <w:t>——————————————————————————————————————————————————————————————————————</w:t>
      </w:r>
    </w:p>
    <w:p>
      <w:pPr>
        <w:spacing w:before="160" w:after="40" w:line="240" w:lineRule="auto"/>
      </w:pPr>
      <w:r>
        <w:rPr>
          <w:b/>
        </w:rPr>
        <w:t xml:space="preserve">[3] </w:t>
      </w:r>
      <w:hyperlink r:id="rId213">
        <w:r>
          <w:rPr>
            <w:color w:val="1155CC"/>
            <w:u w:val="single"/>
          </w:rPr>
          <w:t>用于峰值功率控制的电池辅助机床</w:t>
        </w:r>
      </w:hyperlink>
    </w:p>
    <w:p>
      <w:pPr>
        <w:spacing w:before="0" w:after="80"/>
      </w:pPr>
      <w:r>
        <w:rPr>
          <w:i/>
          <w:sz w:val="20"/>
        </w:rPr>
        <w:t>EN: Battery-assisted machine tool for peak power control</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14">
        <w:r>
          <w:rPr>
            <w:color w:val="1155CC"/>
            <w:u w:val="single"/>
          </w:rPr>
          <w:t>10.1016/j.apenergy.2026.128688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6">
        <w:r>
          <w:rPr>
            <w:color w:val="1155CC"/>
            <w:u w:val="single"/>
          </w:rPr>
          <w:t>具有增强界面的丝网印刷锂阵列作为高能密度液态和固态电池的超薄阳极</w:t>
        </w:r>
      </w:hyperlink>
    </w:p>
    <w:p>
      <w:pPr>
        <w:spacing w:before="0" w:after="80"/>
      </w:pPr>
      <w:r>
        <w:rPr>
          <w:i/>
          <w:sz w:val="20"/>
        </w:rPr>
        <w:t>EN: Screen-Printed Li Arrays with Reinforced Interphase as Ultrathin Anodes for High-Energy–Density Liquid- and Solid-State Batteries</w:t>
      </w:r>
    </w:p>
    <w:p>
      <w:pPr>
        <w:spacing w:before="0" w:after="120"/>
      </w:pPr>
      <w:r>
        <w:rPr>
          <w:b/>
        </w:rPr>
        <w:t xml:space="preserve">Source: </w:t>
      </w:r>
      <w:r>
        <w:t>Nano-Micro Letters</w:t>
      </w:r>
      <w:r>
        <w:t xml:space="preserve">    </w:t>
      </w:r>
      <w:r>
        <w:rPr>
          <w:b/>
        </w:rPr>
        <w:t xml:space="preserve">Pub date: </w:t>
      </w:r>
      <w:r>
        <w:t>2026-08-21 00:00:00+00:00</w:t>
      </w:r>
      <w:r>
        <w:t xml:space="preserve">    </w:t>
      </w:r>
      <w:r>
        <w:rPr>
          <w:b/>
        </w:rPr>
        <w:t xml:space="preserve">DOI: </w:t>
      </w:r>
      <w:hyperlink r:id="rId137">
        <w:r>
          <w:rPr>
            <w:color w:val="1155CC"/>
            <w:u w:val="single"/>
          </w:rPr>
          <w:t>10.1007/s40820-026-02342-1</w:t>
        </w:r>
      </w:hyperlink>
    </w:p>
    <w:p>
      <w:pPr>
        <w:spacing w:before="0" w:after="120"/>
      </w:pPr>
      <w:r>
        <w:rPr>
          <w:b/>
        </w:rPr>
        <w:t xml:space="preserve">Notes: </w:t>
      </w:r>
      <w:r>
        <w:t>abstract_source=rss_description</w:t>
      </w:r>
    </w:p>
    <w:p>
      <w:pPr>
        <w:spacing w:before="0" w:after="80" w:lineRule="auto" w:line="276"/>
      </w:pPr>
      <w:r>
        <w:rPr>
          <w:b/>
        </w:rPr>
        <w:t xml:space="preserve">摘要（ZH）: </w:t>
      </w:r>
      <w:r>
        <w:t>高能量密度锂金属电池，无论是液态还是固态，都需要超薄的锂负极，但其实施受到制造过程中锂加工性能差和循环时锂镀层行为不均匀的阻碍。这项工作通过使用熔盐衍生的锂纳米复合材料的掩模图案离散阵列来解决这些挑战。丝网印刷策略避免了熔融锂在铜上的润湿性差导致的高Li|Cu接触角和不均匀的锂扩散，从而制造出等效厚度低于30μm的超薄锂箔。同时，Li中的熔盐衍生的无机纳米颗粒有利于均匀的Li沉积，并诱导富含无机物的固体电解质界面，共同抑制活性Li的消耗。由此产生的锂阵列（10-28μm）阳极在液态和固态系统中都表现出卓越的性能，实现了高达504 Wh kg−1/1071 Wh L−1的高能量密度，并在高负载阴极的情况下实现了超过260个循环的稳定循环。这种集成方法解决了超薄锂阳极的制造和循环挑战，并为高性能液态/固态电池提供了替代解决方案。亮点：1 使用掩模图案离散阵列的丝网印刷策略克服了熔融锂在铜上润湿性差的问题，从而能够制造超薄锂负极（2 由 Mg(TFSI)2 原位生成的无机纳米粒子使锂沉积均匀并诱导富含无机的固体电解质界面，显着抑制活性锂消耗。3 Li@Mg(TFSI)2 阵列和</w:t>
      </w:r>
    </w:p>
    <w:p>
      <w:pPr>
        <w:spacing w:before="0" w:after="200" w:lineRule="auto" w:line="276"/>
      </w:pPr>
      <w:r>
        <w:rPr>
          <w:b/>
        </w:rPr>
        <w:t xml:space="preserve">Abstract (EN): </w:t>
      </w:r>
      <w:r>
        <w:t>High-energy–density lithium metal batteries, either liquid or solid state, require ultrathin Li anodes, but their implementation is hindered by poor Li processability in fabrication and inhomogeneous Li plating behaviours upon cycling. This work addresses these challenges through a mask-patterned discrete array using a molten salt-derived Li nanocomposite. The screen-printing strategy circumvents the poor wettability of molten Li on copper that causes high Li|Cu contact angle and non-uniform Li spreading, thus fabricating ultrathin Li foils with equivalent thicknesses below 30 μm. Concurrently, the molten salt-derived inorganic nanoparticles in Li favour homogeneous Li deposition and induce inorganic-rich solid electrolyte interphase to jointly suppress active Li consumption. The resulting Li array (10–28 μm) anodes demonstrate remarkable performance in both liquid- and solid-state systems, achieving high energy densities up to 504 Wh kg−1/1071 Wh L−1 and stable cycling over 260 cycles with high-loading cathodes. This integrated approach resolves both fabrication and cycling challenges of ultrathin Li anodes and offers an alternative solution for high-performance liquid-/solid-state batteries. Highlights:1 A screen-printing strategy using mask-patterned discrete arrays overcomes molten Li’s poor wettability on Cu, enabling fabrication of ultrathin Li anodes (2 In situ generated inorganic nanoparticles from Mg(TFSI)2 homogenize Li deposition and induce an inorganic-rich solid electrolyte interphases, significantly suppressing active Li consumption.3 The Li@Mg(TFSI)2 array anode fits both liquid- and solid-state full cells, achieving high energy densities of 504 Wh kg−1/1071 Wh L−1 and stable cycling over 260 cycles.</w:t>
      </w:r>
    </w:p>
    <w:p>
      <w:pPr>
        <w:spacing w:before="120" w:after="120"/>
      </w:pPr>
      <w:r>
        <w:rPr>
          <w:sz w:val="18"/>
        </w:rPr>
        <w:t>——————————————————————————————————————————————————————————————————————</w:t>
      </w:r>
    </w:p>
    <w:p>
      <w:pPr>
        <w:spacing w:before="160" w:after="40" w:line="240" w:lineRule="auto"/>
      </w:pPr>
      <w:r>
        <w:rPr>
          <w:b/>
        </w:rPr>
        <w:t xml:space="preserve">[5] </w:t>
      </w:r>
      <w:hyperlink r:id="rId215">
        <w:r>
          <w:rPr>
            <w:color w:val="1155CC"/>
            <w:u w:val="single"/>
          </w:rPr>
          <w:t>通过龙格-库塔积分对两代储能电池（280 Ah 和 314 Ah）进行基于物理的建模和动力学分析</w:t>
        </w:r>
      </w:hyperlink>
    </w:p>
    <w:p>
      <w:pPr>
        <w:spacing w:before="0" w:after="80"/>
      </w:pPr>
      <w:r>
        <w:rPr>
          <w:i/>
          <w:sz w:val="20"/>
        </w:rPr>
        <w:t>EN: Physics-based modeling and kinetic analysis of two-generation energy storage batteries (280 Ah &amp; 314 Ah) via Runge-Kutta integration</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16">
        <w:r>
          <w:rPr>
            <w:color w:val="1155CC"/>
            <w:u w:val="single"/>
          </w:rPr>
          <w:t>10.1016/j.apenergy.2026.128653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17">
        <w:r>
          <w:rPr>
            <w:color w:val="1155CC"/>
            <w:u w:val="single"/>
          </w:rPr>
          <w:t>锂离子电池厚电极中梯度热力学势驱动的反应均质化</w:t>
        </w:r>
      </w:hyperlink>
    </w:p>
    <w:p>
      <w:pPr>
        <w:spacing w:before="0" w:after="80"/>
      </w:pPr>
      <w:r>
        <w:rPr>
          <w:i/>
          <w:sz w:val="20"/>
        </w:rPr>
        <w:t>EN: Gradient thermodynamic potential driven reaction homogenization in thick electrodes of lithium-ion batteries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18">
        <w:r>
          <w:rPr>
            <w:color w:val="1155CC"/>
            <w:u w:val="single"/>
          </w:rPr>
          <w:t>10.1016/j.apenergy.2026.128595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19">
        <w:r>
          <w:rPr>
            <w:color w:val="1155CC"/>
            <w:u w:val="single"/>
          </w:rPr>
          <w:t>HESS多微电网系统弹性运行的多维加权自适应一致性控制</w:t>
        </w:r>
      </w:hyperlink>
    </w:p>
    <w:p>
      <w:pPr>
        <w:spacing w:before="0" w:after="80"/>
      </w:pPr>
      <w:r>
        <w:rPr>
          <w:i/>
          <w:sz w:val="20"/>
        </w:rPr>
        <w:t>EN: Multi-dimensional weighted adaptive consensus control for resilient operation of a multi-microgrid system with HESS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20">
        <w:r>
          <w:rPr>
            <w:color w:val="1155CC"/>
            <w:u w:val="single"/>
          </w:rPr>
          <w:t>10.1016/j.apenergy.2026.128691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21">
        <w:r>
          <w:rPr>
            <w:color w:val="1155CC"/>
            <w:u w:val="single"/>
          </w:rPr>
          <w:t>下一代锂硫电池无机隔膜工程回顾：妥协还是基石？</w:t>
        </w:r>
      </w:hyperlink>
    </w:p>
    <w:p>
      <w:pPr>
        <w:spacing w:before="0" w:after="80"/>
      </w:pPr>
      <w:r>
        <w:rPr>
          <w:i/>
          <w:sz w:val="20"/>
        </w:rPr>
        <w:t>EN: Review of Inorganic Separator Engineering for Next‐Generation Lithium–Sulfur Batteries: Compromise or Cornerstone?</w:t>
      </w:r>
    </w:p>
    <w:p>
      <w:pPr>
        <w:spacing w:before="0" w:after="120"/>
      </w:pPr>
      <w:r>
        <w:rPr>
          <w:b/>
        </w:rPr>
        <w:t xml:space="preserve">Source: </w:t>
      </w:r>
      <w:r>
        <w:t>Wiley: Advanced Materials: Table of Contents</w:t>
      </w:r>
      <w:r>
        <w:t xml:space="preserve">    </w:t>
      </w:r>
      <w:r>
        <w:rPr>
          <w:b/>
        </w:rPr>
        <w:t xml:space="preserve">Pub date: </w:t>
      </w:r>
      <w:r>
        <w:t>2026-08-21 05:05:18+00:00</w:t>
      </w:r>
      <w:r>
        <w:t xml:space="preserve">    </w:t>
      </w:r>
      <w:r>
        <w:rPr>
          <w:b/>
        </w:rPr>
        <w:t xml:space="preserve">DOI: </w:t>
      </w:r>
      <w:hyperlink r:id="rId222">
        <w:r>
          <w:rPr>
            <w:color w:val="1155CC"/>
            <w:u w:val="single"/>
          </w:rPr>
          <w:t>10.1002/adma.74605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硫（Li-S）电池是有前途的下一代储能系统，但其实际应用仍然受到多硫化物穿梭、氧化还原动力学缓慢和界面不稳定性的限制。分离器工程提供了调节硫化学的有效途径。本综述将基于金属化合物的隔膜总结为活性界面结构，可促进多硫化物吸附和催化转化，同时调节离子和电子传输。为了评估不同的分离器系统，我们提出了一个实用相关指数（PRI）指导的框架，该框架将内在的电化学改进与系统级约束相结合。进一步引入本地化品质因数来解释性能趋势，而无需直接交叉研究排名。讨论了金属氧化物、硫化物、氮化物、碳化物和 MXene 基隔膜的最新进展，重点是异质结构、缺陷工程、电子结构调控和原子级设计。特别关注将界面化学与实际能量密度联系起来的约束感知策略。最后，概述了主要挑战和未来方向，包括反应途径调控、操作表征、系统集成和可扩展制造。该综述为设计实用的高能量密度锂硫电池提供了统一的框架。</w:t>
      </w:r>
    </w:p>
    <w:p>
      <w:pPr>
        <w:spacing w:before="0" w:after="200" w:lineRule="auto" w:line="276"/>
      </w:pPr>
      <w:r>
        <w:rPr>
          <w:b/>
        </w:rPr>
        <w:t xml:space="preserve">Abstract (EN): </w:t>
      </w:r>
      <w:r>
        <w:t>Lithium–sulfur (Li–S) batteries are promising next‐generation energy‐storage systems, but their practical application remains limited by polysulfide shuttling, sluggish redox kinetics, and interfacial instability. Separator engineering offers an effective route to regulate sulfur chemistry. This review summarizes metal compound‐based separators as active interfacial architectures that promote polysulfide adsorption and catalytic conversion while regulating ion and electron transport. To evaluate diverse separator systems, we propose a Practical Relevance Index (PRI)‐guided framework that integrates intrinsic electrochemical improvements with system‐level constraints. A localized figure of merit is further introduced to interpret performance trends without direct cross‐study ranking. Recent advances in metal oxides, sulfides, nitrides, carbides, and MXene‐based separators are discussed, with emphasis on heterostructures, defect engineering, electronic‐structure regulation, and atomic‐scale design. Particular attention is given to constraint‐aware strategies that connect interfacial chemistry with practical energy density. Finally, major challenges and future directions are outlined, including reaction‐pathway regulation, operando characterization, system integration, and scalable manufacturing. This review provides a unified framework for designing practical, high‐energy‐density Li–S batteries.</w:t>
      </w:r>
    </w:p>
    <w:p>
      <w:pPr>
        <w:spacing w:before="120" w:after="120"/>
      </w:pPr>
      <w:r>
        <w:rPr>
          <w:sz w:val="18"/>
        </w:rPr>
        <w:t>——————————————————————————————————————————————————————————————————————</w:t>
      </w:r>
    </w:p>
    <w:p>
      <w:pPr>
        <w:spacing w:before="160" w:after="40" w:line="240" w:lineRule="auto"/>
      </w:pPr>
      <w:r>
        <w:rPr>
          <w:b/>
        </w:rPr>
        <w:t xml:space="preserve">[9] </w:t>
      </w:r>
      <w:hyperlink r:id="rId223">
        <w:r>
          <w:rPr>
            <w:color w:val="1155CC"/>
            <w:u w:val="single"/>
          </w:rPr>
          <w:t>锂离子电池热失控：对机制、模型、预警系统和安全策略的严格审查</w:t>
        </w:r>
      </w:hyperlink>
    </w:p>
    <w:p>
      <w:pPr>
        <w:spacing w:before="0" w:after="80"/>
      </w:pPr>
      <w:r>
        <w:rPr>
          <w:i/>
          <w:sz w:val="20"/>
        </w:rPr>
        <w:t>EN: Thermal runaway in lithium-ion batteries: a critical review of mechanisms, models, early warning systems, and safety strategies</w:t>
      </w:r>
    </w:p>
    <w:p>
      <w:pPr>
        <w:spacing w:before="0" w:after="120"/>
      </w:pPr>
      <w:r>
        <w:rPr>
          <w:b/>
        </w:rPr>
        <w:t xml:space="preserve">Source: </w:t>
      </w:r>
      <w:r>
        <w:t>ScienceDirect Publication: Applied Energy</w:t>
      </w:r>
      <w:r>
        <w:t xml:space="preserve">    </w:t>
      </w:r>
      <w:r>
        <w:rPr>
          <w:b/>
        </w:rPr>
        <w:t xml:space="preserve">Pub date: </w:t>
      </w:r>
      <w:r>
        <w:t>2026-08-22 00:00:00+00:00</w:t>
      </w:r>
      <w:r>
        <w:t xml:space="preserve">    </w:t>
      </w:r>
      <w:r>
        <w:rPr>
          <w:b/>
        </w:rPr>
        <w:t xml:space="preserve">DOI: </w:t>
      </w:r>
      <w:hyperlink r:id="rId224">
        <w:r>
          <w:rPr>
            <w:color w:val="1155CC"/>
            <w:u w:val="single"/>
          </w:rPr>
          <w:t>10.1016/j.apenergy.2026.128706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25">
        <w:r>
          <w:rPr>
            <w:color w:val="1155CC"/>
            <w:u w:val="single"/>
          </w:rPr>
          <w:t>真空辅助杂质去除触发废 NCM 电子构型重建以实现超快锂存储</w:t>
        </w:r>
      </w:hyperlink>
    </w:p>
    <w:p>
      <w:pPr>
        <w:spacing w:before="0" w:after="80"/>
      </w:pPr>
      <w:r>
        <w:rPr>
          <w:i/>
          <w:sz w:val="20"/>
        </w:rPr>
        <w:t>EN: Vacuum‐Assisted Impurities Removing Triggered Electronic Configuration Reconstruction of Spent NCM for Ultrafast Lithium Storage</w:t>
      </w:r>
    </w:p>
    <w:p>
      <w:pPr>
        <w:spacing w:before="0" w:after="120"/>
      </w:pPr>
      <w:r>
        <w:rPr>
          <w:b/>
        </w:rPr>
        <w:t xml:space="preserve">Source: </w:t>
      </w:r>
      <w:r>
        <w:t>Wiley: Angewandte Chemie International Edition: Table of Contents</w:t>
      </w:r>
      <w:r>
        <w:t xml:space="preserve">    </w:t>
      </w:r>
      <w:r>
        <w:rPr>
          <w:b/>
        </w:rPr>
        <w:t xml:space="preserve">Pub date: </w:t>
      </w:r>
      <w:r>
        <w:t>2026-08-22 09:07:29+00:00</w:t>
      </w:r>
      <w:r>
        <w:t xml:space="preserve">    </w:t>
      </w:r>
      <w:r>
        <w:rPr>
          <w:b/>
        </w:rPr>
        <w:t xml:space="preserve">DOI: </w:t>
      </w:r>
      <w:hyperlink r:id="rId226">
        <w:r>
          <w:rPr>
            <w:color w:val="1155CC"/>
            <w:u w:val="single"/>
          </w:rPr>
          <w:t>10.1002/anie.4391410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受〜100％元素回收率的吸引，废NCM（SNCM）的直接再生已被视为下一代回收策略。然而，实用的SNCM总是混有惰性杂质（PVDF和导电碳），引入了不良杂原子并造成严重的二次损伤，导致性能较差。在此，我们提出了一种真空辅助杂质去除策略，通过定制重要元素的自旋状态来升级循环 SNCM。伴随着 Ni/Mn 物质的触发电子构型重建，所形成的强化 Ni</w:t>
      </w:r>
      <w:r>
        <w:t xml:space="preserve"> </w:t>
      </w:r>
      <w:r>
        <w:t>2+</w:t>
      </w:r>
      <w:r>
        <w:t xml:space="preserve"> </w:t>
      </w:r>
      <w:r>
        <w:t>–O</w:t>
      </w:r>
      <w:r>
        <w:t xml:space="preserve"> </w:t>
      </w:r>
      <w:r>
        <w:t>2−</w:t>
      </w:r>
      <w:r>
        <w:t>–锰</w:t>
      </w:r>
      <w:r>
        <w:t xml:space="preserve"> </w:t>
      </w:r>
      <w:r>
        <w:t>4+</w:t>
      </w:r>
      <w:r>
        <w:t xml:space="preserve"> </w:t>
      </w:r>
      <w:r>
        <w:t>超级交换带来了内置电场和具有较小变形的坚固晶格结构。同时，氧空位形成能增加约1.1 eV，电子局域效应大大减轻，从而实现持久的稳定性和快速的反应动力学。优化后的样品在循环后在 1.0 C 下表现出 93.5% 的高容量保留率。即使在 8.0 C 和 10.0 C 的超高倍率下，它们也可以保留 116.7 和 110.4 mAh g</w:t>
      </w:r>
      <w:r>
        <w:t xml:space="preserve"> </w:t>
      </w:r>
      <w:r>
        <w:t>−1</w:t>
      </w:r>
      <w:r>
        <w:t xml:space="preserve"> </w:t>
      </w:r>
      <w:r>
        <w:t>。在动力学分析和原位/异位测量的辅助下，揭示了增强的锂扩散和消除的内部应变。此外，该策略还可应用于废NCM613、Ni65和NCM811的升级循环。这项工作有望阐明电子构型重构和超级交换交互的优势</w:t>
      </w:r>
    </w:p>
    <w:p>
      <w:pPr>
        <w:spacing w:before="0" w:after="200" w:lineRule="auto" w:line="276"/>
      </w:pPr>
      <w:r>
        <w:rPr>
          <w:b/>
        </w:rPr>
        <w:t xml:space="preserve">Abstract (EN): </w:t>
      </w:r>
      <w:r>
        <w:t>Attracted by ∼100% element recovery rate, direct regeneration of spent NCM (SNCM) has been deemed as next‐generation recycling strategy. However, practical SNCM is always mixed with inactive impurities (PVDF and conductive carbon), which introduces undesirable heteroatoms and serious secondary damage, resulting in inferior performance. Herein, we propose a vacuum‐assisted impurities removing strategy to upcycle SNCM with tailored spin states of vital elements. Accompanied with triggered electronic configuration reconstruction of Ni/Mn species, the as‐formed strengthened Ni</w:t>
      </w:r>
      <w:r>
        <w:t xml:space="preserve"> </w:t>
      </w:r>
      <w:r>
        <w:t>2+</w:t>
      </w:r>
      <w:r>
        <w:t xml:space="preserve"> </w:t>
      </w:r>
      <w:r>
        <w:t>–O</w:t>
      </w:r>
      <w:r>
        <w:t xml:space="preserve"> </w:t>
      </w:r>
      <w:r>
        <w:t>2−</w:t>
      </w:r>
      <w:r>
        <w:t>–Mn</w:t>
      </w:r>
      <w:r>
        <w:t xml:space="preserve"> </w:t>
      </w:r>
      <w:r>
        <w:t>4+</w:t>
      </w:r>
      <w:r>
        <w:t xml:space="preserve"> </w:t>
      </w:r>
      <w:r>
        <w:t>superexchange brings about built‐in electric field and robust lattice structures with minor distortions. Meanwhile, oxygen vacancy formation energy increases about 1.1 eV, and electron localization effect is greatly alleviated, leading to durable stability and rapid reaction kinetics. The as‐optimized samples exhibit high capacity retention of 93.5% at 1.0 C after cycling. Even at ultra‐high rates of 8.0 C and 10.0 C, they could retain 116.7 and 110.4 mAh g</w:t>
      </w:r>
      <w:r>
        <w:t xml:space="preserve"> </w:t>
      </w:r>
      <w:r>
        <w:t>−1</w:t>
      </w:r>
      <w:r>
        <w:t xml:space="preserve"> </w:t>
      </w:r>
      <w:r>
        <w:t>. Assisted by kinetics analysis and in/ex situ measurements, enhanced Li‐diffusion and eliminated internal strains are revealed. Moreover, this strategy could be applied to upcycle spent NCM613, Ni65 and NCM811. This work is expected to illustrate the advantages of electronic configuration reconstruction and superexchange interaction creation during regeneration, meanwhile offer full‐process regeneration strategies toward upcycled NCM.</w:t>
      </w:r>
    </w:p>
    <w:p>
      <w:pPr>
        <w:spacing w:before="120" w:after="120"/>
      </w:pPr>
      <w:r>
        <w:rPr>
          <w:sz w:val="18"/>
        </w:rPr>
        <w:t>——————————————————————————————————————————————————————————————————————</w:t>
      </w:r>
    </w:p>
    <w:p>
      <w:pPr>
        <w:spacing w:before="160" w:after="40" w:line="240" w:lineRule="auto"/>
      </w:pPr>
      <w:r>
        <w:rPr>
          <w:b/>
        </w:rPr>
        <w:t xml:space="preserve">[11] </w:t>
      </w:r>
      <w:hyperlink r:id="rId227">
        <w:r>
          <w:rPr>
            <w:color w:val="1155CC"/>
            <w:u w:val="single"/>
          </w:rPr>
          <w:t>从上到下：通过 3D 扩散生成模型实现能源设备电极的制造过程上下文感知解析</w:t>
        </w:r>
      </w:hyperlink>
    </w:p>
    <w:p>
      <w:pPr>
        <w:spacing w:before="0" w:after="80"/>
      </w:pPr>
      <w:r>
        <w:rPr>
          <w:i/>
          <w:sz w:val="20"/>
        </w:rPr>
        <w:t>EN: From Top to Bottom: Manufacturing Process‐Context Aware Resolution of Energy Device Electrodes Through a 3D Diffusion Generative Model</w:t>
      </w:r>
    </w:p>
    <w:p>
      <w:pPr>
        <w:spacing w:before="0" w:after="120"/>
      </w:pPr>
      <w:r>
        <w:rPr>
          <w:b/>
        </w:rPr>
        <w:t xml:space="preserve">Source: </w:t>
      </w:r>
      <w:r>
        <w:t>Wiley: Advanced Energy Materials: Table of Contents</w:t>
      </w:r>
      <w:r>
        <w:t xml:space="preserve">    </w:t>
      </w:r>
      <w:r>
        <w:rPr>
          <w:b/>
        </w:rPr>
        <w:t xml:space="preserve">Pub date: </w:t>
      </w:r>
      <w:r>
        <w:t>2026-08-22 09:48:38+00:00</w:t>
      </w:r>
      <w:r>
        <w:t xml:space="preserve">    </w:t>
      </w:r>
      <w:r>
        <w:rPr>
          <w:b/>
        </w:rPr>
        <w:t xml:space="preserve">DOI: </w:t>
      </w:r>
      <w:hyperlink r:id="rId228">
        <w:r>
          <w:rPr>
            <w:color w:val="1155CC"/>
            <w:u w:val="single"/>
          </w:rPr>
          <w:t>10.1002/aenm.71418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能量存储和转换装置的优化通常取决于电极微观结构特性，其3D表示提供了制造工艺和装置性能之间最完整的联系。深度生成模型可以解决传统微观结构解析方法的实验吞吐量慢和计算成本高的问题，但大多数文献都集中在生成对抗网络上，容易出现模式崩溃问题。这项工作应用生成扩散模型来合成锂离子电池和质子交换膜燃料电池电极的 3D 解析多相微观结构，这些结构源自实验成像和计算机模拟。生成的体积根据基于微观结构描述符的训练数据进行验证，包括体积分数、比表面积和弯曲系数。此外，用于生成模型训练的标准立方子体积增强策略无法捕获厚且经过大量加工的微结构（例如压延电极）中的深度相关特征。提出了一种深度感知增强管道，将完整的电极厚度纳入训练样本中，从而提高生成的电极的全厚度弯曲因子精度。此外，对生成的微观结构进行 3D 解析多物理场仿真可以高精度地再现其训练对应物的性能行为。这些结果建立了一个基于扩散模型的框架，作为产生商业相关的可行手段</w:t>
      </w:r>
    </w:p>
    <w:p>
      <w:pPr>
        <w:spacing w:before="0" w:after="200" w:lineRule="auto" w:line="276"/>
      </w:pPr>
      <w:r>
        <w:rPr>
          <w:b/>
        </w:rPr>
        <w:t xml:space="preserve">Abstract (EN): </w:t>
      </w:r>
      <w:r>
        <w:t>Optimization of electrochemical energy storage and conversion devices often depends on the electrode microstructure properties, of which its 3D representation provides the most complete link between manufacturing process and device performance. Deep generative models can address slow experimental throughput and high computational costs of traditional microstructure resolution methods, yet most literature focuses on Generative Adversarial Networks, prone to mode collapse issues. This work applies a generative diffusion model to synthesize 3D‐resolved multiphase microstructures of lithium ion battery and proton exchange membrane fuel cell electrodes, sourced from experimental imaging and computer‐based simulations. Generated volumes are validated against training data based on microstructural descriptors, including volume fraction, specific surface area, and tortuosity factor. Moreover, the standard cubic sub‐volume augmentation strategy used forgenerative model training fails to capture depth‐dependent features in thick and heavily processed microstructures, such as calendered electrodes. A depth‐aware augmentation pipeline is proposed to incorporate full electrode thickness into training samples, improving through‐thickness tortuosity factor accuracy in the generated electrodes. Furthermore, 3D‐resolved multiphysics simulation on the generated microstructures reproduce the performance behavior of their training counterparts with high accuracy. These results establish a diffusion model‐based framework as a viable means to generate commercially relevant electrode data, intended for computational optimization and design of next‐generation energy devices.</w:t>
      </w:r>
    </w:p>
    <w:p>
      <w:pPr>
        <w:spacing w:before="120" w:after="120"/>
      </w:pPr>
      <w:r>
        <w:rPr>
          <w:sz w:val="18"/>
        </w:rPr>
        <w:t>——————————————————————————————————————————————————————————————————————</w:t>
      </w:r>
    </w:p>
    <w:p>
      <w:pPr>
        <w:spacing w:before="160" w:after="40" w:line="240" w:lineRule="auto"/>
      </w:pPr>
      <w:r>
        <w:rPr>
          <w:b/>
        </w:rPr>
        <w:t xml:space="preserve">[12] </w:t>
      </w:r>
      <w:hyperlink r:id="rId229">
        <w:r>
          <w:rPr>
            <w:color w:val="1155CC"/>
            <w:u w:val="single"/>
          </w:rPr>
          <w:t>Co4N/Co2P 复合材料中由晶格应变诱导电子调制驱动的高自旋 3d 轨道配置可实现金属-硫杂化，从而实现高效的多硫化物转化</w:t>
        </w:r>
      </w:hyperlink>
    </w:p>
    <w:p>
      <w:pPr>
        <w:spacing w:before="0" w:after="80"/>
      </w:pPr>
      <w:r>
        <w:rPr>
          <w:i/>
          <w:sz w:val="20"/>
        </w:rPr>
        <w:t>EN: High‐Spin 3d Orbital Configuration Driven by Lattice Strain‐Induced Electronic Modulation in Co4N/Co2P Composites Enables Metal–Sulfur Hybridization for Efficient Polysulfide Conversion</w:t>
      </w:r>
    </w:p>
    <w:p>
      <w:pPr>
        <w:spacing w:before="0" w:after="120"/>
      </w:pPr>
      <w:r>
        <w:rPr>
          <w:b/>
        </w:rPr>
        <w:t xml:space="preserve">Source: </w:t>
      </w:r>
      <w:r>
        <w:t>Wiley: Advanced Energy Materials: Table of Contents</w:t>
      </w:r>
      <w:r>
        <w:t xml:space="preserve">    </w:t>
      </w:r>
      <w:r>
        <w:rPr>
          <w:b/>
        </w:rPr>
        <w:t xml:space="preserve">Pub date: </w:t>
      </w:r>
      <w:r>
        <w:t>2026-08-22 09:51:23+00:00</w:t>
      </w:r>
      <w:r>
        <w:t xml:space="preserve">    </w:t>
      </w:r>
      <w:r>
        <w:rPr>
          <w:b/>
        </w:rPr>
        <w:t xml:space="preserve">DOI: </w:t>
      </w:r>
      <w:hyperlink r:id="rId230">
        <w:r>
          <w:rPr>
            <w:color w:val="1155CC"/>
            <w:u w:val="single"/>
          </w:rPr>
          <w:t>10.1002/aenm.71506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调节过渡金属化合物的自旋态对于锂硫电池中多硫化锂的转化至关重要，但也具有挑战性。在此，一种类似海胆的Co</w:t>
      </w:r>
      <w:r>
        <w:rPr>
          <w:vertAlign w:val="subscript"/>
        </w:rPr>
        <w:t>4</w:t>
      </w:r>
      <w:r>
        <w:t>氮/钴</w:t>
      </w:r>
      <w:r>
        <w:rPr>
          <w:vertAlign w:val="subscript"/>
        </w:rPr>
        <w:t>2</w:t>
      </w:r>
      <w:r>
        <w:t>P复合材料是通过原位引入第二相构建的，其中诱导的界面应变和电子调制导致高自旋Co位点的形成，并且该复合材料进一步用作改性隔膜。由于Co之间晶体结构和电子性质的差异</w:t>
      </w:r>
      <w:r>
        <w:rPr>
          <w:vertAlign w:val="subscript"/>
        </w:rPr>
        <w:t>4</w:t>
      </w:r>
      <w:r>
        <w:t>氮和钴</w:t>
      </w:r>
      <w:r>
        <w:rPr>
          <w:vertAlign w:val="subscript"/>
        </w:rPr>
        <w:t>2</w:t>
      </w:r>
      <w:r>
        <w:t>P，它们的界面接触引起电荷重新分布和晶格失配，从而产生局部拉伸和压缩应变，以及不对称的N─Co─P配位环境，从而调节Co活性位点的局部电子结构。理论计算和原位表征证实，界面应变和电子效应的协同作用引起d轨道自旋分裂和能级重排，增加不成对电子并提升Co的自旋态。增强的自旋态加强了与硫中间体的d-p轨道杂化，加速电荷转移并优化吸附行为。因此，公司</w:t>
      </w:r>
      <w:r>
        <w:rPr>
          <w:vertAlign w:val="subscript"/>
        </w:rPr>
        <w:t>4</w:t>
      </w:r>
      <w:r>
        <w:t>氮/钴</w:t>
      </w:r>
      <w:r>
        <w:rPr>
          <w:vertAlign w:val="subscript"/>
        </w:rPr>
        <w:t>2</w:t>
      </w:r>
      <w:r>
        <w:t>P-改性隔膜电池提供 1389.4 mAh g</w:t>
      </w:r>
    </w:p>
    <w:p>
      <w:pPr>
        <w:spacing w:before="0" w:after="200" w:lineRule="auto" w:line="276"/>
      </w:pPr>
      <w:r>
        <w:rPr>
          <w:b/>
        </w:rPr>
        <w:t xml:space="preserve">Abstract (EN): </w:t>
      </w:r>
      <w:r>
        <w:t>Regulating the spin state of transition metal compounds is crucial for lithium polysulfide conversion in Li–S batteries, yet challenging. Herein, a sea‐urchin‐like Co</w:t>
      </w:r>
      <w:r>
        <w:rPr>
          <w:vertAlign w:val="subscript"/>
        </w:rPr>
        <w:t>4</w:t>
      </w:r>
      <w:r>
        <w:t>N/Co</w:t>
      </w:r>
      <w:r>
        <w:rPr>
          <w:vertAlign w:val="subscript"/>
        </w:rPr>
        <w:t>2</w:t>
      </w:r>
      <w:r>
        <w:t>P composite is constructed via the in situ introduction of a second phase, where the induced interfacial strain and electronic modulation lead to the formation of high‐spin Co sites, and the composite is further applied as a modified separator. Due to the differences in crystal structure and electronic properties between Co</w:t>
      </w:r>
      <w:r>
        <w:rPr>
          <w:vertAlign w:val="subscript"/>
        </w:rPr>
        <w:t>4</w:t>
      </w:r>
      <w:r>
        <w:t>N and Co</w:t>
      </w:r>
      <w:r>
        <w:rPr>
          <w:vertAlign w:val="subscript"/>
        </w:rPr>
        <w:t>2</w:t>
      </w:r>
      <w:r>
        <w:t>P, their interfacial contact induces charge redistribution and lattice mismatch, which subsequently generate localized tensile and compressive strains, along with an asymmetric N─Co─P coordination environment, thereby modulating the local electronic structure of Co active sites. Theoretical calculation and in situ characterization confirmed that the synergistic effect of interfacial strain and electronic effects induces d‐orbital spin splitting and energy level rearrangement, increasing unpaired electrons and elevating the spin state of Co. The enhanced spin state strengthens d–p orbital hybridization with sulfur intermediates, accelerating charge transfer and optimizing adsorption behavior. Accordingly, the Co</w:t>
      </w:r>
      <w:r>
        <w:rPr>
          <w:vertAlign w:val="subscript"/>
        </w:rPr>
        <w:t>4</w:t>
      </w:r>
      <w:r>
        <w:t>N/Co</w:t>
      </w:r>
      <w:r>
        <w:rPr>
          <w:vertAlign w:val="subscript"/>
        </w:rPr>
        <w:t>2</w:t>
      </w:r>
      <w:r>
        <w:t>P‐modified separator battery delivers 1389.4 mAh g</w:t>
      </w:r>
      <w:r>
        <w:t xml:space="preserve"> </w:t>
      </w:r>
      <w:r>
        <w:t>−1</w:t>
      </w:r>
      <w:r>
        <w:t xml:space="preserve"> </w:t>
      </w:r>
      <w:r>
        <w:t>at 0.2 C and retains 905.9 mAh g</w:t>
      </w:r>
      <w:r>
        <w:t xml:space="preserve"> </w:t>
      </w:r>
      <w:r>
        <w:t>−1</w:t>
      </w:r>
      <w:r>
        <w:t xml:space="preserve"> </w:t>
      </w:r>
      <w:r>
        <w:t>after 100 cycles (0.35% decay per cycle). This work highlights lattice‐strain‐induced spin‐state modulation as an effective strategy for designing high‐performance electrocatalysts.</w:t>
      </w:r>
    </w:p>
    <w:p>
      <w:pPr>
        <w:spacing w:before="120" w:after="120"/>
      </w:pPr>
      <w:r>
        <w:rPr>
          <w:sz w:val="18"/>
        </w:rPr>
        <w:t>——————————————————————————————————————————————————————————————————————</w:t>
      </w:r>
    </w:p>
    <w:p>
      <w:pPr>
        <w:spacing w:before="160" w:after="40" w:line="240" w:lineRule="auto"/>
      </w:pPr>
      <w:r>
        <w:rPr>
          <w:b/>
        </w:rPr>
        <w:t xml:space="preserve">[13] </w:t>
      </w:r>
      <w:hyperlink r:id="rId231">
        <w:r>
          <w:rPr>
            <w:color w:val="1155CC"/>
            <w:u w:val="single"/>
          </w:rPr>
          <w:t>可充电电池用热响应材料</w:t>
        </w:r>
      </w:hyperlink>
    </w:p>
    <w:p>
      <w:pPr>
        <w:spacing w:before="0" w:after="80"/>
      </w:pPr>
      <w:r>
        <w:rPr>
          <w:i/>
          <w:sz w:val="20"/>
        </w:rPr>
        <w:t>EN: Thermo-responsive materials for rechargeable batteries</w:t>
      </w:r>
    </w:p>
    <w:p>
      <w:pPr>
        <w:spacing w:before="0" w:after="120"/>
      </w:pPr>
      <w:r>
        <w:rPr>
          <w:b/>
        </w:rPr>
        <w:t xml:space="preserve">Source: </w:t>
      </w:r>
      <w:r>
        <w:t>Nature Reviews Materials</w:t>
      </w:r>
      <w:r>
        <w:t xml:space="preserve">    </w:t>
      </w:r>
      <w:r>
        <w:rPr>
          <w:b/>
        </w:rPr>
        <w:t xml:space="preserve">Pub date: </w:t>
      </w:r>
      <w:r>
        <w:t>2026-08-24 00:00:00+00:00</w:t>
      </w:r>
      <w:r>
        <w:t xml:space="preserve">    </w:t>
      </w:r>
      <w:r>
        <w:rPr>
          <w:b/>
        </w:rPr>
        <w:t xml:space="preserve">DOI: </w:t>
      </w:r>
      <w:hyperlink r:id="rId232">
        <w:r>
          <w:rPr>
            <w:color w:val="1155CC"/>
            <w:u w:val="single"/>
          </w:rPr>
          <w:t>10.1038/s41578-026-00952-0</w:t>
        </w:r>
      </w:hyperlink>
    </w:p>
    <w:p>
      <w:pPr>
        <w:spacing w:before="0" w:after="120"/>
      </w:pPr>
      <w:r>
        <w:rPr>
          <w:b/>
        </w:rPr>
        <w:t xml:space="preserve">Notes: </w:t>
      </w:r>
      <w:r>
        <w:t>abstract_source=rss_nature</w:t>
      </w:r>
    </w:p>
    <w:p>
      <w:pPr>
        <w:spacing w:before="0" w:after="80" w:lineRule="auto" w:line="276"/>
      </w:pPr>
      <w:r>
        <w:rPr>
          <w:b/>
        </w:rPr>
        <w:t xml:space="preserve">摘要（ZH）: </w:t>
      </w:r>
      <w:r>
        <w:t>安全性是开发高能充电电池的一个核心挑战。热响应聚合物为主动安全调节提供了有效的策略：加热时，它们会发生内在的结构转变，抑制离子和电子传输，中断电化学反应并减轻热失控，从而为下一代储能提供更安全、更可靠的电池技术。</w:t>
      </w:r>
    </w:p>
    <w:p>
      <w:pPr>
        <w:spacing w:before="0" w:after="200" w:lineRule="auto" w:line="276"/>
      </w:pPr>
      <w:r>
        <w:rPr>
          <w:b/>
        </w:rPr>
        <w:t xml:space="preserve">Abstract (EN): </w:t>
      </w:r>
      <w:r>
        <w:t>Safety presents a central challenge in developing high-energy rechargeable batteries. Thermally responsive polymers provide an effective strategy for active safety regulation: upon heating, they undergo intrinsic structural transformations that suppress ion and electron transport, interrupt electrochemical reactions and mitigate thermal runaway, enabling safer and more reliable battery technology for next-generation energy storage.</w:t>
      </w:r>
    </w:p>
    <w:p>
      <w:pPr>
        <w:spacing w:before="120" w:after="120"/>
      </w:pPr>
      <w:r>
        <w:rPr>
          <w:sz w:val="18"/>
        </w:rPr>
        <w:t>——————————————————————————————————————————————————————————————————————</w:t>
      </w:r>
    </w:p>
    <w:p>
      <w:pPr>
        <w:spacing w:before="160" w:after="40" w:line="240" w:lineRule="auto"/>
      </w:pPr>
      <w:r>
        <w:rPr>
          <w:b/>
        </w:rPr>
        <w:t xml:space="preserve">[14] </w:t>
      </w:r>
      <w:hyperlink r:id="rId101">
        <w:r>
          <w:rPr>
            <w:color w:val="1155CC"/>
            <w:u w:val="single"/>
          </w:rPr>
          <w:t>使用多功能半胱氨酸锂对废 LiCoO2 进行体界面和双域稳定，实现层状阴极的高压再生</w:t>
        </w:r>
      </w:hyperlink>
    </w:p>
    <w:p>
      <w:pPr>
        <w:spacing w:before="0" w:after="80"/>
      </w:pPr>
      <w:r>
        <w:rPr>
          <w:i/>
          <w:sz w:val="20"/>
        </w:rPr>
        <w:t>EN: Bulk-Interface and Dual-Domain Stabilization of Spent LiCoO2 Using Multifunctional Lithium Cysteinate Enables High-Voltage Regeneration of Layered Cathodes</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102">
        <w:r>
          <w:rPr>
            <w:color w:val="1155CC"/>
            <w:u w:val="single"/>
          </w:rPr>
          <w:t>10.1021/acsami.6c08983</w:t>
        </w:r>
      </w:hyperlink>
    </w:p>
    <w:p>
      <w:pPr>
        <w:spacing w:before="0" w:after="120"/>
      </w:pPr>
      <w:r>
        <w:rPr>
          <w:b/>
        </w:rPr>
        <w:t xml:space="preserve">Notes: </w:t>
      </w:r>
      <w:r>
        <w:t>abstract_source=crossref</w:t>
      </w:r>
    </w:p>
    <w:p>
      <w:pPr>
        <w:spacing w:before="0" w:after="80" w:lineRule="auto" w:line="276"/>
      </w:pPr>
      <w:r>
        <w:rPr>
          <w:b/>
        </w:rPr>
        <w:t xml:space="preserve">摘要（ZH）: </w:t>
      </w:r>
      <w:r>
        <w:t>摘要 废旧锂离子电池（LIB）数量的不断增加引发了严峻的资源和环境问题，废旧钴酸锂（SLCO）的环保、高值再生在新能源领域势在必行。将SLCO升级改造为高压钴酸锂（LCO），增强其高附加值利用；然而，现有再生工艺中的单功能锂源只能实现基本的锂补偿，未能同时解决4.6 V高压循环下体结构退化和不受控制的界面副反应的瓶颈，这阻碍了SLCO稳定升级为高压LCO。在此，通过半胱氨酸锂（Li-Cys）的一步固态烧结提出了一种体界面和双域稳定策略。 Li-Cys中Li-S键的优先断裂首先能够对废LiCoO2进行有针对性的锂补偿，然后引入NaOH以提供温和的碱性环境，从而同时实现本体中的Na/S共掺杂和界面处Li2SO4/LiNxOy涂层的原位构建。 Na+作为层间支柱稳定了层状结构，S增强了晶格氧稳定性，涂层抑制了界面副反应，共同提高了结构稳定性和离子传输动力学。再生的 NS-RLCO 正极在 0.1C 下的初始容量为 205 mAh/g，在 1C 下循环 100 次后容量保持率为 91.9%，在 3C 下可逆容量为 158.9 mAh/g。经济和生命周期分析</w:t>
      </w:r>
    </w:p>
    <w:p>
      <w:pPr>
        <w:spacing w:before="0" w:after="200" w:lineRule="auto" w:line="276"/>
      </w:pPr>
      <w:r>
        <w:rPr>
          <w:b/>
        </w:rPr>
        <w:t xml:space="preserve">Abstract (EN): </w:t>
      </w:r>
      <w:r>
        <w:t>The increasing volume of spent lithium-ion batteries (LIBs) has triggered severe resource and environmental issues, making the environmentally friendly, high-value regeneration of spent LiCoO2 (SLCO) imperative in the new energy field. Upcycling SLCO into high-voltage lithium cobalt oxide (LCO) potentiates its high-value-added utilization; however, single-functional lithium sources in existing regeneration processes only achieve basic lithium compensation and fail to simultaneously address the bottlenecks of bulk structural degradation and uncontrolled interfacial side reactions under 4.6 V high-voltage cycling, which hinders the stable upcycling of SLCO into high-voltage LCO. Herein, a bulk-interface and dual-domain stabilization strategy is proposed via one-step solid-state sintering with lithium cysteinate (Li-Cys). The preferential cleavage of Li–S bonds in Li-Cys first enables targeted lithium compensation for spent LiCoO2, followed by the introduction of NaOH to provide a mild alkaline environment, thereby simultaneously achieving Na/S co-doping in the bulk and the in situ construction of a Li2SO4/LiNxOy coating at the interface. Na+ stabilized the layered structure as an interlayer pillar, S enhanced the lattice oxygen stability, and the coating suppressed interfacial side reactions, jointly improving the structural stability and ion transport kinetics. The regenerated NS-RLCO cathode delivered an initial capacity of 205 mAh/g at 0.1C, 91.9% capacity retention after 100 cycles at 1C, and 158.9 mAh/g reversible capacity at 3C. Economic and life-cycle analyses confirmed its superior cost and environmental benefits over traditional recycling processes, providing a novel route for environmentally friendly, high-value regeneration of spent LCO.</w:t>
      </w:r>
    </w:p>
    <w:p>
      <w:pPr>
        <w:spacing w:before="120" w:after="120"/>
      </w:pPr>
      <w:r>
        <w:rPr>
          <w:sz w:val="18"/>
        </w:rPr>
        <w:t>——————————————————————————————————————————————————————————————————————</w:t>
      </w:r>
    </w:p>
    <w:p>
      <w:pPr>
        <w:spacing w:before="160" w:after="40" w:line="240" w:lineRule="auto"/>
      </w:pPr>
      <w:r>
        <w:rPr>
          <w:b/>
        </w:rPr>
        <w:t xml:space="preserve">[15] </w:t>
      </w:r>
      <w:hyperlink r:id="rId183">
        <w:r>
          <w:rPr>
            <w:color w:val="1155CC"/>
            <w:u w:val="single"/>
          </w:rPr>
          <w:t>自适应固体电解质界面的温度响应双电层解锁了宽温水系锌离子电池</w:t>
        </w:r>
      </w:hyperlink>
    </w:p>
    <w:p>
      <w:pPr>
        <w:spacing w:before="0" w:after="80"/>
      </w:pPr>
      <w:r>
        <w:rPr>
          <w:i/>
          <w:sz w:val="20"/>
        </w:rPr>
        <w:t>EN: Temperature‐Responsive Electrical Double Layer for Self‐Adaptive Solid Electrolyte Interphase Unlocks Wide‐Temperature Aqueous Zinc Ion Batteries</w:t>
      </w:r>
    </w:p>
    <w:p>
      <w:pPr>
        <w:spacing w:before="0" w:after="120"/>
      </w:pPr>
      <w:r>
        <w:rPr>
          <w:b/>
        </w:rPr>
        <w:t xml:space="preserve">Source: </w:t>
      </w:r>
      <w:r>
        <w:t>Wiley: Advanced Energy Materials: Table of Contents</w:t>
      </w:r>
      <w:r>
        <w:t xml:space="preserve">    </w:t>
      </w:r>
      <w:r>
        <w:rPr>
          <w:b/>
        </w:rPr>
        <w:t xml:space="preserve">Pub date: </w:t>
      </w:r>
      <w:r>
        <w:t>2026-08-24 08:14:33+00:00</w:t>
      </w:r>
      <w:r>
        <w:t xml:space="preserve">    </w:t>
      </w:r>
      <w:r>
        <w:rPr>
          <w:b/>
        </w:rPr>
        <w:t xml:space="preserve">DOI: </w:t>
      </w:r>
      <w:hyperlink r:id="rId184">
        <w:r>
          <w:rPr>
            <w:color w:val="1155CC"/>
            <w:u w:val="single"/>
          </w:rPr>
          <w:t>10.1002/aenm.71472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宽温水性锌离子电池（AZIB）构建自适应固体电解质中间相（SEI）仍未被探索，但极具挑战性。在此，通过筛选高供体数添加剂设计了温度响应型双电层（EDL），并且EDL组合物表现出温度响应行为，其中升高的温度促进阴离子积累，而低于环境的温度有利于添加剂富集，从而驱动独特的自适应界面化学。实验和理论分析表明，低于环境的温度通过优先的添加剂分解促进有机-无机杂化SEI的形成，而高温通过阴离子分解产生强大的富含无机的SEI。自适应SEI可以显着调节Zn</w:t>
      </w:r>
      <w:r>
        <w:t xml:space="preserve"> </w:t>
      </w:r>
      <w:r>
        <w:t>2+</w:t>
      </w:r>
      <w:r>
        <w:t xml:space="preserve"> </w:t>
      </w:r>
      <w:r>
        <w:t>不同温度下的成核动力学，促进均匀的锌沉积，在长时间的循环过程中晶粒尺寸逐渐增加。因此，Zn||Zn 电池在 50 mA cm 电流下表现出超过 5300 次循环的高度可逆电镀/剥离</w:t>
      </w:r>
      <w:r>
        <w:t xml:space="preserve"> </w:t>
      </w:r>
      <w:r>
        <w:t>−2</w:t>
      </w:r>
      <w:r>
        <w:t xml:space="preserve"> </w:t>
      </w:r>
      <w:r>
        <w:t>，同时在 -40°C 至 60°C 的宽温度范围内表现出广泛的耐热性。锌||I</w:t>
      </w:r>
      <w:r>
        <w:rPr>
          <w:vertAlign w:val="subscript"/>
        </w:rPr>
        <w:t>2</w:t>
      </w:r>
      <w:r>
        <w:t>全电池具有1000-30000次循环的良好循环寿命，Ah级软包电池进一步验证了实用性。这项工作建立了温度响应 EDL、界面化学和电化学性能之间的相关性</w:t>
      </w:r>
    </w:p>
    <w:p>
      <w:pPr>
        <w:spacing w:before="0" w:after="200" w:lineRule="auto" w:line="276"/>
      </w:pPr>
      <w:r>
        <w:rPr>
          <w:b/>
        </w:rPr>
        <w:t xml:space="preserve">Abstract (EN): </w:t>
      </w:r>
      <w:r>
        <w:t>Constructing a self‐adaptive solid electrolyte interphase (SEI) for wide‐temperature aqueous zinc ion batteries (AZIBs) remains unexplored yet highly challenging. Herein, a temperature‐responsive electrical double layer (EDL) is designed via screening high donor‐number additive, and the EDL composition exhibits temperature‐responsive behavior where elevated temperatures promote anion accumulation and low‐to‐ambient temperatures favor additive enrichment, thereby driving distinct self‐adaptive interfacial chemistries. Experimental and theoretical analyses reveal that low‐to‐ambient temperatures facilitate organic‐inorganic hybrid SEI formation through preferential additive decomposition, whereas high temperatures yield a robust inorganic‐rich SEI via anion decomposition. The self‐adaptive SEIs can significantly modulate Zn</w:t>
      </w:r>
      <w:r>
        <w:t xml:space="preserve"> </w:t>
      </w:r>
      <w:r>
        <w:t>2+</w:t>
      </w:r>
      <w:r>
        <w:t xml:space="preserve"> </w:t>
      </w:r>
      <w:r>
        <w:t>nucleation kinetics across temperatures, promoting uniform Zn deposition with progressively increasing grain sizes during prolonged cycling. Consequently, Zn||Zn cell showcases highly reversible plating/stripping exceeding 5300 cycles at 50 mA cm</w:t>
      </w:r>
      <w:r>
        <w:t xml:space="preserve"> </w:t>
      </w:r>
      <w:r>
        <w:t>−2</w:t>
      </w:r>
      <w:r>
        <w:t xml:space="preserve"> </w:t>
      </w:r>
      <w:r>
        <w:t>, while exhibiting broad thermal tolerance across a wide temperature range of −40°C to 60°C. Zn||I</w:t>
      </w:r>
      <w:r>
        <w:rPr>
          <w:vertAlign w:val="subscript"/>
        </w:rPr>
        <w:t>2</w:t>
      </w:r>
      <w:r>
        <w:t>full batteries deliver good cycling life of 1000–30 000 cycles, and Ah‐level pouch cell further validates practicality. This work builds the correlation among the temperature‐responsive EDL, interfacial chemistry, and electrochemical performance, advancing wide‐temperature batteries.</w:t>
      </w:r>
    </w:p>
    <w:p>
      <w:pPr>
        <w:spacing w:before="120" w:after="120"/>
      </w:pPr>
      <w:r>
        <w:rPr>
          <w:sz w:val="18"/>
        </w:rPr>
        <w:t>——————————————————————————————————————————————————————————————————————</w:t>
      </w:r>
    </w:p>
    <w:p>
      <w:pPr>
        <w:spacing w:before="160" w:after="40" w:line="240" w:lineRule="auto"/>
      </w:pPr>
      <w:r>
        <w:rPr>
          <w:b/>
        </w:rPr>
        <w:t xml:space="preserve">[16] </w:t>
      </w:r>
      <w:hyperlink r:id="rId148">
        <w:r>
          <w:rPr>
            <w:color w:val="1155CC"/>
            <w:u w:val="single"/>
          </w:rPr>
          <w:t>Operando 磁力测量解码固体电解质界面中的空间电荷存储</w:t>
        </w:r>
      </w:hyperlink>
    </w:p>
    <w:p>
      <w:pPr>
        <w:spacing w:before="0" w:after="80"/>
      </w:pPr>
      <w:r>
        <w:rPr>
          <w:i/>
          <w:sz w:val="20"/>
        </w:rPr>
        <w:t>EN: Operando Magnetometry Decodes Space‐Charge Storage in the Solid‐Electrolyte Interphase</w:t>
      </w:r>
    </w:p>
    <w:p>
      <w:pPr>
        <w:spacing w:before="0" w:after="120"/>
      </w:pPr>
      <w:r>
        <w:rPr>
          <w:b/>
        </w:rPr>
        <w:t xml:space="preserve">Source: </w:t>
      </w:r>
      <w:r>
        <w:t>Wiley: Advanced Materials: Table of Contents</w:t>
      </w:r>
      <w:r>
        <w:t xml:space="preserve">    </w:t>
      </w:r>
      <w:r>
        <w:rPr>
          <w:b/>
        </w:rPr>
        <w:t xml:space="preserve">Pub date: </w:t>
      </w:r>
      <w:r>
        <w:t>2026-08-24 11:34:21+00:00</w:t>
      </w:r>
      <w:r>
        <w:t xml:space="preserve">    </w:t>
      </w:r>
      <w:r>
        <w:rPr>
          <w:b/>
        </w:rPr>
        <w:t xml:space="preserve">DOI: </w:t>
      </w:r>
      <w:hyperlink r:id="rId149">
        <w:r>
          <w:rPr>
            <w:color w:val="1155CC"/>
            <w:u w:val="single"/>
          </w:rPr>
          <w:t>10.1002/adma.74811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固体电解质界面（SEI）对于锂离子电池（LIB）中的离子传输和电极稳定性至关重要，但在循环过程中电荷如何在SEI/电极界面上动态分布和迁移仍然难以捉摸。在这里，我们将操作磁力测量与 Fe 结合起来</w:t>
      </w:r>
      <w:r>
        <w:rPr>
          <w:vertAlign w:val="subscript"/>
        </w:rPr>
        <w:t>3</w:t>
      </w:r>
      <w:r>
        <w:t>C 磁性探针可跟踪电化学界面上的实时电荷迁移。通过进一步将操作常压 X 射线光电子能谱 (AP-XPS) 与多尺度结构和化学表征相结合，我们提供了支持电极界面上以 SEI 为中心的空间电荷存储的收敛证据。该界面空间电荷层额外提供约 236 mAh g</w:t>
      </w:r>
      <w:r>
        <w:t xml:space="preserve"> </w:t>
      </w:r>
      <w:r>
        <w:t>−1</w:t>
      </w:r>
      <w:r>
        <w:t xml:space="preserve"> </w:t>
      </w:r>
      <w:r>
        <w:t>在 0.01–1.4 V 范围内。富含无机物的 SEI 形成有效的离子通道，而 Fe</w:t>
      </w:r>
      <w:r>
        <w:rPr>
          <w:vertAlign w:val="subscript"/>
        </w:rPr>
        <w:t>3</w:t>
      </w:r>
      <w:r>
        <w:t>C可容纳自旋极化电子，从而能够在界面上实现解耦离子和电子存储。此外，与 Fe 组装的锂离子混合电容器</w:t>
      </w:r>
      <w:r>
        <w:rPr>
          <w:vertAlign w:val="subscript"/>
        </w:rPr>
        <w:t>3</w:t>
      </w:r>
      <w:r>
        <w:t>C NP@C 电极的能量密度为 98.9 Wh kg</w:t>
      </w:r>
      <w:r>
        <w:t xml:space="preserve"> </w:t>
      </w:r>
      <w:r>
        <w:t>−1</w:t>
      </w:r>
      <w:r>
        <w:t xml:space="preserve"> </w:t>
      </w:r>
      <w:r>
        <w:t>功率密度为 20,000 W kg</w:t>
      </w:r>
      <w:r>
        <w:t xml:space="preserve"> </w:t>
      </w:r>
      <w:r>
        <w:t>−1</w:t>
      </w:r>
      <w:r>
        <w:t xml:space="preserve"> </w:t>
      </w:r>
      <w:r>
        <w:t>以及持续的长期稳定性。这些发现扩展了 SEI 的功能作用，并表明操作磁力测量可以作为 Fe 中磁耦合界面过程的灵敏实时探针。</w:t>
      </w:r>
    </w:p>
    <w:p>
      <w:pPr>
        <w:spacing w:before="0" w:after="200" w:lineRule="auto" w:line="276"/>
      </w:pPr>
      <w:r>
        <w:rPr>
          <w:b/>
        </w:rPr>
        <w:t xml:space="preserve">Abstract (EN): </w:t>
      </w:r>
      <w:r>
        <w:t>The solid‐electrolyte interphase (SEI) is central to ion transport and electrode stability in lithium‐ion batteries (LIBs), yet how charges dynamically distribute and migrate across the SEI/electrode interface during cycling remains elusive. Here, we couple operando magnetometry with an Fe</w:t>
      </w:r>
      <w:r>
        <w:rPr>
          <w:vertAlign w:val="subscript"/>
        </w:rPr>
        <w:t>3</w:t>
      </w:r>
      <w:r>
        <w:t>C magnetic probe to track real‑time charge migration across this electrochemical interface. By further integrating operando ambient‐pressure x‐ray photoelectron spectroscopy (AP‐XPS) with multiscale structural and chemical characterizations, we provide converging evidence that supports SEI‐centered space‐charge storage at the electrode interface. This interfacial space‐charge layer delivers an additional ≈236 mAh g</w:t>
      </w:r>
      <w:r>
        <w:t xml:space="preserve"> </w:t>
      </w:r>
      <w:r>
        <w:t>−1</w:t>
      </w:r>
      <w:r>
        <w:t xml:space="preserve"> </w:t>
      </w:r>
      <w:r>
        <w:t>within 0.01–1.4 V. The inorganic‐rich SEI forms efficient ionic pathways, whereas Fe</w:t>
      </w:r>
      <w:r>
        <w:rPr>
          <w:vertAlign w:val="subscript"/>
        </w:rPr>
        <w:t>3</w:t>
      </w:r>
      <w:r>
        <w:t>C accommodates spin‑polarized electrons, enabling decoupled ionic and electronic storage across the interface. Additionally, the lithium‐ion hybrid capacitors assembled with the Fe</w:t>
      </w:r>
      <w:r>
        <w:rPr>
          <w:vertAlign w:val="subscript"/>
        </w:rPr>
        <w:t>3</w:t>
      </w:r>
      <w:r>
        <w:t>C NP@C electrode deliver an energy density of 98.9 Wh kg</w:t>
      </w:r>
      <w:r>
        <w:t xml:space="preserve"> </w:t>
      </w:r>
      <w:r>
        <w:t>−1</w:t>
      </w:r>
      <w:r>
        <w:t xml:space="preserve"> </w:t>
      </w:r>
      <w:r>
        <w:t>at a power density of 20,000 W kg</w:t>
      </w:r>
      <w:r>
        <w:t xml:space="preserve"> </w:t>
      </w:r>
      <w:r>
        <w:t>−1</w:t>
      </w:r>
      <w:r>
        <w:t xml:space="preserve"> </w:t>
      </w:r>
      <w:r>
        <w:t>together with sustained long‐term stability. These findings expand the functional role of the SEI and show that operando magnetometry can serve as a sensitive real‐time probe of magnetically coupled interfacial processes in the Fe</w:t>
      </w:r>
      <w:r>
        <w:rPr>
          <w:vertAlign w:val="subscript"/>
        </w:rPr>
        <w:t>3</w:t>
      </w:r>
      <w:r>
        <w:t>C‐based and related magnetic systems.</w:t>
      </w:r>
    </w:p>
    <w:p>
      <w:pPr>
        <w:spacing w:before="120" w:after="120"/>
      </w:pPr>
      <w:r>
        <w:rPr>
          <w:sz w:val="18"/>
        </w:rPr>
        <w:t>——————————————————————————————————————————————————————————————————————</w:t>
      </w:r>
    </w:p>
    <w:p>
      <w:pPr>
        <w:spacing w:before="160" w:after="40" w:line="240" w:lineRule="auto"/>
      </w:pPr>
      <w:r>
        <w:rPr>
          <w:b/>
        </w:rPr>
        <w:t xml:space="preserve">[17] </w:t>
      </w:r>
      <w:hyperlink r:id="rId233">
        <w:r>
          <w:rPr>
            <w:color w:val="1155CC"/>
            <w:u w:val="single"/>
          </w:rPr>
          <w:t>量化电池之间的不一致性对电动汽车电池退化和利用率的影响</w:t>
        </w:r>
      </w:hyperlink>
    </w:p>
    <w:p>
      <w:pPr>
        <w:spacing w:before="0" w:after="80"/>
      </w:pPr>
      <w:r>
        <w:rPr>
          <w:i/>
          <w:sz w:val="20"/>
        </w:rPr>
        <w:t>EN: Quantifying the impact of cell-to-cell inconsistency on electric vehicle battery degradation and utilization</w:t>
      </w:r>
    </w:p>
    <w:p>
      <w:pPr>
        <w:spacing w:before="0" w:after="120"/>
      </w:pPr>
      <w:r>
        <w:rPr>
          <w:b/>
        </w:rPr>
        <w:t xml:space="preserve">Source: </w:t>
      </w:r>
      <w:r>
        <w:t>Nature Energy</w:t>
      </w:r>
      <w:r>
        <w:t xml:space="preserve">    </w:t>
      </w:r>
      <w:r>
        <w:rPr>
          <w:b/>
        </w:rPr>
        <w:t xml:space="preserve">Pub date: </w:t>
      </w:r>
      <w:r>
        <w:t>2026-08-25 00:00:00+00:00</w:t>
      </w:r>
      <w:r>
        <w:t xml:space="preserve">    </w:t>
      </w:r>
      <w:r>
        <w:rPr>
          <w:b/>
        </w:rPr>
        <w:t xml:space="preserve">DOI: </w:t>
      </w:r>
      <w:hyperlink r:id="rId234">
        <w:r>
          <w:rPr>
            <w:color w:val="1155CC"/>
            <w:u w:val="single"/>
          </w:rPr>
          <w:t>10.1038/s41560-026-02131-5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提高电动汽车（EV）电池系统的利用率可显着提高经济效益和环境可持续性。然而，电池之间的不一致性仍然是充分实现这些优势的关键障碍，并且其在实际电动汽车运行下的系统级影响仍然难以量化。在这里，我们提供了一个包含 116 辆乘用车和 17 辆公共汽车的数据集，涵盖了超过 3 年的运营数据，每辆车的行驶里程高达 300,000 公里。通过实际测量，我们估计单个电池的容量和电阻，并构建一个包含六个指标的诊断框架，捕获电池健康状况、电池组容量保留、寿命退化、充电状态利用率、功率容量和能源利用率的变化。我们的分析显示性能大幅下降，包括乘用车电池健康状况下降 6.2% 和公共汽车电池健康状况下降 7.5%，寿命分别缩短 17.7% 和 22.8%，功率能力分别下降 12.9% 和 15.1%。因此，在其使用寿命期间，汽车的能源利用率被限制在 80.7%，公交车的能源利用率被限制在 72.9%。这些发现强调了一致性控制对于推进电动汽车电池技术的必要性。</w:t>
      </w:r>
    </w:p>
    <w:p>
      <w:pPr>
        <w:spacing w:before="0" w:after="200" w:lineRule="auto" w:line="276"/>
      </w:pPr>
      <w:r>
        <w:rPr>
          <w:b/>
        </w:rPr>
        <w:t xml:space="preserve">Abstract (EN): </w:t>
      </w:r>
      <w:r>
        <w:t>Enhancing utilization rates of battery systems in electric vehicles (EVs) substantially benefits economic efficiency and environmental sustainability. However, cell-to-cell inconsistency remains a critical barrier to fully realizing these advantages, and its system-level impact under real-world EV operation is still poorly quantified. Here we present a dataset containing 116 passenger cars and 17 buses, encompassing operational data spanning more than 3 years and up to 300,000 km per vehicle. Using practical measurements, we estimate individual cell capacity and resistance and construct a diagnostic framework of six metrics capturing variability in cell health, pack capacity retention, lifetime degradation, state-of-charge utilization, power capability and energy utilization. Our analysis reveals substantial performance degradation, including battery health reductions of 6.2% for passenger cars and 7.5% for buses, lifetime shortening by 17.7% and 22.8% and power capability decreases of 12.9% and 15.1%, respectively. Consequently, energy-resource utilization is limited to 80.7% for cars and 72.9% for buses over their operational lifespans. These findings underscore the necessity of consistency control for advancing EV battery technologies.</w:t>
      </w:r>
    </w:p>
    <w:p>
      <w:pPr>
        <w:spacing w:before="120" w:after="120"/>
      </w:pPr>
      <w:r>
        <w:rPr>
          <w:sz w:val="18"/>
        </w:rPr>
        <w:t>——————————————————————————————————————————————————————————————————————</w:t>
      </w:r>
    </w:p>
    <w:p>
      <w:pPr>
        <w:spacing w:before="160" w:after="40" w:line="240" w:lineRule="auto"/>
      </w:pPr>
      <w:r>
        <w:rPr>
          <w:b/>
        </w:rPr>
        <w:t xml:space="preserve">[18] </w:t>
      </w:r>
      <w:hyperlink r:id="rId235">
        <w:r>
          <w:rPr>
            <w:color w:val="1155CC"/>
            <w:u w:val="single"/>
          </w:rPr>
          <w:t>考虑交通需求分配和配电网约束的多换电站两阶段协调调度方法</w:t>
        </w:r>
      </w:hyperlink>
    </w:p>
    <w:p>
      <w:pPr>
        <w:spacing w:before="0" w:after="80"/>
      </w:pPr>
      <w:r>
        <w:rPr>
          <w:i/>
          <w:sz w:val="20"/>
        </w:rPr>
        <w:t>EN: A two-stage coordinated scheduling method for multiple battery swapping stations considering traffic demand assignment and distribution network constraints</w:t>
      </w:r>
    </w:p>
    <w:p>
      <w:pPr>
        <w:spacing w:before="0" w:after="120"/>
      </w:pPr>
      <w:r>
        <w:rPr>
          <w:b/>
        </w:rPr>
        <w:t xml:space="preserve">Source: </w:t>
      </w:r>
      <w:r>
        <w:t>ScienceDirect Publication: Applied Energy</w:t>
      </w:r>
      <w:r>
        <w:t xml:space="preserve">    </w:t>
      </w:r>
      <w:r>
        <w:rPr>
          <w:b/>
        </w:rPr>
        <w:t xml:space="preserve">Pub date: </w:t>
      </w:r>
      <w:r>
        <w:t>2026-08-25 00:00:00+00:00</w:t>
      </w:r>
      <w:r>
        <w:t xml:space="preserve">    </w:t>
      </w:r>
      <w:r>
        <w:rPr>
          <w:b/>
        </w:rPr>
        <w:t xml:space="preserve">DOI: </w:t>
      </w:r>
      <w:hyperlink r:id="rId236">
        <w:r>
          <w:rPr>
            <w:color w:val="1155CC"/>
            <w:u w:val="single"/>
          </w:rPr>
          <w:t>10.1016/j.apenergy.2026.128705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37">
        <w:r>
          <w:rPr>
            <w:color w:val="1155CC"/>
            <w:u w:val="single"/>
          </w:rPr>
          <w:t>基于脉冲的随机退役锂离子电池的充电状态和健康状态估计，用于二次生命应用</w:t>
        </w:r>
      </w:hyperlink>
    </w:p>
    <w:p>
      <w:pPr>
        <w:spacing w:before="0" w:after="80"/>
      </w:pPr>
      <w:r>
        <w:rPr>
          <w:i/>
          <w:sz w:val="20"/>
        </w:rPr>
        <w:t>EN: Pulse-based state-of-charge and state-of-health estimation of randomly retired lithium-ion batteries for second-life applications</w:t>
      </w:r>
    </w:p>
    <w:p>
      <w:pPr>
        <w:spacing w:before="0" w:after="120"/>
      </w:pPr>
      <w:r>
        <w:rPr>
          <w:b/>
        </w:rPr>
        <w:t xml:space="preserve">Source: </w:t>
      </w:r>
      <w:r>
        <w:t>ScienceDirect Publication: Applied Energy</w:t>
      </w:r>
      <w:r>
        <w:t xml:space="preserve">    </w:t>
      </w:r>
      <w:r>
        <w:rPr>
          <w:b/>
        </w:rPr>
        <w:t xml:space="preserve">Pub date: </w:t>
      </w:r>
      <w:r>
        <w:t>2026-08-25 00:00:00+00:00</w:t>
      </w:r>
      <w:r>
        <w:t xml:space="preserve">    </w:t>
      </w:r>
      <w:r>
        <w:rPr>
          <w:b/>
        </w:rPr>
        <w:t xml:space="preserve">DOI: </w:t>
      </w:r>
      <w:hyperlink r:id="rId238">
        <w:r>
          <w:rPr>
            <w:color w:val="1155CC"/>
            <w:u w:val="single"/>
          </w:rPr>
          <w:t>10.1016/j.apenergy.2026.128702</w:t>
        </w:r>
      </w:hyperlink>
    </w:p>
    <w:p>
      <w:pPr>
        <w:spacing w:before="0" w:after="120"/>
      </w:pPr>
      <w:r>
        <w:rPr>
          <w:b/>
        </w:rPr>
        <w:t xml:space="preserve">Notes: </w:t>
      </w:r>
      <w:r>
        <w:t>abstract_source=openalex</w:t>
      </w:r>
    </w:p>
    <w:p>
      <w:pPr>
        <w:spacing w:before="0" w:after="80" w:lineRule="auto" w:line="276"/>
      </w:pPr>
      <w:r>
        <w:rPr>
          <w:b/>
        </w:rPr>
        <w:t xml:space="preserve">摘要（ZH）: </w:t>
      </w:r>
      <w:r>
        <w:t>退役锂离子电池是二次储能的重要资源，但其实际再利用需要在未知的使用历史下进行快速有效的状态评估。为了解决这个问题，我们开发了一个基于脉冲的框架，用于对随机退役的锂离子电池进行联合健康状态（SOH）和充电状态（SOC）估计。从短双极脉冲测试中提取一组电压响应特征，并将其用作诊断描述符。基于这些功能，采用两种机器学习模型、极其随机的树 (ExtraTrees) 和表格先验数据拟合网络 (TabPFN) 进行电池状态估计，并使用来自 270 个退役电池的数据进行评估，这些电池涵盖三种化学类型和四种容量类别。结果表明，TabPFN 明显优于 ExtraTrees，所有电池组的 SOH 估计的平均绝对误差范围为 0.0076 至 0.0306，SOC 估计的平均绝对误差低于 0.01。为了减轻测试负担，删除了依赖于 SOC 的脉冲测试的子集，并使用插值方法重建缺失的特征点。简化测试结果表明，即使在删除 40%–70% 的 SOC 相关脉冲测试后，也可以保留接近基线的估计精度，具体取决于目标状态和精度要求。这些结果展示了对二次电池应用进行更快、更低成本和可扩展状态评估的实用途径。</w:t>
      </w:r>
    </w:p>
    <w:p>
      <w:pPr>
        <w:spacing w:before="0" w:after="200" w:lineRule="auto" w:line="276"/>
      </w:pPr>
      <w:r>
        <w:rPr>
          <w:b/>
        </w:rPr>
        <w:t xml:space="preserve">Abstract (EN): </w:t>
      </w:r>
      <w:r>
        <w:t>Retired lithium-ion batteries are an important resource for second-life energy storage, but their practical reuse requires rapid and efficient state assessment under unknown usage histories. To address this problem, we develop a pulse-based framework for joint state-of-health (SOH) and state-of-charge (SOC) estimation of randomly retired lithium-ion battery cells. A set of voltage-response features is extracted from short bipolar pulse tests and used as diagnostic descriptors. Based on these features, two machine learning models, extremely randomized trees (ExtraTrees) and a tabular prior-data fitted network (TabPFN), are employed for battery state estimation and evaluated using data from 270 retired cells that cover three chemistry types and four capacity classes. The results show that TabPFN clearly outperforms ExtraTrees and achieves mean absolute errors ranging from 0.0076 to 0.0306 for SOH estimation and below 0.01 for SOC estimation across all cell groups. To reduce the testing burden, a subset of SOC-dependent pulse tests is removed, and the missing feature points are reconstructed using interpolation methods. The reduced-test results show that near-baseline estimation accuracy can be retained even after removing 40%–70% of SOC-dependent pulse tests, depending on the target state and accuracy requirements. These results demonstrate a practical route toward faster, lower-cost, and scalable state assessment for second-life battery applications.</w:t>
      </w:r>
    </w:p>
    <w:p>
      <w:pPr>
        <w:spacing w:before="120" w:after="120"/>
      </w:pPr>
      <w:r>
        <w:rPr>
          <w:sz w:val="18"/>
        </w:rPr>
        <w:t>——————————————————————————————————————————————————————————————————————</w:t>
      </w:r>
    </w:p>
    <w:p>
      <w:pPr>
        <w:spacing w:before="160" w:after="40" w:line="240" w:lineRule="auto"/>
      </w:pPr>
      <w:r>
        <w:rPr>
          <w:b/>
        </w:rPr>
        <w:t xml:space="preserve">[20] </w:t>
      </w:r>
      <w:hyperlink r:id="rId109">
        <w:r>
          <w:rPr>
            <w:color w:val="1155CC"/>
            <w:u w:val="single"/>
          </w:rPr>
          <w:t>利用废 LiFePO4 超快合成锁定纳米尺寸的高纯度 LiMnxFe1-xPO4</w:t>
        </w:r>
      </w:hyperlink>
    </w:p>
    <w:p>
      <w:pPr>
        <w:spacing w:before="0" w:after="80"/>
      </w:pPr>
      <w:r>
        <w:rPr>
          <w:i/>
          <w:sz w:val="20"/>
        </w:rPr>
        <w:t>EN: Ultrafast Synthesis of High‐Purity LiMnxFe1‐xPO4 With Locked‐Nanosize From Spent LiFePO4</w:t>
      </w:r>
    </w:p>
    <w:p>
      <w:pPr>
        <w:spacing w:before="0" w:after="120"/>
      </w:pPr>
      <w:r>
        <w:rPr>
          <w:b/>
        </w:rPr>
        <w:t xml:space="preserve">Source: </w:t>
      </w:r>
      <w:r>
        <w:t>Wiley: Advanced Energy Materials: Table of Contents</w:t>
      </w:r>
      <w:r>
        <w:t xml:space="preserve">    </w:t>
      </w:r>
      <w:r>
        <w:rPr>
          <w:b/>
        </w:rPr>
        <w:t xml:space="preserve">Pub date: </w:t>
      </w:r>
      <w:r>
        <w:t>2026-08-25 07:41:41+00:00</w:t>
      </w:r>
      <w:r>
        <w:t xml:space="preserve">    </w:t>
      </w:r>
      <w:r>
        <w:rPr>
          <w:b/>
        </w:rPr>
        <w:t xml:space="preserve">DOI: </w:t>
      </w:r>
      <w:hyperlink r:id="rId110">
        <w:r>
          <w:rPr>
            <w:color w:val="1155CC"/>
            <w:u w:val="single"/>
          </w:rPr>
          <w:t>10.1002/aenm.71487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大规模废旧磷酸铁锂浪潮即将到来</w:t>
      </w:r>
      <w:r>
        <w:rPr>
          <w:vertAlign w:val="subscript"/>
        </w:rPr>
        <w:t>4</w:t>
      </w:r>
      <w:r>
        <w:t>（S-LFP）电池使其材料的回收和再利用成为当务之急。然而，现有的直接再生方法回收的材料性能较差、附加值低，直接导致经济可行性较差，阻碍了闭环回收工艺的建立。在此，我们提出了一种创新的升级回收策略，将 S-LFP 直接转化为高电压、高能量密度的 LiMn</w:t>
      </w:r>
      <w:r>
        <w:t xml:space="preserve"> </w:t>
      </w:r>
      <w:r>
        <w:t>x</w:t>
      </w:r>
      <w:r>
        <w:t xml:space="preserve"> </w:t>
      </w:r>
      <w:r>
        <w:t>铁</w:t>
      </w:r>
      <w:r>
        <w:t xml:space="preserve"> </w:t>
      </w:r>
      <w:r>
        <w:t>1−x</w:t>
      </w:r>
      <w:r>
        <w:t xml:space="preserve"> </w:t>
      </w:r>
      <w:r>
        <w:t>采购订单</w:t>
      </w:r>
      <w:r>
        <w:rPr>
          <w:vertAlign w:val="subscript"/>
        </w:rPr>
        <w:t>4</w:t>
      </w:r>
      <w:r>
        <w:t>（LMFP）阴极通过快速热处理。该方法在数秒内同时完成结构修复和均匀Mn掺杂，有效抑制晶粒粗化和锂源/碳损失，并能够再生成分精确控制的固溶体。因此，再生的 LMFP 具有 161 mAh g 的非凡比容量</w:t>
      </w:r>
      <w:r>
        <w:t xml:space="preserve"> </w:t>
      </w:r>
      <w:r>
        <w:t>−1</w:t>
      </w:r>
      <w:r>
        <w:t xml:space="preserve"> </w:t>
      </w:r>
      <w:r>
        <w:t>0.1C 时具有出色的循环稳定性（1C 下 500 次循环后容量保持率为 98%），以及卓越的倍率性能（5C 时保持率为 79%）。值得注意的是，该过程可将能源消耗减少约 30%，达到 19.09 MJ kg</w:t>
      </w:r>
      <w:r>
        <w:t xml:space="preserve"> </w:t>
      </w:r>
      <w:r>
        <w:t>−1</w:t>
      </w:r>
      <w:r>
        <w:t xml:space="preserve"> </w:t>
      </w:r>
      <w:r>
        <w:t>并承诺每公斤原料可实现7.17美元的高利润，体现了环境和经济的双重优势。这项工作为低配车开辟了一条新的技术途径</w:t>
      </w:r>
    </w:p>
    <w:p>
      <w:pPr>
        <w:spacing w:before="0" w:after="200" w:lineRule="auto" w:line="276"/>
      </w:pPr>
      <w:r>
        <w:rPr>
          <w:b/>
        </w:rPr>
        <w:t xml:space="preserve">Abstract (EN): </w:t>
      </w:r>
      <w:r>
        <w:t>The impending wave of large‐scale spent LiFePO</w:t>
      </w:r>
      <w:r>
        <w:rPr>
          <w:vertAlign w:val="subscript"/>
        </w:rPr>
        <w:t>4</w:t>
      </w:r>
      <w:r>
        <w:t>(S‐LFP) batteries makes the recycling and reuse of their materials an urgent priority. However, materials recovered via existing direct regeneration methods suffer from inferior performance and low added‐value, which directly leads to poor economic viability and hinders the establishment of a closed‐loop recycling process. Herein, we propose an innovative upcycling strategy that directly converts S‐LFP into high‐voltage, high‐energy‐density LiMn</w:t>
      </w:r>
      <w:r>
        <w:t xml:space="preserve"> </w:t>
      </w:r>
      <w:r>
        <w:t>x</w:t>
      </w:r>
      <w:r>
        <w:t xml:space="preserve"> </w:t>
      </w:r>
      <w:r>
        <w:t>Fe</w:t>
      </w:r>
      <w:r>
        <w:t xml:space="preserve"> </w:t>
      </w:r>
      <w:r>
        <w:t>1−x</w:t>
      </w:r>
      <w:r>
        <w:t xml:space="preserve"> </w:t>
      </w:r>
      <w:r>
        <w:t>PO</w:t>
      </w:r>
      <w:r>
        <w:rPr>
          <w:vertAlign w:val="subscript"/>
        </w:rPr>
        <w:t>4</w:t>
      </w:r>
      <w:r>
        <w:t>(LMFP) cathode via rapid thermal processing. This method simultaneously accomplishes structural repair and homogeneous Mn doping within seconds, effectively suppressing grain coarsening and lithium sources/carbon loss, and enabling the regeneration of a solid solution with precisely controlled composition. Consequently, the regenerated LMFP delivers a remarkable specific capacity of 161 mAh g</w:t>
      </w:r>
      <w:r>
        <w:t xml:space="preserve"> </w:t>
      </w:r>
      <w:r>
        <w:t>−1</w:t>
      </w:r>
      <w:r>
        <w:t xml:space="preserve"> </w:t>
      </w:r>
      <w:r>
        <w:t>at 0.1C, exceptional cycling stability (98% capacity retention after 500 cycles at 1C), and superior rate capability (79% retention at 5C). Notably, this process slashes energy consumption by approximately 30%, to 19.09 MJ kg</w:t>
      </w:r>
      <w:r>
        <w:t xml:space="preserve"> </w:t>
      </w:r>
      <w:r>
        <w:t>−1</w:t>
      </w:r>
      <w:r>
        <w:t xml:space="preserve"> </w:t>
      </w:r>
      <w:r>
        <w:t>and promises a high profit of USD 7.17 per kg feedstock, demonstrating both environmental and economic superiority. This work opens a new technical pathway for the low‐carbon and value‐added upcycling of spent LFP batteries.</w:t>
      </w:r>
    </w:p>
    <w:p>
      <w:pPr>
        <w:spacing w:before="120" w:after="120"/>
      </w:pPr>
      <w:r>
        <w:rPr>
          <w:sz w:val="18"/>
        </w:rPr>
        <w:t>——————————————————————————————————————————————————————————————————————</w:t>
      </w:r>
    </w:p>
    <w:p>
      <w:pPr>
        <w:spacing w:before="160" w:after="40" w:line="240" w:lineRule="auto"/>
      </w:pPr>
      <w:r>
        <w:rPr>
          <w:b/>
        </w:rPr>
        <w:t xml:space="preserve">[21] </w:t>
      </w:r>
      <w:hyperlink r:id="rId113">
        <w:r>
          <w:rPr>
            <w:color w:val="1155CC"/>
            <w:u w:val="single"/>
          </w:rPr>
          <w:t>实验室之外的水性锌离子电池的挑战和设计策略</w:t>
        </w:r>
      </w:hyperlink>
    </w:p>
    <w:p>
      <w:pPr>
        <w:spacing w:before="0" w:after="80"/>
      </w:pPr>
      <w:r>
        <w:rPr>
          <w:i/>
          <w:sz w:val="20"/>
        </w:rPr>
        <w:t>EN: Challenges and Design Strategies Toward Aqueous Zinc‐Ion Batteries Beyond Laboratory</w:t>
      </w:r>
    </w:p>
    <w:p>
      <w:pPr>
        <w:spacing w:before="0" w:after="120"/>
      </w:pPr>
      <w:r>
        <w:rPr>
          <w:b/>
        </w:rPr>
        <w:t xml:space="preserve">Source: </w:t>
      </w:r>
      <w:r>
        <w:t>Wiley: Advanced Energy Materials: Table of Contents</w:t>
      </w:r>
      <w:r>
        <w:t xml:space="preserve">    </w:t>
      </w:r>
      <w:r>
        <w:rPr>
          <w:b/>
        </w:rPr>
        <w:t xml:space="preserve">Pub date: </w:t>
      </w:r>
      <w:r>
        <w:t>2026-08-25 08:02:56+00:00</w:t>
      </w:r>
      <w:r>
        <w:t xml:space="preserve">    </w:t>
      </w:r>
      <w:r>
        <w:rPr>
          <w:b/>
        </w:rPr>
        <w:t xml:space="preserve">DOI: </w:t>
      </w:r>
      <w:hyperlink r:id="rId114">
        <w:r>
          <w:rPr>
            <w:color w:val="1155CC"/>
            <w:u w:val="single"/>
          </w:rPr>
          <w:t>10.1002/aenm.71454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ZIB）因其高安全性、成本效益和环境友好性而被广泛认为是下一代大规模储能最有前途的候选材料之一。尽管最近在材料设计和界面化学方面取得了进展，但实验室规模的突破与工业要求之间的差距仍然阻碍了实际部署。本文从能量密度、快速充电能力、循环稳定性和宽温适应性等角度分析了阻碍水系ZIB实际应用的关键瓶颈。讨论了这些挑战背后的主要局限性及其物理化学起源。接下来是解决这些问题和挑战的相应方法，包括阴极设计、锌阳极调节、电解质优化和隔膜修改。最后，提出了高能、安全和长寿命的水性 ZIB 的实际应用的未来发展途径的基本观点。</w:t>
      </w:r>
    </w:p>
    <w:p>
      <w:pPr>
        <w:spacing w:before="0" w:after="200" w:lineRule="auto" w:line="276"/>
      </w:pPr>
      <w:r>
        <w:rPr>
          <w:b/>
        </w:rPr>
        <w:t xml:space="preserve">Abstract (EN): </w:t>
      </w:r>
      <w:r>
        <w:t>Aqueous zinc‐ion batteries (ZIBs) are widely regarded as one of the most promising candidates for next‐generation large‐scale energy storage due to their high safety, cost‐effectiveness, and environmental benignity. Despite recent progress in materials design and interfacial chemistry, practical deployment remains hindered by the gap between laboratory‐scale breakthroughs and industrial requirements. In this review, the critical bottlenecks hindering the practical application of aqueous ZIBs are analyzed from the perspectives of energy density, fast‐charging capability, cycling stability, and wide‐temperature adaptability. The main limitations underlying these challenges, together with their physicochemical origins, are discussed. This is followed by the corresponding approaches involving cathode design, zinc anode regulation, electrolyte optimization, and separator modification for addressing these issues and challenges. Finally, fundamental perspectives on future development pathways toward practical application of high‐energy, safety, and long‐life aqueous ZIBs are presented.</w:t>
      </w:r>
    </w:p>
    <w:p>
      <w:pPr>
        <w:spacing w:before="120" w:after="120"/>
      </w:pPr>
      <w:r>
        <w:rPr>
          <w:sz w:val="18"/>
        </w:rPr>
        <w:t>——————————————————————————————————————————————————————————————————————</w:t>
      </w:r>
    </w:p>
    <w:p>
      <w:pPr>
        <w:spacing w:before="160" w:after="40" w:line="240" w:lineRule="auto"/>
      </w:pPr>
      <w:r>
        <w:rPr>
          <w:b/>
        </w:rPr>
        <w:t xml:space="preserve">[22] </w:t>
      </w:r>
      <w:hyperlink r:id="rId115">
        <w:r>
          <w:rPr>
            <w:color w:val="1155CC"/>
            <w:u w:val="single"/>
          </w:rPr>
          <w:t>全固态锂电池的多物理场耦合机制和多尺度设计</w:t>
        </w:r>
      </w:hyperlink>
    </w:p>
    <w:p>
      <w:pPr>
        <w:spacing w:before="0" w:after="80"/>
      </w:pPr>
      <w:r>
        <w:rPr>
          <w:i/>
          <w:sz w:val="20"/>
        </w:rPr>
        <w:t>EN: Multi‐Physical Field Coupling Mechanisms and Multi‐Scale Design for All‐Solid‐State Lithium Batteries</w:t>
      </w:r>
    </w:p>
    <w:p>
      <w:pPr>
        <w:spacing w:before="0" w:after="120"/>
      </w:pPr>
      <w:r>
        <w:rPr>
          <w:b/>
        </w:rPr>
        <w:t xml:space="preserve">Source: </w:t>
      </w:r>
      <w:r>
        <w:t>Wiley: Advanced Materials: Table of Contents</w:t>
      </w:r>
      <w:r>
        <w:t xml:space="preserve">    </w:t>
      </w:r>
      <w:r>
        <w:rPr>
          <w:b/>
        </w:rPr>
        <w:t xml:space="preserve">Pub date: </w:t>
      </w:r>
      <w:r>
        <w:t>2026-08-25 12:37:44+00:00</w:t>
      </w:r>
      <w:r>
        <w:t xml:space="preserve">    </w:t>
      </w:r>
      <w:r>
        <w:rPr>
          <w:b/>
        </w:rPr>
        <w:t xml:space="preserve">DOI: </w:t>
      </w:r>
      <w:hyperlink r:id="rId116">
        <w:r>
          <w:rPr>
            <w:color w:val="1155CC"/>
            <w:u w:val="single"/>
          </w:rPr>
          <w:t>10.1002/adma.74798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锂电池（ASSLB）因其固有的安全性和有前景的高能量密度能力而被视为下一代储能技术的关键发展路线。本文围绕多物理场耦合，以同时实现高安全性和高能量密度为目标，系统总结了ASSLBs的多尺度设计策略。在本征材料尺度上，这项工作总结了高电压/高容量阴极、高能量密度阳极和各种固态电解质（SSE）的性能特征、失效机制和优化方法。从电极-电解质界面的角度来看，特别强调阴极-电解质和阳极-电解质界面的多物理场耦合失效演化，以及界面改性和结构工程对界面接触、离子传导、体积变化效应和结构耐久性的调节机制。在全电池系统规模上，详细阐述了优化设计，包括电池配置细化、单片集成制造以及协同热管理和安全工程。最后，针对该领域当前的挑战，例如模糊的动态多物理场耦合基础知识和耦合故障行为实时预测的不可行性，本文总结了建立和实现原位多物理场特征分析的前景。</w:t>
      </w:r>
    </w:p>
    <w:p>
      <w:pPr>
        <w:spacing w:before="0" w:after="200" w:lineRule="auto" w:line="276"/>
      </w:pPr>
      <w:r>
        <w:rPr>
          <w:b/>
        </w:rPr>
        <w:t xml:space="preserve">Abstract (EN): </w:t>
      </w:r>
      <w:r>
        <w:t>All‐solid‐state lithium batteries (ASSLBs) are regarded as a pivotal developmental route for next‐generation energy storage technologies owing to their inherent safety and promising high‐energy‐density capability. Focusing on multi‐physical field coupling and aiming to achieve high safety and high energy density simultaneously, this review systematically summarizes the multi‐scale design strategies of ASSLBs. At the intrinsic material scale, this work summarizes the performance characteristics, failure mechanisms and optimization approaches of high‐voltage/high‐capacity cathodes, high‐energy‐density anodes, and diverse solid‐state electrolytes (SSEs). From the electrode–electrolyte interfacial perspective, particular emphasis is placed on the multi‐physical field coupling failure evolution of cathode–electrolyte and anode–electrolyte interfaces, alongside the modulation mechanisms of interfacial modification and structural engineering on interfacial contact, ionic conduction, volume variation effects and structural durability. At the full‐cell system scale, optimization designs including cell configuration refinement, monolithic integration manufacturing, and synergistic thermal management and safety engineering are elaborated. Finally, addressing the current challenges in the field, such as ambiguous dynamic multi‐physical‐field coupling fundamentals and the infeasibility of real‐time prediction on coupled failure behaviors, this review concludes with prospects for the establishment and implementation of an in‐situ multi‐physical‐field characterization framework, delivering experimental foundations and theoretical guidelines toward the multi‐scale synergistic optimization of ASSLBs.</w:t>
      </w:r>
    </w:p>
    <w:p>
      <w:pPr>
        <w:spacing w:before="120" w:after="120"/>
      </w:pPr>
      <w:r>
        <w:rPr>
          <w:sz w:val="18"/>
        </w:rPr>
        <w:t>——————————————————————————————————————————————————————————————————————</w:t>
      </w:r>
    </w:p>
    <w:p>
      <w:pPr>
        <w:spacing w:before="160" w:after="40" w:line="240" w:lineRule="auto"/>
      </w:pPr>
      <w:r>
        <w:rPr>
          <w:b/>
        </w:rPr>
        <w:t xml:space="preserve">[23] </w:t>
      </w:r>
      <w:hyperlink r:id="rId191">
        <w:r>
          <w:rPr>
            <w:color w:val="1155CC"/>
            <w:u w:val="single"/>
          </w:rPr>
          <w:t>消除界面应力集中可实现高能量和高安全性凝胶聚合物锂金属软包电池</w:t>
        </w:r>
      </w:hyperlink>
    </w:p>
    <w:p>
      <w:pPr>
        <w:spacing w:before="0" w:after="80"/>
      </w:pPr>
      <w:r>
        <w:rPr>
          <w:i/>
          <w:sz w:val="20"/>
        </w:rPr>
        <w:t>EN: Eliminating Interfacial Stress Concentration Enables High‐Energy and High‐Safety Gel Polymer Lithium Metal Pouch Cells</w:t>
      </w:r>
    </w:p>
    <w:p>
      <w:pPr>
        <w:spacing w:before="0" w:after="120"/>
      </w:pPr>
      <w:r>
        <w:rPr>
          <w:b/>
        </w:rPr>
        <w:t xml:space="preserve">Source: </w:t>
      </w:r>
      <w:r>
        <w:t>Wiley: Angewandte Chemie International Edition: Table of Contents</w:t>
      </w:r>
      <w:r>
        <w:t xml:space="preserve">    </w:t>
      </w:r>
      <w:r>
        <w:rPr>
          <w:b/>
        </w:rPr>
        <w:t xml:space="preserve">Pub date: </w:t>
      </w:r>
      <w:r>
        <w:t>2026-08-25 15:35:13+00:00</w:t>
      </w:r>
      <w:r>
        <w:t xml:space="preserve">    </w:t>
      </w:r>
      <w:r>
        <w:rPr>
          <w:b/>
        </w:rPr>
        <w:t xml:space="preserve">DOI: </w:t>
      </w:r>
      <w:hyperlink r:id="rId192">
        <w:r>
          <w:rPr>
            <w:color w:val="1155CC"/>
            <w:u w:val="single"/>
          </w:rPr>
          <w:t>10.1002/anie.5503056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界面应力集中不仅会降低循环过程中的电化学性能，而且在极端滥用条件下也会带来严重的安全风险。钉子穿透后，局部应力积累可能引发灾难性的机械故障和快速热失控。在此，我们报告了一种凝胶聚合物电解质（NFGPE），旨在通过双锚定聚合物框架使界面应力离域。该设计将三（2-丙烯酰氧基乙基）异氰脲酸酯（TAIC）和N-[4-氰基-3-（三氟甲基）苯基]甲基丙烯酰胺（CTFMA）集成到机械坚固的高度交联网络中。 CTFMA不仅可以作为刚性分子间隔物来补偿TAIC的体积收缩并缓解应力积累，而且可以利用其缺电子的氰基锚定在阴极表面上，选择性地吸引阴离子并排斥溶剂分子，从而促进薄的、富含无机物的阴极电解质界面（CEI）的形成。同时，TAIC自发吸附到锂阳极上，促进形成稳定的、富含无机物的固体电解质界面（SEI）。交联单体的双边锚定结构与高度支撑结构相结合，确保两个界面之间无空隙、紧密的电极||电解质接触，有效地使整个电池的界面应力离域。由此产生的基于 NFGPE 的纽扣电池可以在 -20°C 至 70°C 的温度范围内稳定运行，锂金属软包电池确保了 528.7 Wh kg 的高能量密度</w:t>
      </w:r>
    </w:p>
    <w:p>
      <w:pPr>
        <w:spacing w:before="0" w:after="200" w:lineRule="auto" w:line="276"/>
      </w:pPr>
      <w:r>
        <w:rPr>
          <w:b/>
        </w:rPr>
        <w:t xml:space="preserve">Abstract (EN): </w:t>
      </w:r>
      <w:r>
        <w:t>Interfacial stress concentration not only degrades electrochemical performance during cycling but also poses critical safety risks under extreme abuse conditions. Upon nail penetration, localized stress accumulation can trigger catastrophic mechanical failure and rapid thermal runaway. Herein, we report a gel polymer electrolyte (NFGPE) engineered to delocalize interfacial stress through a dual‐anchoring polymer framework. The design integrates tri(2‐acryloyloxyethyl) isocyanurate (TAIC) and N‐[4‐cyano‐3‐(trifluoromethyl)phenyl]methacrylamide (CTFMA) into a mechanically robust, highly cross‐linked network. CTFMA can not only act as rigid molecular spacers to compensate for volumetric shrinkage of TAIC and relieve stress accumulation, but also anchor onto the cathode surface using its electron‐deficient cyano groups to selectively attract anions and repel solvent molecules, thereby promoting the formation of a thin, inorganic‐rich cathode‐electrolyte interphase (CEI). Meanwhile, TAIC spontaneously adsorbs onto the lithium anode, facilitating the formation of a stable, inorganic‐rich solid‐electrolyte interphase (SEI). The bilateral anchoring structure of the crosslinking monomer, combined with the highly supportive structure, ensures void‐free, intimate electrode||electrolyte contact across both interfaces, effectively delocalizing interfacial stress throughout the cell. The resulting NFGPE‐based coin cell can stably operate from −20°C to 70°C, the lithium metal pouch cells ensure a high‐energy density of 528.7 Wh kg</w:t>
      </w:r>
      <w:r>
        <w:t xml:space="preserve"> </w:t>
      </w:r>
      <w:r>
        <w:t>−1</w:t>
      </w:r>
      <w:r>
        <w:t xml:space="preserve"> </w:t>
      </w:r>
      <w:r>
        <w:t>, and pass nail penetration tests without thermal runaway.</w:t>
      </w:r>
    </w:p>
    <w:p>
      <w:pPr>
        <w:spacing w:before="120" w:after="120"/>
      </w:pPr>
      <w:r>
        <w:rPr>
          <w:sz w:val="18"/>
        </w:rPr>
        <w:t>——————————————————————————————————————————————————————————————————————</w:t>
      </w:r>
    </w:p>
    <w:p>
      <w:pPr>
        <w:spacing w:before="160" w:after="40" w:line="240" w:lineRule="auto"/>
      </w:pPr>
      <w:r>
        <w:rPr>
          <w:b/>
        </w:rPr>
        <w:t xml:space="preserve">[24] </w:t>
      </w:r>
      <w:hyperlink r:id="rId239">
        <w:r>
          <w:rPr>
            <w:color w:val="1155CC"/>
            <w:u w:val="single"/>
          </w:rPr>
          <w:t>面向长循环高能量密度钠金属电池的智能MOF隔膜</w:t>
        </w:r>
      </w:hyperlink>
    </w:p>
    <w:p>
      <w:pPr>
        <w:spacing w:before="0" w:after="80"/>
      </w:pPr>
      <w:r>
        <w:rPr>
          <w:i/>
          <w:sz w:val="20"/>
        </w:rPr>
        <w:t>EN: Smart MOF separator towards long-cycling high-energy-density sodium-metal batteries</w:t>
      </w:r>
    </w:p>
    <w:p>
      <w:pPr>
        <w:spacing w:before="0" w:after="120"/>
      </w:pPr>
      <w:r>
        <w:rPr>
          <w:b/>
        </w:rPr>
        <w:t xml:space="preserve">Source: </w:t>
      </w:r>
      <w:r>
        <w:t>National Science Review Advance Access</w:t>
      </w:r>
      <w:r>
        <w:t xml:space="preserve">    </w:t>
      </w:r>
      <w:r>
        <w:rPr>
          <w:b/>
        </w:rPr>
        <w:t xml:space="preserve">Pub date: </w:t>
      </w:r>
      <w:r>
        <w:t>2026-08-26 00:00:00+00:00</w:t>
      </w:r>
      <w:r>
        <w:t xml:space="preserve">    </w:t>
      </w:r>
      <w:r>
        <w:rPr>
          <w:b/>
        </w:rPr>
        <w:t xml:space="preserve">DOI: </w:t>
      </w:r>
      <w:hyperlink r:id="rId240">
        <w:r>
          <w:rPr>
            <w:color w:val="1155CC"/>
            <w:u w:val="single"/>
          </w:rPr>
          <w:t>10.1093/nsr/nwag542</w:t>
        </w:r>
      </w:hyperlink>
    </w:p>
    <w:p>
      <w:pPr>
        <w:spacing w:before="0" w:after="120"/>
      </w:pPr>
      <w:r>
        <w:rPr>
          <w:b/>
        </w:rPr>
        <w:t xml:space="preserve">Notes: </w:t>
      </w:r>
      <w:r>
        <w:t>abstract_source=rss_oup</w:t>
      </w:r>
    </w:p>
    <w:p>
      <w:pPr>
        <w:spacing w:before="0" w:after="80" w:lineRule="auto" w:line="276"/>
      </w:pPr>
      <w:r>
        <w:rPr>
          <w:b/>
        </w:rPr>
        <w:t xml:space="preserve">摘要（ZH）: </w:t>
      </w:r>
      <w:r>
        <w:t>钠金属电池（SMB）的实际发展受到不稳定的阳极/阴极界面和次优离子传输动力学的阻碍。传统隔膜作为被动元件，无法有效调节离子通量和界面化学，导致Na+迁移数低、浓差极化明显和电极界面不稳定。本研究介绍了一种基于中熵金属有机框架（EMOF）的新型智能分离器。通过将离子限制机制纳入亚纳米通道内，它可以协同调节 Na+ 传输和界面反应动力学。 EMOF分离器建立了分层毛细管系统：宏观通道确保电解质快速润湿，而纳米限制通道引导均匀的Na+通量分布。其多组分中熵架构赋予通道表面特定的静电环境，可有效锚定 PF6− 阴离子，将 Na+ 迁移数提高至 0.81。值得注意的是，这种配置进一步促进了 PF6− 分解，促进了原位</w:t>
      </w:r>
    </w:p>
    <w:p>
      <w:pPr>
        <w:spacing w:before="0" w:after="200" w:lineRule="auto" w:line="276"/>
      </w:pPr>
      <w:r>
        <w:rPr>
          <w:b/>
        </w:rPr>
        <w:t xml:space="preserve">Abstract (EN): </w:t>
      </w:r>
      <w:r>
        <w:t>The practical advancement of sodium-metal batteries (SMBs) is hindered by unstable anode/cathode interfaces and suboptimal ion transport kinetics. Traditional separators, functioning as passive elements, fail to effectively regulate ionic flux and interfacial chemistry, leading to low Na+ transference numbers, pronounced concentration polarization, and unstable electrode interphases. This study introduces a novel smart separator based on medium-entropy metal-organic framework (EMOF). By incorporating ion-confinement mechanisms within sub-nanochannels, it synergistically regulates Na+ transport and interfacial reaction kinetics. The EMOF separator establishes a hierarchical capillary system: macroscale channels ensure rapid electrolyte wettability, while nanoconfinement channels guide uniform Na+ flux distribution. Its multicomponent medium-entropy architecture endows channel surfaces with specific electrostatic environments that effectively anchor PF6− anions, elevating the Na+ transference number to 0.81. Significantly, this configuration further promotes PF6− decomposition, promoting the in-situ</w:t>
      </w:r>
    </w:p>
    <w:p>
      <w:pPr>
        <w:spacing w:before="120" w:after="120"/>
      </w:pPr>
      <w:r>
        <w:rPr>
          <w:sz w:val="18"/>
        </w:rPr>
        <w:t>——————————————————————————————————————————————————————————————————————</w:t>
      </w:r>
    </w:p>
    <w:p>
      <w:pPr>
        <w:spacing w:before="160" w:after="40" w:line="240" w:lineRule="auto"/>
      </w:pPr>
      <w:r>
        <w:rPr>
          <w:b/>
        </w:rPr>
        <w:t xml:space="preserve">[25] </w:t>
      </w:r>
      <w:hyperlink r:id="rId241">
        <w:r>
          <w:rPr>
            <w:color w:val="1155CC"/>
            <w:u w:val="single"/>
          </w:rPr>
          <w:t>通过无氟双功能添加剂实现超稳定水系锌碘电池的同步界面化学</w:t>
        </w:r>
      </w:hyperlink>
    </w:p>
    <w:p>
      <w:pPr>
        <w:spacing w:before="0" w:after="80"/>
      </w:pPr>
      <w:r>
        <w:rPr>
          <w:i/>
          <w:sz w:val="20"/>
        </w:rPr>
        <w:t>EN: Synchronous Interfacial Chemistry via a Fluorine‐Free Bifunctional Additive for Ultrastable Aqueous Zinc‐Iodine Batteries</w:t>
      </w:r>
    </w:p>
    <w:p>
      <w:pPr>
        <w:spacing w:before="0" w:after="120"/>
      </w:pPr>
      <w:r>
        <w:rPr>
          <w:b/>
        </w:rPr>
        <w:t xml:space="preserve">Source: </w:t>
      </w:r>
      <w:r>
        <w:t>Wiley: Angewandte Chemie International Edition: Table of Contents</w:t>
      </w:r>
      <w:r>
        <w:t xml:space="preserve">    </w:t>
      </w:r>
      <w:r>
        <w:rPr>
          <w:b/>
        </w:rPr>
        <w:t xml:space="preserve">Pub date: </w:t>
      </w:r>
      <w:r>
        <w:t>2026-08-26 09:25:21+00:00</w:t>
      </w:r>
      <w:r>
        <w:t xml:space="preserve">    </w:t>
      </w:r>
      <w:r>
        <w:rPr>
          <w:b/>
        </w:rPr>
        <w:t xml:space="preserve">DOI: </w:t>
      </w:r>
      <w:hyperlink r:id="rId242">
        <w:r>
          <w:rPr>
            <w:color w:val="1155CC"/>
            <w:u w:val="single"/>
          </w:rPr>
          <w:t>10.1002/anie.7649417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水性锌碘（Zn-I）两个电极同时出现界面不稳定性</w:t>
      </w:r>
      <w:r>
        <w:rPr>
          <w:vertAlign w:val="subscript"/>
        </w:rPr>
        <w:t>2</w:t>
      </w:r>
      <w:r>
        <w:t>）电池仍然是一个根本性的挑战，因为传统的分隔策略常常忽视它们共享的电解质环境。在这里，麦芽酚被用作无氟双功能添加剂来同步界面化学。在锌阳极上，麦芽酚与水结合，并优先以平面协同结构吸附在表面，重建内亥姆霍兹平面（IHP），以抑制水/硫酸盐引起的副反应并调节锌成核/生长。在碘阴极，其多齿氧位点锚定并不稳定 I</w:t>
      </w:r>
      <w:r>
        <w:rPr>
          <w:vertAlign w:val="subscript"/>
        </w:rPr>
        <w:t>3</w:t>
      </w:r>
      <w:r>
        <w:t>-</w:t>
      </w:r>
      <w:r>
        <w:t>，限制多碘迁移并促进可逆 I</w:t>
      </w:r>
      <w:r>
        <w:rPr>
          <w:vertAlign w:val="subscript"/>
        </w:rPr>
        <w:t>2</w:t>
      </w:r>
      <w:r>
        <w:t>/我</w:t>
      </w:r>
      <w:r>
        <w:t xml:space="preserve"> </w:t>
      </w:r>
      <w:r>
        <w:t>-</w:t>
      </w:r>
      <w:r>
        <w:t>转换。该策略在两种互补的 Zn-I 中得到验证</w:t>
      </w:r>
      <w:r>
        <w:rPr>
          <w:vertAlign w:val="subscript"/>
        </w:rPr>
        <w:t>2</w:t>
      </w:r>
      <w:r>
        <w:t>模型。安一</w:t>
      </w:r>
      <w:r>
        <w:t xml:space="preserve"> </w:t>
      </w:r>
      <w:r>
        <w:t>-</w:t>
      </w:r>
      <w:r>
        <w:t>阴极电解液循环次数超过 35,000 次，每次循环容量衰减仅为 0.0007%。在固态载碘多孔碳（I</w:t>
      </w:r>
      <w:r>
        <w:rPr>
          <w:vertAlign w:val="subscript"/>
        </w:rPr>
        <w:t>2</w:t>
      </w:r>
      <w:r>
        <w:t>@PC）模型，高负载电池提供约 2 mAh cm 的面积容量</w:t>
      </w:r>
      <w:r>
        <w:t xml:space="preserve"> </w:t>
      </w:r>
      <w:r>
        <w:t>−2</w:t>
      </w:r>
      <w:r>
        <w:t xml:space="preserve"> </w:t>
      </w:r>
      <w:r>
        <w:t>11,000 次循环后仍保留 83.8% 的容量。此外，0.54 Ah 软包电池在 5.4 mAh cm 时可提供超过 250 Ah 的累积输出</w:t>
      </w:r>
      <w:r>
        <w:t xml:space="preserve"> </w:t>
      </w:r>
      <w:r>
        <w:t>−2</w:t>
      </w:r>
    </w:p>
    <w:p>
      <w:pPr>
        <w:spacing w:before="0" w:after="200" w:lineRule="auto" w:line="276"/>
      </w:pPr>
      <w:r>
        <w:rPr>
          <w:b/>
        </w:rPr>
        <w:t xml:space="preserve">Abstract (EN): </w:t>
      </w:r>
      <w:r>
        <w:t>The simultaneous interfacial instability at both electrodes of aqueous zinc‐iodine (Zn‐I</w:t>
      </w:r>
      <w:r>
        <w:rPr>
          <w:vertAlign w:val="subscript"/>
        </w:rPr>
        <w:t>2</w:t>
      </w:r>
      <w:r>
        <w:t>) batteries remains a fundamental challenge, as conventional compartmentalized strategies often overlook their shared electrolyte environment. Here, maltol is employed as a fluorine‐free bifunctional additive to synchronize interfacial chemistry. At the zinc anode, maltol associates with water and preferentially adsorbs on the surface in a planar, cooperative configuration, reconstructing the inner Helmholtz plane (IHP) to suppress water‐/sulfate‐induced side reactions and regulate Zn nucleation/growth. At the iodine cathode, its multidentate oxygen sites anchor and destabilize I</w:t>
      </w:r>
      <w:r>
        <w:rPr>
          <w:vertAlign w:val="subscript"/>
        </w:rPr>
        <w:t>3</w:t>
      </w:r>
      <w:r>
        <w:t>−</w:t>
      </w:r>
      <w:r>
        <w:t>, restricting polyiodide migration and promoting reversible I</w:t>
      </w:r>
      <w:r>
        <w:rPr>
          <w:vertAlign w:val="subscript"/>
        </w:rPr>
        <w:t>2</w:t>
      </w:r>
      <w:r>
        <w:t>/I</w:t>
      </w:r>
      <w:r>
        <w:t xml:space="preserve"> </w:t>
      </w:r>
      <w:r>
        <w:t>−</w:t>
      </w:r>
      <w:r>
        <w:t>conversion. The strategy is validated in two complementary Zn‐I</w:t>
      </w:r>
      <w:r>
        <w:rPr>
          <w:vertAlign w:val="subscript"/>
        </w:rPr>
        <w:t>2</w:t>
      </w:r>
      <w:r>
        <w:t>models. An I</w:t>
      </w:r>
      <w:r>
        <w:t xml:space="preserve"> </w:t>
      </w:r>
      <w:r>
        <w:t>−</w:t>
      </w:r>
      <w:r>
        <w:t>catholyte cell achieved over 35,000 cycles with only 0.0007% capacity decay per cycle. In the solid iodine‐loaded porous carbon (I</w:t>
      </w:r>
      <w:r>
        <w:rPr>
          <w:vertAlign w:val="subscript"/>
        </w:rPr>
        <w:t>2</w:t>
      </w:r>
      <w:r>
        <w:t>@PC) model, a high‐loading cell delivered an areal capacity of approximately 2 mAh cm</w:t>
      </w:r>
      <w:r>
        <w:t xml:space="preserve"> </w:t>
      </w:r>
      <w:r>
        <w:t>−2</w:t>
      </w:r>
      <w:r>
        <w:t xml:space="preserve"> </w:t>
      </w:r>
      <w:r>
        <w:t>and retained 83.8% capacity after 11,000 cycles. Moreover, a 0.54 Ah pouch cell provided over 250 Ah cumulative output at 5.4 mAh cm</w:t>
      </w:r>
      <w:r>
        <w:t xml:space="preserve"> </w:t>
      </w:r>
      <w:r>
        <w:t>−2</w:t>
      </w:r>
      <w:r>
        <w:t xml:space="preserve"> </w:t>
      </w:r>
      <w:r>
        <w:t>and an N/P ratio of 5.37. This work demonstrates a sustainable molecular‐design strategy that synchronously stabilizes both electrodes, offering a holistic solution beyond conventional single‐electrode approaches for long‐lived, high‐performance aqueous Zn‐I</w:t>
      </w:r>
      <w:r>
        <w:rPr>
          <w:vertAlign w:val="subscript"/>
        </w:rPr>
        <w:t>2</w:t>
      </w:r>
      <w:r>
        <w:t>batteries.</w:t>
      </w:r>
    </w:p>
    <w:p>
      <w:pPr>
        <w:spacing w:before="120" w:after="120"/>
      </w:pPr>
      <w:r>
        <w:rPr>
          <w:sz w:val="18"/>
        </w:rPr>
        <w:t>——————————————————————————————————————————————————————————————————————</w:t>
      </w:r>
    </w:p>
    <w:p>
      <w:pPr>
        <w:spacing w:before="160" w:after="40" w:line="240" w:lineRule="auto"/>
      </w:pPr>
      <w:r>
        <w:rPr>
          <w:b/>
        </w:rPr>
        <w:t xml:space="preserve">[26] </w:t>
      </w:r>
      <w:hyperlink r:id="rId128">
        <w:r>
          <w:rPr>
            <w:color w:val="1155CC"/>
            <w:u w:val="single"/>
          </w:rPr>
          <w:t>使用用于相间调节的区域异构腈添加剂实现锂离子电池的快速充电</w:t>
        </w:r>
      </w:hyperlink>
    </w:p>
    <w:p>
      <w:pPr>
        <w:spacing w:before="0" w:after="80"/>
      </w:pPr>
      <w:r>
        <w:rPr>
          <w:i/>
          <w:sz w:val="20"/>
        </w:rPr>
        <w:t>EN: Enabling Fast Charging of Lithium‐Ion Batteries With Regioisomeric Nitrile Additives for Interphase Regulation</w:t>
      </w:r>
    </w:p>
    <w:p>
      <w:pPr>
        <w:spacing w:before="0" w:after="120"/>
      </w:pPr>
      <w:r>
        <w:rPr>
          <w:b/>
        </w:rPr>
        <w:t xml:space="preserve">Source: </w:t>
      </w:r>
      <w:r>
        <w:t>Wiley: Angewandte Chemie International Edition: Table of Contents</w:t>
      </w:r>
      <w:r>
        <w:t xml:space="preserve">    </w:t>
      </w:r>
      <w:r>
        <w:rPr>
          <w:b/>
        </w:rPr>
        <w:t xml:space="preserve">Pub date: </w:t>
      </w:r>
      <w:r>
        <w:t>2026-08-27 04:23:19+00:00</w:t>
      </w:r>
      <w:r>
        <w:t xml:space="preserve">    </w:t>
      </w:r>
      <w:r>
        <w:rPr>
          <w:b/>
        </w:rPr>
        <w:t xml:space="preserve">DOI: </w:t>
      </w:r>
      <w:hyperlink r:id="rId129">
        <w:r>
          <w:rPr>
            <w:color w:val="1155CC"/>
            <w:u w:val="single"/>
          </w:rPr>
          <w:t>10.1002/anie.6426355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不稳定的电极-电解质界面（EEI）和缓慢的界面动力学，在各种工作条件下实现快速充电对于锂（Li）离子电池来说仍然具有挑战性。在这里，我们引入了一种基于腈的添加剂策略来调节界面形成，同时保持与商用 LP57 电解质的完全兼容性，从而避免了对昂贵的盐或复杂的电解质重新配制的需要。通过仅加入 0.5 wt.% 的 3-（三氟甲基）苯甲腈 (AD3)，改性电解质显着增强了 1 Ah 石墨 (Gr) 的快速充电性能 |李妮</w:t>
      </w:r>
      <w:r>
        <w:t xml:space="preserve"> </w:t>
      </w:r>
      <w:r>
        <w:t>0.8</w:t>
      </w:r>
      <w:r>
        <w:t xml:space="preserve"> </w:t>
      </w:r>
      <w:r>
        <w:t>锰</w:t>
      </w:r>
      <w:r>
        <w:t xml:space="preserve"> </w:t>
      </w:r>
      <w:r>
        <w:t>0.1</w:t>
      </w:r>
      <w:r>
        <w:t xml:space="preserve"> </w:t>
      </w:r>
      <w:r>
        <w:t>钴</w:t>
      </w:r>
      <w:r>
        <w:t xml:space="preserve"> </w:t>
      </w:r>
      <w:r>
        <w:t>0.1</w:t>
      </w:r>
      <w:r>
        <w:t xml:space="preserve"> </w:t>
      </w:r>
      <w:r>
        <w:t>氧</w:t>
      </w:r>
      <w:r>
        <w:rPr>
          <w:vertAlign w:val="subscript"/>
        </w:rPr>
        <w:t>2</w:t>
      </w:r>
      <w:r>
        <w:t>软包电池，同时还提高了低温、高温和高压稳定性。机理分析表明 AD3 从根本上改变了两个电极的界面形成。在阴极，AD3 抑制分解产物的渗透，并能够形成更薄、更均匀的阴极电解质界面。在阳极，它的优先还原导致形成薄的（10 nm）、控制良好的固体电解质界面（SEI），并有效抑制锂沉积，与 LP57 中形成的厚（450 nm）的富锂层形成鲜明对比。弛豫时间分布 (DRT) 分析证实，界面改进减少了寄生反应并降低了界面电阻。的w</w:t>
      </w:r>
    </w:p>
    <w:p>
      <w:pPr>
        <w:spacing w:before="0" w:after="200" w:lineRule="auto" w:line="276"/>
      </w:pPr>
      <w:r>
        <w:rPr>
          <w:b/>
        </w:rPr>
        <w:t xml:space="preserve">Abstract (EN): </w:t>
      </w:r>
      <w:r>
        <w:t>Achieving fast charging across a wide range of operating conditions remains challenging for lithium (Li)‐ion batteries due to unstable electrode–electrolyte interphases (EEIs) and sluggish interfacial kinetics. Here, we introduce a nitrile‐based additive strategy to regulate interphase formation, while maintaining full compatibility with the commercial LP57 electrolyte, thereby avoiding the need for expensive salts or complex electrolyte reformulation. By incorporating only 0.5 wt.% of 3‐(trifluoromethyl) benzonitrile (AD3), the modified electrolyte significantly enhances fast‐charging performance in 1 Ah Graphite (Gr) | LiNi</w:t>
      </w:r>
      <w:r>
        <w:t xml:space="preserve"> </w:t>
      </w:r>
      <w:r>
        <w:t>0.8</w:t>
      </w:r>
      <w:r>
        <w:t xml:space="preserve"> </w:t>
      </w:r>
      <w:r>
        <w:t>Mn</w:t>
      </w:r>
      <w:r>
        <w:t xml:space="preserve"> </w:t>
      </w:r>
      <w:r>
        <w:t>0.1</w:t>
      </w:r>
      <w:r>
        <w:t xml:space="preserve"> </w:t>
      </w:r>
      <w:r>
        <w:t>Co</w:t>
      </w:r>
      <w:r>
        <w:t xml:space="preserve"> </w:t>
      </w:r>
      <w:r>
        <w:t>0.1</w:t>
      </w:r>
      <w:r>
        <w:t xml:space="preserve"> </w:t>
      </w:r>
      <w:r>
        <w:t>O</w:t>
      </w:r>
      <w:r>
        <w:rPr>
          <w:vertAlign w:val="subscript"/>
        </w:rPr>
        <w:t>2</w:t>
      </w:r>
      <w:r>
        <w:t>pouch cells, while also improving low‐temperature, high‐temperature, and high‐voltage stabilities. Mechanistic analysis reveals that AD3 fundamentally alters the interphase formation at both electrodes. At the cathode, AD3 suppresses penetration of decomposition products and enables the formation of a thinner, more uniform cathode‐electrolyte interphase. At the anode, its preferential reduction leads to a thin (10 nm), well‐controlled solid‐electrolyte interphase (SEI) and effectively suppresses Li plating, in contrast to a thick (450 nm), Li‐rich layer formed in LP57. The interfacial improvements reduce parasitic reactions and lower interfacial resistance, as confirmed by distribution of relaxation times (DRT) analysis. The work demonstrates that minimal additive engineering can simultaneously stabilize interphases and enable fast charging, offering a cost‐effective, industry‐compatible pathway for next‐generation Li‐ion batteries.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243">
        <w:r>
          <w:rPr>
            <w:color w:val="1155CC"/>
            <w:u w:val="single"/>
          </w:rPr>
          <w:t>使用氧化石墨烯/单宁酸/纤维素纳米纤维直写打印柔性离子通道</w:t>
        </w:r>
      </w:hyperlink>
    </w:p>
    <w:p>
      <w:pPr>
        <w:spacing w:before="0" w:after="80"/>
      </w:pPr>
      <w:r>
        <w:rPr>
          <w:i/>
          <w:sz w:val="20"/>
        </w:rPr>
        <w:t>EN: Direct-Write Printing Flexible Ion Channels with Graphene Oxide/Tannic Acid/Cellulose Nanofibers</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244">
        <w:r>
          <w:rPr>
            <w:color w:val="1155CC"/>
            <w:u w:val="single"/>
          </w:rPr>
          <w:t>10.1021/acsami.6c10835</w:t>
        </w:r>
      </w:hyperlink>
    </w:p>
    <w:p>
      <w:pPr>
        <w:spacing w:before="0" w:after="120"/>
      </w:pPr>
      <w:r>
        <w:rPr>
          <w:b/>
        </w:rPr>
        <w:t xml:space="preserve">Notes: </w:t>
      </w:r>
      <w:r>
        <w:t>abstract_source=crossref</w:t>
      </w:r>
    </w:p>
    <w:p>
      <w:pPr>
        <w:spacing w:before="0" w:after="80" w:lineRule="auto" w:line="276"/>
      </w:pPr>
      <w:r>
        <w:rPr>
          <w:b/>
        </w:rPr>
        <w:t xml:space="preserve">摘要（ZH）: </w:t>
      </w:r>
      <w:r>
        <w:t>摘要 柔性离子通道可实现具有高机械强度的定向离子传输，可带来许多重要的智能应用。在这项研究中，氧化石墨烯（GO）、单宁酸（TA）和纤维素纳米纤维（CNF）的复合油墨通过冷冻干燥工艺直接写入印刷成GO/TA/CNF多孔结构（PS）。凭借羟基（-OH）、羧基（-COOH）和酚羟基（Ar-OH）的负电荷，长3 cm、宽3 cm、厚7 μm的GO/TA/CNF PS在1000倍盐度梯度的KCl溶液中实现了0.13 V的最大电位和26.7 A/m2的最大电流密度。同时实现了36.98%的能量转换效率和不同的阳离子传输。 GO/TA/CNF PS是由GO、TA、CNF的-OH和-COOH之间的分子间相互作用形成的氢键网络，可以吸收外力并通过氢键的弹性模量恢复到原来的结构。拉伸力为 152.7 MPa，输出电流恒定且结构完整。以 0.2 mm–1 曲率弯曲 104 次循环后，输出功率密度仅变化 0.9%。同时，在酸性或中性溶液中浸泡35小时后电流没有变化，在碱性溶液中浸泡35小时后电流变化在6%以内。此外，柔性离子通道在可穿戴电子产品中用作可穿戴能量设备或体液电解质监测器。</w:t>
      </w:r>
    </w:p>
    <w:p>
      <w:pPr>
        <w:spacing w:before="0" w:after="200" w:lineRule="auto" w:line="276"/>
      </w:pPr>
      <w:r>
        <w:rPr>
          <w:b/>
        </w:rPr>
        <w:t xml:space="preserve">Abstract (EN): </w:t>
      </w:r>
      <w:r>
        <w:t>Flexible ion channels perform directional ion transport with high mechanical strength, which could bring many important intelligent applications. In this study, composite ink of graphene oxide (GO), tannic acid (TA), and cellulose nanofiber (CNF) is direct-write printed into a GO/TA/CNF porous structure (PS) with a freeze-dried process. With the negative charge of hydroxyl (-OH), carboxyl (-COOH), and phenolic hydroxyl (Ar-OH), the GO/TA/CNF PS of 3 cm length, 3 cm width, and 7 μm thickness realizes a maximum potential of 0.13 V and a maximum current density of 26.7 A/m2 in KCl solution with a 1000-fold salinity gradient. Meanwhile, an energy conversion efficiency of 36.98% and different cation transportation are realized. A hydrogen bond network of GO/TA/CNF PS is formed by intermolecular interaction among -OH and -COOH of GO, TA, and CNF, which could absorb external force and recover into the original structure through the elastic modulus of the hydrogen bond. With a stretching force of 152.7 MPa, a constant output current is exhibited with structural integrity. After 104 cycles bending at a 0.2 mm–1 curvature, output power density is only changed by 0.9%. Meanwhile, unchanged current is demonstrated after 35 h immersion in acidic or neutral solution, and changed current within 6% is obtained after 35 h immersion in alkaline solution. Furthermore, the flexible ion channel is used in wearable electronics as a wearable energy device or body fluid electrolyte monitor.</w:t>
      </w:r>
    </w:p>
    <w:p>
      <w:pPr>
        <w:spacing w:before="120" w:after="120"/>
      </w:pPr>
      <w:r>
        <w:rPr>
          <w:sz w:val="18"/>
        </w:rPr>
        <w:t>——————————————————————————————————————————————————————————————————————</w:t>
      </w:r>
    </w:p>
    <w:p>
      <w:pPr>
        <w:spacing w:before="160" w:after="40" w:line="240" w:lineRule="auto"/>
      </w:pPr>
      <w:r>
        <w:rPr>
          <w:b/>
        </w:rPr>
        <w:t xml:space="preserve">[2] </w:t>
      </w:r>
      <w:hyperlink r:id="rId245">
        <w:r>
          <w:rPr>
            <w:color w:val="1155CC"/>
            <w:u w:val="single"/>
          </w:rPr>
          <w:t>界面水网络调节固液接触带电</w:t>
        </w:r>
      </w:hyperlink>
    </w:p>
    <w:p>
      <w:pPr>
        <w:spacing w:before="0" w:after="80"/>
      </w:pPr>
      <w:r>
        <w:rPr>
          <w:i/>
          <w:sz w:val="20"/>
        </w:rPr>
        <w:t>EN: Interfacial Water Networks Regulate Solid–Liquid Contact Electrification</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246">
        <w:r>
          <w:rPr>
            <w:color w:val="1155CC"/>
            <w:u w:val="single"/>
          </w:rPr>
          <w:t>10.1021/jacs.6c14324</w:t>
        </w:r>
      </w:hyperlink>
    </w:p>
    <w:p>
      <w:pPr>
        <w:spacing w:before="0" w:after="120"/>
      </w:pPr>
      <w:r>
        <w:rPr>
          <w:b/>
        </w:rPr>
        <w:t xml:space="preserve">Notes: </w:t>
      </w:r>
      <w:r>
        <w:t>abstract_source=crossref</w:t>
      </w:r>
    </w:p>
    <w:p>
      <w:pPr>
        <w:spacing w:before="0" w:after="80" w:lineRule="auto" w:line="276"/>
      </w:pPr>
      <w:r>
        <w:rPr>
          <w:b/>
        </w:rPr>
        <w:t xml:space="preserve">摘要（ZH）: </w:t>
      </w:r>
      <w:r>
        <w:t>摘要 阐明固液接触起电（CE）的机制对于推进水基能量收集、数字微流体、自供电传感系统和化学合成等技术至关重要。尽管取得了广泛的进展，但目前的研究主要集中在识别电荷载流子上，而界面水的调节作用仍然知之甚少。在这里，我们证明界面水通过其结构和与固体表面的相互作用作为固液毛细管电泳的主动调节剂。通过系统地调节界面水环境，我们揭示了氢键（H-bond）网络内的水-水相互作用以及界面处的水-固相互作用共同调节CE效率。原位界面表征和理论计算表明，改变界面水结构可以改变分子构型并加强水固耦合，从而促进界面电荷转移。此外，我们开发了一种中红外 (MIR) 驱动的振动激发策略，用于调节界面水结构，从而提高接触电催化系统中的 CE 性能并改善过氧化氢的产量。这项工作将界面水结构确立为控制固液CE的重要因素，并为控制水介导的界面电荷转移提供了一种新策略。</w:t>
      </w:r>
    </w:p>
    <w:p>
      <w:pPr>
        <w:spacing w:before="0" w:after="200" w:lineRule="auto" w:line="276"/>
      </w:pPr>
      <w:r>
        <w:rPr>
          <w:b/>
        </w:rPr>
        <w:t xml:space="preserve">Abstract (EN): </w:t>
      </w:r>
      <w:r>
        <w:t>Elucidating the mechanisms of solid–liquid contact electrification (CE) is pivotal for advancing technologies such as water-based energy harvesting, digital microfluidics, self-powered sensing systems, and chemical synthesis. Despite extensive progress, current research has primarily focused on identifying charge carriers, while the regulatory role of interfacial water remains poorly understood. Here, we demonstrate that interfacial water serves as an active regulator of solid–liquid CE through its structure and interactions with solid surfaces. By systematically tuning interfacial water environments, we reveal that water–water interactions within the hydrogen-bond (H-bond) network and water–solid interactions at the interface cooperatively regulate CE efficiency. In situ interfacial characterization and theoretical calculations show that modifying interfacial water structures alters molecular configurations and strengthens water–solid coupling, thereby facilitating interfacial charge transfer. Furthermore, we develop a mid-infrared (MIR)-driven vibrational excitation strategy for regulating interfacial water structures, leading to enhanced CE performance and improved hydrogen peroxide production in a contact-electro-catalysis system. This work establishes the interfacial water structure as an important factor governing solid–liquid CE and provides a novel strategy for controlling water-mediated interfacial charge transfer.</w:t>
      </w:r>
    </w:p>
    <w:p>
      <w:pPr>
        <w:spacing w:before="120" w:after="120"/>
      </w:pPr>
      <w:r>
        <w:rPr>
          <w:sz w:val="18"/>
        </w:rPr>
        <w:t>——————————————————————————————————————————————————————————————————————</w:t>
      </w:r>
    </w:p>
    <w:p>
      <w:pPr>
        <w:spacing w:before="160" w:after="40" w:line="240" w:lineRule="auto"/>
      </w:pPr>
      <w:r>
        <w:rPr>
          <w:b/>
        </w:rPr>
        <w:t xml:space="preserve">[3] </w:t>
      </w:r>
      <w:hyperlink r:id="rId247">
        <w:r>
          <w:rPr>
            <w:color w:val="1155CC"/>
            <w:u w:val="single"/>
          </w:rPr>
          <w:t>极端条件下的储能：MXene基超级电容器的挑战与策略</w:t>
        </w:r>
      </w:hyperlink>
    </w:p>
    <w:p>
      <w:pPr>
        <w:spacing w:before="0" w:after="80"/>
      </w:pPr>
      <w:r>
        <w:rPr>
          <w:i/>
          <w:sz w:val="20"/>
        </w:rPr>
        <w:t>EN: Energy storage under extreme conditions: challenges and strategies for MXene-based supercapacitors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48">
        <w:r>
          <w:rPr>
            <w:color w:val="1155CC"/>
            <w:u w:val="single"/>
          </w:rPr>
          <w:t>10.1016/j.apenergy.2026.128677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49">
        <w:r>
          <w:rPr>
            <w:color w:val="1155CC"/>
            <w:u w:val="single"/>
          </w:rPr>
          <w:t>榫卯分子链使聚合物六方结晶度具有优异的高温电容器性能</w:t>
        </w:r>
      </w:hyperlink>
    </w:p>
    <w:p>
      <w:pPr>
        <w:spacing w:before="0" w:after="80"/>
      </w:pPr>
      <w:r>
        <w:rPr>
          <w:i/>
          <w:sz w:val="20"/>
        </w:rPr>
        <w:t>EN: Mortise-and-tenon molecular chains enable polymeric hexagonal crystallinity with superior high-temperature capacitor performance</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250">
        <w:r>
          <w:rPr>
            <w:color w:val="1155CC"/>
            <w:u w:val="single"/>
          </w:rPr>
          <w:t>10.1126/sciadv.aeg8624</w:t>
        </w:r>
      </w:hyperlink>
    </w:p>
    <w:p>
      <w:pPr>
        <w:spacing w:before="0" w:after="120"/>
      </w:pPr>
      <w:r>
        <w:rPr>
          <w:b/>
        </w:rPr>
        <w:t xml:space="preserve">Notes: </w:t>
      </w:r>
      <w:r>
        <w:t>abstract_source=crossref</w:t>
      </w:r>
    </w:p>
    <w:p>
      <w:pPr>
        <w:spacing w:before="0" w:after="80" w:lineRule="auto" w:line="276"/>
      </w:pPr>
      <w:r>
        <w:rPr>
          <w:b/>
        </w:rPr>
        <w:t xml:space="preserve">摘要（ZH）: </w:t>
      </w:r>
      <w:r>
        <w:t>高对称性晶体材料表现出优异的物理性能。然而，聚合物由于其长链特性而缺乏高对称性晶体。在此，我们报告所有——</w:t>
      </w:r>
      <w:r>
        <w:t xml:space="preserve"> </w:t>
      </w:r>
      <w:r>
        <w:t>反式</w:t>
      </w:r>
      <w:r>
        <w:t xml:space="preserve"> </w:t>
      </w:r>
      <w:r>
        <w:t>聚金刚烷降冰片烯酰亚胺可形成高对称性六方晶体，在250℃高温下表现出优异的电绝缘性能和电容器性能，其击穿电压高达802兆伏/米，放电能量密度高达7.29焦耳/立方厘米，超过了所有先前报道的聚合物。我们提出，聚合物链中金刚烷侧基之间的榫卯互锁使得聚合物分子链能够完美对称排列，从而解决在聚合物中形成高对称性晶体的挑战。我们预计，聚合物链的榫卯互锁机制将导致开发出更多具有高对称性晶体和优异物理性能的聚合物。</w:t>
      </w:r>
    </w:p>
    <w:p>
      <w:pPr>
        <w:spacing w:before="0" w:after="200" w:lineRule="auto" w:line="276"/>
      </w:pPr>
      <w:r>
        <w:rPr>
          <w:b/>
        </w:rPr>
        <w:t xml:space="preserve">Abstract (EN): </w:t>
      </w:r>
      <w:r>
        <w:t>High-symmetry crystalline materials exhibit superior physical properties. However, polymers lack high-symmetry crystals due to their long-chain characteristics. Herein, we report that all-</w:t>
      </w:r>
      <w:r>
        <w:t>trans</w:t>
      </w:r>
      <w:r>
        <w:t xml:space="preserve"> </w:t>
      </w:r>
      <w:r>
        <w:t>poly(adamantane-norbornene-imide) can form high-symmetry hexagonal crystal, exhibiting superior electrical insulation properties and capacitor performances at an elevated temperature of 250°C, characterized by a high breakdown voltage of 802 megavolts per meter, and a notable discharged energy density of 7.29 joules per cubic centimeter, which surpasses all previously reported polymers. We propose that the mortise-and-tenon interlocking between adamantane side groups in polymer chains enables perfectly symmetrical alignment of polymer molecular chains, thereby addressing the challenge of forming high-symmetry crystals in polymers. We anticipate that the mortise-and-tenon interlocking mechanism of polymer chains will lead to the development of more polymers with high-symmetry crystal and superior physical properties.</w:t>
      </w:r>
    </w:p>
    <w:p>
      <w:pPr>
        <w:spacing w:before="120" w:after="120"/>
      </w:pPr>
      <w:r>
        <w:rPr>
          <w:sz w:val="18"/>
        </w:rPr>
        <w:t>——————————————————————————————————————————————————————————————————————</w:t>
      </w:r>
    </w:p>
    <w:p>
      <w:pPr>
        <w:spacing w:before="160" w:after="40" w:line="240" w:lineRule="auto"/>
      </w:pPr>
      <w:r>
        <w:rPr>
          <w:b/>
        </w:rPr>
        <w:t xml:space="preserve">[5] </w:t>
      </w:r>
      <w:hyperlink r:id="rId251">
        <w:r>
          <w:rPr>
            <w:color w:val="1155CC"/>
            <w:u w:val="single"/>
          </w:rPr>
          <w:t>统一能量和信息收集以实现高速率自供电传感</w:t>
        </w:r>
      </w:hyperlink>
    </w:p>
    <w:p>
      <w:pPr>
        <w:spacing w:before="0" w:after="80"/>
      </w:pPr>
      <w:r>
        <w:rPr>
          <w:i/>
          <w:sz w:val="20"/>
        </w:rPr>
        <w:t>EN: Unifying energy and information harvesting for high-rate self-powered sensing</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252">
        <w:r>
          <w:rPr>
            <w:color w:val="1155CC"/>
            <w:u w:val="single"/>
          </w:rPr>
          <w:t>10.1126/sciadv.aeh0436</w:t>
        </w:r>
      </w:hyperlink>
    </w:p>
    <w:p>
      <w:pPr>
        <w:spacing w:before="0" w:after="120"/>
      </w:pPr>
      <w:r>
        <w:rPr>
          <w:b/>
        </w:rPr>
        <w:t xml:space="preserve">Notes: </w:t>
      </w:r>
      <w:r>
        <w:t>abstract_source=crossref</w:t>
      </w:r>
    </w:p>
    <w:p>
      <w:pPr>
        <w:spacing w:before="0" w:after="80" w:lineRule="auto" w:line="276"/>
      </w:pPr>
      <w:r>
        <w:rPr>
          <w:b/>
        </w:rPr>
        <w:t xml:space="preserve">摘要（ZH）: </w:t>
      </w:r>
      <w:r>
        <w:t>高保真传感在自供电系统中仍然面临巨大挑战，因为能量采集器的有限功率限制了数据采集和传输。在这项工作中，我们提出了一种无线、智能、自供电环境节点（WISE-Node），它可以同时收集能量并从环境振动中收集传感信息。其多触点摩擦电振动能量收集器 (MC-TVEH) 实现了 10–300 Hz 的超宽带宽，提供 13.42 kW/m 的峰值功率密度和 RMS 功率密度</w:t>
      </w:r>
      <w:r>
        <w:rPr>
          <w:vertAlign w:val="subscript"/>
        </w:rPr>
        <w:t>3</w:t>
      </w:r>
      <w:r>
        <w:t>和 1.73 千瓦/米</w:t>
      </w:r>
      <w:r>
        <w:rPr>
          <w:vertAlign w:val="subscript"/>
        </w:rPr>
        <w:t>3</w:t>
      </w:r>
      <w:r>
        <w:t>，分别。 WISE-Node 还充当宽带传感器，通过 FFT 分析精确跟踪激励频率（</w:t>
      </w:r>
      <w:r>
        <w:t xml:space="preserve"> </w:t>
      </w:r>
      <w:r>
        <w:t>右</w:t>
      </w:r>
      <w:r>
        <w:rPr>
          <w:vertAlign w:val="subscript"/>
        </w:rPr>
        <w:t>2</w:t>
      </w:r>
      <w:r>
        <w:t>= 3–10,000 Hz 范围内的 0.9997）。 WISE-Node 对获取的数据使用随机森林分类器，以 99.38% 的准确度识别法兰状况。对船用发动机和发电机的现场测试验证了其强大的性能，仅在 28.8 秒内实现了冷启动，并保持完全自供电的 1000 Hz 采样和稳定的无线传输。这些结果凸显了拟议的 WISE-Node 在自维持高保真传感方面的强大潜力，从而推进下一代无电池工业物联网和数字孪生技术。</w:t>
      </w:r>
    </w:p>
    <w:p>
      <w:pPr>
        <w:spacing w:before="0" w:after="200" w:lineRule="auto" w:line="276"/>
      </w:pPr>
      <w:r>
        <w:rPr>
          <w:b/>
        </w:rPr>
        <w:t xml:space="preserve">Abstract (EN): </w:t>
      </w:r>
      <w:r>
        <w:t>High-fidelity sensing remains highly challenging in self-powered systems, as the limited power of energy harvesters constrains data acquisition and transmission. In this work, we present a wireless, intelligent, self-powered environmental node (WISE-Node) that simultaneously harvests energy and collects sensing information from ambient vibrations. Its multi-contact triboelectric vibration energy harvester (MC-TVEH) achieves an ultra-wide bandwidth of 10–300 Hz, delivering peak and RMS power densities of 13.42 kW/m</w:t>
      </w:r>
      <w:r>
        <w:rPr>
          <w:vertAlign w:val="subscript"/>
        </w:rPr>
        <w:t>3</w:t>
      </w:r>
      <w:r>
        <w:t>and 1.73 kW/m</w:t>
      </w:r>
      <w:r>
        <w:rPr>
          <w:vertAlign w:val="subscript"/>
        </w:rPr>
        <w:t>3</w:t>
      </w:r>
      <w:r>
        <w:t>, respectively. The WISE-Node also functions as a broadband sensor, accurately tracking excitation frequencies via FFT analysis (</w:t>
      </w:r>
      <w:r>
        <w:t xml:space="preserve"> </w:t>
      </w:r>
      <w:r>
        <w:t>R</w:t>
      </w:r>
      <w:r>
        <w:rPr>
          <w:vertAlign w:val="subscript"/>
        </w:rPr>
        <w:t>2</w:t>
      </w:r>
      <w:r>
        <w:t>= 0.9997 across 3–10,000 Hz). Using a Random Forest classifier on the acquired data, the WISE-Node identifies flange conditions with 99.38% accuracy. Field tests on marine engines and generators validate its robust performance, achieving a cold start in just 28.8 s and maintaining fully self-powered 1000 Hz sampling and stable wireless transmission. These results highlight the proposed WISE-Node’s strong potential for self-sustained high-fidelity sensing, thereby advancing next-generation battery-free industrial IoT and digital twin technologies.</w:t>
      </w:r>
    </w:p>
    <w:p>
      <w:pPr>
        <w:spacing w:before="120" w:after="120"/>
      </w:pPr>
      <w:r>
        <w:rPr>
          <w:sz w:val="18"/>
        </w:rPr>
        <w:t>——————————————————————————————————————————————————————————————————————</w:t>
      </w:r>
    </w:p>
    <w:p>
      <w:pPr>
        <w:spacing w:before="160" w:after="40" w:line="240" w:lineRule="auto"/>
      </w:pPr>
      <w:r>
        <w:rPr>
          <w:b/>
        </w:rPr>
        <w:t xml:space="preserve">[6] </w:t>
      </w:r>
      <w:hyperlink r:id="rId253">
        <w:r>
          <w:rPr>
            <w:color w:val="1155CC"/>
            <w:u w:val="single"/>
          </w:rPr>
          <w:t>摩擦电气流场传感器可在米级扑翼飞机中实现跨尺度多参数传感</w:t>
        </w:r>
      </w:hyperlink>
    </w:p>
    <w:p>
      <w:pPr>
        <w:spacing w:before="0" w:after="80"/>
      </w:pPr>
      <w:r>
        <w:rPr>
          <w:i/>
          <w:sz w:val="20"/>
        </w:rPr>
        <w:t>EN: A triboelectric airflow field sensor enables cross-scale multi-parameter sensing in meter-scale flapping-wing aircrafts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254">
        <w:r>
          <w:rPr>
            <w:color w:val="1155CC"/>
            <w:u w:val="single"/>
          </w:rPr>
          <w:t>10.1126/sciadv.aee7066</w:t>
        </w:r>
      </w:hyperlink>
    </w:p>
    <w:p>
      <w:pPr>
        <w:spacing w:before="0" w:after="120"/>
      </w:pPr>
      <w:r>
        <w:rPr>
          <w:b/>
        </w:rPr>
        <w:t xml:space="preserve">Notes: </w:t>
      </w:r>
      <w:r>
        <w:t>abstract_source=crossref</w:t>
      </w:r>
    </w:p>
    <w:p>
      <w:pPr>
        <w:spacing w:before="0" w:after="80" w:lineRule="auto" w:line="276"/>
      </w:pPr>
      <w:r>
        <w:rPr>
          <w:b/>
        </w:rPr>
        <w:t xml:space="preserve">摘要（ZH）: </w:t>
      </w:r>
      <w:r>
        <w:t>对于米级扑翼飞机的闭环控制来说，非定常空气动力学参数的精确原位传感至关重要，但也具有挑战性。该任务需要同时监测三个耦合参数：当地风速 (LWS)、迎角 (AoA) 和扑动频率 (FF)。在这里，我们报告了一种共形摩擦电气流场传感器，可将气流引起的气动弹性振动转换为电信号。其低阻尼开孔悬臂设计提供了广泛的传感范围和丰富的振动特征，可通过深度学习模型实现精确的空气动力学参数解码。为了解决跨尺度差异，我们使用迁移学习将从低成本小规模风洞数据中学到的表示适应于数据有限的全尺度条件，实现了 0.04 m·s 的平均绝对误差</w:t>
      </w:r>
      <w:r>
        <w:t xml:space="preserve"> </w:t>
      </w:r>
      <w:r>
        <w:t>−1</w:t>
      </w:r>
      <w:r>
        <w:t xml:space="preserve"> </w:t>
      </w:r>
      <w:r>
        <w:t>LWS 为 0.07°，AoA 为 0.07°，FF 为 0.06 Hz。户外飞行测试展示了解码参数的实时趋势重建和机动相关监控。这项研究为未来米级扑翼飞机的闭环控制提供了一种可扩展的仿生气流传感解决方案。</w:t>
      </w:r>
    </w:p>
    <w:p>
      <w:pPr>
        <w:spacing w:before="0" w:after="200" w:lineRule="auto" w:line="276"/>
      </w:pPr>
      <w:r>
        <w:rPr>
          <w:b/>
        </w:rPr>
        <w:t xml:space="preserve">Abstract (EN): </w:t>
      </w:r>
      <w:r>
        <w:t>Accurate in-situ sensing of unsteady aerodynamic parameters is essential yet challenging for closed-loop control in meter-scale flapping-wing aircraft. This task requires simultaneous monitoring of three coupled parameters: local wind speed (LWS), angle of attack (AoA), and flapping frequency (FF). Here, we report a conformal triboelectric airflow field sensor that converts airflow-induced aeroelastic vibrations into electrical signals. Its low-damping apertured cantilever design provides a broad sensing range and rich vibration features, enabling accurate aerodynamic parameter decoding with a deep-learning model. To address cross-scale discrepancies, we use transfer learning to adapt representations learned from low-cost small-scale wind tunnel data to data-limited full-scale conditions, achieving mean absolute errors of 0.04 m·s</w:t>
      </w:r>
      <w:r>
        <w:t xml:space="preserve"> </w:t>
      </w:r>
      <w:r>
        <w:t>−1</w:t>
      </w:r>
      <w:r>
        <w:t xml:space="preserve"> </w:t>
      </w:r>
      <w:r>
        <w:t>for LWS, 0.07° for AoA, and 0.06 Hz for FF. Outdoor flight tests demonstrate real-time trend reconstruction and maneuver-correlated monitoring of the decoded parameters. This study provides a scalable biomimetic airflow sensing solution for future closed-loop control of meter-scale flapping-wing aircraft.</w:t>
      </w:r>
    </w:p>
    <w:p>
      <w:pPr>
        <w:spacing w:before="120" w:after="120"/>
      </w:pPr>
      <w:r>
        <w:rPr>
          <w:sz w:val="18"/>
        </w:rPr>
        <w:t>——————————————————————————————————————————————————————————————————————</w:t>
      </w:r>
    </w:p>
    <w:p>
      <w:pPr>
        <w:spacing w:before="160" w:after="40" w:line="240" w:lineRule="auto"/>
      </w:pPr>
      <w:r>
        <w:rPr>
          <w:b/>
        </w:rPr>
        <w:t xml:space="preserve">[7] </w:t>
      </w:r>
      <w:hyperlink r:id="rId255">
        <w:r>
          <w:rPr>
            <w:color w:val="1155CC"/>
            <w:u w:val="single"/>
          </w:rPr>
          <w:t>宽带隙范德瓦尔斯 ${\mathrm{WO}}_{2}{\mathrm{Cl}}_{2}$ 中的室温非共线铁电性</w:t>
        </w:r>
      </w:hyperlink>
    </w:p>
    <w:p>
      <w:pPr>
        <w:spacing w:before="0" w:after="80"/>
      </w:pPr>
      <w:r>
        <w:rPr>
          <w:i/>
          <w:sz w:val="20"/>
        </w:rPr>
        <w:t>EN: Room-Temperature Noncollinear Ferroelectricity in van der Waals ${\mathrm{WO}}_{2}{\mathrm{Cl}}_{2}$ with a Wide Bandgap</w:t>
      </w:r>
    </w:p>
    <w:p>
      <w:pPr>
        <w:spacing w:before="0" w:after="120"/>
      </w:pPr>
      <w:r>
        <w:rPr>
          <w:b/>
        </w:rPr>
        <w:t xml:space="preserve">Source: </w:t>
      </w:r>
      <w:r>
        <w:t>Recent Articles in Phys. Rev. Lett.</w:t>
      </w:r>
      <w:r>
        <w:t xml:space="preserve">    </w:t>
      </w:r>
      <w:r>
        <w:rPr>
          <w:b/>
        </w:rPr>
        <w:t xml:space="preserve">Pub date: </w:t>
      </w:r>
      <w:r>
        <w:t>2026-08-21 10:00:00+00:00</w:t>
      </w:r>
      <w:r>
        <w:t xml:space="preserve">    </w:t>
      </w:r>
      <w:r>
        <w:rPr>
          <w:b/>
        </w:rPr>
        <w:t xml:space="preserve">DOI: </w:t>
      </w:r>
      <w:hyperlink r:id="rId256">
        <w:r>
          <w:rPr>
            <w:color w:val="1155CC"/>
            <w:u w:val="single"/>
          </w:rPr>
          <w:t>10.1103/zjyw-z6s6</w:t>
        </w:r>
      </w:hyperlink>
    </w:p>
    <w:p>
      <w:pPr>
        <w:spacing w:before="0" w:after="120"/>
      </w:pPr>
      <w:r>
        <w:rPr>
          <w:b/>
        </w:rPr>
        <w:t xml:space="preserve">Notes: </w:t>
      </w:r>
      <w:r>
        <w:t>abstract_source=rss_description</w:t>
      </w:r>
    </w:p>
    <w:p>
      <w:pPr>
        <w:spacing w:before="0" w:after="80" w:lineRule="auto" w:line="276"/>
      </w:pPr>
      <w:r>
        <w:rPr>
          <w:b/>
        </w:rPr>
        <w:t xml:space="preserve">摘要（ZH）: </w:t>
      </w:r>
      <w:r>
        <w:t>Author(s): Yu Xing, Ning Ding, Zhipeng Wang, Zhiwen Pan, Lei Guo, Guowei Du, Yangrui Liu, Xiaoxing Cao, Ran Su, Mengting Jiang, Xuezhi Ma, Xiyu Chen, Junchao Zhang, Xinyu Yang, Haoran Ye, Honghong Yao, Rui Feng, Dexiang Chen, Le-Ping Miao, Yumeng You, Zejun Li, Dongsheng Song, Linglong Li, and Shuai DongExotic noncollinear room-temperature ferroelectricity has now been experimentally realized in 2D WO2Cl2, establishing a polar counterpart to noncollinear spin textures.[Phys. Rev. Lett. 137, 086801] Published Fri Aug 21, 2026</w:t>
      </w:r>
    </w:p>
    <w:p>
      <w:pPr>
        <w:spacing w:before="0" w:after="200" w:lineRule="auto" w:line="276"/>
      </w:pPr>
      <w:r>
        <w:rPr>
          <w:b/>
        </w:rPr>
        <w:t xml:space="preserve">Abstract (EN): </w:t>
      </w:r>
      <w:r>
        <w:t>Author(s): Yu Xing, Ning Ding, Zhipeng Wang, Zhiwen Pan, Lei Guo, Guowei Du, Yangrui Liu, Xiaoxing Cao, Ran Su, Mengting Jiang, Xuezhi Ma, Xiyu Chen, Junchao Zhang, Xinyu Yang, Haoran Ye, Honghong Yao, Rui Feng, Dexiang Chen, Le-Ping Miao, Yumeng You, Zejun Li, Dongsheng Song, Linglong Li, and Shuai DongExotic noncollinear room-temperature ferroelectricity has now been experimentally realized in 2D WO2Cl2, establishing a polar counterpart to noncollinear spin textures.[Phys. Rev. Lett. 137, 086801] Published Fri Aug 21, 2026</w:t>
      </w:r>
    </w:p>
    <w:p>
      <w:pPr>
        <w:spacing w:before="120" w:after="120"/>
      </w:pPr>
      <w:r>
        <w:rPr>
          <w:sz w:val="18"/>
        </w:rPr>
        <w:t>——————————————————————————————————————————————————————————————————————</w:t>
      </w:r>
    </w:p>
    <w:p>
      <w:pPr>
        <w:spacing w:before="160" w:after="40" w:line="240" w:lineRule="auto"/>
      </w:pPr>
      <w:r>
        <w:rPr>
          <w:b/>
        </w:rPr>
        <w:t xml:space="preserve">[8] </w:t>
      </w:r>
      <w:hyperlink r:id="rId257">
        <w:r>
          <w:rPr>
            <w:color w:val="1155CC"/>
            <w:u w:val="single"/>
          </w:rPr>
          <w:t>通过电化学聚合物皮膜持续为智能微型机器人供电</w:t>
        </w:r>
      </w:hyperlink>
    </w:p>
    <w:p>
      <w:pPr>
        <w:spacing w:before="0" w:after="80"/>
      </w:pPr>
      <w:r>
        <w:rPr>
          <w:i/>
          <w:sz w:val="20"/>
        </w:rPr>
        <w:t>EN: Continuously powering intelligent microrobots through an electrochemical polymer skin membrane</w:t>
      </w:r>
    </w:p>
    <w:p>
      <w:pPr>
        <w:spacing w:before="0" w:after="120"/>
      </w:pPr>
      <w:r>
        <w:rPr>
          <w:b/>
        </w:rPr>
        <w:t xml:space="preserve">Source: </w:t>
      </w:r>
      <w:r>
        <w:t>National Science Review Advance Access</w:t>
      </w:r>
      <w:r>
        <w:t xml:space="preserve">    </w:t>
      </w:r>
      <w:r>
        <w:rPr>
          <w:b/>
        </w:rPr>
        <w:t xml:space="preserve">Pub date: </w:t>
      </w:r>
      <w:r>
        <w:t>2026-08-22 00:00:00+00:00</w:t>
      </w:r>
      <w:r>
        <w:t xml:space="preserve">    </w:t>
      </w:r>
      <w:r>
        <w:rPr>
          <w:b/>
        </w:rPr>
        <w:t xml:space="preserve">DOI: </w:t>
      </w:r>
      <w:hyperlink r:id="rId258">
        <w:r>
          <w:rPr>
            <w:color w:val="1155CC"/>
            <w:u w:val="single"/>
          </w:rPr>
          <w:t>10.1093/nsr/nwag529</w:t>
        </w:r>
      </w:hyperlink>
    </w:p>
    <w:p>
      <w:pPr>
        <w:spacing w:before="0" w:after="120"/>
      </w:pPr>
      <w:r>
        <w:rPr>
          <w:b/>
        </w:rPr>
        <w:t xml:space="preserve">Notes: </w:t>
      </w:r>
      <w:r>
        <w:t>abstract_source=rss_oup</w:t>
      </w:r>
    </w:p>
    <w:p>
      <w:pPr>
        <w:spacing w:before="0" w:after="80" w:lineRule="auto" w:line="276"/>
      </w:pPr>
      <w:r>
        <w:rPr>
          <w:b/>
        </w:rPr>
        <w:t xml:space="preserve">摘要（ZH）: </w:t>
      </w:r>
      <w:r>
        <w:t>自主微型机器人需要电力、传感能力和智能。然而，在微观尺度上，传统技术难以同时提供足够的能量密度和功率，同时实现智能环境识别。本文报道了一种开放式聚合物工程系统，使微型机器人能够连续运行，不受能量密度限制，并通过电化学环境识别主动寻找能量。核心创新是基于附着在微型机器人脚上的交联聚丙烯酸钾膜的膜设计。这种工程皮肤膜从接触的金属或硅基材中提取化学能，并通过利用大气水分和氧气的电化学过程的受控反应动力学将其转化为电能。这种开放式系统的制造面积小至 ∼1 mm2，厚度小至 0.05 mm，非常适合毫米至厘米级微型机器人。皮肤膜提供的功率密度为 133 mW cm−2，比微电池高一个数量级，可为微型机器人提供超过 10,000 步的动力。此外，该系统还展示了大众交通的智能控制；膜内的内部离子迁移能够识别基材材料和粗糙度，从而促进活性能量的追求。</w:t>
      </w:r>
    </w:p>
    <w:p>
      <w:pPr>
        <w:spacing w:before="0" w:after="200" w:lineRule="auto" w:line="276"/>
      </w:pPr>
      <w:r>
        <w:rPr>
          <w:b/>
        </w:rPr>
        <w:t xml:space="preserve">Abstract (EN): </w:t>
      </w:r>
      <w:r>
        <w:t>Autonomous microrobots require electric power, sensing capability, and intelligence. However, at the microscale, traditional technologies struggle to simultaneously provide sufficient energy density and power while enabling intelligent environment recognition. This paper reports an open polymer engineering system enabling continuous microrobot operation without energy density limitations and active energy seeking through electrochemical environment recognition. The core innovation is a membrane design based on a crosslinked potassium polyacrylate membrane attached to the microrobot’s foot. This engineered skin membrane extracts chemical energy from contacting metal or silicon substrates and converts it into electricity via controlled reaction kinetics of an electrochemical process that utilizes atmospheric moisture and oxygen. Fabricated down to ∼1 mm2 area and 0.05 mm thickness, this open system is ideal for millimeter-to-centimeter scale microrobots. The skin membrane delivered a power density of 133 mW cm−2, an order of magnitude higher than microbatteries, and powered a microrobot for over 10,000 walking steps. Furthermore, the system demonstrates intelligent control of mass transport; internal ion migration within the membrane enables recognition of substrate material and roughness, facilitating active energy pursuit.</w:t>
      </w:r>
    </w:p>
    <w:p>
      <w:pPr>
        <w:spacing w:before="120" w:after="120"/>
      </w:pPr>
      <w:r>
        <w:rPr>
          <w:sz w:val="18"/>
        </w:rPr>
        <w:t>——————————————————————————————————————————————————————————————————————</w:t>
      </w:r>
    </w:p>
    <w:p>
      <w:pPr>
        <w:spacing w:before="160" w:after="40" w:line="240" w:lineRule="auto"/>
      </w:pPr>
      <w:r>
        <w:rPr>
          <w:b/>
        </w:rPr>
        <w:t xml:space="preserve">[9] </w:t>
      </w:r>
      <w:hyperlink r:id="rId259">
        <w:r>
          <w:rPr>
            <w:color w:val="1155CC"/>
            <w:u w:val="single"/>
          </w:rPr>
          <w:t>调节两性离子共价有机框架中的偏振场以实现高效光辅助可充电锌空气电池</w:t>
        </w:r>
      </w:hyperlink>
    </w:p>
    <w:p>
      <w:pPr>
        <w:spacing w:before="0" w:after="80"/>
      </w:pPr>
      <w:r>
        <w:rPr>
          <w:i/>
          <w:sz w:val="20"/>
        </w:rPr>
        <w:t>EN: Tuning Polarization Fields in Zwitterionic Covalent Organic Frameworks for Efficient Photo‐Assisted Rechargeable Zinc–Air Batteries</w:t>
      </w:r>
    </w:p>
    <w:p>
      <w:pPr>
        <w:spacing w:before="0" w:after="120"/>
      </w:pPr>
      <w:r>
        <w:rPr>
          <w:b/>
        </w:rPr>
        <w:t xml:space="preserve">Source: </w:t>
      </w:r>
      <w:r>
        <w:t>Wiley: Angewandte Chemie International Edition: Table of Contents</w:t>
      </w:r>
      <w:r>
        <w:t xml:space="preserve">    </w:t>
      </w:r>
      <w:r>
        <w:rPr>
          <w:b/>
        </w:rPr>
        <w:t xml:space="preserve">Pub date: </w:t>
      </w:r>
      <w:r>
        <w:t>2026-08-22 09:07:27+00:00</w:t>
      </w:r>
      <w:r>
        <w:t xml:space="preserve">    </w:t>
      </w:r>
      <w:r>
        <w:rPr>
          <w:b/>
        </w:rPr>
        <w:t xml:space="preserve">DOI: </w:t>
      </w:r>
      <w:hyperlink r:id="rId260">
        <w:r>
          <w:rPr>
            <w:color w:val="1155CC"/>
            <w:u w:val="single"/>
          </w:rPr>
          <w:t>10.1002/anie.9559286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可调拓扑结构的共价有机框架（COF）在光电化学能量转换方面具有广阔的前景。然而，它们固有的高结构对称性和弱分子内极化通常会导致快速电荷重组，从而严重限制了它们的性能。在此，我们报告了两种基于两性离子方酸（SQ）的COF，具有扭曲的三维（3D）拓扑（SQ-COF-1）和平面二维（2D）拓扑（SQ-COF-2），以实现有效的电荷分离。密度泛函理论 (DFT) 计算表明，与 2D 拓扑相比，对称性破缺的 3D 拓扑具有更大的偶极矩（3.367 与 1.916 德拜）和更长的电荷转移距离（0.797 与 0.181 Å），这表明其具有优异的电荷分离能力。光电化学测量进一步表明，扭曲的3D结构有效地抑制了电子-空穴复合，与平面SQ-COF-2相比，赋予SQ-COF-1更长的载流子寿命和增强的光电流响应。利用这些优势，我们首次将基于 SQ 的两性离子 COF 作为光阴极应用于光辅助锌空气电池中，其中 SQ-COF-1 凭借加速的光电化学反应动力学，提供 0.03 V 的超低充放电电压间隙和 97.7% 的出色能量效率。这项工作将拓扑工程确立为一种直接策略，可以定制两性离子 COF 中的局部偏振场，以实现高性能光电化学</w:t>
      </w:r>
    </w:p>
    <w:p>
      <w:pPr>
        <w:spacing w:before="0" w:after="200" w:lineRule="auto" w:line="276"/>
      </w:pPr>
      <w:r>
        <w:rPr>
          <w:b/>
        </w:rPr>
        <w:t xml:space="preserve">Abstract (EN): </w:t>
      </w:r>
      <w:r>
        <w:t>Covalent organic frameworks (COFs) with tunable topologies hold great promise for photoelectrochemical energy conversion. However, their inherently high structural symmetry and weak intramolecular polarization typically cause rapid charge recombination, thereby severely restricting their performance. Herein, we report two zwitterionic squaric acid (SQ)‐based COFs featuring a twisted three‐dimensional (3D) topology (SQ‐COF‐1) and a planar two‐dimensional (2D) topology (SQ‐COF‐2) to achieve efficient charge separation. Density functional theory (DFT) calculations demonstrate that the symmetry‐broken, 3D topology induces a larger dipole moment (3.367 vs. 1.916 debye) and a longer charge‐transfer distance (0.797 vs. 0.181 Å) compared with 2D topology, which indicates the superior charge separation capability. Photoelectrochemical measurements further reveal that the twisted 3D architecture effectively suppresses electron–hole recombination, endowing SQ‐COF‐1 with a prolonged carrier lifetime and enhanced photocurrent response compared to planar SQ‐COF‐2. Leveraging these advantages, we present the first application of SQ‐based zwitterionic COFs as photocathodes in photo‐assisted zinc–air batteries, where SQ‐COF‐1 delivers an ultralow charge–discharge voltage gap of 0.03 V and an exceptional energy efficiency of 97.7% in virtue of the accelerated photoelectrochemical reaction kinetics. This work establishes topological engineering as a straightforward strategy to tailor local polarization fields in zwitterionic COFs for high‐performance photoelectrochemical energy storage.</w:t>
      </w:r>
    </w:p>
    <w:p>
      <w:pPr>
        <w:spacing w:before="120" w:after="120"/>
      </w:pPr>
      <w:r>
        <w:rPr>
          <w:sz w:val="18"/>
        </w:rPr>
        <w:t>——————————————————————————————————————————————————————————————————————</w:t>
      </w:r>
    </w:p>
    <w:p>
      <w:pPr>
        <w:spacing w:before="160" w:after="40" w:line="240" w:lineRule="auto"/>
      </w:pPr>
      <w:r>
        <w:rPr>
          <w:b/>
        </w:rPr>
        <w:t xml:space="preserve">[10] </w:t>
      </w:r>
      <w:hyperlink r:id="rId261">
        <w:r>
          <w:rPr>
            <w:color w:val="1155CC"/>
            <w:u w:val="single"/>
          </w:rPr>
          <w:t>具有离子特异性门控的超薄膜可实现水液电池电导率-选择性的界面解耦</w:t>
        </w:r>
      </w:hyperlink>
    </w:p>
    <w:p>
      <w:pPr>
        <w:spacing w:before="0" w:after="80"/>
      </w:pPr>
      <w:r>
        <w:rPr>
          <w:i/>
          <w:sz w:val="20"/>
        </w:rPr>
        <w:t>EN: Ultrathin Membrane With Ion‐Specific Gating Enables Interfacial Decoupling of Conductivity–Selectivity for Aqueous Flow Batteries</w:t>
      </w:r>
    </w:p>
    <w:p>
      <w:pPr>
        <w:spacing w:before="0" w:after="120"/>
      </w:pPr>
      <w:r>
        <w:rPr>
          <w:b/>
        </w:rPr>
        <w:t xml:space="preserve">Source: </w:t>
      </w:r>
      <w:r>
        <w:t>Wiley: Angewandte Chemie International Edition: Table of Contents</w:t>
      </w:r>
      <w:r>
        <w:t xml:space="preserve">    </w:t>
      </w:r>
      <w:r>
        <w:rPr>
          <w:b/>
        </w:rPr>
        <w:t xml:space="preserve">Pub date: </w:t>
      </w:r>
      <w:r>
        <w:t>2026-08-22 09:09:48+00:00</w:t>
      </w:r>
      <w:r>
        <w:t xml:space="preserve">    </w:t>
      </w:r>
      <w:r>
        <w:rPr>
          <w:b/>
        </w:rPr>
        <w:t xml:space="preserve">DOI: </w:t>
      </w:r>
      <w:hyperlink r:id="rId262">
        <w:r>
          <w:rPr>
            <w:color w:val="1155CC"/>
            <w:u w:val="single"/>
          </w:rPr>
          <w:t>10.1002/anie.2958917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离子交换膜（IEM）对于高效和耐用的液流电池至关重要，但其固有的电导率-选择性权衡严重限制了液流电池的性能。大多数提高选择性的传统策略依赖于通过尺寸排阻和静电排斥来调节离子交换通道内的离子扩散，这不可避免地会损害离子电导率。在这里，我们通过建立选择性拦截活性物质的离子特异性门控，同时保持快速电荷载流子传输，将范例转变为膜-电解质界面上的离子分配。开发的超薄 (29 ± 2 µm) 极性氧空位增强 (POVE) 膜通过强化学吸附和增强的水化层抑制多硫化物交叉，在相当的电导率下提供比基础膜高 3.4 倍的选择性，比商用 Nafion 膜高 24.8 倍的选择性。在多硫化物-铁氰化物液流电池中，在 40 mA cm 电流下实现了 82% 的能量效率</w:t>
      </w:r>
      <w:r>
        <w:t xml:space="preserve"> </w:t>
      </w:r>
      <w:r>
        <w:t>−2</w:t>
      </w:r>
      <w:r>
        <w:t xml:space="preserve"> </w:t>
      </w:r>
      <w:r>
        <w:t>并持续超过 2000 次循环，容量衰减可忽略不计，远远超过基膜的 286 次循环，Nafion 的&lt; 100 次循环。这项工作通过可扩展的界面离子特异性门控策略将电导率与选择性解耦，为开发经济实惠的高性能 IEM 提供了一个变革性框架。</w:t>
      </w:r>
    </w:p>
    <w:p>
      <w:pPr>
        <w:spacing w:before="0" w:after="200" w:lineRule="auto" w:line="276"/>
      </w:pPr>
      <w:r>
        <w:rPr>
          <w:b/>
        </w:rPr>
        <w:t xml:space="preserve">Abstract (EN): </w:t>
      </w:r>
      <w:r>
        <w:t>Ion‐exchange membranes (IEMs) are essential for efficient and durable flow batteries, yet their inherent conductivity–selectivity trade‐off severely limits flow battery performance. Most conventional strategies to improve selectivity rely on regulating ion diffusion within ion‐exchange channels through size exclusion and electrostatic repulsion, inevitably compromising ionic conductivity. Here we shift the paradigm to ion partitioning at the membrane–electrolyte interface by establishing ion‐specific gating that selectively intercepts active species while preserving rapid charge carrier transport. The developed ultrathin (29 ± 2 µm) polar oxygen‐vacancy‐enhanced (POVE) membrane suppresses polysulfide crossover through strong chemisorption and a strengthened hydration layer, delivering over 3.4 times the selectivity of the base membrane at comparable conductivity and over 24.8 times the selectivity of commercial Nafion membranes. In the polysulfide–ferrocyanide flow battery, it achieved 82% energy efficiency at 40 mA cm</w:t>
      </w:r>
      <w:r>
        <w:t xml:space="preserve"> </w:t>
      </w:r>
      <w:r>
        <w:t>−2</w:t>
      </w:r>
      <w:r>
        <w:t xml:space="preserve"> </w:t>
      </w:r>
      <w:r>
        <w:t>and sustained over 2000 cycles with negligible capacity decay, far exceeding 286 cycles for the base membrane and &amp;lt; 100 cycles for Nafion. This work decouples conductivity from selectivity via a scalable interfacial ion‐specific gating strategy, offering a transformative framework for developing affordable, high‐performance IEMs.</w:t>
      </w:r>
    </w:p>
    <w:p>
      <w:pPr>
        <w:spacing w:before="120" w:after="120"/>
      </w:pPr>
      <w:r>
        <w:rPr>
          <w:sz w:val="18"/>
        </w:rPr>
        <w:t>——————————————————————————————————————————————————————————————————————</w:t>
      </w:r>
    </w:p>
    <w:p>
      <w:pPr>
        <w:spacing w:before="160" w:after="40" w:line="240" w:lineRule="auto"/>
      </w:pPr>
      <w:r>
        <w:rPr>
          <w:b/>
        </w:rPr>
        <w:t xml:space="preserve">[11] </w:t>
      </w:r>
      <w:hyperlink r:id="rId263">
        <w:r>
          <w:rPr>
            <w:color w:val="1155CC"/>
            <w:u w:val="single"/>
          </w:rPr>
          <w:t>硫化碳化为湿气驱动发电机提供智能热管理</w:t>
        </w:r>
      </w:hyperlink>
    </w:p>
    <w:p>
      <w:pPr>
        <w:spacing w:before="0" w:after="80"/>
      </w:pPr>
      <w:r>
        <w:rPr>
          <w:i/>
          <w:sz w:val="20"/>
        </w:rPr>
        <w:t>EN: Sulfidation‐Carbonization Enabled Smart Thermal Management for Moisture‐Driven Energy Generators</w:t>
      </w:r>
    </w:p>
    <w:p>
      <w:pPr>
        <w:spacing w:before="0" w:after="120"/>
      </w:pPr>
      <w:r>
        <w:rPr>
          <w:b/>
        </w:rPr>
        <w:t xml:space="preserve">Source: </w:t>
      </w:r>
      <w:r>
        <w:t>Wiley: Advanced Energy Materials: Table of Contents</w:t>
      </w:r>
      <w:r>
        <w:t xml:space="preserve">    </w:t>
      </w:r>
      <w:r>
        <w:rPr>
          <w:b/>
        </w:rPr>
        <w:t xml:space="preserve">Pub date: </w:t>
      </w:r>
      <w:r>
        <w:t>2026-08-22 09:45:22+00:00</w:t>
      </w:r>
      <w:r>
        <w:t xml:space="preserve">    </w:t>
      </w:r>
      <w:r>
        <w:rPr>
          <w:b/>
        </w:rPr>
        <w:t xml:space="preserve">DOI: </w:t>
      </w:r>
      <w:hyperlink r:id="rId264">
        <w:r>
          <w:rPr>
            <w:color w:val="1155CC"/>
            <w:u w:val="single"/>
          </w:rPr>
          <w:t>10.1002/aenm.71494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湿气驱动能量发生器（MEG）为低品位能量收集提供了一种可持续的途径，但它们与高功率电子设备的集成受到内部焦耳热和外部热负载的限制。传统的 MEG 还缺乏集成的热管理和废热回收。在密度泛函理论和选择性硫化、Grotthuss 质子跳跃和热传输的分子动力学模拟的指导下，我们开发了多功能水凝胶 MEG 的硫化碳化策略。梯度有机硫酸酯基团提供质子传输途径，而高度分散的原位碳点增强散热、结构坚固性和废热捕获。理论预测与实验观察一致。优化的铝基 MEG 可提供 89 µW cm</w:t>
      </w:r>
      <w:r>
        <w:t xml:space="preserve"> </w:t>
      </w:r>
      <w:r>
        <w:t>−2</w:t>
      </w:r>
      <w:r>
        <w:t xml:space="preserve"> </w:t>
      </w:r>
      <w:r>
        <w:t>（0.8V，0.35mAcm</w:t>
      </w:r>
      <w:r>
        <w:t xml:space="preserve"> </w:t>
      </w:r>
      <w:r>
        <w:t>−2</w:t>
      </w:r>
      <w:r>
        <w:t xml:space="preserve"> </w:t>
      </w:r>
      <w:r>
        <w:t>），工作温度范围为-24.9°C 至 90.4°C。重要的是，惰性 Pt/碳布器件还保留了良好的电气性能，达到 29.2 µW cm</w:t>
      </w:r>
      <w:r>
        <w:t xml:space="preserve"> </w:t>
      </w:r>
      <w:r>
        <w:t>−2</w:t>
      </w:r>
      <w:r>
        <w:t xml:space="preserve"> </w:t>
      </w:r>
      <w:r>
        <w:t>（0.56 V，133 µA cm</w:t>
      </w:r>
      <w:r>
        <w:t xml:space="preserve"> </w:t>
      </w:r>
      <w:r>
        <w:t>−2</w:t>
      </w:r>
      <w:r>
        <w:t xml:space="preserve"> </w:t>
      </w:r>
      <w:r>
        <w:t>）在 70% 相对湿度下。该系统散热效率达到38.9%，LED温度降低40.3℃，并实现闭环能源利用。这项工作为高温电子设备建立了一个耦合能量收集和热管理平台。</w:t>
      </w:r>
    </w:p>
    <w:p>
      <w:pPr>
        <w:spacing w:before="0" w:after="200" w:lineRule="auto" w:line="276"/>
      </w:pPr>
      <w:r>
        <w:rPr>
          <w:b/>
        </w:rPr>
        <w:t xml:space="preserve">Abstract (EN): </w:t>
      </w:r>
      <w:r>
        <w:t>Moisture‐driven energy generators (MEGs) offer a sustainable route for low‐grade energy harvesting, yet their integration into high‐power electronics is limited by internal Joule heating and external thermal loads. Conventional MEGs also lack integrated thermal management and waste heat recovery. Guided by Density Functional Theory and Molecular Dynamics simulations of selective sulfidation, Grotthuss proton hopping, and thermal transport, we develop a sulfidation‐carbonization strategy for a multifunctional hydrogel MEG. Gradient organosulfate groups provide proton‐transport pathways, while highly dispersed in situ carbon dots enhance heat dissipation, structural robustness, and waste heat capture. Theoretical predictions agree with experimental observations. The optimized Al‐based MEG delivers 89 µW cm</w:t>
      </w:r>
      <w:r>
        <w:t xml:space="preserve"> </w:t>
      </w:r>
      <w:r>
        <w:t>−2</w:t>
      </w:r>
      <w:r>
        <w:t xml:space="preserve"> </w:t>
      </w:r>
      <w:r>
        <w:t>(0.8 V, 0.35 mA cm</w:t>
      </w:r>
      <w:r>
        <w:t xml:space="preserve"> </w:t>
      </w:r>
      <w:r>
        <w:t>−2</w:t>
      </w:r>
      <w:r>
        <w:t xml:space="preserve"> </w:t>
      </w:r>
      <w:r>
        <w:t>) and operates from −24.9°C to 90.4°C. Importantly, an inert Pt/carbon‐cloth device also retains favorable electrical performance, reaching 29.2 µW cm</w:t>
      </w:r>
      <w:r>
        <w:t xml:space="preserve"> </w:t>
      </w:r>
      <w:r>
        <w:t>−2</w:t>
      </w:r>
      <w:r>
        <w:t xml:space="preserve"> </w:t>
      </w:r>
      <w:r>
        <w:t>(0.56 V, 133 µA cm</w:t>
      </w:r>
      <w:r>
        <w:t xml:space="preserve"> </w:t>
      </w:r>
      <w:r>
        <w:t>−2</w:t>
      </w:r>
      <w:r>
        <w:t xml:space="preserve"> </w:t>
      </w:r>
      <w:r>
        <w:t>) at 70% RH. The system achieves a thermal dissipation efficiency of 38.9%, reduces LED temperature by 40.3°C, and enables closed‐loop energy utilization. This work establishes a coupled energy‐harvesting and thermal‐management platform for high‐temperature electronics.</w:t>
      </w:r>
    </w:p>
    <w:p>
      <w:pPr>
        <w:spacing w:before="120" w:after="120"/>
      </w:pPr>
      <w:r>
        <w:rPr>
          <w:sz w:val="18"/>
        </w:rPr>
        <w:t>——————————————————————————————————————————————————————————————————————</w:t>
      </w:r>
    </w:p>
    <w:p>
      <w:pPr>
        <w:spacing w:before="160" w:after="40" w:line="240" w:lineRule="auto"/>
      </w:pPr>
      <w:r>
        <w:rPr>
          <w:b/>
        </w:rPr>
        <w:t xml:space="preserve">[12] </w:t>
      </w:r>
      <w:hyperlink r:id="rId265">
        <w:r>
          <w:rPr>
            <w:color w:val="1155CC"/>
            <w:u w:val="single"/>
          </w:rPr>
          <w:t>气凝胶材料在能源和环境可持续性方面的进展</w:t>
        </w:r>
      </w:hyperlink>
    </w:p>
    <w:p>
      <w:pPr>
        <w:spacing w:before="0" w:after="80"/>
      </w:pPr>
      <w:r>
        <w:rPr>
          <w:i/>
          <w:sz w:val="20"/>
        </w:rPr>
        <w:t>EN: Advances in Aerogel Materials for Energy and Environmental Sustainability</w:t>
      </w:r>
    </w:p>
    <w:p>
      <w:pPr>
        <w:spacing w:before="0" w:after="120"/>
      </w:pPr>
      <w:r>
        <w:rPr>
          <w:b/>
        </w:rPr>
        <w:t xml:space="preserve">Source: </w:t>
      </w:r>
      <w:r>
        <w:t>Wiley: Advanced Materials: Table of Contents</w:t>
      </w:r>
      <w:r>
        <w:t xml:space="preserve">    </w:t>
      </w:r>
      <w:r>
        <w:rPr>
          <w:b/>
        </w:rPr>
        <w:t xml:space="preserve">Pub date: </w:t>
      </w:r>
      <w:r>
        <w:t>2026-08-22 12:49:22+00:00</w:t>
      </w:r>
      <w:r>
        <w:t xml:space="preserve">    </w:t>
      </w:r>
      <w:r>
        <w:rPr>
          <w:b/>
        </w:rPr>
        <w:t xml:space="preserve">DOI: </w:t>
      </w:r>
      <w:hyperlink r:id="rId266">
        <w:r>
          <w:rPr>
            <w:color w:val="1155CC"/>
            <w:u w:val="single"/>
          </w:rPr>
          <w:t>10.1002/adma.74744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气凝胶已成为一类独特的超轻多孔材料，它将卓越的隔热性与低密度、高孔隙率和卓越的结构多功能性结合在一起，为航空航天、能源、电子、环境修复和可穿戴技术带来了广泛的机会。然而，它们的广泛采用受到传统制造工艺（特别是超临界二氧化碳）的高成本、有限的可扩展性和能源密集型性质的限制。</w:t>
      </w:r>
      <w:r>
        <w:rPr>
          <w:vertAlign w:val="subscript"/>
        </w:rPr>
        <w:t>2</w:t>
      </w:r>
      <w:r>
        <w:t>干燥。本综述重点介绍了可扩展且经济高效的气凝胶制造的最新进展，包括常压干燥、模板策略、自上而下的制造、化学气相沉积和溶液纺丝，这些技术共同提高了性能，同时显着降低了生产复杂性和成本。通过系统地讨论固体传导、气体传导、对流和热辐射的机制，并将气凝胶与多孔泡沫等其他多孔结构进行比较，我们进一步提出了多孔材料热传输物理的统一视角。这些基本见解为设计具有定制热功能的下一代气凝胶建立了合理的设计原则。最后，我们展示了远远超出隔热范围的新兴应用，包括水分和水驱动的能量收集、油水分离、高温隔音和温度调节智能纺织品。</w:t>
      </w:r>
    </w:p>
    <w:p>
      <w:pPr>
        <w:spacing w:before="0" w:after="200" w:lineRule="auto" w:line="276"/>
      </w:pPr>
      <w:r>
        <w:rPr>
          <w:b/>
        </w:rPr>
        <w:t xml:space="preserve">Abstract (EN): </w:t>
      </w:r>
      <w:r>
        <w:t>Aerogels have emerged as a unique class of ultralight porous materials that combine exceptional thermal insulation with low density, high porosity, and remarkable structural versatility, enabling broad opportunities across aerospace, energy, electronics, environmental remediation, and wearable technologies. However, their widespread adoption has been constrained by the high cost, limited scalability, and energy‐intensive nature of conventional manufacturing processes, particularly supercritical CO</w:t>
      </w:r>
      <w:r>
        <w:rPr>
          <w:vertAlign w:val="subscript"/>
        </w:rPr>
        <w:t>2</w:t>
      </w:r>
      <w:r>
        <w:t>drying. This review highlights recent advances in scalable and cost‐effective aerogel fabrication, including ambient‐pressure drying, templating strategies, top‐down manufacturing, chemical vapor deposition, and solution spinning, which collectively enable enhanced performance while significantly reducing production complexity and cost. We further present a unified perspective on the thermal transport physics of porous materials by systematically discussing the mechanisms of solid conduction, gas conduction, convection, and thermal radiation, and comparing aerogels with other porous architectures such as cellular foams. These fundamental insights establish rational design principles for engineering next‐generation aerogels with tailored thermal functionalities. Finally, we showcase emerging applications that extend well beyond thermal insulation, including moisture‐ and water‐driven energy harvesting, oil–water separation, high‐temperature acoustic insulation, and thermoregulating smart textiles. By bridging scalable manufacturing, fundamental thermal science, and emerging multifunctional applications, this work provides a comprehensive framework for the rational design and commercialization of next‐generation aerogels, paving the way toward their widespread adoption in advanced materials and engineering systems.</w:t>
      </w:r>
    </w:p>
    <w:p>
      <w:pPr>
        <w:spacing w:before="120" w:after="120"/>
      </w:pPr>
      <w:r>
        <w:rPr>
          <w:sz w:val="18"/>
        </w:rPr>
        <w:t>——————————————————————————————————————————————————————————————————————</w:t>
      </w:r>
    </w:p>
    <w:p>
      <w:pPr>
        <w:spacing w:before="160" w:after="40" w:line="240" w:lineRule="auto"/>
      </w:pPr>
      <w:r>
        <w:rPr>
          <w:b/>
        </w:rPr>
        <w:t xml:space="preserve">[13] </w:t>
      </w:r>
      <w:hyperlink r:id="rId140">
        <w:r>
          <w:rPr>
            <w:color w:val="1155CC"/>
            <w:u w:val="single"/>
          </w:rPr>
          <w:t>用于稳定锂离子存储的表面活性剂氮桥MoS2/C异质结构</w:t>
        </w:r>
      </w:hyperlink>
    </w:p>
    <w:p>
      <w:pPr>
        <w:spacing w:before="0" w:after="80"/>
      </w:pPr>
      <w:r>
        <w:rPr>
          <w:i/>
          <w:sz w:val="20"/>
        </w:rPr>
        <w:t>EN: Surfactant-Derived Nitrogen-Bridged MoS2/C Heterostructures for Robust Lithium-Ion Storage</w:t>
      </w:r>
    </w:p>
    <w:p>
      <w:pPr>
        <w:spacing w:before="0" w:after="120"/>
      </w:pPr>
      <w:r>
        <w:rPr>
          <w:b/>
        </w:rPr>
        <w:t xml:space="preserve">Source: </w:t>
      </w:r>
      <w:r>
        <w:t>Nano-Micro Letters</w:t>
      </w:r>
      <w:r>
        <w:t xml:space="preserve">    </w:t>
      </w:r>
      <w:r>
        <w:rPr>
          <w:b/>
        </w:rPr>
        <w:t xml:space="preserve">Pub date: </w:t>
      </w:r>
      <w:r>
        <w:t>2026-08-23 00:00:00+00:00</w:t>
      </w:r>
      <w:r>
        <w:t xml:space="preserve">    </w:t>
      </w:r>
      <w:r>
        <w:rPr>
          <w:b/>
        </w:rPr>
        <w:t xml:space="preserve">DOI: </w:t>
      </w:r>
      <w:hyperlink r:id="rId141">
        <w:r>
          <w:rPr>
            <w:color w:val="1155CC"/>
            <w:u w:val="single"/>
          </w:rPr>
          <w:t>10.1007/s40820-026-02324-3</w:t>
        </w:r>
      </w:hyperlink>
    </w:p>
    <w:p>
      <w:pPr>
        <w:spacing w:before="0" w:after="120"/>
      </w:pPr>
      <w:r>
        <w:rPr>
          <w:b/>
        </w:rPr>
        <w:t xml:space="preserve">Notes: </w:t>
      </w:r>
      <w:r>
        <w:t>abstract_source=rss_description</w:t>
      </w:r>
    </w:p>
    <w:p>
      <w:pPr>
        <w:spacing w:before="0" w:after="80" w:lineRule="auto" w:line="276"/>
      </w:pPr>
      <w:r>
        <w:rPr>
          <w:b/>
        </w:rPr>
        <w:t xml:space="preserve">摘要（ZH）: </w:t>
      </w:r>
      <w:r>
        <w:t>结构稳定性、离子传输和电子传导性是用于锂离子存储的层状过渡金属二硫属化物/碳纳米复合材料（LTMD/C）的主要挑战。在此，为了应对这些挑战，提出了季铵表面活性剂介导的策略，以同时构建多孔MoS2结构并原位生成通过界面Mo-N桥与MoS2化学偶联的氮掺杂碳（NC）层。所得的 N 桥联 MoS2/C 异质结构（表示为 MoS2-N-C）表现出优异的结构鲁棒性、扩大的层间距和改进的电荷转移动力学。作为锂离子电池 (LIB) 的阳极，优化的 MoS2–N–C700 电极具有卓越的循环稳定性（在 0.5 A g−1 下循环 800 次后容量保持率约为 100%）和出色的倍率性能。此外，基于所制备的MoS2-N-C复合材料的锂离子超级电容器（LISC）实现了3500 W kg−1的超高功率密度，以及超过10,000次循环的优异循环稳定性。 LIB 和 LISC 的循环性能均超过了大多数先前报道的 MoS2/C 纳米复合材料和传统碳基阳极。这种表面活性剂衍生的界面桥结构设计为开发用于储能系统的坚固的 LTMD/C 异质结构电极提供了一个通用平台。亮点：1 季铵表面活性剂能够在 MoS2 和碳之间原位形成界面 Mo-N 桥，从而形成坚固且高导电的异质界面。2 扩大 MoS2 层间距和强界面</w:t>
      </w:r>
    </w:p>
    <w:p>
      <w:pPr>
        <w:spacing w:before="0" w:after="200" w:lineRule="auto" w:line="276"/>
      </w:pPr>
      <w:r>
        <w:rPr>
          <w:b/>
        </w:rPr>
        <w:t xml:space="preserve">Abstract (EN): </w:t>
      </w:r>
      <w:r>
        <w:t>Structural stability, ionic transport, and electronic conductivity are the major challenges of layered transition-metal dichalcogenide/carbon nanocomposites (LTMD/C) for lithium-ion storage. Herein, to address these challenges, a quaternary ammonium surfactant-mediated strategy is proposed to simultaneously construct porous MoS2 architectures and in situ generate nitrogen-doped carbon (NC) layers chemically coupled to MoS2 via interfacial Mo–N bridges. The resultant N-bridged MoS2/C heterostructures (denoted as MoS2–N–C) exhibit excellent structural robustness, expanded interlayer spacing, and improved charge-transfer kinetics. As an anode in lithium-ion batteries (LIBs), the optimized MoS2–N–C700 electrode delivers remarkable cycling stability (~ 100% capacity retention after 800 cycles at 0.5 A g−1) and excellent rate capability. Moreover, lithium-ion supercapacitors (LISCs) based on the as-prepared MoS2–N–C composite achieve an ultrahigh power density of 3500 W kg−1, and excellent cycling stability over 10,000 cycles. The cycling performance in both LIBs and LISCs surpasses that of most previously reported MoS2/C nanocomposites and conventional carbon-based anodes. This surfactant-derived interfacial bridging structure design offers a general platform for developing robust LTMD/C heterostructured electrodes for energy storage systems. Highlights:1 A quaternary ammonium surfactant enables in situ formation of interfacial Mo–N bridges between MoS2 and carbon, resulting in robust and highly conductive heterointerfaces.2 Expanded MoS2 interlayer spacing and strong interfacial electronic coupling accelerate Li+ transport and electron conduction.3 Remarkable cycling stability with ~ 100% capacity retention over 800 cycles at 0.5 A g−1 for lithium-ion batteries, and an ultrahigh power density of 3500 W kg−1 and stable cycling over 10,000 cycles for lithium-ion supercapacitors.</w:t>
      </w:r>
    </w:p>
    <w:p>
      <w:pPr>
        <w:spacing w:before="120" w:after="120"/>
      </w:pPr>
      <w:r>
        <w:rPr>
          <w:sz w:val="18"/>
        </w:rPr>
        <w:t>——————————————————————————————————————————————————————————————————————</w:t>
      </w:r>
    </w:p>
    <w:p>
      <w:pPr>
        <w:spacing w:before="160" w:after="40" w:line="240" w:lineRule="auto"/>
      </w:pPr>
      <w:r>
        <w:rPr>
          <w:b/>
        </w:rPr>
        <w:t xml:space="preserve">[14] </w:t>
      </w:r>
      <w:hyperlink r:id="rId267">
        <w:r>
          <w:rPr>
            <w:color w:val="1155CC"/>
            <w:u w:val="single"/>
          </w:rPr>
          <w:t>溶剂梯度薄膜复合膜使碱性锌铁液流电池中的铁氰化物排斥与氢氧化物传导解耦</w:t>
        </w:r>
      </w:hyperlink>
    </w:p>
    <w:p>
      <w:pPr>
        <w:spacing w:before="0" w:after="80"/>
      </w:pPr>
      <w:r>
        <w:rPr>
          <w:i/>
          <w:sz w:val="20"/>
        </w:rPr>
        <w:t>EN: Solvation‐Gradient Thin‐Film Composite Membranes Decouple Ferricyanide Rejection From Hydroxide Conduction in Alkaline Zinc–Iron Flow Batteries</w:t>
      </w:r>
    </w:p>
    <w:p>
      <w:pPr>
        <w:spacing w:before="0" w:after="120"/>
      </w:pPr>
      <w:r>
        <w:rPr>
          <w:b/>
        </w:rPr>
        <w:t xml:space="preserve">Source: </w:t>
      </w:r>
      <w:r>
        <w:t>Wiley: Angewandte Chemie International Edition: Table of Contents</w:t>
      </w:r>
      <w:r>
        <w:t xml:space="preserve">    </w:t>
      </w:r>
      <w:r>
        <w:rPr>
          <w:b/>
        </w:rPr>
        <w:t xml:space="preserve">Pub date: </w:t>
      </w:r>
      <w:r>
        <w:t>2026-08-23 17:45:01+00:00</w:t>
      </w:r>
      <w:r>
        <w:t xml:space="preserve">    </w:t>
      </w:r>
      <w:r>
        <w:rPr>
          <w:b/>
        </w:rPr>
        <w:t xml:space="preserve">DOI: </w:t>
      </w:r>
      <w:hyperlink r:id="rId268">
        <w:r>
          <w:rPr>
            <w:color w:val="1155CC"/>
            <w:u w:val="single"/>
          </w:rPr>
          <w:t>10.1002/anie.9300778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膜材料中离子选择性和离子电导率之间长期存在的权衡源于在化学均匀通道中快速传输离子同时排除大离子的困难。在这里，我们报道了一种通过哌嗪和 1,3,5-三（溴甲基）苯之间的反应扩散耦合界面聚合制备的溶剂化梯度膜。由此产生的膜由约 35 nm 厚的致密外选择性层（传输孔径约为 6 Å）和约 400 nm 厚的富含 NH 的内层组成。外层对大离子施加了较高的进入/去溶剂化势垒，从而抑制了它们的传输，而富含 NH 的区域则支持快速的 OH</w:t>
      </w:r>
      <w:r>
        <w:t xml:space="preserve"> </w:t>
      </w:r>
      <w:r>
        <w:t>-</w:t>
      </w:r>
      <w:r>
        <w:t>通过再溶解和氢键重组进行运输。这种深度依赖的结构在空间上将铁氰化物排斥与氢氧化物传导分开。深度分辨光谱和分子动力学模拟支持深度依赖的溶剂化环境，并揭示了更强的水/OH</w:t>
      </w:r>
      <w:r>
        <w:t xml:space="preserve"> </w:t>
      </w:r>
      <w:r>
        <w:t>-</w:t>
      </w:r>
      <w:r>
        <w:t>NH 丰富区域的相互作用。聚（叔胺）（PTA）膜的优化实现了低 Fe(CN)</w:t>
      </w:r>
      <w:r>
        <w:rPr>
          <w:vertAlign w:val="subscript"/>
        </w:rPr>
        <w:t>6</w:t>
      </w:r>
      <w:r>
        <w:t>3−</w:t>
      </w:r>
      <w:r>
        <w:t>渗透率（8.07×10</w:t>
      </w:r>
      <w:r>
        <w:t xml:space="preserve"> </w:t>
      </w:r>
      <w:r>
        <w:t>−7</w:t>
      </w:r>
      <w:r>
        <w:t xml:space="preserve"> </w:t>
      </w:r>
      <w:r>
        <w:t>厘米</w:t>
      </w:r>
      <w:r>
        <w:rPr>
          <w:vertAlign w:val="subscript"/>
        </w:rPr>
        <w:t>2</w:t>
      </w:r>
      <w:r>
        <w:t>小时</w:t>
      </w:r>
      <w:r>
        <w:t xml:space="preserve"> </w:t>
      </w:r>
      <w:r>
        <w:t>−1</w:t>
      </w:r>
      <w:r>
        <w:t xml:space="preserve"> </w:t>
      </w:r>
      <w:r>
        <w:t>) 和 OH</w:t>
      </w:r>
      <w:r>
        <w:t xml:space="preserve"> </w:t>
      </w:r>
      <w:r>
        <w:t>-</w:t>
      </w:r>
      <w:r>
        <w:t>电导率（41.08 mS</w:t>
      </w:r>
    </w:p>
    <w:p>
      <w:pPr>
        <w:spacing w:before="0" w:after="200" w:lineRule="auto" w:line="276"/>
      </w:pPr>
      <w:r>
        <w:rPr>
          <w:b/>
        </w:rPr>
        <w:t xml:space="preserve">Abstract (EN): </w:t>
      </w:r>
      <w:r>
        <w:t>The long‐standing trade‐off between ion selectivity and ionic conductivity in membrane materials stems from the difficulty in rapidly transporting ions through chemically homogeneous channels while simultaneously excluding large ions. Here, we report a solvation‐gradient membrane prepared via reaction‐diffusion‐coupled interfacial polymerization between piperazine and 1,3,5‐tris(bromomethyl)benzene. The resulting membrane comprised a dense outer selective layer approximately 35 nm thick (with a transport pore size of approximately 6 Å) and an NH‐rich inner layer approximately 400 nm thick. The outer layer imposes a high entry/desolvation barrier on large ions, thereby inhibiting their transport, whereas the NH‐rich region supports rapid OH</w:t>
      </w:r>
      <w:r>
        <w:t xml:space="preserve"> </w:t>
      </w:r>
      <w:r>
        <w:t>−</w:t>
      </w:r>
      <w:r>
        <w:t>transport through re‐solvation and hydrogen‐bond reorganization. This depth‐dependent architecture spatially separates ferricyanide rejection from hydroxide conduction. Depth‐resolved spectroscopy and molecular dynamics simulations supported a depth‐dependent solvation environment and revealed stronger water/OH</w:t>
      </w:r>
      <w:r>
        <w:t xml:space="preserve"> </w:t>
      </w:r>
      <w:r>
        <w:t>−</w:t>
      </w:r>
      <w:r>
        <w:t>interactions in the NH‐rich region. Optimization of poly(tertiary amine) (PTA) membranes achieved low Fe(CN)</w:t>
      </w:r>
      <w:r>
        <w:rPr>
          <w:vertAlign w:val="subscript"/>
        </w:rPr>
        <w:t>6</w:t>
      </w:r>
      <w:r>
        <w:t>3−</w:t>
      </w:r>
      <w:r>
        <w:t>permeability (8.07 × 10</w:t>
      </w:r>
      <w:r>
        <w:t xml:space="preserve"> </w:t>
      </w:r>
      <w:r>
        <w:t>−7</w:t>
      </w:r>
      <w:r>
        <w:t xml:space="preserve"> </w:t>
      </w:r>
      <w:r>
        <w:t>cm</w:t>
      </w:r>
      <w:r>
        <w:rPr>
          <w:vertAlign w:val="subscript"/>
        </w:rPr>
        <w:t>2</w:t>
      </w:r>
      <w:r>
        <w:t>h</w:t>
      </w:r>
      <w:r>
        <w:t xml:space="preserve"> </w:t>
      </w:r>
      <w:r>
        <w:t>−1</w:t>
      </w:r>
      <w:r>
        <w:t xml:space="preserve"> </w:t>
      </w:r>
      <w:r>
        <w:t>) and OH</w:t>
      </w:r>
      <w:r>
        <w:t xml:space="preserve"> </w:t>
      </w:r>
      <w:r>
        <w:t>−</w:t>
      </w:r>
      <w:r>
        <w:t>conductivity (41.08 mS cm</w:t>
      </w:r>
      <w:r>
        <w:t xml:space="preserve"> </w:t>
      </w:r>
      <w:r>
        <w:t>−1</w:t>
      </w:r>
      <w:r>
        <w:t xml:space="preserve"> </w:t>
      </w:r>
      <w:r>
        <w:t>), enabling an alkaline zinc‐iron flow battery to achieve an energy efficiency of 89.94% at 80 mA cm</w:t>
      </w:r>
      <w:r>
        <w:t xml:space="preserve"> </w:t>
      </w:r>
      <w:r>
        <w:t>−2</w:t>
      </w:r>
      <w:r>
        <w:t xml:space="preserve"> </w:t>
      </w:r>
      <w:r>
        <w:t>and stable cycling for over 800 h. This study suggests depth‐dependent solvation regulation as a useful design principle for alleviating the selectivity‐conductivity trade‐off in electrochemical membranes.</w:t>
      </w:r>
    </w:p>
    <w:p>
      <w:pPr>
        <w:spacing w:before="120" w:after="120"/>
      </w:pPr>
      <w:r>
        <w:rPr>
          <w:sz w:val="18"/>
        </w:rPr>
        <w:t>——————————————————————————————————————————————————————————————————————</w:t>
      </w:r>
    </w:p>
    <w:p>
      <w:pPr>
        <w:spacing w:before="160" w:after="40" w:line="240" w:lineRule="auto"/>
      </w:pPr>
      <w:r>
        <w:rPr>
          <w:b/>
        </w:rPr>
        <w:t xml:space="preserve">[15] </w:t>
      </w:r>
      <w:hyperlink r:id="rId95">
        <w:r>
          <w:rPr>
            <w:color w:val="1155CC"/>
            <w:u w:val="single"/>
          </w:rPr>
          <w:t>分层通量竞争控制氧化还原介导电池中的电化学耦合</w:t>
        </w:r>
      </w:hyperlink>
    </w:p>
    <w:p>
      <w:pPr>
        <w:spacing w:before="0" w:after="80"/>
      </w:pPr>
      <w:r>
        <w:rPr>
          <w:i/>
          <w:sz w:val="20"/>
        </w:rPr>
        <w:t>EN: Hierarchical Flux Competition Governs Electrochemical‐Chemical Coupling in Redox‐Mediated Batteries</w:t>
      </w:r>
    </w:p>
    <w:p>
      <w:pPr>
        <w:spacing w:before="0" w:after="120"/>
      </w:pPr>
      <w:r>
        <w:rPr>
          <w:b/>
        </w:rPr>
        <w:t xml:space="preserve">Source: </w:t>
      </w:r>
      <w:r>
        <w:t>Wiley: Angewandte Chemie International Edition: Table of Contents</w:t>
      </w:r>
      <w:r>
        <w:t xml:space="preserve">    </w:t>
      </w:r>
      <w:r>
        <w:rPr>
          <w:b/>
        </w:rPr>
        <w:t xml:space="preserve">Pub date: </w:t>
      </w:r>
      <w:r>
        <w:t>2026-08-23 17:55:31+00:00</w:t>
      </w:r>
      <w:r>
        <w:t xml:space="preserve">    </w:t>
      </w:r>
      <w:r>
        <w:rPr>
          <w:b/>
        </w:rPr>
        <w:t xml:space="preserve">DOI: </w:t>
      </w:r>
      <w:hyperlink r:id="rId96">
        <w:r>
          <w:rPr>
            <w:color w:val="1155CC"/>
            <w:u w:val="single"/>
          </w:rPr>
          <w:t>10.1002/anie.7034615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还原介导的过程提供了一种有效的策略来加速缓慢的动力学并提高不同电池化学物质的活性材料利用率。然而，由于缺乏描述竞争动力学过程之间相互作用的定量框架，理性优化仍然具有挑战性。在这里，我们通过定义界面电子转移、固态离子传输和介体扩散的三个通量描述符，建立了电化学（EC）化学耦合的动力学框架。这些描述符与 EC 参数相结合，揭示了竞争通量的层次结构，并能够分析确定电流匹配边界。该框架确定并调节速率限制步骤，以实现流量平衡操作，提高利用率并减少极化。在此框架的指导下，一种基于[Fe(CN)</w:t>
      </w:r>
      <w:r>
        <w:rPr>
          <w:vertAlign w:val="subscript"/>
        </w:rPr>
        <w:t>6</w:t>
      </w:r>
      <w:r>
        <w:t>]</w:t>
      </w:r>
      <w:r>
        <w:t xml:space="preserve"> </w:t>
      </w:r>
      <w:r>
        <w:t>3-/4-</w:t>
      </w:r>
      <w:r>
        <w:t>/普鲁士蓝阴极电解液在 100 mA/cm 电流下的容量为 48.6 Ah/L</w:t>
      </w:r>
      <w:r>
        <w:rPr>
          <w:vertAlign w:val="subscript"/>
        </w:rPr>
        <w:t>2</w:t>
      </w:r>
      <w:r>
        <w:t>在对称电池配置中超过 6500 小时，在全电池配置中达到 27.6 Wh/L。二茂铁/磷酸铁锂</w:t>
      </w:r>
      <w:r>
        <w:rPr>
          <w:vertAlign w:val="subscript"/>
        </w:rPr>
        <w:t>4</w:t>
      </w:r>
      <w:r>
        <w:t>氧化还原系统在实际面积容量为 3 mAh/cm 时也实现了 93.91% 的容量保持率</w:t>
      </w:r>
      <w:r>
        <w:rPr>
          <w:vertAlign w:val="subscript"/>
        </w:rPr>
        <w:t>2</w:t>
      </w:r>
      <w:r>
        <w:t>超过 2800 小时。这项工作建立了通量平衡电池设计的通用框架，能够同时增强能量密度和</w:t>
      </w:r>
    </w:p>
    <w:p>
      <w:pPr>
        <w:spacing w:before="0" w:after="200" w:lineRule="auto" w:line="276"/>
      </w:pPr>
      <w:r>
        <w:rPr>
          <w:b/>
        </w:rPr>
        <w:t xml:space="preserve">Abstract (EN): </w:t>
      </w:r>
      <w:r>
        <w:t>Redox‐mediated processes offer an effective strategy to accelerate sluggish kinetics and improve active‐material utilization across diverse battery chemistries. However, rational optimization remains challenging due to the lack of a quantitative framework describing the interplay among competing kinetic processes. Here, we establish a kinetic framework for electrochemical (EC)‐chemical coupling by defining three flux descriptors for interfacial electron transfer, solid‐state ion transport, and mediator diffusion. Integrated with EC parameters, these descriptors reveal the hierarchy of competing fluxes and enable analytical determination of current‐matching boundaries. The framework identifies and regulates rate‐limiting steps to achieve flux‐balanced operation with enhanced utilization and reduced polarization. Guided by this framework, a redox‐targeting flow battery based on a [Fe(CN)</w:t>
      </w:r>
      <w:r>
        <w:rPr>
          <w:vertAlign w:val="subscript"/>
        </w:rPr>
        <w:t>6</w:t>
      </w:r>
      <w:r>
        <w:t>]</w:t>
      </w:r>
      <w:r>
        <w:t xml:space="preserve"> </w:t>
      </w:r>
      <w:r>
        <w:t>3‐/4−</w:t>
      </w:r>
      <w:r>
        <w:t>/Prussian blue catholyte delivers a volumetric capacity of 48.6 Ah/L at 100 mA/cm</w:t>
      </w:r>
      <w:r>
        <w:rPr>
          <w:vertAlign w:val="subscript"/>
        </w:rPr>
        <w:t>2</w:t>
      </w:r>
      <w:r>
        <w:t>over 6500 h in a symmetric‐cell configuration and achieves 27.6 Wh/L in a full‐cell configuration. A ferrocene/LiFePO</w:t>
      </w:r>
      <w:r>
        <w:rPr>
          <w:vertAlign w:val="subscript"/>
        </w:rPr>
        <w:t>4</w:t>
      </w:r>
      <w:r>
        <w:t>redox system also achieves 93.91% capacity retention at a practical areal capacity of 3 mAh/cm</w:t>
      </w:r>
      <w:r>
        <w:rPr>
          <w:vertAlign w:val="subscript"/>
        </w:rPr>
        <w:t>2</w:t>
      </w:r>
      <w:r>
        <w:t>over 2800 h. This work establishes a general framework for flux‐balanced battery design, enabling simultaneous enhancement of energy density and rate capability.</w:t>
      </w:r>
    </w:p>
    <w:p>
      <w:pPr>
        <w:spacing w:before="120" w:after="120"/>
      </w:pPr>
      <w:r>
        <w:rPr>
          <w:sz w:val="18"/>
        </w:rPr>
        <w:t>——————————————————————————————————————————————————————————————————————</w:t>
      </w:r>
    </w:p>
    <w:p>
      <w:pPr>
        <w:spacing w:before="160" w:after="40" w:line="240" w:lineRule="auto"/>
      </w:pPr>
      <w:r>
        <w:rPr>
          <w:b/>
        </w:rPr>
        <w:t xml:space="preserve">[16] </w:t>
      </w:r>
      <w:hyperlink r:id="rId269">
        <w:r>
          <w:rPr>
            <w:color w:val="1155CC"/>
            <w:u w:val="single"/>
          </w:rPr>
          <w:t>一种仿生防冻电解质通过氢键重构实现稳定的低温氟离子电池</w:t>
        </w:r>
      </w:hyperlink>
    </w:p>
    <w:p>
      <w:pPr>
        <w:spacing w:before="0" w:after="80"/>
      </w:pPr>
      <w:r>
        <w:rPr>
          <w:i/>
          <w:sz w:val="20"/>
        </w:rPr>
        <w:t>EN: A Bioinspired Antifreezing Electrolyte Enabling Stable and Low‐Temperature Fluoride‐Ion Batteries via Hydrogen‐Bond Reconfiguration</w:t>
      </w:r>
    </w:p>
    <w:p>
      <w:pPr>
        <w:spacing w:before="0" w:after="120"/>
      </w:pPr>
      <w:r>
        <w:rPr>
          <w:b/>
        </w:rPr>
        <w:t xml:space="preserve">Source: </w:t>
      </w:r>
      <w:r>
        <w:t>Wiley: Angewandte Chemie International Edition: Table of Contents</w:t>
      </w:r>
      <w:r>
        <w:t xml:space="preserve">    </w:t>
      </w:r>
      <w:r>
        <w:rPr>
          <w:b/>
        </w:rPr>
        <w:t xml:space="preserve">Pub date: </w:t>
      </w:r>
      <w:r>
        <w:t>2026-08-23 18:04:35+00:00</w:t>
      </w:r>
      <w:r>
        <w:t xml:space="preserve">    </w:t>
      </w:r>
      <w:r>
        <w:rPr>
          <w:b/>
        </w:rPr>
        <w:t xml:space="preserve">DOI: </w:t>
      </w:r>
      <w:hyperlink r:id="rId270">
        <w:r>
          <w:rPr>
            <w:color w:val="1155CC"/>
            <w:u w:val="single"/>
          </w:rPr>
          <w:t>10.1002/anie.9339272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氟离子电池（FIB）因其高理论能量密度和低成本而备受关注，其中水性电解质提供了极高的氟化物盐溶解度和快速的离子传输。 However, the strong H</w:t>
      </w:r>
      <w:r>
        <w:rPr>
          <w:vertAlign w:val="subscript"/>
        </w:rPr>
        <w:t>2</w:t>
      </w:r>
      <w:r>
        <w:t>O−H</w:t>
      </w:r>
      <w:r>
        <w:rPr>
          <w:vertAlign w:val="subscript"/>
        </w:rPr>
        <w:t>2</w:t>
      </w:r>
      <w:r>
        <w:t>O氢键网络促进质子/氢氧化物穿梭，并在界面留下反应性游离水，导致寄生反应、腐蚀和活性材料溶解，严重限制循环稳定性。在这里，我们表明重新配置水的氢键网络提供了稳定水性 FIB 化学物质的分子水平途径。我们通过将透明质酸（HA）引入CsF水性电解质中，并结合乙二醇（EG）作为防冻共溶剂，报道了一种仿生水凝胶电解质。 HA重组氢键网络以固定游离水并抑制水活性，而HA/EG共同调节F的溶剂化环境</w:t>
      </w:r>
      <w:r>
        <w:t xml:space="preserve"> </w:t>
      </w:r>
      <w:r>
        <w:t>-</w:t>
      </w:r>
      <w:r>
        <w:t>，降低水合水平并促进界面氟化物转移。基于 HA 的电解质形成坚固、化学成分丰富的 CEI，其中含有有机成分（含 O/N）和富含氟化物的无机成分，可减轻界面副反应并抑制活性物质溶解。 A CuF</w:t>
      </w:r>
      <w:r>
        <w:rPr>
          <w:vertAlign w:val="subscript"/>
        </w:rPr>
        <w:t>2</w:t>
      </w:r>
      <w:r>
        <w:t>||Pb 全电池可实现稳定的循环，放电平台约为 0.5 V，并保留超过 100 mAh·g</w:t>
      </w:r>
      <w:r>
        <w:t xml:space="preserve"> </w:t>
      </w:r>
      <w:r>
        <w:t>−1</w:t>
      </w:r>
    </w:p>
    <w:p>
      <w:pPr>
        <w:spacing w:before="0" w:after="200" w:lineRule="auto" w:line="276"/>
      </w:pPr>
      <w:r>
        <w:rPr>
          <w:b/>
        </w:rPr>
        <w:t xml:space="preserve">Abstract (EN): </w:t>
      </w:r>
      <w:r>
        <w:t>Fluoride‐ion batteries (FIBs) are appealing for their high theoretical energy density and low cost, wherein aqueous electrolytes provide the exceptionally high fluoride‐salt solubility and fast ion transport. However, the strong H</w:t>
      </w:r>
      <w:r>
        <w:rPr>
          <w:vertAlign w:val="subscript"/>
        </w:rPr>
        <w:t>2</w:t>
      </w:r>
      <w:r>
        <w:t>O−H</w:t>
      </w:r>
      <w:r>
        <w:rPr>
          <w:vertAlign w:val="subscript"/>
        </w:rPr>
        <w:t>2</w:t>
      </w:r>
      <w:r>
        <w:t>O hydrogen‐bond network promotes the proton/hydroxide shuttling and leaves the reactive free water at interface, leading to parasitic reactions, corrosion and active‐material dissolution, which severely limit cycling stability. Here we show that reconfiguring the hydrogen‐bond network of water offers a molecular‐level pathway to stabilize aqueous FIB chemistry. We report a bioinspired hydrogel electrolyte by introducing hyaluronic acid (HA) into CsF aqueous electrolyte, together with ethylene glycol (EG) as an antifreezing co‐solvent. HA reorganizes the hydrogen‐bond network to immobilize free water and suppress water activity, while HA/EG jointly regulate the solvation environment of F</w:t>
      </w:r>
      <w:r>
        <w:t xml:space="preserve"> </w:t>
      </w:r>
      <w:r>
        <w:t>−</w:t>
      </w:r>
      <w:r>
        <w:t>, reducing the hydration level and facilitating the interfacial fluoride transfer. The HA‐based electrolyte forms a robust, chemically rich CEI containing organic (O/N‐containing) and fluoride‐rich inorganic components, which mitigates interfacial side reactions and suppresses active species dissolution. A CuF</w:t>
      </w:r>
      <w:r>
        <w:rPr>
          <w:vertAlign w:val="subscript"/>
        </w:rPr>
        <w:t>2</w:t>
      </w:r>
      <w:r>
        <w:t>||Pb full cell delivers the stable cycling with a ∼0.5 V discharge plateau and retains over 100 mAh·g</w:t>
      </w:r>
      <w:r>
        <w:t xml:space="preserve"> </w:t>
      </w:r>
      <w:r>
        <w:t>−1</w:t>
      </w:r>
      <w:r>
        <w:t xml:space="preserve"> </w:t>
      </w:r>
      <w:r>
        <w:t>after 160 cycles, and further demonstrates the reversible FIB operation down to −20°C for the first time.</w:t>
      </w:r>
    </w:p>
    <w:p>
      <w:pPr>
        <w:spacing w:before="120" w:after="120"/>
      </w:pPr>
      <w:r>
        <w:rPr>
          <w:sz w:val="18"/>
        </w:rPr>
        <w:t>——————————————————————————————————————————————————————————————————————</w:t>
      </w:r>
    </w:p>
    <w:p>
      <w:pPr>
        <w:spacing w:before="160" w:after="40" w:line="240" w:lineRule="auto"/>
      </w:pPr>
      <w:r>
        <w:rPr>
          <w:b/>
        </w:rPr>
        <w:t xml:space="preserve">[17] </w:t>
      </w:r>
      <w:hyperlink r:id="rId271">
        <w:r>
          <w:rPr>
            <w:color w:val="1155CC"/>
            <w:u w:val="single"/>
          </w:rPr>
          <w:t>具有单胞级极性无序的偶极玻璃实现低温储能</w:t>
        </w:r>
      </w:hyperlink>
    </w:p>
    <w:p>
      <w:pPr>
        <w:spacing w:before="0" w:after="80"/>
      </w:pPr>
      <w:r>
        <w:rPr>
          <w:i/>
          <w:sz w:val="20"/>
        </w:rPr>
        <w:t>EN: Cryogenic energy storage enabled by dipole glass with unit-cell-level polar disorder</w:t>
      </w:r>
    </w:p>
    <w:p>
      <w:pPr>
        <w:spacing w:before="0" w:after="120"/>
      </w:pPr>
      <w:r>
        <w:rPr>
          <w:b/>
        </w:rPr>
        <w:t xml:space="preserve">Source: </w:t>
      </w:r>
      <w:r>
        <w:t>Nature Nanotechnology</w:t>
      </w:r>
      <w:r>
        <w:t xml:space="preserve">    </w:t>
      </w:r>
      <w:r>
        <w:rPr>
          <w:b/>
        </w:rPr>
        <w:t xml:space="preserve">Pub date: </w:t>
      </w:r>
      <w:r>
        <w:t>2026-08-24 00:00:00+00:00</w:t>
      </w:r>
      <w:r>
        <w:t xml:space="preserve">    </w:t>
      </w:r>
      <w:r>
        <w:rPr>
          <w:b/>
        </w:rPr>
        <w:t xml:space="preserve">DOI: </w:t>
      </w:r>
      <w:hyperlink r:id="rId272">
        <w:r>
          <w:rPr>
            <w:color w:val="1155CC"/>
            <w:u w:val="single"/>
          </w:rPr>
          <w:t>10.1038/s41565-026-02260-8</w:t>
        </w:r>
      </w:hyperlink>
    </w:p>
    <w:p>
      <w:pPr>
        <w:spacing w:before="0" w:after="120"/>
      </w:pPr>
      <w:r>
        <w:rPr>
          <w:b/>
        </w:rPr>
        <w:t xml:space="preserve">Notes: </w:t>
      </w:r>
      <w:r>
        <w:t>abstract_source=pubmed</w:t>
      </w:r>
    </w:p>
    <w:p>
      <w:pPr>
        <w:spacing w:before="0" w:after="80" w:lineRule="auto" w:line="276"/>
      </w:pPr>
      <w:r>
        <w:rPr>
          <w:b/>
        </w:rPr>
        <w:t xml:space="preserve">摘要（ZH）: </w:t>
      </w:r>
      <w:r>
        <w:t>低温储能对于前沿纳米电子学的发展至关重要，包括深空探索（低至90 K）和量子计算（≤4 K）。然而，由于离子迁移率受限，传统的电化学储能系统（例如二次电池和电化学电容器）在低于~230 K的温度下表现不佳。尽管基于驰豫介质的介电电容器在～200 K以上提供了高能量效率（&gt;80%），但在扩展的低温状态（&lt;120 K）中极性纳米域（即具有局部电极化的纳米区域）的固有冻结/生长由于极化磁滞损耗恶化而限制了它们的实际应用。在这里，我们通过在反铁电-顺电相边界附近设计一个单胞无序偶极玻璃态来克服这种有害影响。反铁电衍生的偶极玻璃在偶极相互作用中引入了增强的晶胞级复杂性，从而抑制了长程铁电有序。这种纳米工程方法可实现低至 4 K 的极低极化滞后操作（效率 &gt;88%），在 9 MV cm-1 时提供 211 J cm-3 的能量密度、超过 108 个充电/放电周期的稳定性以及微秒级的充电/放电能力。这项工作引入了一种偶极玻璃范式，可以在单元电池水平上控制极性无序，为具有广泛应用的高效储能系统的技术开发提供见解。</w:t>
      </w:r>
    </w:p>
    <w:p>
      <w:pPr>
        <w:spacing w:before="0" w:after="200" w:lineRule="auto" w:line="276"/>
      </w:pPr>
      <w:r>
        <w:rPr>
          <w:b/>
        </w:rPr>
        <w:t xml:space="preserve">Abstract (EN): </w:t>
      </w:r>
      <w:r>
        <w:t>Cryogenic energy storage is crucial for the development of frontier nanoelectronics, including deep-space exploration (down to 90 K) and quantum computing (≤4 K). However, conventional electrochemical energy storage systems (such as secondary batteries and electrochemical capacitors) underperform at temperatures below ∼230 K due to restricted ion mobility. Although relaxor-based dielectric capacitors provide high energy efficiency (&gt;80%) above ∼200 K, the intrinsic freezing/growth of polar nanodomains (that is, nanometric regions with local electric polarization) in the extended cryogenic regime (&lt;120 K) limits their practical applications due to deteriorated polarization hysteresis losses. Here we overcome this detrimental effect by engineering a unit-cell disordered dipole-glass state near the antiferroelectric-paraelectric phase boundary. The antiferroelectric-derived dipole glass introduces enhanced unit-cell-level complexity in dipole interactions, thereby suppressing long-range ferroelectric order. This nanoengineering approach enables very low polarization hysteresis operation (with an efficiency &gt;88%) down to 4 K, delivering an energy density of 211 J cm-3 at 9 MV cm-1, stability over 108 charge/discharge cycles and microsecond-scale charge/discharge capability. This work introduces a dipole-glass paradigm that enables control of polar disorder at the unit-cell level, providing insights into the technology development of highly efficient energy storage systems with broad applications.</w:t>
      </w:r>
    </w:p>
    <w:p>
      <w:pPr>
        <w:spacing w:before="120" w:after="120"/>
      </w:pPr>
      <w:r>
        <w:rPr>
          <w:sz w:val="18"/>
        </w:rPr>
        <w:t>——————————————————————————————————————————————————————————————————————</w:t>
      </w:r>
    </w:p>
    <w:p>
      <w:pPr>
        <w:spacing w:before="160" w:after="40" w:line="240" w:lineRule="auto"/>
      </w:pPr>
      <w:r>
        <w:rPr>
          <w:b/>
        </w:rPr>
        <w:t xml:space="preserve">[18] </w:t>
      </w:r>
      <w:hyperlink r:id="rId273">
        <w:r>
          <w:rPr>
            <w:color w:val="1155CC"/>
            <w:u w:val="single"/>
          </w:rPr>
          <w:t>揭示近中性水系全铁液流电池的磷酸盐-Fe(III)络合物的稳定途径、堆验证和技术经济评估</w:t>
        </w:r>
      </w:hyperlink>
    </w:p>
    <w:p>
      <w:pPr>
        <w:spacing w:before="0" w:after="80"/>
      </w:pPr>
      <w:r>
        <w:rPr>
          <w:i/>
          <w:sz w:val="20"/>
        </w:rPr>
        <w:t>EN: Revealing the stabilization pathway, stack validation, and techno-economic assessment of phosphonate-Fe(III) complex for near-neutral aqueous all-iron flow batteries</w:t>
      </w:r>
    </w:p>
    <w:p>
      <w:pPr>
        <w:spacing w:before="0" w:after="120"/>
      </w:pPr>
      <w:r>
        <w:rPr>
          <w:b/>
        </w:rPr>
        <w:t xml:space="preserve">Source: </w:t>
      </w:r>
      <w:r>
        <w:t>National Science Review Advance Access</w:t>
      </w:r>
      <w:r>
        <w:t xml:space="preserve">    </w:t>
      </w:r>
      <w:r>
        <w:rPr>
          <w:b/>
        </w:rPr>
        <w:t xml:space="preserve">Pub date: </w:t>
      </w:r>
      <w:r>
        <w:t>2026-08-24 00:00:00+00:00</w:t>
      </w:r>
      <w:r>
        <w:t xml:space="preserve">    </w:t>
      </w:r>
      <w:r>
        <w:rPr>
          <w:b/>
        </w:rPr>
        <w:t xml:space="preserve">DOI: </w:t>
      </w:r>
      <w:hyperlink r:id="rId274">
        <w:r>
          <w:rPr>
            <w:color w:val="1155CC"/>
            <w:u w:val="single"/>
          </w:rPr>
          <w:t>10.1093/nsr/nwag533</w:t>
        </w:r>
      </w:hyperlink>
    </w:p>
    <w:p>
      <w:pPr>
        <w:spacing w:before="0" w:after="120"/>
      </w:pPr>
      <w:r>
        <w:rPr>
          <w:b/>
        </w:rPr>
        <w:t xml:space="preserve">Notes: </w:t>
      </w:r>
      <w:r>
        <w:t>abstract_source=rss_oup</w:t>
      </w:r>
    </w:p>
    <w:p>
      <w:pPr>
        <w:spacing w:before="0" w:after="80" w:lineRule="auto" w:line="276"/>
      </w:pPr>
      <w:r>
        <w:rPr>
          <w:b/>
        </w:rPr>
        <w:t xml:space="preserve">摘要（ZH）: </w:t>
      </w:r>
      <w:r>
        <w:t>由于固有的安全性、低成本和材料丰富，水基铁基氧化还原液流电池在电网规模储能方面具有广阔的前景。然而，它们的稳定性仍然受到较差的氧化还原可逆性和铁枝晶形成的限制。在此，我们报道了一种富含六齿磷酸盐的 Fe(III) 络合物 Fe(P4N2)，专为近中性条件而设计。磷酸盐配体框架强大的 Fe-O/Fe-N 配位环境可稳定氧化还原活性 Fe3+/Fe2+ 中心并抑制寄生副反应。此外，由丰富的膦酸酯端基形成的富含氢键的溶剂化壳，在配合物周围形成致密的水化层，带来高水溶性（1.47 M）和低跨膜污染。因此，基于 Fe(P4N2) 的液流电池表现出高能效（100 mA cm−2 时为 85.7%）、快速氧化还原动力学（200 mA cm−2 时为 21.4 Wh L−1）、超低容量衰减（每次循环 0.00052% 或每天 0.027%）。当扩展到 12 节电池组（每节电池 900 cm2 有效面积）时，基于 Fe(P4N2) 的液流电池在长期运行期间可提供稳定的 300 W 功率输出。技术经济分析表明，在低材料成本、高能源效率和长期耐用性的推动下，该系统具有广阔的经济潜力。这项研究建立了一种多齿磷酸盐协调策略，用于开发快速充电、耐用、可扩展且具有经济吸引力的全铁氧化还原液流电池。</w:t>
      </w:r>
    </w:p>
    <w:p>
      <w:pPr>
        <w:spacing w:before="0" w:after="200" w:lineRule="auto" w:line="276"/>
      </w:pPr>
      <w:r>
        <w:rPr>
          <w:b/>
        </w:rPr>
        <w:t xml:space="preserve">Abstract (EN): </w:t>
      </w:r>
      <w:r>
        <w:t>Aqueous iron-based redox flow batteries are promising for grid-scale energy storage due to inherent safety, low cost, and material abundance. However, their stability remains limited by poor redox reversibility and iron dendrite formation. Herein, we report a hexadentate phosphate-rich Fe(III) complex, Fe(P4N2), specifically engineered for near-neutral conditions. The robust Fe–O/Fe–N coordination environment of phosphate-based ligand framework stabilizes redox-active Fe3+/Fe2+ centers and suppresses parasitic side reactions. Additionally, the hydrogen-bond-rich solvation shell, formed by abundant phosphonate terminal groups, fosters a dense hydration layer around the complex, bringing high aqueous solubility (1.47 M) and low cross-membrane contamination. Consequently, the Fe(P4N2)-based flow batteries demonstrate high energy efficiency (85.7% at 100 mA cm−2), rapid redox kinetics (21.4 Wh L−1 at 200 mA cm−2), ultralow capacity decay (0.00052% per cycle or 0.027% per day). When scaled to a 12-cell stack (900 cm2 active area per cell), the Fe(P4N2)-based flow batteries deliver a stable 300 W power output during long-term operation. Techno-economic analysis demonstrates promising economic potential for this system, driven by low material cost, high energy efficiency, and long-term durability. This study establishes a multidentate phosphate coordination strategy for developing fast-charging, durable, scalable, and economically attractive all-iron redox flow batteries.</w:t>
      </w:r>
    </w:p>
    <w:p>
      <w:pPr>
        <w:spacing w:before="120" w:after="120"/>
      </w:pPr>
      <w:r>
        <w:rPr>
          <w:sz w:val="18"/>
        </w:rPr>
        <w:t>——————————————————————————————————————————————————————————————————————</w:t>
      </w:r>
    </w:p>
    <w:p>
      <w:pPr>
        <w:spacing w:before="160" w:after="40" w:line="240" w:lineRule="auto"/>
      </w:pPr>
      <w:r>
        <w:rPr>
          <w:b/>
        </w:rPr>
        <w:t xml:space="preserve">[19] </w:t>
      </w:r>
      <w:hyperlink r:id="rId275">
        <w:r>
          <w:rPr>
            <w:color w:val="1155CC"/>
            <w:u w:val="single"/>
          </w:rPr>
          <w:t>偶极子眼镜开启了能量存储的低温前沿</w:t>
        </w:r>
      </w:hyperlink>
    </w:p>
    <w:p>
      <w:pPr>
        <w:spacing w:before="0" w:after="80"/>
      </w:pPr>
      <w:r>
        <w:rPr>
          <w:i/>
          <w:sz w:val="20"/>
        </w:rPr>
        <w:t>EN: Dipole glasses unlock the cryogenic frontier of energy storage</w:t>
      </w:r>
    </w:p>
    <w:p>
      <w:pPr>
        <w:spacing w:before="0" w:after="120"/>
      </w:pPr>
      <w:r>
        <w:rPr>
          <w:b/>
        </w:rPr>
        <w:t xml:space="preserve">Source: </w:t>
      </w:r>
      <w:r>
        <w:t>Nature Nanotechnology</w:t>
      </w:r>
      <w:r>
        <w:t xml:space="preserve">    </w:t>
      </w:r>
      <w:r>
        <w:rPr>
          <w:b/>
        </w:rPr>
        <w:t xml:space="preserve">Pub date: </w:t>
      </w:r>
      <w:r>
        <w:t>2026-08-24 00:00:00+00:00</w:t>
      </w:r>
      <w:r>
        <w:t xml:space="preserve">    </w:t>
      </w:r>
      <w:r>
        <w:rPr>
          <w:b/>
        </w:rPr>
        <w:t xml:space="preserve">DOI: </w:t>
      </w:r>
      <w:hyperlink r:id="rId276">
        <w:r>
          <w:rPr>
            <w:color w:val="1155CC"/>
            <w:u w:val="single"/>
          </w:rPr>
          <w:t>10.1038/s41565-026-02261-7</w:t>
        </w:r>
      </w:hyperlink>
    </w:p>
    <w:p>
      <w:pPr>
        <w:spacing w:before="0" w:after="120"/>
      </w:pPr>
      <w:r>
        <w:rPr>
          <w:b/>
        </w:rPr>
        <w:t xml:space="preserve">Notes: </w:t>
      </w:r>
      <w:r>
        <w:t>abstract_source=rss_nature</w:t>
      </w:r>
    </w:p>
    <w:p>
      <w:pPr>
        <w:spacing w:before="0" w:after="80" w:lineRule="auto" w:line="276"/>
      </w:pPr>
      <w:r>
        <w:rPr>
          <w:b/>
        </w:rPr>
        <w:t xml:space="preserve">摘要（ZH）: </w:t>
      </w:r>
      <w:r>
        <w:t>晶胞级偶极子挫败抑制极地冻结，从而在液氦温度下实现高效的电容储能。</w:t>
      </w:r>
    </w:p>
    <w:p>
      <w:pPr>
        <w:spacing w:before="0" w:after="200" w:lineRule="auto" w:line="276"/>
      </w:pPr>
      <w:r>
        <w:rPr>
          <w:b/>
        </w:rPr>
        <w:t xml:space="preserve">Abstract (EN): </w:t>
      </w:r>
      <w:r>
        <w:t>Unit-cell-level dipole frustration suppresses polar freezing, enabling efficient capacitive energy storage at liquid-helium temperatures.</w:t>
      </w:r>
    </w:p>
    <w:p>
      <w:pPr>
        <w:spacing w:before="120" w:after="120"/>
      </w:pPr>
      <w:r>
        <w:rPr>
          <w:sz w:val="18"/>
        </w:rPr>
        <w:t>——————————————————————————————————————————————————————————————————————</w:t>
      </w:r>
    </w:p>
    <w:p>
      <w:pPr>
        <w:spacing w:before="160" w:after="40" w:line="240" w:lineRule="auto"/>
      </w:pPr>
      <w:r>
        <w:rPr>
          <w:b/>
        </w:rPr>
        <w:t xml:space="preserve">[20] </w:t>
      </w:r>
      <w:hyperlink r:id="rId277">
        <w:r>
          <w:rPr>
            <w:color w:val="1155CC"/>
            <w:u w:val="single"/>
          </w:rPr>
          <w:t>锆离子和碳量子点协同增强的多功能双网络水凝胶</w:t>
        </w:r>
      </w:hyperlink>
    </w:p>
    <w:p>
      <w:pPr>
        <w:spacing w:before="0" w:after="80"/>
      </w:pPr>
      <w:r>
        <w:rPr>
          <w:i/>
          <w:sz w:val="20"/>
        </w:rPr>
        <w:t>EN: Multifunctional Double-Network Hydrogel Synergistically Enhanced by Zirconium Ions and Carbon Quantum Dots</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278">
        <w:r>
          <w:rPr>
            <w:color w:val="1155CC"/>
            <w:u w:val="single"/>
          </w:rPr>
          <w:t>10.1021/acsami.6c10234</w:t>
        </w:r>
      </w:hyperlink>
    </w:p>
    <w:p>
      <w:pPr>
        <w:spacing w:before="0" w:after="120"/>
      </w:pPr>
      <w:r>
        <w:rPr>
          <w:b/>
        </w:rPr>
        <w:t xml:space="preserve">Notes: </w:t>
      </w:r>
      <w:r>
        <w:t>abstract_source=crossref</w:t>
      </w:r>
    </w:p>
    <w:p>
      <w:pPr>
        <w:spacing w:before="0" w:after="80" w:lineRule="auto" w:line="276"/>
      </w:pPr>
      <w:r>
        <w:rPr>
          <w:b/>
        </w:rPr>
        <w:t xml:space="preserve">摘要（ZH）: </w:t>
      </w:r>
      <w:r>
        <w:t>摘要 受比色变化直观、高效的信息传感能力的启发，这项工作提出了一种将荧光碳量子点（CD）与金属离子配位相结合的设计策略，以同时增强机械鲁棒性和多模态传感性能。具体来说，将CD和锆离子掺入聚丙烯酰胺/海藻酸钠（PAM/SA）基质中，通过化学交联、动态配位和多重氢键相互作用构建多功能聚丙烯酰胺/海藻酸钠/碳量子点/锆离子（PSCZ）水凝胶。在最佳CD浓度为20 μg·mL–1时，PSCZ水凝胶表现出优异的机械性能，包括923.5 kJ·m–3的拉伸韧性、303.9 kPa的拉伸强度和423.6%的断裂伸长率。这种设计有效地克服了结构坚固性和多功能性之间的传统权衡。此外，线性拟合分析揭示了亮度变化与应变（R2 = 0.963）和电阻（R2 = 0.926）之间的强相关性，表明水凝胶对机械变形的相关光学和电学响应。受益于这些特性，PSCZ水凝胶显示出生理信号监测和荧光防伪的潜力，而基于PSCZ的TENG可以实现机械能量收集，展示了其作为下一代可穿戴电子产品、人机界面以及运动和健康监测系统电源的潜力。</w:t>
      </w:r>
    </w:p>
    <w:p>
      <w:pPr>
        <w:spacing w:before="0" w:after="200" w:lineRule="auto" w:line="276"/>
      </w:pPr>
      <w:r>
        <w:rPr>
          <w:b/>
        </w:rPr>
        <w:t xml:space="preserve">Abstract (EN): </w:t>
      </w:r>
      <w:r>
        <w:t>Inspired by the intuitive and efficient information-sensing capability of colorimetric changes, this work presents a design strategy that integrates fluorescent carbon quantum dots (CDs) with metal ion coordination to simultaneously enhance mechanical robustness and multimodal sensing performance. Specifically, CDs and zirconium ions were incorporated into a polyacrylamide/sodium alginate (PAM/SA) matrix to construct a multifunctional polyacrylamide/sodium alginate/carbon quantum dot/zirconium ion (PSCZ) hydrogel through chemical cross-linking, dynamic coordination, and multiple hydrogen-bonding interactions. At an optimal CD concentration of 20 μg·mL–1, the PSCZ hydrogel exhibits outstanding mechanical properties, including a tensile toughness of 923.5 kJ·m–3, a tensile strength of 303.9 kPa, and an elongation at break of 423.6%. This design effectively overcomes the conventional trade-off between structural robustness and multifunctionality. In addition, linear fitting analyses reveal strong correlations between brightness variation and both strain (R2 = 0.963) and resistance (R2 = 0.926), indicating correlated optical and electrical responses of the hydrogel to mechanical deformation. Benefiting from these features, the PSCZ hydrogel shows potential for physiological signal monitoring and fluorescent anti-counterfeiting, while the PSCZ-based TENG enables mechanical energy harvesting, demonstrating its potential as a power source for next-generation wearable electronics, human–machine interfaces, and motion and health monitoring systems.</w:t>
      </w:r>
    </w:p>
    <w:p>
      <w:pPr>
        <w:spacing w:before="120" w:after="120"/>
      </w:pPr>
      <w:r>
        <w:rPr>
          <w:sz w:val="18"/>
        </w:rPr>
        <w:t>——————————————————————————————————————————————————————————————————————</w:t>
      </w:r>
    </w:p>
    <w:p>
      <w:pPr>
        <w:spacing w:before="160" w:after="40" w:line="240" w:lineRule="auto"/>
      </w:pPr>
      <w:r>
        <w:rPr>
          <w:b/>
        </w:rPr>
        <w:t xml:space="preserve">[21] </w:t>
      </w:r>
      <w:hyperlink r:id="rId279">
        <w:r>
          <w:rPr>
            <w:color w:val="1155CC"/>
            <w:u w:val="single"/>
          </w:rPr>
          <w:t>利用折纸和剪纸力学增强摩擦纳米发电机：从超材料到自供电系统</w:t>
        </w:r>
      </w:hyperlink>
    </w:p>
    <w:p>
      <w:pPr>
        <w:spacing w:before="0" w:after="80"/>
      </w:pPr>
      <w:r>
        <w:rPr>
          <w:i/>
          <w:sz w:val="20"/>
        </w:rPr>
        <w:t>EN: Empowering Triboelectric Nanogenerators With Origami and Kirigami Mechanics: From Metamaterials to Self‐Powered Systems</w:t>
      </w:r>
    </w:p>
    <w:p>
      <w:pPr>
        <w:spacing w:before="0" w:after="120"/>
      </w:pPr>
      <w:r>
        <w:rPr>
          <w:b/>
        </w:rPr>
        <w:t xml:space="preserve">Source: </w:t>
      </w:r>
      <w:r>
        <w:t>Wiley: Advanced Energy Materials: Table of Contents</w:t>
      </w:r>
      <w:r>
        <w:t xml:space="preserve">    </w:t>
      </w:r>
      <w:r>
        <w:rPr>
          <w:b/>
        </w:rPr>
        <w:t xml:space="preserve">Pub date: </w:t>
      </w:r>
      <w:r>
        <w:t>2026-08-24 08:16:19+00:00</w:t>
      </w:r>
      <w:r>
        <w:t xml:space="preserve">    </w:t>
      </w:r>
      <w:r>
        <w:rPr>
          <w:b/>
        </w:rPr>
        <w:t xml:space="preserve">DOI: </w:t>
      </w:r>
      <w:hyperlink r:id="rId280">
        <w:r>
          <w:rPr>
            <w:color w:val="1155CC"/>
            <w:u w:val="single"/>
          </w:rPr>
          <w:t>10.1002/aenm.71484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受折纸和剪纸启发的结构已成为增强摩擦纳米发电机（TENG）性能和多功能性的变革策略。它们的折叠机制有助于有效地实现接触分离 TENG，并且它们的几何图案为复杂界面提供了必要的可拉伸性。本综述强调，这些架构的核心机制在于它们桥接 TENG 的机械变形和电输出的能力。在此基础上，我们总结了具有代表性的折纸和剪纸形态及其力学特征。更重要的是，我们提出了一个总体设计框架，以阐明这些结构策略如何通过利用其固有的机械特性来适应不同的操作条件。典型应用包括蓝色能量收集、微/纳米能源系统的振动和生物力学能量收集、用于环境和健康监测的自供电传感、触觉传感以及受益于剪纸结构的可拉伸性和可变形性的可穿戴电子产品。最后，总结了当前面临的挑战，并概述了折纸和剪纸启发的 TENG 的更深入功能集成和可扩展实施的新机遇。</w:t>
      </w:r>
    </w:p>
    <w:p>
      <w:pPr>
        <w:spacing w:before="0" w:after="200" w:lineRule="auto" w:line="276"/>
      </w:pPr>
      <w:r>
        <w:rPr>
          <w:b/>
        </w:rPr>
        <w:t xml:space="preserve">Abstract (EN): </w:t>
      </w:r>
      <w:r>
        <w:t>Origami‐ and Kirigami‐inspired structures have emerged as transformative strategies for enhancing the performance and versatility of triboelectric nanogenerators (TENGs). Their folding mechanisms facilitate efficient for contact‐separation TENGs, as well as their geometric patterns provide essential stretchability for complex interfaces. This review emphasizes that the core mechanism of these architectures lies in their ability to bridge mechanical deformation and electrical output of TENGs. On this basis, we summarize the representative origami and kirigami configurations and their mechanical characteristics. More importantly, we propose a general design framework to clarify how these structural strategies adapt to different operating conditions by leveraging their inherent mechanical characteristics. Typical applications include blue energy harvesting, vibration and biomechanical energy harvesting for micro/nano energy systems, self‐powered sensing for environmental and health monitoring, tactile sensing, and wearable electronics that benefit from the stretchability and deformability of kirigami structures. Finally, the current challenges and outline emerging opportunities toward deeper functional integration and scalable implementation of origami‐ and kirigami‐inspired TENGs are concluded.</w:t>
      </w:r>
    </w:p>
    <w:p>
      <w:pPr>
        <w:spacing w:before="120" w:after="120"/>
      </w:pPr>
      <w:r>
        <w:rPr>
          <w:sz w:val="18"/>
        </w:rPr>
        <w:t>——————————————————————————————————————————————————————————————————————</w:t>
      </w:r>
    </w:p>
    <w:p>
      <w:pPr>
        <w:spacing w:before="160" w:after="40" w:line="240" w:lineRule="auto"/>
      </w:pPr>
      <w:r>
        <w:rPr>
          <w:b/>
        </w:rPr>
        <w:t xml:space="preserve">[22] </w:t>
      </w:r>
      <w:hyperlink r:id="rId281">
        <w:r>
          <w:rPr>
            <w:color w:val="1155CC"/>
            <w:u w:val="single"/>
          </w:rPr>
          <w:t>无铂族金属 Ni-H2 电池通过可逆氢溢出实现了超过 7500 次循环</w:t>
        </w:r>
      </w:hyperlink>
    </w:p>
    <w:p>
      <w:pPr>
        <w:spacing w:before="0" w:after="80"/>
      </w:pPr>
      <w:r>
        <w:rPr>
          <w:i/>
          <w:sz w:val="20"/>
        </w:rPr>
        <w:t>EN: Over 7500 Cycles Achieved in Platinum‐Group‐Metal‐Free Ni–H2 Battery Through Reversible Hydrogen Spillover</w:t>
      </w:r>
    </w:p>
    <w:p>
      <w:pPr>
        <w:spacing w:before="0" w:after="120"/>
      </w:pPr>
      <w:r>
        <w:rPr>
          <w:b/>
        </w:rPr>
        <w:t xml:space="preserve">Source: </w:t>
      </w:r>
      <w:r>
        <w:t>Wiley: Angewandte Chemie International Edition: Table of Contents</w:t>
      </w:r>
      <w:r>
        <w:t xml:space="preserve">    </w:t>
      </w:r>
      <w:r>
        <w:rPr>
          <w:b/>
        </w:rPr>
        <w:t xml:space="preserve">Pub date: </w:t>
      </w:r>
      <w:r>
        <w:t>2026-08-24 13:52:55+00:00</w:t>
      </w:r>
      <w:r>
        <w:t xml:space="preserve">    </w:t>
      </w:r>
      <w:r>
        <w:rPr>
          <w:b/>
        </w:rPr>
        <w:t xml:space="preserve">DOI: </w:t>
      </w:r>
      <w:hyperlink r:id="rId282">
        <w:r>
          <w:rPr>
            <w:color w:val="1155CC"/>
            <w:u w:val="single"/>
          </w:rPr>
          <w:t>10.1002/anie.7674442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传统镍氢</w:t>
      </w:r>
      <w:r>
        <w:rPr>
          <w:vertAlign w:val="subscript"/>
        </w:rPr>
        <w:t>2</w:t>
      </w:r>
      <w:r>
        <w:t>采用铂族金属 (PGM) 催化剂的电池表现出超长的使用寿命（&gt; 10 000 次循环），但在最近开发的无 PGM 系统中尚未实现可比的耐用性，这主要是由于碱性介质中的析氢和氧化反应 (HER/HOR) 缓慢。在这里，我们利用反应依赖的氢溢出穿过金属载体界面，将物理和电化学氢步骤解耦到不同的活性位点上，从而加速 HER/HOR 动力学并显着延长电池寿命。作为概念验证，我们开发了一种低成本催化剂，由负载在缺氧 TiO 上的 Ni 纳米团簇组成</w:t>
      </w:r>
      <w:r>
        <w:t xml:space="preserve"> </w:t>
      </w:r>
      <w:r>
        <w:t>2–x</w:t>
      </w:r>
      <w:r>
        <w:t xml:space="preserve"> </w:t>
      </w:r>
      <w:r>
        <w:t>。由于 *H 吸附强度的差异，氢物质从 Ni 迁移到 TiO</w:t>
      </w:r>
      <w:r>
        <w:t xml:space="preserve"> </w:t>
      </w:r>
      <w:r>
        <w:t>2–x</w:t>
      </w:r>
      <w:r>
        <w:t xml:space="preserve"> </w:t>
      </w:r>
      <w:r>
        <w:t>在 HOR 期间和在 HER 期间相反方向，实现 Ni 上的物理氢过程和 TiO 上的电化学步骤</w:t>
      </w:r>
      <w:r>
        <w:t xml:space="preserve"> </w:t>
      </w:r>
      <w:r>
        <w:t>2–x</w:t>
      </w:r>
      <w:r>
        <w:t xml:space="preserve"> </w:t>
      </w:r>
      <w:r>
        <w:t>。由此产生的电极表现出超越 Pt/C 的极化性能，并且对 HER 和 HOR 具有出色的耐用性，可在 15 mA cm 电流下持续运行 3000 小时</w:t>
      </w:r>
      <w:r>
        <w:t xml:space="preserve"> </w:t>
      </w:r>
      <w:r>
        <w:t>−2</w:t>
      </w:r>
      <w:r>
        <w:t xml:space="preserve"> </w:t>
      </w:r>
      <w:r>
        <w:t>。此外，组装的Ni-H</w:t>
      </w:r>
      <w:r>
        <w:rPr>
          <w:vertAlign w:val="subscript"/>
        </w:rPr>
        <w:t>2</w:t>
      </w:r>
      <w:r>
        <w:t>电池具有出色的宽温性能（−20°C 至 55°C），并在 15 mAh cm 的实际容量下实现了超过 7500 次循环</w:t>
      </w:r>
      <w:r>
        <w:t xml:space="preserve"> </w:t>
      </w:r>
      <w:r>
        <w:t>−2</w:t>
      </w:r>
      <w:r>
        <w:t xml:space="preserve"> </w:t>
      </w:r>
      <w:r>
        <w:t>。蒂</w:t>
      </w:r>
    </w:p>
    <w:p>
      <w:pPr>
        <w:spacing w:before="0" w:after="200" w:lineRule="auto" w:line="276"/>
      </w:pPr>
      <w:r>
        <w:rPr>
          <w:b/>
        </w:rPr>
        <w:t xml:space="preserve">Abstract (EN): </w:t>
      </w:r>
      <w:r>
        <w:t>Traditional Ni–H</w:t>
      </w:r>
      <w:r>
        <w:rPr>
          <w:vertAlign w:val="subscript"/>
        </w:rPr>
        <w:t>2</w:t>
      </w:r>
      <w:r>
        <w:t>batteries employing platinum‐group metal (PGM) catalysts exhibit ultralong lifetimes (&amp;gt; 10 000 cycles), yet comparable durability has not been achieved in recently developed PGM‐free systems, mainly due to sluggish hydrogen evolution and oxidation reactions (HER/HOR) in alkaline media. Herein, we employ reaction‐dependent hydrogen spillover across a metal‐support interface to decouple the physical and electrochemical hydrogen steps onto distinct active sites, thereby accelerating HER/HOR kinetics and markedly extending battery lifetime. As a proof of concept, we develop a low‐cost catalyst consisting of Ni nanoclusters supported on oxygen‐deficient TiO</w:t>
      </w:r>
      <w:r>
        <w:t xml:space="preserve"> </w:t>
      </w:r>
      <w:r>
        <w:t>2–x</w:t>
      </w:r>
      <w:r>
        <w:t xml:space="preserve"> </w:t>
      </w:r>
      <w:r>
        <w:t>. Owing to the difference in *H adsorption strength, hydrogen species migrate from Ni to TiO</w:t>
      </w:r>
      <w:r>
        <w:t xml:space="preserve"> </w:t>
      </w:r>
      <w:r>
        <w:t>2–x</w:t>
      </w:r>
      <w:r>
        <w:t xml:space="preserve"> </w:t>
      </w:r>
      <w:r>
        <w:t>during HOR and in the reverse direction during HER, enabling physical hydrogen processes on Ni and electrochemical steps on TiO</w:t>
      </w:r>
      <w:r>
        <w:t xml:space="preserve"> </w:t>
      </w:r>
      <w:r>
        <w:t>2–x</w:t>
      </w:r>
      <w:r>
        <w:t xml:space="preserve"> </w:t>
      </w:r>
      <w:r>
        <w:t>. The resulting electrode exhibits polarization performance surpassing that of Pt/C and outstanding durability for both HER and HOR, sustaining 3000 h operation at 15 mA cm</w:t>
      </w:r>
      <w:r>
        <w:t xml:space="preserve"> </w:t>
      </w:r>
      <w:r>
        <w:t>−2</w:t>
      </w:r>
      <w:r>
        <w:t xml:space="preserve"> </w:t>
      </w:r>
      <w:r>
        <w:t>. Moreover, the assembled Ni–H</w:t>
      </w:r>
      <w:r>
        <w:rPr>
          <w:vertAlign w:val="subscript"/>
        </w:rPr>
        <w:t>2</w:t>
      </w:r>
      <w:r>
        <w:t>battery delivers excellent wide‐temperature performance (−20°C to 55°C) and achieves over 7500 cycles at a practical capacity of 15 mAh cm</w:t>
      </w:r>
      <w:r>
        <w:t xml:space="preserve"> </w:t>
      </w:r>
      <w:r>
        <w:t>−2</w:t>
      </w:r>
      <w:r>
        <w:t xml:space="preserve"> </w:t>
      </w:r>
      <w:r>
        <w:t>. This work demonstrates that hydrogen spillover‐enabled decoupling of HER/HOR steps provides an effective route toward ultralong‐life PGM‐free Ni–H</w:t>
      </w:r>
      <w:r>
        <w:rPr>
          <w:vertAlign w:val="subscript"/>
        </w:rPr>
        <w:t>2</w:t>
      </w:r>
      <w:r>
        <w:t>batteries.</w:t>
      </w:r>
    </w:p>
    <w:p>
      <w:pPr>
        <w:spacing w:before="120" w:after="120"/>
      </w:pPr>
      <w:r>
        <w:rPr>
          <w:sz w:val="18"/>
        </w:rPr>
        <w:t>——————————————————————————————————————————————————————————————————————</w:t>
      </w:r>
    </w:p>
    <w:p>
      <w:pPr>
        <w:spacing w:before="160" w:after="40" w:line="240" w:lineRule="auto"/>
      </w:pPr>
      <w:r>
        <w:rPr>
          <w:b/>
        </w:rPr>
        <w:t xml:space="preserve">[23] </w:t>
      </w:r>
      <w:hyperlink r:id="rId283">
        <w:r>
          <w:rPr>
            <w:color w:val="1155CC"/>
            <w:u w:val="single"/>
          </w:rPr>
          <w:t>具有超高质量负载的类乐高颗粒电极电容去离子，用于超快电化学离子捕获</w:t>
        </w:r>
      </w:hyperlink>
    </w:p>
    <w:p>
      <w:pPr>
        <w:spacing w:before="0" w:after="80"/>
      </w:pPr>
      <w:r>
        <w:rPr>
          <w:i/>
          <w:sz w:val="20"/>
        </w:rPr>
        <w:t>EN: LEGO‐Like Granular‐Electrode Capacitive Deionization with Ultrahigh Mass Loading for Ultrafast Electrochemical Ion Capture</w:t>
      </w:r>
    </w:p>
    <w:p>
      <w:pPr>
        <w:spacing w:before="0" w:after="120"/>
      </w:pPr>
      <w:r>
        <w:rPr>
          <w:b/>
        </w:rPr>
        <w:t xml:space="preserve">Source: </w:t>
      </w:r>
      <w:r>
        <w:t>Wiley: Angewandte Chemie International Edition: Table of Contents</w:t>
      </w:r>
      <w:r>
        <w:t xml:space="preserve">    </w:t>
      </w:r>
      <w:r>
        <w:rPr>
          <w:b/>
        </w:rPr>
        <w:t xml:space="preserve">Pub date: </w:t>
      </w:r>
      <w:r>
        <w:t>2026-08-25 04:01:10+00:00</w:t>
      </w:r>
      <w:r>
        <w:t xml:space="preserve">    </w:t>
      </w:r>
      <w:r>
        <w:rPr>
          <w:b/>
        </w:rPr>
        <w:t xml:space="preserve">DOI: </w:t>
      </w:r>
      <w:hyperlink r:id="rId284">
        <w:r>
          <w:rPr>
            <w:color w:val="1155CC"/>
            <w:u w:val="single"/>
          </w:rPr>
          <w:t>10.1002/anie.9170775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推进电容去离子（CDI）的实际部署需要超越低质量负载、以材料为中心的演示，转向具有高系统效率的高容量负载架构。在这里，我们报告了一种无膜乐高颗粒电极 CDI (GCDI) 系统，其中超高质量负载是通过组装碳颗粒电极 (GE) 而不是不断增厚的整体电极来实现的。这种设计避免了由于较长的传输距离和难以接近的内部活性位点而导致的负载增加和离子传输受损之间的传统权衡。在强制对流下，GCDI 会产生离子夹带效应，从而更新 GE 间和 GE 内域中的离子。流体动力学和电化学动力学分析证实了整个电极体积的有效离子传输。因此，GCDI 达到～274 mg cm 的超高质量负载</w:t>
      </w:r>
      <w:r>
        <w:t xml:space="preserve"> </w:t>
      </w:r>
      <w:r>
        <w:t>−2</w:t>
      </w:r>
      <w:r>
        <w:t xml:space="preserve"> </w:t>
      </w:r>
      <w:r>
        <w:t>面积离子通量为 0.59 µmol</w:t>
      </w:r>
      <w:r>
        <w:t xml:space="preserve"> </w:t>
      </w:r>
      <w:r>
        <w:t>氯化钠</w:t>
      </w:r>
      <w:r>
        <w:t xml:space="preserve"> </w:t>
      </w:r>
      <w:r>
        <w:t>厘米</w:t>
      </w:r>
      <w:r>
        <w:t xml:space="preserve"> </w:t>
      </w:r>
      <w:r>
        <w:t>−2</w:t>
      </w:r>
      <w:r>
        <w:t xml:space="preserve"> </w:t>
      </w:r>
      <w:r>
        <w:t>分钟</w:t>
      </w:r>
      <w:r>
        <w:t xml:space="preserve"> </w:t>
      </w:r>
      <w:r>
        <w:t>−1</w:t>
      </w:r>
      <w:r>
        <w:t xml:space="preserve"> </w:t>
      </w:r>
      <w:r>
        <w:t>，优于大多数流通式和流通式 CDI 系统。即使在 7338 L h 的高面积通量下</w:t>
      </w:r>
      <w:r>
        <w:t xml:space="preserve"> </w:t>
      </w:r>
      <w:r>
        <w:t>−1</w:t>
      </w:r>
      <w:r>
        <w:t xml:space="preserve"> </w:t>
      </w:r>
      <w:r>
        <w:t>米</w:t>
      </w:r>
      <w:r>
        <w:t xml:space="preserve"> </w:t>
      </w:r>
      <w:r>
        <w:t>−2</w:t>
      </w:r>
      <w:r>
        <w:t xml:space="preserve"> </w:t>
      </w:r>
      <w:r>
        <w:t>，它保持了 16.74 µmol 的面积离子捕获能力</w:t>
      </w:r>
      <w:r>
        <w:t xml:space="preserve"> </w:t>
      </w:r>
      <w:r>
        <w:t>氯化钠</w:t>
      </w:r>
      <w:r>
        <w:t xml:space="preserve"> </w:t>
      </w:r>
      <w:r>
        <w:t>厘米</w:t>
      </w:r>
      <w:r>
        <w:t xml:space="preserve"> </w:t>
      </w:r>
      <w:r>
        <w:t>−2</w:t>
      </w:r>
      <w:r>
        <w:t xml:space="preserve"> </w:t>
      </w:r>
      <w:r>
        <w:t>。 GCDI 运行超过 500 个周期，容量保持率约 60%。成本分析和</w:t>
      </w:r>
    </w:p>
    <w:p>
      <w:pPr>
        <w:spacing w:before="0" w:after="200" w:lineRule="auto" w:line="276"/>
      </w:pPr>
      <w:r>
        <w:rPr>
          <w:b/>
        </w:rPr>
        <w:t xml:space="preserve">Abstract (EN): </w:t>
      </w:r>
      <w:r>
        <w:t>Advancing capacitive deionization (CDI) toward practical deployment requires moving beyond low‐mass‐loading, material‐focused demonstrations to high‐volumetric‐loading architectures with high system efficiency. Here, we report a membrane‐free LEGO‐like granular‐electrode CDI (GCDI) system, in which ultrahigh mass loading is achieved by assembling carbon granular electrodes (GE) rather than continuously thickening monolithic electrodes. This design avoids the conventional trade‐off between increased loading and impaired ion transport caused by longer transport distances and inaccessible internal active sites. Under forced convection, GCDI induces an ion‐entrainment effect that renews ions in both inter‐GE and intra‐GE domains. Hydrodynamic and electrochemical kinetic analyses confirm effective ion transport throughout the electrode volume. Consequently, GCDI reaches an ultrahigh mass loading of ∼274 mg cm</w:t>
      </w:r>
      <w:r>
        <w:t xml:space="preserve"> </w:t>
      </w:r>
      <w:r>
        <w:t>−2</w:t>
      </w:r>
      <w:r>
        <w:t xml:space="preserve"> </w:t>
      </w:r>
      <w:r>
        <w:t>and an areal ion flux of 0.59 µmol</w:t>
      </w:r>
      <w:r>
        <w:t xml:space="preserve"> </w:t>
      </w:r>
      <w:r>
        <w:t>NaCl</w:t>
      </w:r>
      <w:r>
        <w:t xml:space="preserve"> </w:t>
      </w:r>
      <w:r>
        <w:t>cm</w:t>
      </w:r>
      <w:r>
        <w:t xml:space="preserve"> </w:t>
      </w:r>
      <w:r>
        <w:t>−2</w:t>
      </w:r>
      <w:r>
        <w:t xml:space="preserve"> </w:t>
      </w:r>
      <w:r>
        <w:t>min</w:t>
      </w:r>
      <w:r>
        <w:t xml:space="preserve"> </w:t>
      </w:r>
      <w:r>
        <w:t>−1</w:t>
      </w:r>
      <w:r>
        <w:t xml:space="preserve"> </w:t>
      </w:r>
      <w:r>
        <w:t>, outperforming most flow‐by and flow‐through CDI systems. Even at a high areal flux of 7338 L h</w:t>
      </w:r>
      <w:r>
        <w:t xml:space="preserve"> </w:t>
      </w:r>
      <w:r>
        <w:t>−1</w:t>
      </w:r>
      <w:r>
        <w:t xml:space="preserve"> </w:t>
      </w:r>
      <w:r>
        <w:t>m</w:t>
      </w:r>
      <w:r>
        <w:t xml:space="preserve"> </w:t>
      </w:r>
      <w:r>
        <w:t>−2</w:t>
      </w:r>
      <w:r>
        <w:t xml:space="preserve"> </w:t>
      </w:r>
      <w:r>
        <w:t>, it maintains an areal ion‐capture capacity of 16.74 µmol</w:t>
      </w:r>
      <w:r>
        <w:t xml:space="preserve"> </w:t>
      </w:r>
      <w:r>
        <w:t>NaCl</w:t>
      </w:r>
      <w:r>
        <w:t xml:space="preserve"> </w:t>
      </w:r>
      <w:r>
        <w:t>cm</w:t>
      </w:r>
      <w:r>
        <w:t xml:space="preserve"> </w:t>
      </w:r>
      <w:r>
        <w:t>−2</w:t>
      </w:r>
      <w:r>
        <w:t xml:space="preserve"> </w:t>
      </w:r>
      <w:r>
        <w:t>. GCDI operates for over 500 cycles with ∼60% capacity retention. Cost analysis and carbon footprint estimates further indicate reduced electrode, membrane, and electricity‐related burdens for membrane‐free GCDI. These results establish membrane‐free GCDI as a scalable structural strategy for improving CDI system efficiency in practical saline and complex water treatment.</w:t>
      </w:r>
    </w:p>
    <w:p>
      <w:pPr>
        <w:spacing w:before="120" w:after="120"/>
      </w:pPr>
      <w:r>
        <w:rPr>
          <w:sz w:val="18"/>
        </w:rPr>
        <w:t>——————————————————————————————————————————————————————————————————————</w:t>
      </w:r>
    </w:p>
    <w:p>
      <w:pPr>
        <w:spacing w:before="160" w:after="40" w:line="240" w:lineRule="auto"/>
      </w:pPr>
      <w:r>
        <w:rPr>
          <w:b/>
        </w:rPr>
        <w:t xml:space="preserve">[24] </w:t>
      </w:r>
      <w:hyperlink r:id="rId285">
        <w:r>
          <w:rPr>
            <w:color w:val="1155CC"/>
            <w:u w:val="single"/>
          </w:rPr>
          <w:t>轴向硫连接解锁了 p 区铝单原子的刚性，可加速氧还原</w:t>
        </w:r>
      </w:hyperlink>
    </w:p>
    <w:p>
      <w:pPr>
        <w:spacing w:before="0" w:after="80"/>
      </w:pPr>
      <w:r>
        <w:rPr>
          <w:i/>
          <w:sz w:val="20"/>
        </w:rPr>
        <w:t>EN: Axial Sulfur Ligation Unlocks the Rigidity of p‐Block Aluminum Single‐Atoms for Accelerated Oxygen Reduction</w:t>
      </w:r>
    </w:p>
    <w:p>
      <w:pPr>
        <w:spacing w:before="0" w:after="120"/>
      </w:pPr>
      <w:r>
        <w:rPr>
          <w:b/>
        </w:rPr>
        <w:t xml:space="preserve">Source: </w:t>
      </w:r>
      <w:r>
        <w:t>Wiley: Angewandte Chemie International Edition: Table of Contents</w:t>
      </w:r>
      <w:r>
        <w:t xml:space="preserve">    </w:t>
      </w:r>
      <w:r>
        <w:rPr>
          <w:b/>
        </w:rPr>
        <w:t xml:space="preserve">Pub date: </w:t>
      </w:r>
      <w:r>
        <w:t>2026-08-26 04:20:31+00:00</w:t>
      </w:r>
      <w:r>
        <w:t xml:space="preserve">    </w:t>
      </w:r>
      <w:r>
        <w:rPr>
          <w:b/>
        </w:rPr>
        <w:t xml:space="preserve">DOI: </w:t>
      </w:r>
      <w:hyperlink r:id="rId286">
        <w:r>
          <w:rPr>
            <w:color w:val="1155CC"/>
            <w:u w:val="single"/>
          </w:rPr>
          <w:t>10.1002/anie.4525727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主族单原子催化剂 (SAC) 具有改进的芬顿耐受性，但由于刚性、离域 s/p 带而存在催化惰性。在此，我们报告了一种有针对性的“p带工程”策略，通过轴向硫配位结构（AlN</w:t>
      </w:r>
      <w:r>
        <w:rPr>
          <w:vertAlign w:val="subscript"/>
        </w:rPr>
        <w:t>4</w:t>
      </w:r>
      <w:r>
        <w:t>‐S）。理论和光谱分析表明，这种不对称 S 连接驱动垂直电荷极化并移动自旋和占据的 Al</w:t>
      </w:r>
      <w:r>
        <w:t xml:space="preserve"> </w:t>
      </w:r>
      <w:r>
        <w:t>p</w:t>
      </w:r>
      <w:r>
        <w:t xml:space="preserve"> </w:t>
      </w:r>
      <w:r>
        <w:t>z</w:t>
      </w:r>
      <w:r>
        <w:t xml:space="preserve"> </w:t>
      </w:r>
      <w:r>
        <w:t>‐状态质心。这些耦合变化通过减轻过强的 Al-*OH 热力学汇来重新平衡含氧中间体吸附，将电势决定步骤转移到 *OOH 形成，最大上坡自由能变化为 0.61 eV</w:t>
      </w:r>
      <w:r>
        <w:t xml:space="preserve"> </w:t>
      </w:r>
      <w:r>
        <w:t>U</w:t>
      </w:r>
      <w:r>
        <w:t xml:space="preserve"> </w:t>
      </w:r>
      <w:r>
        <w:t>= 1.23 V。原位 ATR-SEIRAS 和原位 DRT 阻抗支持更容易的中间进展并降低电荷转移电阻。因此，工程化的 AlSNC 催化剂的 ORR 半波电位为 0.920 V。在实际的锌空气电池中，它达到了 185.6 mW cm</w:t>
      </w:r>
      <w:r>
        <w:t xml:space="preserve"> </w:t>
      </w:r>
      <w:r>
        <w:t>−2</w:t>
      </w:r>
      <w:r>
        <w:t xml:space="preserve"> </w:t>
      </w:r>
      <w:r>
        <w:t>根据报告的循环协议，峰值功率密度和运行时间超过 1500 小时。这项工作为配体诱导的 p 带调制提供了一个框架，将芬顿阻力与高电催化活性结合起来。</w:t>
      </w:r>
    </w:p>
    <w:p>
      <w:pPr>
        <w:spacing w:before="0" w:after="200" w:lineRule="auto" w:line="276"/>
      </w:pPr>
      <w:r>
        <w:rPr>
          <w:b/>
        </w:rPr>
        <w:t xml:space="preserve">Abstract (EN): </w:t>
      </w:r>
      <w:r>
        <w:t>Main‐group single‐atom catalysts (SACs) offer improved Fenton resistance but suffer from catalytic inertness due to rigid, delocalized s/p‐bands. Herein, we report a targeted “p‐band engineering” strategy to unlock the oxygen reduction reaction (ORR) activity of aluminum via an axially sulfur‐coordinated architecture (AlN</w:t>
      </w:r>
      <w:r>
        <w:rPr>
          <w:vertAlign w:val="subscript"/>
        </w:rPr>
        <w:t>4</w:t>
      </w:r>
      <w:r>
        <w:t>‐S). Theoretical and spectroscopic analyses indicate that this asymmetric S‐ligation drives vertical charge polarization and shifts the spin‐summed occupied Al</w:t>
      </w:r>
      <w:r>
        <w:t xml:space="preserve"> </w:t>
      </w:r>
      <w:r>
        <w:t>p</w:t>
      </w:r>
      <w:r>
        <w:t xml:space="preserve"> </w:t>
      </w:r>
      <w:r>
        <w:t>z</w:t>
      </w:r>
      <w:r>
        <w:t xml:space="preserve"> </w:t>
      </w:r>
      <w:r>
        <w:t>‐state centroid. These coupled changes rebalance oxygenated‐intermediate adsorption by mitigating the overly strong Al–*OH thermodynamic sink, shifting the potential‐determining step to *OOH formation with a maximum uphill free‐energy change of 0.61 eV at</w:t>
      </w:r>
      <w:r>
        <w:t xml:space="preserve"> </w:t>
      </w:r>
      <w:r>
        <w:t>U</w:t>
      </w:r>
      <w:r>
        <w:t xml:space="preserve"> </w:t>
      </w:r>
      <w:r>
        <w:t>= 1.23 V. In situ ATR‐SEIRAS and in situ DRT impedance support more facile intermediate progression and reduced charge‐transfer resistance. Consequently, the engineered AlSNC catalyst delivers an ORR half‐wave potential of 0.920 V. In practical zinc‐air batteries, it achieves a 185.6 mW cm</w:t>
      </w:r>
      <w:r>
        <w:t xml:space="preserve"> </w:t>
      </w:r>
      <w:r>
        <w:t>−2</w:t>
      </w:r>
      <w:r>
        <w:t xml:space="preserve"> </w:t>
      </w:r>
      <w:r>
        <w:t>peak power density and operation for over 1500 h under the reported cycling protocol. This work provides a framework for ligand‐induced p‐band modulation that combines Fenton resistance with high electrocatalytic activity.</w:t>
      </w:r>
    </w:p>
    <w:p>
      <w:pPr>
        <w:spacing w:before="120" w:after="120"/>
      </w:pPr>
      <w:r>
        <w:rPr>
          <w:sz w:val="18"/>
        </w:rPr>
        <w:t>——————————————————————————————————————————————————————————————————————</w:t>
      </w:r>
    </w:p>
    <w:p>
      <w:pPr>
        <w:spacing w:before="160" w:after="40" w:line="240" w:lineRule="auto"/>
      </w:pPr>
      <w:r>
        <w:rPr>
          <w:b/>
        </w:rPr>
        <w:t xml:space="preserve">[25] </w:t>
      </w:r>
      <w:hyperlink r:id="rId287">
        <w:r>
          <w:rPr>
            <w:color w:val="1155CC"/>
            <w:u w:val="single"/>
          </w:rPr>
          <w:t>高能量密度可充电铝电池先进阴极的热力学引导筛选和机理见解</w:t>
        </w:r>
      </w:hyperlink>
    </w:p>
    <w:p>
      <w:pPr>
        <w:spacing w:before="0" w:after="80"/>
      </w:pPr>
      <w:r>
        <w:rPr>
          <w:i/>
          <w:sz w:val="20"/>
        </w:rPr>
        <w:t>EN: Thermodynamics‐Guided Screening and Mechanistic Insights for Advanced Cathodes Toward High‐Energy‐Density Rechargeable Aluminum Batteries</w:t>
      </w:r>
    </w:p>
    <w:p>
      <w:pPr>
        <w:spacing w:before="0" w:after="120"/>
      </w:pPr>
      <w:r>
        <w:rPr>
          <w:b/>
        </w:rPr>
        <w:t xml:space="preserve">Source: </w:t>
      </w:r>
      <w:r>
        <w:t>Wiley: Advanced Materials: Table of Contents</w:t>
      </w:r>
      <w:r>
        <w:t xml:space="preserve">    </w:t>
      </w:r>
      <w:r>
        <w:rPr>
          <w:b/>
        </w:rPr>
        <w:t xml:space="preserve">Pub date: </w:t>
      </w:r>
      <w:r>
        <w:t>2026-08-26 05:31:50+00:00</w:t>
      </w:r>
      <w:r>
        <w:t xml:space="preserve">    </w:t>
      </w:r>
      <w:r>
        <w:rPr>
          <w:b/>
        </w:rPr>
        <w:t xml:space="preserve">DOI: </w:t>
      </w:r>
      <w:hyperlink r:id="rId288">
        <w:r>
          <w:rPr>
            <w:color w:val="1155CC"/>
            <w:u w:val="single"/>
          </w:rPr>
          <w:t>10.1002/adma.74803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高能量密度仍然是可充电铝电池（RAB）最关键的挑战，特别是对于在酸性离子液体（IL）电解质中工作电压相对较低的高容量过渡金属基正极。在这里，我们提出了一种热力学引导的筛选范例，其中理论氧化还原电位是根据能斯特方程和吉布斯自由能（Δ</w:t>
      </w:r>
      <w:r>
        <w:t xml:space="preserve"> </w:t>
      </w:r>
      <w:r>
        <w:t>G</w:t>
      </w:r>
      <w:r>
        <w:t xml:space="preserve"> </w:t>
      </w:r>
      <w:r>
        <w:t>），从而有效预测和筛选高工作电压的正极。以此为基础，我们合成了Co</w:t>
      </w:r>
      <w:r>
        <w:rPr>
          <w:vertAlign w:val="subscript"/>
        </w:rPr>
        <w:t>3</w:t>
      </w:r>
      <w:r>
        <w:t>（采购订单</w:t>
      </w:r>
      <w:r>
        <w:rPr>
          <w:vertAlign w:val="subscript"/>
        </w:rPr>
        <w:t>4</w:t>
      </w:r>
      <w:r>
        <w:t>）</w:t>
      </w:r>
      <w:r>
        <w:rPr>
          <w:vertAlign w:val="subscript"/>
        </w:rPr>
        <w:t>2</w:t>
      </w:r>
      <w:r>
        <w:t>具有独特的晶体结构，进一步用作模型阴极来验证上述理论筛选策略的可行性。电化学测试表明 Al||Co</w:t>
      </w:r>
      <w:r>
        <w:rPr>
          <w:vertAlign w:val="subscript"/>
        </w:rPr>
        <w:t>3</w:t>
      </w:r>
      <w:r>
        <w:t>（采购订单</w:t>
      </w:r>
      <w:r>
        <w:rPr>
          <w:vertAlign w:val="subscript"/>
        </w:rPr>
        <w:t>4</w:t>
      </w:r>
      <w:r>
        <w:t>）</w:t>
      </w:r>
      <w:r>
        <w:rPr>
          <w:vertAlign w:val="subscript"/>
        </w:rPr>
        <w:t>2</w:t>
      </w:r>
      <w:r>
        <w:t>电池的工作电压范围为 1.20–1.50 V，比容量为 198.01 mAh g</w:t>
      </w:r>
      <w:r>
        <w:t xml:space="preserve"> </w:t>
      </w:r>
      <w:r>
        <w:t>-</w:t>
      </w:r>
      <w:r>
        <w:rPr>
          <w:vertAlign w:val="subscript"/>
        </w:rPr>
        <w:t>1</w:t>
      </w:r>
      <w:r>
        <w:t>以及 247.4 Wh kg 的超高能量密度</w:t>
      </w:r>
      <w:r>
        <w:t xml:space="preserve"> </w:t>
      </w:r>
      <w:r>
        <w:t>-</w:t>
      </w:r>
      <w:r>
        <w:rPr>
          <w:vertAlign w:val="subscript"/>
        </w:rPr>
        <w:t>1</w:t>
      </w:r>
      <w:r>
        <w:t>，这与热力学预测非常一致。重要的是，该电池可以稳定循环超过 14,500 次，容量衰减几乎可以忽略不计。机理分析表明氧化还原机理</w:t>
      </w:r>
    </w:p>
    <w:p>
      <w:pPr>
        <w:spacing w:before="0" w:after="200" w:lineRule="auto" w:line="276"/>
      </w:pPr>
      <w:r>
        <w:rPr>
          <w:b/>
        </w:rPr>
        <w:t xml:space="preserve">Abstract (EN): </w:t>
      </w:r>
      <w:r>
        <w:t>Achieving high energy density remains the most critical challenge for rechargeable aluminum batteries (RABs), especially for high‐capacity transition metal‐based cathodes suffering from relatively low working voltage in acidic ionic liquid (IL) electrolytes. Here, we propose a thermodynamics‐guided screening paradigm, in which the theoretical redox potentials are derived and calculated from the Nernst equation and Gibbs free energy (Δ</w:t>
      </w:r>
      <w:r>
        <w:t xml:space="preserve"> </w:t>
      </w:r>
      <w:r>
        <w:t>G</w:t>
      </w:r>
      <w:r>
        <w:t xml:space="preserve"> </w:t>
      </w:r>
      <w:r>
        <w:t>), thereby effectively predicting and screening cathodes with high working voltage. Based on this, we synthesize Co</w:t>
      </w:r>
      <w:r>
        <w:rPr>
          <w:vertAlign w:val="subscript"/>
        </w:rPr>
        <w:t>3</w:t>
      </w:r>
      <w:r>
        <w:t>(PO</w:t>
      </w:r>
      <w:r>
        <w:rPr>
          <w:vertAlign w:val="subscript"/>
        </w:rPr>
        <w:t>4</w:t>
      </w:r>
      <w:r>
        <w:t>)</w:t>
      </w:r>
      <w:r>
        <w:rPr>
          <w:vertAlign w:val="subscript"/>
        </w:rPr>
        <w:t>2</w:t>
      </w:r>
      <w:r>
        <w:t>with a distinct crystal structure, which is further employed as a model cathode to validate the feasibility of the abovementioned theoretical screening strategy. Electrochemical tests demonstrate that the Al||Co</w:t>
      </w:r>
      <w:r>
        <w:rPr>
          <w:vertAlign w:val="subscript"/>
        </w:rPr>
        <w:t>3</w:t>
      </w:r>
      <w:r>
        <w:t>(PO</w:t>
      </w:r>
      <w:r>
        <w:rPr>
          <w:vertAlign w:val="subscript"/>
        </w:rPr>
        <w:t>4</w:t>
      </w:r>
      <w:r>
        <w:t>)</w:t>
      </w:r>
      <w:r>
        <w:rPr>
          <w:vertAlign w:val="subscript"/>
        </w:rPr>
        <w:t>2</w:t>
      </w:r>
      <w:r>
        <w:t>cell operates at a range of 1.20–1.50 V with a specific capacity of 198.01 mAh g</w:t>
      </w:r>
      <w:r>
        <w:t xml:space="preserve"> </w:t>
      </w:r>
      <w:r>
        <w:t>−</w:t>
      </w:r>
      <w:r>
        <w:rPr>
          <w:vertAlign w:val="subscript"/>
        </w:rPr>
        <w:t>1</w:t>
      </w:r>
      <w:r>
        <w:t>and an ultra‐high energy density of 247.4 Wh kg</w:t>
      </w:r>
      <w:r>
        <w:t xml:space="preserve"> </w:t>
      </w:r>
      <w:r>
        <w:t>−</w:t>
      </w:r>
      <w:r>
        <w:rPr>
          <w:vertAlign w:val="subscript"/>
        </w:rPr>
        <w:t>1</w:t>
      </w:r>
      <w:r>
        <w:t>, which is in excellent agreement with the thermodynamic predictions. Importantly, the cell could stably cycle for over 14 500 cycles with almost negligible capacity decay. Mechanistic analyses indicate that redox mechanism mainly involves Al</w:t>
      </w:r>
      <w:r>
        <w:t xml:space="preserve"> </w:t>
      </w:r>
      <w:r>
        <w:t>3+</w:t>
      </w:r>
      <w:r>
        <w:t xml:space="preserve"> </w:t>
      </w:r>
      <w:r>
        <w:t>adsorption/desorption and shallow intercalation/de‐intercalation processes. On balance, this simple and universal strategy offers an insightful idea for enhancing the working voltage of cathodes, while providing clear design guidelines for the development of high‐energy‐density energy storage systems.</w:t>
      </w:r>
    </w:p>
    <w:p>
      <w:pPr>
        <w:spacing w:before="120" w:after="120"/>
      </w:pPr>
      <w:r>
        <w:rPr>
          <w:sz w:val="18"/>
        </w:rPr>
        <w:t>——————————————————————————————————————————————————————————————————————</w:t>
      </w:r>
    </w:p>
    <w:p>
      <w:pPr>
        <w:spacing w:before="160" w:after="40" w:line="240" w:lineRule="auto"/>
      </w:pPr>
      <w:r>
        <w:rPr>
          <w:b/>
        </w:rPr>
        <w:t xml:space="preserve">[26] </w:t>
      </w:r>
      <w:hyperlink r:id="rId289">
        <w:r>
          <w:rPr>
            <w:color w:val="1155CC"/>
            <w:u w:val="single"/>
          </w:rPr>
          <w:t>用于电催化氧还原反应的无金属氧化还原活性共价有机框架</w:t>
        </w:r>
      </w:hyperlink>
    </w:p>
    <w:p>
      <w:pPr>
        <w:spacing w:before="0" w:after="80"/>
      </w:pPr>
      <w:r>
        <w:rPr>
          <w:i/>
          <w:sz w:val="20"/>
        </w:rPr>
        <w:t>EN: Metal-free redox active covalent organic frameworks for electrocatalytic oxygen reduction reaction</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290">
        <w:r>
          <w:rPr>
            <w:color w:val="1155CC"/>
            <w:u w:val="single"/>
          </w:rPr>
          <w:t>10.1126/sciadv.aee3092</w:t>
        </w:r>
      </w:hyperlink>
    </w:p>
    <w:p>
      <w:pPr>
        <w:spacing w:before="0" w:after="120"/>
      </w:pPr>
      <w:r>
        <w:rPr>
          <w:b/>
        </w:rPr>
        <w:t xml:space="preserve">Notes: </w:t>
      </w:r>
      <w:r>
        <w:t>abstract_source=crossref</w:t>
      </w:r>
    </w:p>
    <w:p>
      <w:pPr>
        <w:spacing w:before="0" w:after="80" w:lineRule="auto" w:line="276"/>
      </w:pPr>
      <w:r>
        <w:rPr>
          <w:b/>
        </w:rPr>
        <w:t xml:space="preserve">摘要（ZH）: </w:t>
      </w:r>
      <w:r>
        <w:t>由于其结构可调性和稳定性，设计高效、无金属的共价有机骨架（COF）电催化剂是氧还原反应（ORR）的一种有前途的策略。在此，我们报告了两种氧化还原活性供体-受体COF，TAPA-DHTD和TTT-DHTD，其中结合了基于噻吩的二噻吩二酮（DHTD）单元。其中，TTT-DHTD表现出优异的ORR性能，具有半波潜力（E</w:t>
      </w:r>
      <w:r>
        <w:t xml:space="preserve"> </w:t>
      </w:r>
      <w:r>
        <w:t>1/2</w:t>
      </w:r>
      <w:r>
        <w:t xml:space="preserve"> </w:t>
      </w:r>
      <w:r>
        <w:t>）相对于 RHE 的电压为 0.82 V，接近 20% Pt/C (0.85 V)，并超过大多数报道的无金属 COF。它还具有出色的甲醇耐受性和长期耐久性，可保持活性超过 120 小时。密度泛函理论（DFT）计算表明，供体-受体框架优化了</w:t>
      </w:r>
      <w:r>
        <w:t xml:space="preserve"> </w:t>
      </w:r>
      <w:r>
        <w:t>p</w:t>
      </w:r>
      <w:r>
        <w:t xml:space="preserve"> </w:t>
      </w:r>
      <w:r>
        <w:t>-带中心，增强电荷分离，并改善含氧中间体的吸附，从而加速 ORR 动力学。这项工作为设计用于可持续能源应用的耐用、高性能无金属电催化剂提供了合理的策略。</w:t>
      </w:r>
    </w:p>
    <w:p>
      <w:pPr>
        <w:spacing w:before="0" w:after="200" w:lineRule="auto" w:line="276"/>
      </w:pPr>
      <w:r>
        <w:rPr>
          <w:b/>
        </w:rPr>
        <w:t xml:space="preserve">Abstract (EN): </w:t>
      </w:r>
      <w:r>
        <w:t>Designing efficient, metal-free covalent organic framework (COF) electrocatalysts is a promising strategy for the oxygen reduction reaction (ORR) due to their structural tunability and stability. Herein, we report two redox-active donor–acceptor COFs, TAPA-DHTD and TTT-DHTD, incorporating a thiophene-based dithiophenedione (DHTD) unit. Among them, TTT-DHTD exhibits superior ORR performance with a half-wave potential (E</w:t>
      </w:r>
      <w:r>
        <w:t xml:space="preserve"> </w:t>
      </w:r>
      <w:r>
        <w:t>1/2</w:t>
      </w:r>
      <w:r>
        <w:t xml:space="preserve"> </w:t>
      </w:r>
      <w:r>
        <w:t>) of 0.82 V vs RHE, approaching that of 20% Pt/C (0.85 V) and surpassing most reported metal-free COFs. It also demonstrates excellent methanol tolerance and long-term durability, maintaining activity over 120 hours. Density functional theory (DFT) calculations reveal that the donor–acceptor framework optimizes the</w:t>
      </w:r>
      <w:r>
        <w:t xml:space="preserve"> </w:t>
      </w:r>
      <w:r>
        <w:t>p</w:t>
      </w:r>
      <w:r>
        <w:t xml:space="preserve"> </w:t>
      </w:r>
      <w:r>
        <w:t>-band center, enhances charge separation, and improves adsorption of oxygenated intermediates, thereby accelerating ORR kinetics. This work provides a rational strategy for designing durable, high-performance metal-free electrocatalysts for sustainable energy applications.</w:t>
      </w:r>
    </w:p>
    <w:p>
      <w:pPr>
        <w:spacing w:before="120" w:after="120"/>
      </w:pPr>
      <w:r>
        <w:rPr>
          <w:sz w:val="18"/>
        </w:rPr>
        <w:t>——————————————————————————————————————————————————————————————————————</w:t>
      </w:r>
    </w:p>
    <w:p>
      <w:pPr>
        <w:spacing w:before="160" w:after="40" w:line="240" w:lineRule="auto"/>
      </w:pPr>
      <w:r>
        <w:rPr>
          <w:b/>
        </w:rPr>
        <w:t xml:space="preserve">[27] </w:t>
      </w:r>
      <w:hyperlink r:id="rId291">
        <w:r>
          <w:rPr>
            <w:color w:val="1155CC"/>
            <w:u w:val="single"/>
          </w:rPr>
          <w:t>层状钙钛矿中层间微应变的涌现极性顺序</w:t>
        </w:r>
      </w:hyperlink>
    </w:p>
    <w:p>
      <w:pPr>
        <w:spacing w:before="0" w:after="80"/>
      </w:pPr>
      <w:r>
        <w:rPr>
          <w:i/>
          <w:sz w:val="20"/>
        </w:rPr>
        <w:t>EN: Emergent polar order from interlayer microstrain in layered perovskites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292">
        <w:r>
          <w:rPr>
            <w:color w:val="1155CC"/>
            <w:u w:val="single"/>
          </w:rPr>
          <w:t>10.1126/sciadv.aeg3509</w:t>
        </w:r>
      </w:hyperlink>
    </w:p>
    <w:p>
      <w:pPr>
        <w:spacing w:before="0" w:after="120"/>
      </w:pPr>
      <w:r>
        <w:rPr>
          <w:b/>
        </w:rPr>
        <w:t xml:space="preserve">Notes: </w:t>
      </w:r>
      <w:r>
        <w:t>abstract_source=crossref</w:t>
      </w:r>
    </w:p>
    <w:p>
      <w:pPr>
        <w:spacing w:before="0" w:after="80" w:lineRule="auto" w:line="276"/>
      </w:pPr>
      <w:r>
        <w:rPr>
          <w:b/>
        </w:rPr>
        <w:t xml:space="preserve">摘要（ZH）: </w:t>
      </w:r>
      <w:r>
        <w:t>具有可切换极化和非线​​性介电响应的铁电材料是可重构通信系统的有希望的候选材料。然而，它们的实际使用受到固有的权衡的限制：大的介电可调谐性通常伴随着高介电常数和增加的损耗。层状钙钛矿氧化物，例如 Sr</w:t>
      </w:r>
      <w:r>
        <w:rPr>
          <w:vertAlign w:val="subscript"/>
        </w:rPr>
        <w:t>2</w:t>
      </w:r>
      <w:r>
        <w:t>塔</w:t>
      </w:r>
      <w:r>
        <w:rPr>
          <w:vertAlign w:val="subscript"/>
        </w:rPr>
        <w:t>2</w:t>
      </w:r>
      <w:r>
        <w:t>氧</w:t>
      </w:r>
      <w:r>
        <w:rPr>
          <w:vertAlign w:val="subscript"/>
        </w:rPr>
        <w:t>7</w:t>
      </w:r>
      <w:r>
        <w:t>表现出本质上的低介电常数和低损耗，但它们的中心对称结构限制了可调谐性。在这里，我们引入了微妙的层间微应变（Ca</w:t>
      </w:r>
      <w:r>
        <w:t xml:space="preserve"> </w:t>
      </w:r>
      <w:r>
        <w:t>x</w:t>
      </w:r>
      <w:r>
        <w:t xml:space="preserve"> </w:t>
      </w:r>
      <w:r>
        <w:t>锶</w:t>
      </w:r>
      <w:r>
        <w:t xml:space="preserve"> </w:t>
      </w:r>
      <w:r>
        <w:t>1-</w:t>
      </w:r>
      <w:r>
        <w:t>x</w:t>
      </w:r>
      <w:r>
        <w:t xml:space="preserve"> </w:t>
      </w:r>
      <w:r>
        <w:t>）</w:t>
      </w:r>
      <w:r>
        <w:rPr>
          <w:vertAlign w:val="subscript"/>
        </w:rPr>
        <w:t>2</w:t>
      </w:r>
      <w:r>
        <w:t>塔</w:t>
      </w:r>
      <w:r>
        <w:rPr>
          <w:vertAlign w:val="subscript"/>
        </w:rPr>
        <w:t>2</w:t>
      </w:r>
      <w:r>
        <w:t>氧</w:t>
      </w:r>
      <w:r>
        <w:rPr>
          <w:vertAlign w:val="subscript"/>
        </w:rPr>
        <w:t>7</w:t>
      </w:r>
      <w:r>
        <w:t>通过位点选择性 Ca 取代。由此产生的微应变梯度和邻近 Ta2O 的不对称变形</w:t>
      </w:r>
      <w:r>
        <w:rPr>
          <w:vertAlign w:val="subscript"/>
        </w:rPr>
        <w:t>6</w:t>
      </w:r>
      <w:r>
        <w:t>八面体打破局部反演对称性，并在非极性基质内诱导动态极性纳米团簇。这种配置可实现强大的可调谐性，同时在整个宽带频谱上保持低介电常数和最小损耗。的</w:t>
      </w:r>
      <w:r>
        <w:t xml:space="preserve"> </w:t>
      </w:r>
      <w:r>
        <w:t>x</w:t>
      </w:r>
      <w:r>
        <w:t xml:space="preserve"> </w:t>
      </w:r>
      <w:r>
        <w:t>= 0.08 成分显示出最佳性能，并可在施加电场下在原型天线系统中实现灵活的频率调谐</w:t>
      </w:r>
    </w:p>
    <w:p>
      <w:pPr>
        <w:spacing w:before="0" w:after="200" w:lineRule="auto" w:line="276"/>
      </w:pPr>
      <w:r>
        <w:rPr>
          <w:b/>
        </w:rPr>
        <w:t xml:space="preserve">Abstract (EN): </w:t>
      </w:r>
      <w:r>
        <w:t>Ferroelectric materials with switchable polarization and nonlinear dielectric responses are promising candidates for reconfigurable communication systems. However, their practical use is limited by an inherent trade-off: large dielectric tunability is usually accompanied by high dielectric permittivity and increased loss. Layered perovskite oxides such as Sr</w:t>
      </w:r>
      <w:r>
        <w:rPr>
          <w:vertAlign w:val="subscript"/>
        </w:rPr>
        <w:t>2</w:t>
      </w:r>
      <w:r>
        <w:t>Ta</w:t>
      </w:r>
      <w:r>
        <w:rPr>
          <w:vertAlign w:val="subscript"/>
        </w:rPr>
        <w:t>2</w:t>
      </w:r>
      <w:r>
        <w:t>O</w:t>
      </w:r>
      <w:r>
        <w:rPr>
          <w:vertAlign w:val="subscript"/>
        </w:rPr>
        <w:t>7</w:t>
      </w:r>
      <w:r>
        <w:t>exhibit intrinsically low dielectric permittivity and low loss, but their centrosymmetric structure limits tunability. Here, we introduce subtle interlayer microstrain in (Ca</w:t>
      </w:r>
      <w:r>
        <w:t xml:space="preserve"> </w:t>
      </w:r>
      <w:r>
        <w:t>x</w:t>
      </w:r>
      <w:r>
        <w:t xml:space="preserve"> </w:t>
      </w:r>
      <w:r>
        <w:t>Sr</w:t>
      </w:r>
      <w:r>
        <w:t xml:space="preserve"> </w:t>
      </w:r>
      <w:r>
        <w:t>1-</w:t>
      </w:r>
      <w:r>
        <w:t>x</w:t>
      </w:r>
      <w:r>
        <w:t xml:space="preserve"> </w:t>
      </w:r>
      <w:r>
        <w:t>)</w:t>
      </w:r>
      <w:r>
        <w:rPr>
          <w:vertAlign w:val="subscript"/>
        </w:rPr>
        <w:t>2</w:t>
      </w:r>
      <w:r>
        <w:t>Ta</w:t>
      </w:r>
      <w:r>
        <w:rPr>
          <w:vertAlign w:val="subscript"/>
        </w:rPr>
        <w:t>2</w:t>
      </w:r>
      <w:r>
        <w:t>O</w:t>
      </w:r>
      <w:r>
        <w:rPr>
          <w:vertAlign w:val="subscript"/>
        </w:rPr>
        <w:t>7</w:t>
      </w:r>
      <w:r>
        <w:t>via site-selective Ca substitution. The resulting microstrain gradients and asymmetric distortions of neighboring TaO</w:t>
      </w:r>
      <w:r>
        <w:rPr>
          <w:vertAlign w:val="subscript"/>
        </w:rPr>
        <w:t>6</w:t>
      </w:r>
      <w:r>
        <w:t>octahedra break local inversion symmetry and induce dynamic polar nanoclusters within an otherwise nonpolar matrix. This configuration enables strong tunability while maintaining low dielectric permittivity and minimal loss across the broadband spectrum. The</w:t>
      </w:r>
      <w:r>
        <w:t xml:space="preserve"> </w:t>
      </w:r>
      <w:r>
        <w:t>x</w:t>
      </w:r>
      <w:r>
        <w:t xml:space="preserve"> </w:t>
      </w:r>
      <w:r>
        <w:t>= 0.08 composition shows optimal performance and enables agile frequency tuning in prototype antenna systems under applied electric fields or thermal stimulus. These findings establish interlayer microstrain engineering as a paradigm for designing high-performance, lead-free tunable microwave dielectrics for adaptive communication technologies.</w:t>
      </w:r>
    </w:p>
    <w:p>
      <w:pPr>
        <w:spacing w:before="120" w:after="120"/>
      </w:pPr>
      <w:r>
        <w:rPr>
          <w:sz w:val="18"/>
        </w:rPr>
        <w:t>——————————————————————————————————————————————————————————————————————</w:t>
      </w:r>
    </w:p>
    <w:p>
      <w:pPr>
        <w:spacing w:before="160" w:after="40" w:line="240" w:lineRule="auto"/>
      </w:pPr>
      <w:r>
        <w:rPr>
          <w:b/>
        </w:rPr>
        <w:t xml:space="preserve">[28] </w:t>
      </w:r>
      <w:hyperlink r:id="rId293">
        <w:r>
          <w:rPr>
            <w:color w:val="1155CC"/>
            <w:u w:val="single"/>
          </w:rPr>
          <w:t>热循环诱导氮化增加了钛酸盐铁电薄膜的能量存储密度</w:t>
        </w:r>
      </w:hyperlink>
    </w:p>
    <w:p>
      <w:pPr>
        <w:spacing w:before="0" w:after="80"/>
      </w:pPr>
      <w:r>
        <w:rPr>
          <w:i/>
          <w:sz w:val="20"/>
        </w:rPr>
        <w:t>EN: Thermal cycling–induced nitriding increases energy-storage density in titanate ferroelectric films</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294">
        <w:r>
          <w:rPr>
            <w:color w:val="1155CC"/>
            <w:u w:val="single"/>
          </w:rPr>
          <w:t>10.1126/science.aeb5274</w:t>
        </w:r>
      </w:hyperlink>
    </w:p>
    <w:p>
      <w:pPr>
        <w:spacing w:before="0" w:after="120"/>
      </w:pPr>
      <w:r>
        <w:rPr>
          <w:b/>
        </w:rPr>
        <w:t xml:space="preserve">Notes: </w:t>
      </w:r>
      <w:r>
        <w:t>abstract_source=crossref</w:t>
      </w:r>
    </w:p>
    <w:p>
      <w:pPr>
        <w:spacing w:before="0" w:after="80" w:lineRule="auto" w:line="276"/>
      </w:pPr>
      <w:r>
        <w:rPr>
          <w:b/>
        </w:rPr>
        <w:t xml:space="preserve">摘要（ZH）: </w:t>
      </w:r>
      <w:r>
        <w:t>提高介电储能密度（</w:t>
      </w:r>
      <w:r>
        <w:t xml:space="preserve"> </w:t>
      </w:r>
      <w:r>
        <w:t>U</w:t>
      </w:r>
      <w:r>
        <w:t xml:space="preserve"> </w:t>
      </w:r>
      <w:r>
        <w:t>e</w:t>
      </w:r>
      <w:r>
        <w:t xml:space="preserve"> </w:t>
      </w:r>
      <w:r>
        <w:t>）需要最大化最大和剩余极化之间的差异（Δ</w:t>
      </w:r>
      <w:r>
        <w:t xml:space="preserve"> </w:t>
      </w:r>
      <w:r>
        <w:t>磷</w:t>
      </w:r>
      <w:r>
        <w:t xml:space="preserve"> </w:t>
      </w:r>
      <w:r>
        <w:t>）。改善Δ</w:t>
      </w:r>
      <w:r>
        <w:t xml:space="preserve"> </w:t>
      </w:r>
      <w:r>
        <w:t>磷</w:t>
      </w:r>
      <w:r>
        <w:t xml:space="preserve"> </w:t>
      </w:r>
      <w:r>
        <w:t>仍然具有根本性的挑战，因为现有策略很少同时实现高最大极化和低剩余极化。我们引入了一种后合成处理方法，即低温热循环，其中液氮渗透薄膜，然后快速循环至 100°C。这个过程显着增加了Δ</w:t>
      </w:r>
      <w:r>
        <w:t xml:space="preserve"> </w:t>
      </w:r>
      <w:r>
        <w:t>磷</w:t>
      </w:r>
      <w:r>
        <w:t xml:space="preserve"> </w:t>
      </w:r>
      <w:r>
        <w:t>通过氧空位介导的氮杂化，在氧化物铁电钛酸盐薄膜中达到每平方厘米 105 微库仑。使用这种方法，我们增加了</w:t>
      </w:r>
      <w:r>
        <w:t xml:space="preserve"> </w:t>
      </w:r>
      <w:r>
        <w:t>U</w:t>
      </w:r>
      <w:r>
        <w:t xml:space="preserve"> </w:t>
      </w:r>
      <w:r>
        <w:t>e</w:t>
      </w:r>
      <w:r>
        <w:t xml:space="preserve"> </w:t>
      </w:r>
      <w:r>
        <w:t>达到 261 焦耳/立方厘米，效率接近 80%。这种方法广泛适用于厚度从纳米到微米尺度的各种薄膜材料，为克服Δ关键瓶颈提供了一种简便且经济高效的途径。</w:t>
      </w:r>
      <w:r>
        <w:t xml:space="preserve"> </w:t>
      </w:r>
      <w:r>
        <w:t>磷</w:t>
      </w:r>
      <w:r>
        <w:t xml:space="preserve"> </w:t>
      </w:r>
      <w:r>
        <w:t>和</w:t>
      </w:r>
      <w:r>
        <w:t xml:space="preserve"> </w:t>
      </w:r>
      <w:r>
        <w:t>U</w:t>
      </w:r>
      <w:r>
        <w:t xml:space="preserve"> </w:t>
      </w:r>
      <w:r>
        <w:t>e</w:t>
      </w:r>
      <w:r>
        <w:t xml:space="preserve"> </w:t>
      </w:r>
      <w:r>
        <w:t>。</w:t>
      </w:r>
    </w:p>
    <w:p>
      <w:pPr>
        <w:spacing w:before="0" w:after="200" w:lineRule="auto" w:line="276"/>
      </w:pPr>
      <w:r>
        <w:rPr>
          <w:b/>
        </w:rPr>
        <w:t xml:space="preserve">Abstract (EN): </w:t>
      </w:r>
      <w:r>
        <w:t>Enhancing dielectric energy-storage density (</w:t>
      </w:r>
      <w:r>
        <w:t xml:space="preserve"> </w:t>
      </w:r>
      <w:r>
        <w:t>U</w:t>
      </w:r>
      <w:r>
        <w:t xml:space="preserve"> </w:t>
      </w:r>
      <w:r>
        <w:t>e</w:t>
      </w:r>
      <w:r>
        <w:t xml:space="preserve"> </w:t>
      </w:r>
      <w:r>
        <w:t>) requires maximizing the difference between maximum and remanent polarizations (Δ</w:t>
      </w:r>
      <w:r>
        <w:t xml:space="preserve"> </w:t>
      </w:r>
      <w:r>
        <w:t>P</w:t>
      </w:r>
      <w:r>
        <w:t xml:space="preserve"> </w:t>
      </w:r>
      <w:r>
        <w:t>). Improving Δ</w:t>
      </w:r>
      <w:r>
        <w:t xml:space="preserve"> </w:t>
      </w:r>
      <w:r>
        <w:t>P</w:t>
      </w:r>
      <w:r>
        <w:t xml:space="preserve"> </w:t>
      </w:r>
      <w:r>
        <w:t>remains fundamentally challenging, as existing strategies rarely achieve simultaneous high maximum polarization and low remanent polarization. We introduce a postsynthesis treatment method, cryogenic thermal cycling, in which liquid nitrogen infiltrates the film and then is rapidly cycled to 100°C. This process markedly increases Δ</w:t>
      </w:r>
      <w:r>
        <w:t xml:space="preserve"> </w:t>
      </w:r>
      <w:r>
        <w:t>P</w:t>
      </w:r>
      <w:r>
        <w:t xml:space="preserve"> </w:t>
      </w:r>
      <w:r>
        <w:t>to 105 microcoulombs per square centimeter in oxide ferroelectric titanate films through oxygen vacancy–mediated nitrogen hybridization. Using this approach, we increased</w:t>
      </w:r>
      <w:r>
        <w:t xml:space="preserve"> </w:t>
      </w:r>
      <w:r>
        <w:t>U</w:t>
      </w:r>
      <w:r>
        <w:t xml:space="preserve"> </w:t>
      </w:r>
      <w:r>
        <w:t>e</w:t>
      </w:r>
      <w:r>
        <w:t xml:space="preserve"> </w:t>
      </w:r>
      <w:r>
        <w:t>to 261 joules per cubic centimeter with an efficiency approaching 80%. This approach is broadly applicable to diverse film materials with thicknesses spanning the nano- to microscale, offering a facile and cost-effective route to overcoming the critical bottleneck in Δ</w:t>
      </w:r>
      <w:r>
        <w:t xml:space="preserve"> </w:t>
      </w:r>
      <w:r>
        <w:t>P</w:t>
      </w:r>
      <w:r>
        <w:t xml:space="preserve"> </w:t>
      </w:r>
      <w:r>
        <w:t>and</w:t>
      </w:r>
      <w:r>
        <w:t xml:space="preserve"> </w:t>
      </w:r>
      <w:r>
        <w:t>U</w:t>
      </w:r>
      <w:r>
        <w:t xml:space="preserve"> </w:t>
      </w:r>
      <w:r>
        <w:t>e</w:t>
      </w:r>
      <w:r>
        <w:t xml:space="preserve"> </w:t>
      </w:r>
      <w:r>
        <w:t>.</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295">
        <w:r>
          <w:rPr>
            <w:color w:val="1155CC"/>
            <w:u w:val="single"/>
          </w:rPr>
          <w:t>具有热能储存功能的小型模块化反应堆在零碳电力系统中的作用：对 75 个国家的技术、经济和弹性分析</w:t>
        </w:r>
      </w:hyperlink>
    </w:p>
    <w:p>
      <w:pPr>
        <w:spacing w:before="0" w:after="80"/>
      </w:pPr>
      <w:r>
        <w:rPr>
          <w:i/>
          <w:sz w:val="20"/>
        </w:rPr>
        <w:t>EN: The role of small modular reactors with thermal energy storage in zero-carbon electricity systems: a technological, economic, and resilience analysis across 75 countries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96">
        <w:r>
          <w:rPr>
            <w:color w:val="1155CC"/>
            <w:u w:val="single"/>
          </w:rPr>
          <w:t>10.1016/j.apenergy.2026.128685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97">
        <w:r>
          <w:rPr>
            <w:color w:val="1155CC"/>
            <w:u w:val="single"/>
          </w:rPr>
          <w:t>各向异性键合 CsAg2I3 中隔热的涡量引起的短程有序</w:t>
        </w:r>
      </w:hyperlink>
    </w:p>
    <w:p>
      <w:pPr>
        <w:spacing w:before="0" w:after="80"/>
      </w:pPr>
      <w:r>
        <w:rPr>
          <w:i/>
          <w:sz w:val="20"/>
        </w:rPr>
        <w:t>EN: Vorticity-induced short-range ordering for heat insulation in anisotropically bonded CsAg2I3</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涡旋运动自然发生在从星系到斯格明子的各种尺度上，影响质量和信息传输的动力学。然而，迄今为止，它对固体晶格动力学的影响很少被探讨，这主要是由于真实材料中强大的原子间键抑制了其组成物质的实际传输。在这里，我们利用同步加速器 X 射线漫散射和非弹性中子散射以及从头算分子动力学模拟来研究偏振声子涡旋模式对固体材料隔热的影响。我们证明了这种涡旋振动及其对 CsAg2I3 隔热的影响，其中各向异性键合的碘原子形成低位横向光学声子，以增强散射相空间。此外，主要由作用于碘位点的手性对称操作产生的涡旋模式引起原子团簇的二维短程排序，导致声子散射中心显着增加，其直径约为2个原始细胞的数量级。这最终导致单晶 CsAg2I3 具有非凡的隔热性能，在室温下表现出低至 0.08 W/m-K 的导热率。该策略建立了隔热材料设计范例，并为声子传输操纵开辟了一条未经探索的途径。</w:t>
      </w:r>
    </w:p>
    <w:p>
      <w:pPr>
        <w:spacing w:before="0" w:after="200" w:lineRule="auto" w:line="276"/>
      </w:pPr>
      <w:r>
        <w:rPr>
          <w:b/>
        </w:rPr>
        <w:t xml:space="preserve">Abstract (EN): </w:t>
      </w:r>
      <w:r>
        <w:t>Vortical motion naturally occurs on various scales, from galaxies to skyrmions, influencing the dynamics of mass and information transport. Yet its impact on lattice dynamics in solids is rarely explored so far, primarily owing to the strong interatomic bonds in real materials that inhibit the actual transport of their constituent species. Here we investigate the effect of vortical modes of polarized phonons on the heat insulation of solid materials using synchrotron X-ray diffuse scattering and inelastic neutron scattering along with ab initio molecular dynamics simulations. We demonstrate this vortical vibration as well as its effect on thermal insulation in CsAg2I3, where the anisotropically bonded iodine atoms form the low-lying transverse optical phonons for enhancing scattering phase space. Moreover, the vortical modes, mainly arising from the chiral symmetric operations acting on the iodine sites, induce two-dimensional short-range-ordering of atomic clusters, lead to a substantially increased phonon scattering centers with a diameter on the order of ~2 primitive cells. This eventually results in extraordinary heat insulation in the single-crystalline CsAg2I3, exhibiting a thermal conductivity as low as 0.08 W/m-K at room temperature. This strategy establishes a material design paradigm for heat insulation and unveils an unexplored avenue for phonon transport manipulation.</w:t>
      </w:r>
    </w:p>
    <w:p>
      <w:pPr>
        <w:spacing w:before="120" w:after="120"/>
      </w:pPr>
      <w:r>
        <w:rPr>
          <w:sz w:val="18"/>
        </w:rPr>
        <w:t>——————————————————————————————————————————————————————————————————————</w:t>
      </w:r>
    </w:p>
    <w:p>
      <w:pPr>
        <w:spacing w:before="160" w:after="40" w:line="240" w:lineRule="auto"/>
      </w:pPr>
      <w:r>
        <w:rPr>
          <w:b/>
        </w:rPr>
        <w:t xml:space="preserve">[3] </w:t>
      </w:r>
      <w:hyperlink r:id="rId298">
        <w:r>
          <w:rPr>
            <w:color w:val="1155CC"/>
            <w:u w:val="single"/>
          </w:rPr>
          <w:t>为网格交互操作提供建筑需求灵活性：从感知和认知到决策、执行和验证</w:t>
        </w:r>
      </w:hyperlink>
    </w:p>
    <w:p>
      <w:pPr>
        <w:spacing w:before="0" w:after="80"/>
      </w:pPr>
      <w:r>
        <w:rPr>
          <w:i/>
          <w:sz w:val="20"/>
        </w:rPr>
        <w:t>EN: Delivering building demand flexibility for grid-interactive operation: from perception and cognition to decision, execution, and verification</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99">
        <w:r>
          <w:rPr>
            <w:color w:val="1155CC"/>
            <w:u w:val="single"/>
          </w:rPr>
          <w:t>10.1016/j.apenergy.2026.128668</w:t>
        </w:r>
      </w:hyperlink>
    </w:p>
    <w:p>
      <w:pPr>
        <w:spacing w:before="0" w:after="120"/>
      </w:pPr>
      <w:r>
        <w:rPr>
          <w:b/>
        </w:rPr>
        <w:t xml:space="preserve">Notes: </w:t>
      </w:r>
      <w:r>
        <w:t>abstract_source=openalex</w:t>
      </w:r>
    </w:p>
    <w:p>
      <w:pPr>
        <w:spacing w:before="0" w:after="80" w:lineRule="auto" w:line="276"/>
      </w:pPr>
      <w:r>
        <w:rPr>
          <w:b/>
        </w:rPr>
        <w:t xml:space="preserve">摘要（ZH）: </w:t>
      </w:r>
      <w:r>
        <w:t>随着建筑和电力系统快速脱碳，建筑的需求灵活性（DF）已成为可再生能源整合、电网可靠性、能源弹性以及高效低碳运营的关键推动因素。通过根据电网要求动态调整建筑能源使用，DF 可以帮助降低建筑运营成本、应对可再生能源的变化、减少峰值需求、缓解网络拥塞并增强整体系统稳定性。因此，大量的研究工作从多个角度审视了构建 DF，包括灵活性定义、资源、表征、评估、优化和应用场景。然而，在建筑物中有效交付 DF 需要一种涵盖感知、认知、决策、执行和验证的集成的端到端方法，这仍然是现有文献中的一个关键差距。本综述通过提出一种分层架构来解决这一差距，该架构将这些阶段集成到一个连贯的框架中，并提供了该领域现有研究的见解。它综合了支持方法，阐明了跨层交互，并检查了数据、模型、控制策略、实施机制和评估方法如何共同支持 DF 交付。确定了关键的跨层挑战，并概述了稳健且值得信赖的 DF 交付的未来研究重点。这项工作为在建筑物中推进可互操作、网格响应和实际可部署的 DF 解决方案奠定了概念基础，支持</w:t>
      </w:r>
    </w:p>
    <w:p>
      <w:pPr>
        <w:spacing w:before="0" w:after="200" w:lineRule="auto" w:line="276"/>
      </w:pPr>
      <w:r>
        <w:rPr>
          <w:b/>
        </w:rPr>
        <w:t xml:space="preserve">Abstract (EN): </w:t>
      </w:r>
      <w:r>
        <w:t>As both buildings and power systems undergo rapid decarbonization, demand flexibility (DF) in buildings has emerged as a key enabler for renewable energy integration, grid reliability, energy resilience, and efficient and low carbon operation. By dynamically adjusting building energy use in response to grid requirements, DF can help reduce building operational costs, respond to renewable variability, reduce peak demand, alleviate network congestion, and enhance overall system stability. Consequently, significant research efforts have examined building DF from multiple perspectives, including flexibility definitions, resources, characterization, assessment, optimization, and application scenarios. However, the effective delivery of DF in buildings requires an integrated, end-to-end approach spanning perception, cognition, decision, execution, and verification, which remains a critical gap in the existing literature. This review addresses this gap by proposing a layered architecture that integrates these stages into a coherent framework and provides insights from existing studies in this field. It synthesizes enabling methods, clarifies cross-layer interactions, and examines how data, models, control strategies, implementation mechanisms, and evaluation approaches collectively support DF delivery. Critical cross-layer challenges are identified, and future research priorities for robust and trustworthy DF delivery are outlined. This work establishes a conceptual foundation for advancing interoperable, grid-responsive, and practically deployable DF solutions in buildings, supporting both building decarbonization and more efficient, resilient grid operation</w:t>
      </w:r>
    </w:p>
    <w:p>
      <w:pPr>
        <w:spacing w:before="120" w:after="120"/>
      </w:pPr>
      <w:r>
        <w:rPr>
          <w:sz w:val="18"/>
        </w:rPr>
        <w:t>——————————————————————————————————————————————————————————————————————</w:t>
      </w:r>
    </w:p>
    <w:p>
      <w:pPr>
        <w:spacing w:before="160" w:after="40" w:line="240" w:lineRule="auto"/>
      </w:pPr>
      <w:r>
        <w:rPr>
          <w:b/>
        </w:rPr>
        <w:t xml:space="preserve">[4] </w:t>
      </w:r>
      <w:hyperlink r:id="rId300">
        <w:r>
          <w:rPr>
            <w:color w:val="1155CC"/>
            <w:u w:val="single"/>
          </w:rPr>
          <w:t>基于非对称双响应开关的 Janus 光热掩模用于动态湿度-热调节</w:t>
        </w:r>
      </w:hyperlink>
    </w:p>
    <w:p>
      <w:pPr>
        <w:spacing w:before="0" w:after="80"/>
      </w:pPr>
      <w:r>
        <w:rPr>
          <w:i/>
          <w:sz w:val="20"/>
        </w:rPr>
        <w:t>EN: Asymmetric Dual-Responsive Switch-Based Janus Photothermal Mask for Dynamic Humidity–Thermal Regulation</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301">
        <w:r>
          <w:rPr>
            <w:color w:val="1155CC"/>
            <w:u w:val="single"/>
          </w:rPr>
          <w:t>10.1021/acsami.6c09132</w:t>
        </w:r>
      </w:hyperlink>
    </w:p>
    <w:p>
      <w:pPr>
        <w:spacing w:before="0" w:after="120"/>
      </w:pPr>
      <w:r>
        <w:rPr>
          <w:b/>
        </w:rPr>
        <w:t xml:space="preserve">Notes: </w:t>
      </w:r>
      <w:r>
        <w:t>abstract_source=crossref</w:t>
      </w:r>
    </w:p>
    <w:p>
      <w:pPr>
        <w:spacing w:before="0" w:after="80" w:lineRule="auto" w:line="276"/>
      </w:pPr>
      <w:r>
        <w:rPr>
          <w:b/>
        </w:rPr>
        <w:t xml:space="preserve">摘要（ZH）: </w:t>
      </w:r>
      <w:r>
        <w:t>摘要 保持皮肤-设备微气候内的动态湿度-热平衡对于增强可穿戴性并最大程度地减少生理和心理不适至关重要。在此，我们提出了一种集成到 Janus 光热面罩中的非对称双响应 MXene/粘胶-PP (MVP) 执行器，用于皮肤-面罩微气候动态湿度-热调节。具有不对称弯曲变形的MVP执行器开关可以在温度和湿度刺激下实现自主通断切换。 Janus光热面罩能够将呼出的呼吸冷凝液单向输送至外亲水层，蒸发效率提高22.5倍。 Janus光热接口和MVP执行器开关的协同集成建立了闭环动态湿度-热调节系统。基于智能开关的Janus光热面罩在长时间佩戴时可达到湿热舒适状态。这种闭环策略为下一代自适应个人防护设备和智能纺织品提供了一条变革之路，实现自主人机湿度热交互，无需外部能源消耗。</w:t>
      </w:r>
    </w:p>
    <w:p>
      <w:pPr>
        <w:spacing w:before="0" w:after="200" w:lineRule="auto" w:line="276"/>
      </w:pPr>
      <w:r>
        <w:rPr>
          <w:b/>
        </w:rPr>
        <w:t xml:space="preserve">Abstract (EN): </w:t>
      </w:r>
      <w:r>
        <w:t>Maintaining a dynamic humidity–thermal balance within the skin–device microclimate is critical for enhancing wearability and minimizing physiological and psychological discomfort. Herein, we present an asymmetric dual-responsive MXene/Viscose-PP (MVP) actuator integrated into a Janus photothermal mask for skin–mask microclimate dynamic humidity–thermal regulation. The MVP actuator switch with asymmetric bending deformation can achieve autonomous on–off switching under temperature and humidity stimulation. The Janus photothermal mask enables unidirectional transport of exhaled breath condensate to the outer hydrophilic layer and enhances evaporation efficiency by 22.5 times. The synergistic integration of the Janus photothermal interface and the MVP actuator switch establishes a closed-loop dynamic humidity–thermal regulation system. The smart switch-based Janus photothermal mask achieves a state of humidity–thermal comfort during prolonged wearing. Such a closed-loop strategy offers a transformative route toward next-generation adaptive personal protective equipment and smart textiles, enabling autonomous human–machine humidity–thermal interaction without external energy consumption.</w:t>
      </w:r>
    </w:p>
    <w:p>
      <w:pPr>
        <w:spacing w:before="120" w:after="120"/>
      </w:pPr>
      <w:r>
        <w:rPr>
          <w:sz w:val="18"/>
        </w:rPr>
        <w:t>——————————————————————————————————————————————————————————————————————</w:t>
      </w:r>
    </w:p>
    <w:p>
      <w:pPr>
        <w:spacing w:before="160" w:after="40" w:line="240" w:lineRule="auto"/>
      </w:pPr>
      <w:r>
        <w:rPr>
          <w:b/>
        </w:rPr>
        <w:t xml:space="preserve">[5] </w:t>
      </w:r>
      <w:hyperlink r:id="rId302">
        <w:r>
          <w:rPr>
            <w:color w:val="1155CC"/>
            <w:u w:val="single"/>
          </w:rPr>
          <w:t>基于超表面的多功能光学透明电磁窗：可切换传输、宽带散射抑制和红外控制</w:t>
        </w:r>
      </w:hyperlink>
    </w:p>
    <w:p>
      <w:pPr>
        <w:spacing w:before="0" w:after="80"/>
      </w:pPr>
      <w:r>
        <w:rPr>
          <w:i/>
          <w:sz w:val="20"/>
        </w:rPr>
        <w:t>EN: Metasurface-Based Multifunctional Optically Transparent Electromagnetic Window: Switchable Transmission, Broadband Scattering Suppression, and Infrared Control</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303">
        <w:r>
          <w:rPr>
            <w:color w:val="1155CC"/>
            <w:u w:val="single"/>
          </w:rPr>
          <w:t>10.1021/acsami.6c11755</w:t>
        </w:r>
      </w:hyperlink>
    </w:p>
    <w:p>
      <w:pPr>
        <w:spacing w:before="0" w:after="120"/>
      </w:pPr>
      <w:r>
        <w:rPr>
          <w:b/>
        </w:rPr>
        <w:t xml:space="preserve">Notes: </w:t>
      </w:r>
      <w:r>
        <w:t>abstract_source=crossref</w:t>
      </w:r>
    </w:p>
    <w:p>
      <w:pPr>
        <w:spacing w:before="0" w:after="80" w:lineRule="auto" w:line="276"/>
      </w:pPr>
      <w:r>
        <w:rPr>
          <w:b/>
        </w:rPr>
        <w:t xml:space="preserve">摘要（ZH）: </w:t>
      </w:r>
      <w:r>
        <w:t>摘要 可重构的光学透明超表面为集成动态电磁（EM）调节和光学观测提供了一个有前景的平台。然而，在单一透明架构中同时实现微波调节、散射控制和红外调节仍然具有挑战性。在这里，我们提出了一种光学透明的多光谱可重构电磁窗口，具有可切换的双频带微波传输、宽带散射抑制和动态红外辐射调节。通过集成可调电阻 PIN 二极管，所提出的超表面克服了传统透明电磁窗口的固定频率限制，实现了 4/9 GHz 的可切换双频传输和连续幅度调制。此外，还开发了平面桥接电感器馈电方案，将偏置网络与透明元原子集成，无需额外的馈线或金属化通孔。通过有源传输层和无源散射层的频率定制协同设计，在保留传输窗口的同时实现了 3.7 至 12.8 GHz 的宽带散射抑制。此外，透明金属网的电控加热能够动态调节红外辐射特性。这项工作为主动控制的多光谱透明超表面提供了一种通用策略，在智能电磁窗口、自适应通信和传感平台以及多光谱调节系统中提供了有前景的应用。</w:t>
      </w:r>
    </w:p>
    <w:p>
      <w:pPr>
        <w:spacing w:before="0" w:after="200" w:lineRule="auto" w:line="276"/>
      </w:pPr>
      <w:r>
        <w:rPr>
          <w:b/>
        </w:rPr>
        <w:t xml:space="preserve">Abstract (EN): </w:t>
      </w:r>
      <w:r>
        <w:t>Reconfigurable optically transparent metasurfaces provide a promising platform for integrating dynamic electromagnetic (EM) regulation and optical observation. However, achieving simultaneous microwave regulation, scattering control, and infrared regulation within a single transparent architecture remains challenging. Here, we propose an optically transparent multispectral reconfigurable EM window featuring switchable dual-band microwave transmission, broadband scattering suppression, and dynamic infrared radiation regulation. By integrating tunable-resistance PIN diodes, the proposed metasurface overcomes the fixed-frequency limitation of conventional transparent EM windows, enabling switchable dual-band transmission at 4/9 GHz with continuous amplitude modulation. Furthermore, a planar bridging-inductor feeding scheme is developed to integrate the bias network with transparent meta-atoms without additional feeding lines or metallized vias. Through frequency-tailored co-design of the active transmission layer and passive scattering layer, broadband scattering suppression from 3.7 to 12.8 GHz is achieved while preserving the transmission windows. In addition, electrically controlled heating of the transparent metallic mesh enables dynamic regulation of infrared radiation characteristics. This work provides a versatile strategy for actively controlled multispectral transparent metasurfaces, offering promising applications in intelligent EM windows, adaptive communication and sensing platforms, and multispectral regulation systems.</w:t>
      </w:r>
    </w:p>
    <w:p>
      <w:pPr>
        <w:spacing w:before="120" w:after="120"/>
      </w:pPr>
      <w:r>
        <w:rPr>
          <w:sz w:val="18"/>
        </w:rPr>
        <w:t>——————————————————————————————————————————————————————————————————————</w:t>
      </w:r>
    </w:p>
    <w:p>
      <w:pPr>
        <w:spacing w:before="160" w:after="40" w:line="240" w:lineRule="auto"/>
      </w:pPr>
      <w:r>
        <w:rPr>
          <w:b/>
        </w:rPr>
        <w:t xml:space="preserve">[6] </w:t>
      </w:r>
      <w:hyperlink r:id="rId304">
        <w:r>
          <w:rPr>
            <w:color w:val="1155CC"/>
            <w:u w:val="single"/>
          </w:rPr>
          <w:t>超弹性亚晶稀土陶瓷纳米纤维气凝胶可实现 1300°C 稳定的上转换发光</w:t>
        </w:r>
      </w:hyperlink>
    </w:p>
    <w:p>
      <w:pPr>
        <w:spacing w:before="0" w:after="80"/>
      </w:pPr>
      <w:r>
        <w:rPr>
          <w:i/>
          <w:sz w:val="20"/>
        </w:rPr>
        <w:t>EN: Superelastic Subcrystalline Rare‐Earth Ceramic Nanofiber Aerogels Enable 1300°C‐Stable Upconversion Luminescence</w:t>
      </w:r>
    </w:p>
    <w:p>
      <w:pPr>
        <w:spacing w:before="0" w:after="120"/>
      </w:pPr>
      <w:r>
        <w:rPr>
          <w:b/>
        </w:rPr>
        <w:t xml:space="preserve">Source: </w:t>
      </w:r>
      <w:r>
        <w:t>Wiley: Advanced Materials: Table of Contents</w:t>
      </w:r>
      <w:r>
        <w:t xml:space="preserve">    </w:t>
      </w:r>
      <w:r>
        <w:rPr>
          <w:b/>
        </w:rPr>
        <w:t xml:space="preserve">Pub date: </w:t>
      </w:r>
      <w:r>
        <w:t>2026-08-21 05:13:29+00:00</w:t>
      </w:r>
      <w:r>
        <w:t xml:space="preserve">    </w:t>
      </w:r>
      <w:r>
        <w:rPr>
          <w:b/>
        </w:rPr>
        <w:t xml:space="preserve">DOI: </w:t>
      </w:r>
      <w:hyperlink r:id="rId305">
        <w:r>
          <w:rPr>
            <w:color w:val="1155CC"/>
            <w:u w:val="single"/>
          </w:rPr>
          <w:t>10.1002/adma.74748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时非接触式温度检测对于特种机器人在极端热力学环境中的可靠运行至关重要。上转换（UC）发光材料由于其对温度敏感的发射，提供了一种有前途的解决方案。然而，传统的UC晶体从根本上受到250°C以上的严重热淬火和固有脆性的限制。在这里，我们通过界面声子工程策略开发亚晶上转换陶瓷纳米纤维气凝胶，打破了这些障碍。我们的方法将活性稀土纳米晶体嵌入非晶态氧化铝基质中，形成拉伸应变异质界面，软化局部声子模式并有效地散射高频振动。这种独特的“声子笼”架构可抑制非辐射衰变路径，从而在前所未有的 1300°C 温度下实现稳定的 UC 发射。此外，亚晶结构引发高阶正弦屈曲行为，赋予气凝胶热机械超弹性。该气凝胶可从 95% 的压缩应变中完全恢复，并能承受超过 1000 次疲劳循环，在 1300°C 热负荷下进行 100 次严格压缩循环后，仍保留 &gt; 80% 的弹性。这项工作为极端环境中的非接触式热传感铺平了道路。</w:t>
      </w:r>
    </w:p>
    <w:p>
      <w:pPr>
        <w:spacing w:before="0" w:after="200" w:lineRule="auto" w:line="276"/>
      </w:pPr>
      <w:r>
        <w:rPr>
          <w:b/>
        </w:rPr>
        <w:t xml:space="preserve">Abstract (EN): </w:t>
      </w:r>
      <w:r>
        <w:t>Real‐time noncontact temperature detection is critical for the reliable operation of specialized robots in extreme thermodynamic environments. Upconversion (UC) luminescent materials, owing to their temperature‐sensitive emission, offer a promising solution. However, traditional UC crystals are fundamentally limited by both severe thermal quenching above 250°C and intrinsic brittleness. Here, we break these barriers by developing a subcrystalline upconversion ceramic nanofiber aerogel through an interfacial phonon engineering strategy. Our approach embeds active rare‐earth nanocrystals within an amorphous alumina matrix, creating a tensile‐strained heterointerface that softens local phonon modes and efficiently scatters high‐frequency vibrations. This unique “phonon cage” architecture suppresses nonradiative decay pathways, enabling stable UC emission at the unprecedented temperature of 1300°C. Furthermore, the subcrystalline structure induces a higher‐order sinusoidal buckling behavior, endowing the aerogel with thermomechanical superelasticity. The aerogel fully recovers from 95% compressive strain and survives over 1000 fatigue cycles, retaining &amp;gt;80% of its elasticity after 100 rigorous compression cycles under 1300°C thermal load. This work paves the way for noncontact thermal sensing in extreme environments.</w:t>
      </w:r>
    </w:p>
    <w:p>
      <w:pPr>
        <w:spacing w:before="120" w:after="120"/>
      </w:pPr>
      <w:r>
        <w:rPr>
          <w:sz w:val="18"/>
        </w:rPr>
        <w:t>——————————————————————————————————————————————————————————————————————</w:t>
      </w:r>
    </w:p>
    <w:p>
      <w:pPr>
        <w:spacing w:before="160" w:after="40" w:line="240" w:lineRule="auto"/>
      </w:pPr>
      <w:r>
        <w:rPr>
          <w:b/>
        </w:rPr>
        <w:t xml:space="preserve">[7] </w:t>
      </w:r>
      <w:hyperlink r:id="rId306">
        <w:r>
          <w:rPr>
            <w:color w:val="1155CC"/>
            <w:u w:val="single"/>
          </w:rPr>
          <w:t>通过热电多层中的界面对称性破缺调节声子载流子传输</w:t>
        </w:r>
      </w:hyperlink>
    </w:p>
    <w:p>
      <w:pPr>
        <w:spacing w:before="0" w:after="80"/>
      </w:pPr>
      <w:r>
        <w:rPr>
          <w:i/>
          <w:sz w:val="20"/>
        </w:rPr>
        <w:t>EN: Regulating phonon-carrier transport by interfacial symmetry breaking in thermoelectric multilayers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307">
        <w:r>
          <w:rPr>
            <w:color w:val="1155CC"/>
            <w:u w:val="single"/>
          </w:rPr>
          <w:t>10.1126/sciadv.aeh5460</w:t>
        </w:r>
      </w:hyperlink>
    </w:p>
    <w:p>
      <w:pPr>
        <w:spacing w:before="0" w:after="120"/>
      </w:pPr>
      <w:r>
        <w:rPr>
          <w:b/>
        </w:rPr>
        <w:t xml:space="preserve">Notes: </w:t>
      </w:r>
      <w:r>
        <w:t>abstract_source=crossref</w:t>
      </w:r>
    </w:p>
    <w:p>
      <w:pPr>
        <w:spacing w:before="0" w:after="80" w:lineRule="auto" w:line="276"/>
      </w:pPr>
      <w:r>
        <w:rPr>
          <w:b/>
        </w:rPr>
        <w:t xml:space="preserve">摘要（ZH）: </w:t>
      </w:r>
      <w:r>
        <w:t>全球一半以上的一次能源以低品位废热的形式耗散，但热电转换仍然受到声子和电荷传输之间固有耦合的限制。在这里，我们引入分级界面尺寸分布作为热力学设计变量，打破多层中的平移对称性，从而实现声子载流子传输的各向异性调节。使用碲化铋（Bi</w:t>
      </w:r>
      <w:r>
        <w:rPr>
          <w:vertAlign w:val="subscript"/>
        </w:rPr>
        <w:t>2</w:t>
      </w:r>
      <w:r>
        <w:t>碲</w:t>
      </w:r>
      <w:r>
        <w:rPr>
          <w:vertAlign w:val="subscript"/>
        </w:rPr>
        <w:t>3</w:t>
      </w:r>
      <w:r>
        <w:t>）/金属[金、银和铂（Pt）]多层作为模型系统，我们证明多尺度界面分布通过界面散射、相干干涉和局域化的共存引起宽带声子抑制。这产生了每米每开尔文 0.22 瓦的超低横截面热导率和高室温</w:t>
      </w:r>
      <w:r>
        <w:t xml:space="preserve"> </w:t>
      </w:r>
      <w:r>
        <w:t>ZT</w:t>
      </w:r>
      <w:r>
        <w:t xml:space="preserve"> </w:t>
      </w:r>
      <w:r>
        <w:t>共 1.51 分</w:t>
      </w:r>
      <w:r>
        <w:rPr>
          <w:vertAlign w:val="subscript"/>
        </w:rPr>
        <w:t>2</w:t>
      </w:r>
      <w:r>
        <w:t>碲</w:t>
      </w:r>
      <w:r>
        <w:rPr>
          <w:vertAlign w:val="subscript"/>
        </w:rPr>
        <w:t>3</w:t>
      </w:r>
      <w:r>
        <w:t>/铂薄膜。同时，不对称金属-半导体界面创建准二维累积通道，增强面内载流子迁移率，同时保持能量过滤，在 300 开尔文下提供每平方开尔文 176.2 微瓦的功率因数。分级架构可在垂直和柔性平面器件中实现高性能，说明界面分布（而不仅仅是成分）控制各向异性热电荷传输的一般策略。我们的研究结果建立了统计界面工程</w:t>
      </w:r>
    </w:p>
    <w:p>
      <w:pPr>
        <w:spacing w:before="0" w:after="200" w:lineRule="auto" w:line="276"/>
      </w:pPr>
      <w:r>
        <w:rPr>
          <w:b/>
        </w:rPr>
        <w:t xml:space="preserve">Abstract (EN): </w:t>
      </w:r>
      <w:r>
        <w:t>More than half of global primary energy is dissipated as low-grade waste heat, yet thermoelectric conversion remains constrained by the intrinsic coupling between phonon and charge transport. Here, we introduce graded interfacial size distribution as a thermodynamic design variable that breaks translational symmetry in multilayers, enabling anisotropic regulation of phonon-carrier transport. Using bismuth telluride (Bi</w:t>
      </w:r>
      <w:r>
        <w:rPr>
          <w:vertAlign w:val="subscript"/>
        </w:rPr>
        <w:t>2</w:t>
      </w:r>
      <w:r>
        <w:t>Te</w:t>
      </w:r>
      <w:r>
        <w:rPr>
          <w:vertAlign w:val="subscript"/>
        </w:rPr>
        <w:t>3</w:t>
      </w:r>
      <w:r>
        <w:t>)/metal [gold, silver, and platinum (Pt)] multilayers as a model system, we demonstrate that multiscale interface distributions induce broadband phonon suppression through the coexistence of interfacial scattering, coherent interference, and localization. This yields an ultralow cross-plane thermal conductivity of 0.22 watts per meter per kelvin and a high room-temperature</w:t>
      </w:r>
      <w:r>
        <w:t xml:space="preserve"> </w:t>
      </w:r>
      <w:r>
        <w:t>ZT</w:t>
      </w:r>
      <w:r>
        <w:t xml:space="preserve"> </w:t>
      </w:r>
      <w:r>
        <w:t>of 1.51 in Bi</w:t>
      </w:r>
      <w:r>
        <w:rPr>
          <w:vertAlign w:val="subscript"/>
        </w:rPr>
        <w:t>2</w:t>
      </w:r>
      <w:r>
        <w:t>Te</w:t>
      </w:r>
      <w:r>
        <w:rPr>
          <w:vertAlign w:val="subscript"/>
        </w:rPr>
        <w:t>3</w:t>
      </w:r>
      <w:r>
        <w:t>/Pt films. Concurrently, asymmetric metal-semiconductor interfaces create quasi–two-dimensional accumulation channels that enhance in-plane carrier mobility while preserving energy filtering, delivering a power factor of 176.2 microwatts per centimeter per square kelvin at 300 kelvin. The graded architecture enables high performance in both vertical and flexible planar devices, illustrating a general strategy in which interface distribution, not merely composition, governs anisotropic heat-charge transport. Our findings establish statistical interface engineering as a platform for thermoelectric energy harvesting and solid-state cooling.</w:t>
      </w:r>
    </w:p>
    <w:p>
      <w:pPr>
        <w:spacing w:before="120" w:after="120"/>
      </w:pPr>
      <w:r>
        <w:rPr>
          <w:sz w:val="18"/>
        </w:rPr>
        <w:t>——————————————————————————————————————————————————————————————————————</w:t>
      </w:r>
    </w:p>
    <w:p>
      <w:pPr>
        <w:spacing w:before="160" w:after="40" w:line="240" w:lineRule="auto"/>
      </w:pPr>
      <w:r>
        <w:rPr>
          <w:b/>
        </w:rPr>
        <w:t xml:space="preserve">[8] </w:t>
      </w:r>
      <w:hyperlink r:id="rId308">
        <w:r>
          <w:rPr>
            <w:color w:val="1155CC"/>
            <w:u w:val="single"/>
          </w:rPr>
          <w:t>热瓶颈限制了受管制河流中本地鱼类的早期生存</w:t>
        </w:r>
      </w:hyperlink>
    </w:p>
    <w:p>
      <w:pPr>
        <w:spacing w:before="0" w:after="80"/>
      </w:pPr>
      <w:r>
        <w:rPr>
          <w:i/>
          <w:sz w:val="20"/>
        </w:rPr>
        <w:t>EN: Thermal bottlenecks constrain early-life survival of native fish in regulated rivers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309">
        <w:r>
          <w:rPr>
            <w:color w:val="1155CC"/>
            <w:u w:val="single"/>
          </w:rPr>
          <w:t>10.1126/sciadv.aeg3586</w:t>
        </w:r>
      </w:hyperlink>
    </w:p>
    <w:p>
      <w:pPr>
        <w:spacing w:before="0" w:after="120"/>
      </w:pPr>
      <w:r>
        <w:rPr>
          <w:b/>
        </w:rPr>
        <w:t xml:space="preserve">Notes: </w:t>
      </w:r>
      <w:r>
        <w:t>abstract_source=crossref</w:t>
      </w:r>
    </w:p>
    <w:p>
      <w:pPr>
        <w:spacing w:before="0" w:after="80" w:lineRule="auto" w:line="276"/>
      </w:pPr>
      <w:r>
        <w:rPr>
          <w:b/>
        </w:rPr>
        <w:t xml:space="preserve">摘要（ZH）: </w:t>
      </w:r>
      <w:r>
        <w:t>气候变化正在重塑全世界的热状况，威胁着早期发育依赖于狭窄温度范围的物种。然而，将变暖与野生种群繁殖失败直接联系起来仍然很棘手，特别是在水生生态系统中。我们开发了一个经验框架，整合了档案组织的稳定同位素测温、景观尺度温度建模和实地调查，以确定成功繁殖的时间和地点。将这种方法应用于限制在大坝下方的濒临灭绝的冬季奇努克鲑鱼，我们在早期发育过程中发现了一个狭窄的“临界热窗口”。幸存的幼鱼在受精后约 15 天内经历了低于 12.5°C 的温度，在此期间适度变暖会急剧降低存活率。在温暖的年份，大坝释放的冷水仅与该窗口短暂重叠，从而将成功繁殖限制在整个产卵季节的一小部分。这些结果显示了气候变暖和河流调节如何相互作用来限制种群的持续存在，并提供了一个框架来指导评估温度敏感物种的气候脆弱性的研究。</w:t>
      </w:r>
    </w:p>
    <w:p>
      <w:pPr>
        <w:spacing w:before="0" w:after="200" w:lineRule="auto" w:line="276"/>
      </w:pPr>
      <w:r>
        <w:rPr>
          <w:b/>
        </w:rPr>
        <w:t xml:space="preserve">Abstract (EN): </w:t>
      </w:r>
      <w:r>
        <w:t>Climate change is reshaping thermal regimes worldwide, threatening species whose early development depends on narrow temperature ranges. Yet directly linking warming to reproductive failure in wild populations remains intractable, particularly in aquatic ecosystems. We developed an empirical framework integrating stable isotope thermometry of archival tissues, landscape-scale temperature modeling, and field surveys to identify when and where successful reproduction occurs. Applying this approach to endangered winter-run Chinook salmon confined below a large dam, we revealed a narrow “critical thermal window” during early development. Surviving juveniles experienced temperatures below 12.5°C within ∼15 days of fertilization, and modest warming during this period sharply reduced survival. In warm years, dam-released cold-water overlapped only briefly with this window, restricting successful reproduction to a small fraction of the total spawning season. These results show how climate warming and river regulation interact to constrain population persistence and provide a framework to guide research on assessing climate vulnerability in temperature-sensitive species.</w:t>
      </w:r>
    </w:p>
    <w:p>
      <w:pPr>
        <w:spacing w:before="120" w:after="120"/>
      </w:pPr>
      <w:r>
        <w:rPr>
          <w:sz w:val="18"/>
        </w:rPr>
        <w:t>——————————————————————————————————————————————————————————————————————</w:t>
      </w:r>
    </w:p>
    <w:p>
      <w:pPr>
        <w:spacing w:before="160" w:after="40" w:line="240" w:lineRule="auto"/>
      </w:pPr>
      <w:r>
        <w:rPr>
          <w:b/>
        </w:rPr>
        <w:t xml:space="preserve">[9] </w:t>
      </w:r>
      <w:hyperlink r:id="rId310">
        <w:r>
          <w:rPr>
            <w:color w:val="1155CC"/>
            <w:u w:val="single"/>
          </w:rPr>
          <w:t>TlCu5Se3 中强非谐性驱动的波状热传输和高热电性能</w:t>
        </w:r>
      </w:hyperlink>
    </w:p>
    <w:p>
      <w:pPr>
        <w:spacing w:before="0" w:after="80"/>
      </w:pPr>
      <w:r>
        <w:rPr>
          <w:i/>
          <w:sz w:val="20"/>
        </w:rPr>
        <w:t>EN: Strong anharmonicity driven wave-like thermal transport and high thermoelectric performance in TlCu5Se3</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311">
        <w:r>
          <w:rPr>
            <w:color w:val="1155CC"/>
            <w:u w:val="single"/>
          </w:rPr>
          <w:t>10.1126/sciadv.aeh9096</w:t>
        </w:r>
      </w:hyperlink>
    </w:p>
    <w:p>
      <w:pPr>
        <w:spacing w:before="0" w:after="120"/>
      </w:pPr>
      <w:r>
        <w:rPr>
          <w:b/>
        </w:rPr>
        <w:t xml:space="preserve">Notes: </w:t>
      </w:r>
      <w:r>
        <w:t>abstract_source=crossref</w:t>
      </w:r>
    </w:p>
    <w:p>
      <w:pPr>
        <w:spacing w:before="0" w:after="80" w:lineRule="auto" w:line="276"/>
      </w:pPr>
      <w:r>
        <w:rPr>
          <w:b/>
        </w:rPr>
        <w:t xml:space="preserve">摘要（ZH）: </w:t>
      </w:r>
      <w:r>
        <w:t>结晶固体中的热传输通常通过颗粒状声子传播发生。在这里，我们展示了晶体 TlCu 中主要的异常波状声子输运和 673 K 时约 1.42 的高热电品质因数 (zT)</w:t>
      </w:r>
      <w:r>
        <w:rPr>
          <w:vertAlign w:val="subscript"/>
        </w:rPr>
        <w:t>5</w:t>
      </w:r>
      <w:r>
        <w:t>硒</w:t>
      </w:r>
      <w:r>
        <w:rPr>
          <w:vertAlign w:val="subscript"/>
        </w:rPr>
        <w:t>3</w:t>
      </w:r>
      <w:r>
        <w:t>由于受限的 Cu 动态无序和 Tl 振荡所产生的强烈的不和谐性。铊铜</w:t>
      </w:r>
      <w:r>
        <w:rPr>
          <w:vertAlign w:val="subscript"/>
        </w:rPr>
        <w:t>5</w:t>
      </w:r>
      <w:r>
        <w:t>硒</w:t>
      </w:r>
      <w:r>
        <w:rPr>
          <w:vertAlign w:val="subscript"/>
        </w:rPr>
        <w:t>3</w:t>
      </w:r>
      <w:r>
        <w:t>显示出固有的超低晶格热导率 (κ</w:t>
      </w:r>
      <w:r>
        <w:t xml:space="preserve"> </w:t>
      </w:r>
      <w:r>
        <w:t>L</w:t>
      </w:r>
      <w:r>
        <w:t xml:space="preserve"> </w:t>
      </w:r>
      <w:r>
        <w:t>) 0.3–0.2 瓦米</w:t>
      </w:r>
      <w:r>
        <w:t xml:space="preserve"> </w:t>
      </w:r>
      <w:r>
        <w:t>−1</w:t>
      </w:r>
      <w:r>
        <w:t xml:space="preserve"> </w:t>
      </w:r>
      <w:r>
        <w:t>K</w:t>
      </w:r>
      <w:r>
        <w:t xml:space="preserve"> </w:t>
      </w:r>
      <w:r>
        <w:t>−1</w:t>
      </w:r>
      <w:r>
        <w:t xml:space="preserve"> </w:t>
      </w:r>
      <w:r>
        <w:t>在 294–673 K 的温度范围内。密度泛函理论计算和从头算分子动力学模拟表明，由于 Cu 亚晶格的受限动态无序性，会产生强晶格非和谐性。具有强非谐性的复杂结状结构将声子寿命降低到维格纳极限以下，从而导致大量的带间声子耦合和主要的波状相干性。通过进一步调整阳离子空位来优化电传输，我们在 TlCu 中在 673 K 时实现了 ∼1.7 的增强 zT</w:t>
      </w:r>
      <w:r>
        <w:t xml:space="preserve"> </w:t>
      </w:r>
      <w:r>
        <w:t>5-x</w:t>
      </w:r>
      <w:r>
        <w:t xml:space="preserve"> </w:t>
      </w:r>
      <w:r>
        <w:t>硒</w:t>
      </w:r>
      <w:r>
        <w:rPr>
          <w:vertAlign w:val="subscript"/>
        </w:rPr>
        <w:t>3</w:t>
      </w:r>
      <w:r>
        <w:t>(x = 0.03–0.07)，证明受限离子动力学不仅保持超低 κ</w:t>
      </w:r>
      <w:r>
        <w:t xml:space="preserve"> </w:t>
      </w:r>
      <w:r>
        <w:t>L</w:t>
      </w:r>
      <w:r>
        <w:t xml:space="preserve"> </w:t>
      </w:r>
      <w:r>
        <w:t>而且还增强了热电性能而不影响稳定性。</w:t>
      </w:r>
    </w:p>
    <w:p>
      <w:pPr>
        <w:spacing w:before="0" w:after="200" w:lineRule="auto" w:line="276"/>
      </w:pPr>
      <w:r>
        <w:rPr>
          <w:b/>
        </w:rPr>
        <w:t xml:space="preserve">Abstract (EN): </w:t>
      </w:r>
      <w:r>
        <w:t>Thermal transport in crystalline solids generally occurs via particle-like phonon propagation. Here, we demonstrate the dominant unusual wave-like phonon transport and high thermoelectric figure-of-merit (zT) of ∼1.42 at 673 K in crystalline TlCu</w:t>
      </w:r>
      <w:r>
        <w:rPr>
          <w:vertAlign w:val="subscript"/>
        </w:rPr>
        <w:t>5</w:t>
      </w:r>
      <w:r>
        <w:t>Se</w:t>
      </w:r>
      <w:r>
        <w:rPr>
          <w:vertAlign w:val="subscript"/>
        </w:rPr>
        <w:t>3</w:t>
      </w:r>
      <w:r>
        <w:t>due to the strong anharmonicity exerted by confined Cu dynamic disorder and Tl rattling. TlCu</w:t>
      </w:r>
      <w:r>
        <w:rPr>
          <w:vertAlign w:val="subscript"/>
        </w:rPr>
        <w:t>5</w:t>
      </w:r>
      <w:r>
        <w:t>Se</w:t>
      </w:r>
      <w:r>
        <w:rPr>
          <w:vertAlign w:val="subscript"/>
        </w:rPr>
        <w:t>3</w:t>
      </w:r>
      <w:r>
        <w:t>shows an intrinsic ultralow lattice thermal conductivity of (κ</w:t>
      </w:r>
      <w:r>
        <w:t xml:space="preserve"> </w:t>
      </w:r>
      <w:r>
        <w:t>L</w:t>
      </w:r>
      <w:r>
        <w:t xml:space="preserve"> </w:t>
      </w:r>
      <w:r>
        <w:t>) 0.3–0.2 W m</w:t>
      </w:r>
      <w:r>
        <w:t xml:space="preserve"> </w:t>
      </w:r>
      <w:r>
        <w:t>−1</w:t>
      </w:r>
      <w:r>
        <w:t xml:space="preserve"> </w:t>
      </w:r>
      <w:r>
        <w:t>K</w:t>
      </w:r>
      <w:r>
        <w:t xml:space="preserve"> </w:t>
      </w:r>
      <w:r>
        <w:t>−1</w:t>
      </w:r>
      <w:r>
        <w:t xml:space="preserve"> </w:t>
      </w:r>
      <w:r>
        <w:t>across the temperature range of 294–673 K. Density functional theory calculations and ab-initio molecular dynamics simulations reveal that strong lattice anharmonicity arises due to confined dynamic disorder of the Cu sublattice. The complex knot-like structure with strong anharmonicity reduces phonon lifetime below the Wigner limit, leading to substantial inter-band phonon coupling and a dominant wave-like coherence. By further tuning cationic vacancies to optimize electrical transport, we achieve an enhanced zT of ∼1.7 at 673 K in TlCu</w:t>
      </w:r>
      <w:r>
        <w:t xml:space="preserve"> </w:t>
      </w:r>
      <w:r>
        <w:t>5-x</w:t>
      </w:r>
      <w:r>
        <w:t xml:space="preserve"> </w:t>
      </w:r>
      <w:r>
        <w:t>Se</w:t>
      </w:r>
      <w:r>
        <w:rPr>
          <w:vertAlign w:val="subscript"/>
        </w:rPr>
        <w:t>3</w:t>
      </w:r>
      <w:r>
        <w:t>(x = 0.03–0.07), demonstrating that confined ion dynamics not only maintains ultralow κ</w:t>
      </w:r>
      <w:r>
        <w:t xml:space="preserve"> </w:t>
      </w:r>
      <w:r>
        <w:t>L</w:t>
      </w:r>
      <w:r>
        <w:t xml:space="preserve"> </w:t>
      </w:r>
      <w:r>
        <w:t>but also enhances thermoelectric performance without compromising the stability.</w:t>
      </w:r>
    </w:p>
    <w:p>
      <w:pPr>
        <w:spacing w:before="120" w:after="120"/>
      </w:pPr>
      <w:r>
        <w:rPr>
          <w:sz w:val="18"/>
        </w:rPr>
        <w:t>——————————————————————————————————————————————————————————————————————</w:t>
      </w:r>
    </w:p>
    <w:p>
      <w:pPr>
        <w:spacing w:before="160" w:after="40" w:line="240" w:lineRule="auto"/>
      </w:pPr>
      <w:r>
        <w:rPr>
          <w:b/>
        </w:rPr>
        <w:t xml:space="preserve">[10] </w:t>
      </w:r>
      <w:hyperlink r:id="rId312">
        <w:r>
          <w:rPr>
            <w:color w:val="1155CC"/>
            <w:u w:val="single"/>
          </w:rPr>
          <w:t>通过物理约束机器学习进行温控材料的多目标和跨尺度逆向设计</w:t>
        </w:r>
      </w:hyperlink>
    </w:p>
    <w:p>
      <w:pPr>
        <w:spacing w:before="0" w:after="80"/>
      </w:pPr>
      <w:r>
        <w:rPr>
          <w:i/>
          <w:sz w:val="20"/>
        </w:rPr>
        <w:t>EN: Multi-objective and cross-scale inverse design of temperature-control materials via physics-constrained machine learning</w:t>
      </w:r>
    </w:p>
    <w:p>
      <w:pPr>
        <w:spacing w:before="0" w:after="120"/>
      </w:pPr>
      <w:r>
        <w:rPr>
          <w:b/>
        </w:rPr>
        <w:t xml:space="preserve">Source: </w:t>
      </w:r>
      <w:r>
        <w:t>National Science Review Advance Access</w:t>
      </w:r>
      <w:r>
        <w:t xml:space="preserve">    </w:t>
      </w:r>
      <w:r>
        <w:rPr>
          <w:b/>
        </w:rPr>
        <w:t xml:space="preserve">Pub date: </w:t>
      </w:r>
      <w:r>
        <w:t>2026-08-22 00:00:00+00:00</w:t>
      </w:r>
      <w:r>
        <w:t xml:space="preserve">    </w:t>
      </w:r>
      <w:r>
        <w:rPr>
          <w:b/>
        </w:rPr>
        <w:t xml:space="preserve">DOI: </w:t>
      </w:r>
      <w:hyperlink r:id="rId313">
        <w:r>
          <w:rPr>
            <w:color w:val="1155CC"/>
            <w:u w:val="single"/>
          </w:rPr>
          <w:t>10.1093/nsr/nwag503</w:t>
        </w:r>
      </w:hyperlink>
    </w:p>
    <w:p>
      <w:pPr>
        <w:spacing w:before="0" w:after="120"/>
      </w:pPr>
      <w:r>
        <w:rPr>
          <w:b/>
        </w:rPr>
        <w:t xml:space="preserve">Notes: </w:t>
      </w:r>
      <w:r>
        <w:t>abstract_source=rss_oup</w:t>
      </w:r>
    </w:p>
    <w:p>
      <w:pPr>
        <w:spacing w:before="0" w:after="80" w:lineRule="auto" w:line="276"/>
      </w:pPr>
      <w:r>
        <w:rPr>
          <w:b/>
        </w:rPr>
        <w:t xml:space="preserve">摘要（ZH）: </w:t>
      </w:r>
      <w:r>
        <w:t>温控材料，特别是复合相变材料（CPCM），在下一代电力电子的热管理方面显示出巨大的潜力。然而，多个性能指标的协同优化仍然很大程度上依赖于爱迪生式的试错实验。在此，我们提出了一种人工智能框架，该框架结合了基于 CPCM 有向无环图 (DAG) 架构构建的物理约束逆向设计系统 (PHICS)，集成了接口、相位和载体工程。通过通过 DAG 编码结构层次结构和物理因果关系，PHICS 框架将前向预测建模与多样性增强的 NSGA-II 优化器结合起来，以有效地映射帕累托最优设计边界。在这些预测的指导下，我们成功地制造了由定向石墨纤维骨架和具有非晶氧化铝（am-Al2O3）界面过渡层的正二十烷基体组成的高性能CPCM。受益于 am-Al2O3 中间层作为界面声子桥和电子势垒的双功能作用，所得的 CPCM 实现了热传导、热存储和电绝缘的卓越平衡。这些结果证明了 PHICS 引导的多功能复合材料设计的准确性，建立了一个闭环平台，将物理约束机器学习与实验验证相结合，以解决关键的热电权衡。</w:t>
      </w:r>
    </w:p>
    <w:p>
      <w:pPr>
        <w:spacing w:before="0" w:after="200" w:lineRule="auto" w:line="276"/>
      </w:pPr>
      <w:r>
        <w:rPr>
          <w:b/>
        </w:rPr>
        <w:t xml:space="preserve">Abstract (EN): </w:t>
      </w:r>
      <w:r>
        <w:t>Temperature-control materials, notably composite phase-change materials (CPCMs), show great potential for the thermal management of next-generation power electronics. However, the synergistic optimization of multiple performance metrics still relies heavily on Edisonian trial-and-error experimentation. Herein, we present an artificial intelligence framework that incorporates a physics-constrained inverse-design system (PHICS) built upon a directed acyclic graph (DAG) architecture for CPCMs, integrating interface, phase, and carrier engineering. By encoding structural hierarchies and physical causality through DAG, PHICS framework couples forward predictive modeling with a diversity-enhanced NSGA-II optimizer to efficiently map Pareto-optimal design boundaries. Guided by these predictions, we successfully fabricate a high-performance CPCM composed of an oriented graphite fiber skeleton and an n-octacosane matrix with amorphous alumina (am-Al2O3) interfacial transition layers. Benefiting from the bifunctional role of the am-Al2O3 interlayer as both an interfacial phonon bridge and electron barrier, the resulting CPCMs achieve a superior balance of thermal conduction, thermal storage, and electrical insulation. These results demonstrate the accuracy of PHICS-guided multifunctional composite design, establishing a closed-loop platform that combines physics-constrained machine learning with experimental validation to solve key thermal–electrical trade-offs.</w:t>
      </w:r>
    </w:p>
    <w:p>
      <w:pPr>
        <w:spacing w:before="120" w:after="120"/>
      </w:pPr>
      <w:r>
        <w:rPr>
          <w:sz w:val="18"/>
        </w:rPr>
        <w:t>——————————————————————————————————————————————————————————————————————</w:t>
      </w:r>
    </w:p>
    <w:p>
      <w:pPr>
        <w:spacing w:before="160" w:after="40" w:line="240" w:lineRule="auto"/>
      </w:pPr>
      <w:r>
        <w:rPr>
          <w:b/>
        </w:rPr>
        <w:t xml:space="preserve">[11] </w:t>
      </w:r>
      <w:hyperlink r:id="rId265">
        <w:r>
          <w:rPr>
            <w:color w:val="1155CC"/>
            <w:u w:val="single"/>
          </w:rPr>
          <w:t>气凝胶材料在能源和环境可持续性方面的进展</w:t>
        </w:r>
      </w:hyperlink>
    </w:p>
    <w:p>
      <w:pPr>
        <w:spacing w:before="0" w:after="80"/>
      </w:pPr>
      <w:r>
        <w:rPr>
          <w:i/>
          <w:sz w:val="20"/>
        </w:rPr>
        <w:t>EN: Advances in Aerogel Materials for Energy and Environmental Sustainability</w:t>
      </w:r>
    </w:p>
    <w:p>
      <w:pPr>
        <w:spacing w:before="0" w:after="120"/>
      </w:pPr>
      <w:r>
        <w:rPr>
          <w:b/>
        </w:rPr>
        <w:t xml:space="preserve">Source: </w:t>
      </w:r>
      <w:r>
        <w:t>Wiley: Advanced Materials: Table of Contents</w:t>
      </w:r>
      <w:r>
        <w:t xml:space="preserve">    </w:t>
      </w:r>
      <w:r>
        <w:rPr>
          <w:b/>
        </w:rPr>
        <w:t xml:space="preserve">Pub date: </w:t>
      </w:r>
      <w:r>
        <w:t>2026-08-22 12:49:22+00:00</w:t>
      </w:r>
      <w:r>
        <w:t xml:space="preserve">    </w:t>
      </w:r>
      <w:r>
        <w:rPr>
          <w:b/>
        </w:rPr>
        <w:t xml:space="preserve">DOI: </w:t>
      </w:r>
      <w:hyperlink r:id="rId266">
        <w:r>
          <w:rPr>
            <w:color w:val="1155CC"/>
            <w:u w:val="single"/>
          </w:rPr>
          <w:t>10.1002/adma.74744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气凝胶已成为一类独特的超轻多孔材料，它将卓越的隔热性与低密度、高孔隙率和卓越的结构多功能性结合在一起，为航空航天、能源、电子、环境修复和可穿戴技术带来了广泛的机会。然而，它们的广泛采用受到传统制造工艺（特别是超临界二氧化碳）的高成本、有限的可扩展性和能源密集型性质的限制。</w:t>
      </w:r>
      <w:r>
        <w:rPr>
          <w:vertAlign w:val="subscript"/>
        </w:rPr>
        <w:t>2</w:t>
      </w:r>
      <w:r>
        <w:t>干燥。本综述重点介绍了可扩展且经济高效的气凝胶制造的最新进展，包括常压干燥、模板策略、自上而下的制造、化学气相沉积和溶液纺丝，这些技术共同提高了性能，同时显着降低了生产复杂性和成本。通过系统地讨论固体传导、气体传导、对流和热辐射的机制，并将气凝胶与多孔泡沫等其他多孔结构进行比较，我们进一步提出了多孔材料热传输物理的统一视角。这些基本见解为设计具有定制热功能的下一代气凝胶建立了合理的设计原则。最后，我们展示了远远超出隔热范围的新兴应用，包括水分和水驱动的能量收集、油水分离、高温隔音和温度调节智能纺织品。</w:t>
      </w:r>
    </w:p>
    <w:p>
      <w:pPr>
        <w:spacing w:before="0" w:after="200" w:lineRule="auto" w:line="276"/>
      </w:pPr>
      <w:r>
        <w:rPr>
          <w:b/>
        </w:rPr>
        <w:t xml:space="preserve">Abstract (EN): </w:t>
      </w:r>
      <w:r>
        <w:t>Aerogels have emerged as a unique class of ultralight porous materials that combine exceptional thermal insulation with low density, high porosity, and remarkable structural versatility, enabling broad opportunities across aerospace, energy, electronics, environmental remediation, and wearable technologies. However, their widespread adoption has been constrained by the high cost, limited scalability, and energy‐intensive nature of conventional manufacturing processes, particularly supercritical CO</w:t>
      </w:r>
      <w:r>
        <w:rPr>
          <w:vertAlign w:val="subscript"/>
        </w:rPr>
        <w:t>2</w:t>
      </w:r>
      <w:r>
        <w:t>drying. This review highlights recent advances in scalable and cost‐effective aerogel fabrication, including ambient‐pressure drying, templating strategies, top‐down manufacturing, chemical vapor deposition, and solution spinning, which collectively enable enhanced performance while significantly reducing production complexity and cost. We further present a unified perspective on the thermal transport physics of porous materials by systematically discussing the mechanisms of solid conduction, gas conduction, convection, and thermal radiation, and comparing aerogels with other porous architectures such as cellular foams. These fundamental insights establish rational design principles for engineering next‐generation aerogels with tailored thermal functionalities. Finally, we showcase emerging applications that extend well beyond thermal insulation, including moisture‐ and water‐driven energy harvesting, oil–water separation, high‐temperature acoustic insulation, and thermoregulating smart textiles. By bridging scalable manufacturing, fundamental thermal science, and emerging multifunctional applications, this work provides a comprehensive framework for the rational design and commercialization of next‐generation aerogels, paving the way toward their widespread adoption in advanced materials and engineering systems.</w:t>
      </w:r>
    </w:p>
    <w:p>
      <w:pPr>
        <w:spacing w:before="120" w:after="120"/>
      </w:pPr>
      <w:r>
        <w:rPr>
          <w:sz w:val="18"/>
        </w:rPr>
        <w:t>——————————————————————————————————————————————————————————————————————</w:t>
      </w:r>
    </w:p>
    <w:p>
      <w:pPr>
        <w:spacing w:before="160" w:after="40" w:line="240" w:lineRule="auto"/>
      </w:pPr>
      <w:r>
        <w:rPr>
          <w:b/>
        </w:rPr>
        <w:t xml:space="preserve">[12] </w:t>
      </w:r>
      <w:hyperlink r:id="rId314">
        <w:r>
          <w:rPr>
            <w:color w:val="1155CC"/>
            <w:u w:val="single"/>
          </w:rPr>
          <w:t>多尺度晶格应变工程可降低 GeTe 合金的变形潜力并提高热电性能</w:t>
        </w:r>
      </w:hyperlink>
    </w:p>
    <w:p>
      <w:pPr>
        <w:spacing w:before="0" w:after="80"/>
      </w:pPr>
      <w:r>
        <w:rPr>
          <w:i/>
          <w:sz w:val="20"/>
        </w:rPr>
        <w:t>EN: Multi‐Scale Lattice Strain Engineering Enables Reduced Deformation Potential and High Thermoelectric Performance in GeTe Alloys</w:t>
      </w:r>
    </w:p>
    <w:p>
      <w:pPr>
        <w:spacing w:before="0" w:after="120"/>
      </w:pPr>
      <w:r>
        <w:rPr>
          <w:b/>
        </w:rPr>
        <w:t xml:space="preserve">Source: </w:t>
      </w:r>
      <w:r>
        <w:t>Wiley: Advanced Energy Materials: Table of Contents</w:t>
      </w:r>
      <w:r>
        <w:t xml:space="preserve">    </w:t>
      </w:r>
      <w:r>
        <w:rPr>
          <w:b/>
        </w:rPr>
        <w:t xml:space="preserve">Pub date: </w:t>
      </w:r>
      <w:r>
        <w:t>2026-08-25 07:35:35+00:00</w:t>
      </w:r>
      <w:r>
        <w:t xml:space="preserve">    </w:t>
      </w:r>
      <w:r>
        <w:rPr>
          <w:b/>
        </w:rPr>
        <w:t xml:space="preserve">DOI: </w:t>
      </w:r>
      <w:hyperlink r:id="rId315">
        <w:r>
          <w:rPr>
            <w:color w:val="1155CC"/>
            <w:u w:val="single"/>
          </w:rPr>
          <w:t>10.1002/aenm.71495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化学掺杂是一种广泛采用的策略，用于优化热电 (TE) 材料中的载流子浓度和调整电子能带结构。然而，在本质上缺乏阳离子的系统中，例如</w:t>
      </w:r>
      <w:r>
        <w:t xml:space="preserve"> </w:t>
      </w:r>
      <w:r>
        <w:t>p</w:t>
      </w:r>
      <w:r>
        <w:t xml:space="preserve"> </w:t>
      </w:r>
      <w:r>
        <w:t>型GeTe，其有效性往往受到限制，因为大量Ge空位和异价掺杂剂的共存会加剧载流子散射，从而恶化载流子迁移率（</w:t>
      </w:r>
      <w:r>
        <w:t xml:space="preserve"> </w:t>
      </w:r>
      <w:r>
        <w:t>µ</w:t>
      </w:r>
      <w:r>
        <w:t xml:space="preserve"> </w:t>
      </w:r>
      <w:r>
        <w:t>）。在此，我们报告了一种简单的无掺杂策略来提高 Ge 的 TE 性能</w:t>
      </w:r>
      <w:r>
        <w:t xml:space="preserve"> </w:t>
      </w:r>
      <w:r>
        <w:t>0.94</w:t>
      </w:r>
      <w:r>
        <w:t xml:space="preserve"> </w:t>
      </w:r>
      <w:r>
        <w:t>毕</w:t>
      </w:r>
      <w:r>
        <w:t xml:space="preserve"> </w:t>
      </w:r>
      <w:r>
        <w:t>0.06</w:t>
      </w:r>
      <w:r>
        <w:t xml:space="preserve"> </w:t>
      </w:r>
      <w:r>
        <w:t>Te通过构建多尺度晶格应变。增加晶格对称性并保留有序域边界，结合降低变形势和延长载流子弛豫时间，从而改善</w:t>
      </w:r>
      <w:r>
        <w:t xml:space="preserve"> </w:t>
      </w:r>
      <w:r>
        <w:t>µ</w:t>
      </w:r>
      <w:r>
        <w:t xml:space="preserve"> </w:t>
      </w:r>
      <w:r>
        <w:t>并进一步提高加权流动性（</w:t>
      </w:r>
      <w:r>
        <w:t xml:space="preserve"> </w:t>
      </w:r>
      <w:r>
        <w:t>µ</w:t>
      </w:r>
      <w:r>
        <w:t xml:space="preserve"> </w:t>
      </w:r>
      <w:r>
        <w:t>瓦</w:t>
      </w:r>
      <w:r>
        <w:t xml:space="preserve"> </w:t>
      </w:r>
      <w:r>
        <w:t>）和功率因数。此外，设计的多尺度晶格缺陷强烈抑制晶格导热性（</w:t>
      </w:r>
      <w:r>
        <w:t xml:space="preserve"> </w:t>
      </w:r>
      <w:r>
        <w:t>κ</w:t>
      </w:r>
      <w:r>
        <w:t xml:space="preserve"> </w:t>
      </w:r>
      <w:r>
        <w:t>拉特</w:t>
      </w:r>
      <w:r>
        <w:t xml:space="preserve"> </w:t>
      </w:r>
      <w:r>
        <w:t>），产生增加的</w:t>
      </w:r>
      <w:r>
        <w:t xml:space="preserve"> </w:t>
      </w:r>
      <w:r>
        <w:t>µ</w:t>
      </w:r>
      <w:r>
        <w:t xml:space="preserve"> </w:t>
      </w:r>
      <w:r>
        <w:t>瓦</w:t>
      </w:r>
      <w:r>
        <w:t xml:space="preserve"> </w:t>
      </w:r>
      <w:r>
        <w:t>/</w:t>
      </w:r>
      <w:r>
        <w:t>κ</w:t>
      </w:r>
      <w:r>
        <w:t xml:space="preserve"> </w:t>
      </w:r>
      <w:r>
        <w:t>拉特</w:t>
      </w:r>
      <w:r>
        <w:t xml:space="preserve"> </w:t>
      </w:r>
      <w:r>
        <w:t>最佳载流子浓度范围内的比率，在</w:t>
      </w:r>
    </w:p>
    <w:p>
      <w:pPr>
        <w:spacing w:before="0" w:after="200" w:lineRule="auto" w:line="276"/>
      </w:pPr>
      <w:r>
        <w:rPr>
          <w:b/>
        </w:rPr>
        <w:t xml:space="preserve">Abstract (EN): </w:t>
      </w:r>
      <w:r>
        <w:t>Chemical doping is a widely adopted strategy for optimizing carrier concentration and tailoring the electronic band structure in thermoelectric (TE) materials. However, in intrinsically cation‐deficient systems such as</w:t>
      </w:r>
      <w:r>
        <w:t xml:space="preserve"> </w:t>
      </w:r>
      <w:r>
        <w:t>p</w:t>
      </w:r>
      <w:r>
        <w:t xml:space="preserve"> </w:t>
      </w:r>
      <w:r>
        <w:t>‐type GeTe, its effectiveness is often limited because the coexistence of abundant Ge vacancies and aliovalent dopants intensifies charge‐carrier scattering, thereby deteriorating carrier mobility (</w:t>
      </w:r>
      <w:r>
        <w:t xml:space="preserve"> </w:t>
      </w:r>
      <w:r>
        <w:t>µ</w:t>
      </w:r>
      <w:r>
        <w:t xml:space="preserve"> </w:t>
      </w:r>
      <w:r>
        <w:t>). Herein, we report a facile dopant‐free strategy to enhance the TE performance of Ge</w:t>
      </w:r>
      <w:r>
        <w:t xml:space="preserve"> </w:t>
      </w:r>
      <w:r>
        <w:t>0.94</w:t>
      </w:r>
      <w:r>
        <w:t xml:space="preserve"> </w:t>
      </w:r>
      <w:r>
        <w:t>Bi</w:t>
      </w:r>
      <w:r>
        <w:t xml:space="preserve"> </w:t>
      </w:r>
      <w:r>
        <w:t>0.06</w:t>
      </w:r>
      <w:r>
        <w:t xml:space="preserve"> </w:t>
      </w:r>
      <w:r>
        <w:t>Te through the construction of multi‐scale lattice strain. Increasing lattice symmetry and preserving ordered domain boundaries, combined with reduced deformation potential and prolonged carrier relaxation time, thereby improving</w:t>
      </w:r>
      <w:r>
        <w:t xml:space="preserve"> </w:t>
      </w:r>
      <w:r>
        <w:t>µ</w:t>
      </w:r>
      <w:r>
        <w:t xml:space="preserve"> </w:t>
      </w:r>
      <w:r>
        <w:t>and further boosting weighted mobility (</w:t>
      </w:r>
      <w:r>
        <w:t xml:space="preserve"> </w:t>
      </w:r>
      <w:r>
        <w:t>µ</w:t>
      </w:r>
      <w:r>
        <w:t xml:space="preserve"> </w:t>
      </w:r>
      <w:r>
        <w:t>W</w:t>
      </w:r>
      <w:r>
        <w:t xml:space="preserve"> </w:t>
      </w:r>
      <w:r>
        <w:t>) and power factor. Moreover, the engineered multi‐scale lattice defects strongly suppress lattice thermal conductivity (</w:t>
      </w:r>
      <w:r>
        <w:t xml:space="preserve"> </w:t>
      </w:r>
      <w:r>
        <w:t>κ</w:t>
      </w:r>
      <w:r>
        <w:t xml:space="preserve"> </w:t>
      </w:r>
      <w:r>
        <w:t>lat</w:t>
      </w:r>
      <w:r>
        <w:t xml:space="preserve"> </w:t>
      </w:r>
      <w:r>
        <w:t>), yielding an increased</w:t>
      </w:r>
      <w:r>
        <w:t xml:space="preserve"> </w:t>
      </w:r>
      <w:r>
        <w:t>µ</w:t>
      </w:r>
      <w:r>
        <w:t xml:space="preserve"> </w:t>
      </w:r>
      <w:r>
        <w:t>W</w:t>
      </w:r>
      <w:r>
        <w:t xml:space="preserve"> </w:t>
      </w:r>
      <w:r>
        <w:t>/</w:t>
      </w:r>
      <w:r>
        <w:t>κ</w:t>
      </w:r>
      <w:r>
        <w:t xml:space="preserve"> </w:t>
      </w:r>
      <w:r>
        <w:t>lat</w:t>
      </w:r>
      <w:r>
        <w:t xml:space="preserve"> </w:t>
      </w:r>
      <w:r>
        <w:t>ratio within the optimal carrier concentration range, indicating weakened electron‐phonon coupling. Consequently, the peak figure of merit (</w:t>
      </w:r>
      <w:r>
        <w:t xml:space="preserve"> </w:t>
      </w:r>
      <w:r>
        <w:t>ZT</w:t>
      </w:r>
      <w:r>
        <w:t xml:space="preserve"> </w:t>
      </w:r>
      <w:r>
        <w:t>) of 2.21 and average</w:t>
      </w:r>
      <w:r>
        <w:t xml:space="preserve"> </w:t>
      </w:r>
      <w:r>
        <w:t>ZT</w:t>
      </w:r>
      <w:r>
        <w:t xml:space="preserve"> </w:t>
      </w:r>
      <w:r>
        <w:t>of 1.4 over 303–803 K are achieved. Furthermore, a single‐stage TE device fabricated using this material attains a conversion efficiency of 7.83% at a temperature difference of 400 K. This work highlights the effectiveness of strain engineering in decoupling electronic and phononic transport and demonstrates its broad applicability for developing high‐performance TE materials.</w:t>
      </w:r>
    </w:p>
    <w:p>
      <w:pPr>
        <w:spacing w:before="120" w:after="120"/>
      </w:pPr>
      <w:r>
        <w:rPr>
          <w:sz w:val="18"/>
        </w:rPr>
        <w:t>——————————————————————————————————————————————————————————————————————</w:t>
      </w:r>
    </w:p>
    <w:p>
      <w:pPr>
        <w:spacing w:before="160" w:after="40" w:line="240" w:lineRule="auto"/>
      </w:pPr>
      <w:r>
        <w:rPr>
          <w:b/>
        </w:rPr>
        <w:t xml:space="preserve">[13] </w:t>
      </w:r>
      <w:hyperlink r:id="rId316">
        <w:r>
          <w:rPr>
            <w:color w:val="1155CC"/>
            <w:u w:val="single"/>
          </w:rPr>
          <w:t>基于路径积分蒙特卡罗方法的热导率非微扰计算</w:t>
        </w:r>
      </w:hyperlink>
    </w:p>
    <w:p>
      <w:pPr>
        <w:spacing w:before="0" w:after="80"/>
      </w:pPr>
      <w:r>
        <w:rPr>
          <w:i/>
          <w:sz w:val="20"/>
        </w:rPr>
        <w:t>EN: Nonperturbative Computation of Thermal Conductivity Based on Path Integral Monte Carlo Methods</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317">
        <w:r>
          <w:rPr>
            <w:color w:val="1155CC"/>
            <w:u w:val="single"/>
          </w:rPr>
          <w:t>10.1103/2f5l-scbv</w:t>
        </w:r>
      </w:hyperlink>
    </w:p>
    <w:p>
      <w:pPr>
        <w:spacing w:before="0" w:after="120"/>
      </w:pPr>
      <w:r>
        <w:rPr>
          <w:b/>
        </w:rPr>
        <w:t xml:space="preserve">Notes: </w:t>
      </w:r>
      <w:r>
        <w:t>abstract_source=rss_description</w:t>
      </w:r>
    </w:p>
    <w:p>
      <w:pPr>
        <w:spacing w:before="0" w:after="80" w:lineRule="auto" w:line="276"/>
      </w:pPr>
      <w:r>
        <w:rPr>
          <w:b/>
        </w:rPr>
        <w:t xml:space="preserve">摘要（ZH）: </w:t>
      </w:r>
      <w:r>
        <w:t>作者：Vladislav Efremkin、Stefano Mossa、Jean-Louis Barrat 和 Markus Holzmann 由于经典和半经典方法的失败，低于德拜温度下绝缘固体导热系数的计算是有问题的。在这封信中，我们提出了一种完全非微扰的量子方法来计算基于帕特的热导率......[物理。莱特牧师。 137, 096302] 2026 年 8 月 25 日星期二发布</w:t>
      </w:r>
    </w:p>
    <w:p>
      <w:pPr>
        <w:spacing w:before="0" w:after="200" w:lineRule="auto" w:line="276"/>
      </w:pPr>
      <w:r>
        <w:rPr>
          <w:b/>
        </w:rPr>
        <w:t xml:space="preserve">Abstract (EN): </w:t>
      </w:r>
      <w:r>
        <w:t>Author(s): Vladislav Efremkin, Stefano Mossa, Jean-Louis Barrat, and Markus HolzmannThe calculation of thermal conductivity in insulating solids at temperatures below the Debye temperature is problematic, due to the breakdown of classical and semiclassical approaches. In this Letter, we present a fully nonperturbative quantum methodology to compute thermal conductivity based on pat…[Phys. Rev. Lett. 137, 096302] Published Tue Aug 25, 2026</w:t>
      </w:r>
    </w:p>
    <w:p>
      <w:pPr>
        <w:spacing w:before="120" w:after="120"/>
      </w:pPr>
      <w:r>
        <w:rPr>
          <w:sz w:val="18"/>
        </w:rPr>
        <w:t>——————————————————————————————————————————————————————————————————————</w:t>
      </w:r>
    </w:p>
    <w:p>
      <w:pPr>
        <w:spacing w:before="160" w:after="40" w:line="240" w:lineRule="auto"/>
      </w:pPr>
      <w:r>
        <w:rPr>
          <w:b/>
        </w:rPr>
        <w:t xml:space="preserve">[14] </w:t>
      </w:r>
      <w:hyperlink r:id="rId318">
        <w:r>
          <w:rPr>
            <w:color w:val="1155CC"/>
            <w:u w:val="single"/>
          </w:rPr>
          <w:t>坚韧、隔热且可扩展的受酥皮启发的建筑水泥材料，通过简单的滚动折叠</w:t>
        </w:r>
      </w:hyperlink>
    </w:p>
    <w:p>
      <w:pPr>
        <w:spacing w:before="0" w:after="80"/>
      </w:pPr>
      <w:r>
        <w:rPr>
          <w:i/>
          <w:sz w:val="20"/>
        </w:rPr>
        <w:t>EN: Tough, thermal insulating and scalable puff pastry-inspired architected cementitious material via simple rolling-folding</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建筑材料设计使水泥材料能够实现下一代基础设施非常理想的机械和功能性能。然而，当前设计的水泥材料需要复杂且能源密集型的制造，限制了其可扩展性和大规模实施。受酥皮糕点制备的启发，我们提出了一种在环境条件下通过简单的滚压折叠工艺制造的层状水泥建筑材料。这种材料具有高度有序的层状结构，由交替的平行水泥层和离散的板状空腔组成。这种结构具有延性断裂行为、高断裂韧性和有效的隔热性能。该材料的比断裂韧度高达91 MPa·mm0.5/g·cm3，比铸造材料高约20倍，超过了传统的增强水泥基复合材料，接近某些聚合物的水平。同时，其导热系数降低至0.38 W/m·K，相对于铸造材料降低了68.3%，优于同等密度的轻质水泥材料。此外，该材料表现出良好的制造效率、可扩展性和几何适应性，克服了现有建筑水泥材料的应用限制。这项研究有助于推进下一代基础设施材料的开发。</w:t>
      </w:r>
    </w:p>
    <w:p>
      <w:pPr>
        <w:spacing w:before="0" w:after="200" w:lineRule="auto" w:line="276"/>
      </w:pPr>
      <w:r>
        <w:rPr>
          <w:b/>
        </w:rPr>
        <w:t xml:space="preserve">Abstract (EN): </w:t>
      </w:r>
      <w:r>
        <w:t>Architected material design enables cementitious materials to achieve highly desirable mechanical and functional performance for next-generation infrastructure. However, current architected cementitious materials require complex and energy-intensive fabrication, limiting their scalability and large-scale implementation. Inspired by the preparation of puff pastry, we propose a lamellar cementitious architected material fabricated by a simple rolling-folding process under ambient conditions. This material features a highly ordered lamellar architecture, consisting of alternating parallel cement lamellae and discrete plate-like cavities. This structure enables ductile fracture behavior, high fracture toughness, and effective thermal insulation. The specific fracture toughness of this material reaches up to 91 MPa·mm0.5/g·cm3, approximately 20 times higher than that of the cast counterpart, surpassing conventional reinforced cementitious composites and approaching the level of certain polymers. Meanwhile, its thermal conductivity decreases to 0.38 W/m·K, representing a 68.3% reduction relative to the cast counterpart, and outperforming lightweight cementitious materials with comparable densities. Furthermore, this material demonstrates good manufacturing efficiency, scalability, and geometric adaptability, overcoming the application limitations of existing architected cementitious materials. This study can help advance the development of next-generation infrastructure materials.</w:t>
      </w:r>
    </w:p>
    <w:p>
      <w:pPr>
        <w:spacing w:before="120" w:after="120"/>
      </w:pPr>
      <w:r>
        <w:rPr>
          <w:sz w:val="18"/>
        </w:rPr>
        <w:t>——————————————————————————————————————————————————————————————————————</w:t>
      </w:r>
    </w:p>
    <w:p>
      <w:pPr>
        <w:spacing w:before="160" w:after="40" w:line="240" w:lineRule="auto"/>
      </w:pPr>
      <w:r>
        <w:rPr>
          <w:b/>
        </w:rPr>
        <w:t xml:space="preserve">[15] </w:t>
      </w:r>
      <w:hyperlink r:id="rId319">
        <w:r>
          <w:rPr>
            <w:color w:val="1155CC"/>
            <w:u w:val="single"/>
          </w:rPr>
          <w:t>湿度驱动的 MXene 集成超分子胆甾型液晶材料的动态结构颜色和红外发射率</w:t>
        </w:r>
      </w:hyperlink>
    </w:p>
    <w:p>
      <w:pPr>
        <w:spacing w:before="0" w:after="80"/>
      </w:pPr>
      <w:r>
        <w:rPr>
          <w:i/>
          <w:sz w:val="20"/>
        </w:rPr>
        <w:t>EN: Humidity‐Driven Dynamic Structural Color and Infrared Emissivity of MXene‐Integrated Supramolecular Cholesteric Liquid‐Crystal Materials</w:t>
      </w:r>
    </w:p>
    <w:p>
      <w:pPr>
        <w:spacing w:before="0" w:after="120"/>
      </w:pPr>
      <w:r>
        <w:rPr>
          <w:b/>
        </w:rPr>
        <w:t xml:space="preserve">Source: </w:t>
      </w:r>
      <w:r>
        <w:t>Wiley: Angewandte Chemie International Edition: Table of Contents</w:t>
      </w:r>
      <w:r>
        <w:t xml:space="preserve">    </w:t>
      </w:r>
      <w:r>
        <w:rPr>
          <w:b/>
        </w:rPr>
        <w:t xml:space="preserve">Pub date: </w:t>
      </w:r>
      <w:r>
        <w:t>2026-08-27 04:54:01+00:00</w:t>
      </w:r>
      <w:r>
        <w:t xml:space="preserve">    </w:t>
      </w:r>
      <w:r>
        <w:rPr>
          <w:b/>
        </w:rPr>
        <w:t xml:space="preserve">DOI: </w:t>
      </w:r>
      <w:hyperlink r:id="rId320">
        <w:r>
          <w:rPr>
            <w:color w:val="1155CC"/>
            <w:u w:val="single"/>
          </w:rPr>
          <w:t>10.1002/anie.5314674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根据环境变化自适应调节结构颜色和红外（IR）发射率的多光谱材料对于自适应伪装和可穿戴温度调节来说是非常理想的。然而，开发能够动态可见结构颜色调节和可逆红外发射率调节的湿度响应多光谱材料仍然具有挑战性。在这里，我们报告了一种湿度响应型 MXene 集成超分子胆甾型液晶材料（Hygro-MXene-CLC），该材料通过共价界面键合将蒸发诱导的自组装超分子 CLC 层与半透明纤维素纳米纤维（CNF）插层 MXene 层结合在一起。在湿度变化时，Hygro-MXene-CLC 表现出生动的结构颜色调制，反射峰从 467 nm 偏移到 625 nm，并且在 3-14 µm 范围内红外发射率调制从 35% 到 82%。机理分析表明，吸水同时扩大了胆甾醇间距并水合了 CNF/MXene 夹层，产生布拉格反射红移和渐进式红外发射率增加。逐步光聚合可实现可编程可见光-红外模式，而可逆发射率切换可通过增强高湿度下的散热并减少低湿度下的向外热辐射来支持被动热调节。这项工作为用于智能伪装和动态热管理的湿度响应多光谱材料提供了一种有前景的策略。</w:t>
      </w:r>
    </w:p>
    <w:p>
      <w:pPr>
        <w:spacing w:before="0" w:after="200" w:lineRule="auto" w:line="276"/>
      </w:pPr>
      <w:r>
        <w:rPr>
          <w:b/>
        </w:rPr>
        <w:t xml:space="preserve">Abstract (EN): </w:t>
      </w:r>
      <w:r>
        <w:t>Multispectral materials that adaptively regulate structural color and infrared (IR) emissivity in response to environmental changes are highly desirable for adaptive camouflage and wearable thermoregulation. However, the development of humidity‐responsive multispectral materials capable of dynamic visible structural‐color tuning and reversible IR‐emissivity regulation remains challenging. Here, we report a humidity‐responsive MXene‐integrated supramolecular cholesteric liquid‐crystal material (Hygro‐MXene‐CLC) that combines an evaporation‐induced self‐assembled supramolecular CLC layer with a semitransparent cellulose nanofiber (CNF)‐intercalated MXene layer through covalent interfacial bonding. Upon humidity variation, Hygro‐MXene‐CLC exhibits vivid structural‐color modulation, with a reflection peak shift from 467 to 625 nm, together with IR‐emissivity modulation from 35% to 82% over 3–14 µm. Mechanistic analyses reveal that water uptake simultaneously expands the cholesteric pitch and hydrates the CNF/MXene interlayers, producing a Bragg‐reflection red shift and progressive IR‐emissivity increase. Stepwise photopolymerization enables programmable visible–IR patterns, while reversible emissivity switching supports passive thermal regulation by enhancing heat dissipation at high humidity and reducing outward thermal radiation at low humidity. This work provides a promising strategy for humidity‐responsive multispectral materials for smart camouflage and dynamic thermal management.</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295">
        <w:r>
          <w:rPr>
            <w:color w:val="1155CC"/>
            <w:u w:val="single"/>
          </w:rPr>
          <w:t>具有热能储存功能的小型模块化反应堆在零碳电力系统中的作用：对 75 个国家的技术、经济和弹性分析</w:t>
        </w:r>
      </w:hyperlink>
    </w:p>
    <w:p>
      <w:pPr>
        <w:spacing w:before="0" w:after="80"/>
      </w:pPr>
      <w:r>
        <w:rPr>
          <w:i/>
          <w:sz w:val="20"/>
        </w:rPr>
        <w:t>EN: The role of small modular reactors with thermal energy storage in zero-carbon electricity systems: a technological, economic, and resilience analysis across 75 countries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96">
        <w:r>
          <w:rPr>
            <w:color w:val="1155CC"/>
            <w:u w:val="single"/>
          </w:rPr>
          <w:t>10.1016/j.apenergy.2026.128685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321">
        <w:r>
          <w:rPr>
            <w:color w:val="1155CC"/>
            <w:u w:val="single"/>
          </w:rPr>
          <w:t>用于铀/稀土分离的酰亚胺共价有机框架的快速、低成本、低温吡唑助熔剂合成</w:t>
        </w:r>
      </w:hyperlink>
    </w:p>
    <w:p>
      <w:pPr>
        <w:spacing w:before="0" w:after="80"/>
      </w:pPr>
      <w:r>
        <w:rPr>
          <w:i/>
          <w:sz w:val="20"/>
        </w:rPr>
        <w:t>EN: Rapid, Low-Cost, Low-Temperature Pyrazole-Flux Synthesis of Imide Covalent Organic Frameworks for Uranium/Rare Earth Separation</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322">
        <w:r>
          <w:rPr>
            <w:color w:val="1155CC"/>
            <w:u w:val="single"/>
          </w:rPr>
          <w:t>10.1021/jacs.6c12938</w:t>
        </w:r>
      </w:hyperlink>
    </w:p>
    <w:p>
      <w:pPr>
        <w:spacing w:before="0" w:after="120"/>
      </w:pPr>
      <w:r>
        <w:rPr>
          <w:b/>
        </w:rPr>
        <w:t xml:space="preserve">Notes: </w:t>
      </w:r>
      <w:r>
        <w:t>abstract_source=crossref</w:t>
      </w:r>
    </w:p>
    <w:p>
      <w:pPr>
        <w:spacing w:before="0" w:after="80" w:lineRule="auto" w:line="276"/>
      </w:pPr>
      <w:r>
        <w:rPr>
          <w:b/>
        </w:rPr>
        <w:t xml:space="preserve">摘要（ZH）: </w:t>
      </w:r>
      <w:r>
        <w:t>摘要 高结晶酰亚胺共价有机框架（COF）因其出色的坚固性而备受关注。然而，其实际应用受到严格的合成条件的阻碍，例如使用大量有毒溶剂、高反应温度和长反应时间。因此，人们越来越努力开发温和的合成条件。我们在此报道了一种通用且方便的吡唑助熔剂合成方法，可以在不存在任何有机溶剂的情况下，以温和的方式、短的反应时间（5小时）和低的反应温度（120°C），导致克级生产高度结晶的酰亚胺COF，包括合成和纯化过程。值得注意的是，吡唑助焊剂应该是所有已建立的有机助焊剂中最便宜和最温和的，并且在该吡唑助焊剂合成中可以使用水来纯化所得样品，而不是在已建立的有机助焊剂方法中使用有机溶剂。通过这种吡唑助熔剂的合成，由均苯四酸二酐与三角形和四方构型的两种胺单体组装得到四种酰亚胺COF，证实了该方法的通用性。其机理涉及吡唑作为亲核催化剂激活酸酐，然后促进酰胺化反应。作为一种概念验证应用，一种酰亚胺COF被发现在铀/稀土分离和从稀土渣中选择性提取铀方面表现出良好的潜力。</w:t>
      </w:r>
    </w:p>
    <w:p>
      <w:pPr>
        <w:spacing w:before="0" w:after="200" w:lineRule="auto" w:line="276"/>
      </w:pPr>
      <w:r>
        <w:rPr>
          <w:b/>
        </w:rPr>
        <w:t xml:space="preserve">Abstract (EN): </w:t>
      </w:r>
      <w:r>
        <w:t>High-crystalline imide covalent organic frameworks (COFs) are highly desirable owing to their outstanding robust nature; however, their practical applications are hindered by the rigorous synthesis conditions, such as the use of massive toxic solvents, high reaction temperature, and long reaction time. Therefore, there is an increasing effort to develop mild synthesis conditions. We report herein a general and convenient pyrazole-flux synthesis that can lead to gram-level production of highly crystalline imide COFs in a mild manner with a short reaction time (5 h) and low reaction temperature (120 °C) in the absence of any organic solvent, including both synthesis and purification processes. Notably, pyrazole-flux should be the cheapest and mildest among all established organic fluxes, and water can be used to purify the resultant samples in this pyrazole-flux synthesis, rather than using an organic solvent in the established organic-flux methods. Through this pyrazole-flux synthesis, four imide COFs are obtained from the assembly of pyromellitic dianhydride with two types of amine monomers in triangular and tetragonal configurations, confirming the generality of this method. The mechanism involves pyrazole as a nucleophilic catalyst for activating anhydride and then promoting the amidation reaction. As a proof-of-concept application, one imide COF is found to show promising potential for uranium/rare earth separation and selective extraction of uranium from rare earth slag.</w:t>
      </w:r>
    </w:p>
    <w:p>
      <w:pPr>
        <w:spacing w:before="120" w:after="120"/>
      </w:pPr>
      <w:r>
        <w:rPr>
          <w:sz w:val="18"/>
        </w:rPr>
        <w:t>——————————————————————————————————————————————————————————————————————</w:t>
      </w:r>
    </w:p>
    <w:p>
      <w:pPr>
        <w:spacing w:before="160" w:after="40" w:line="240" w:lineRule="auto"/>
      </w:pPr>
      <w:r>
        <w:rPr>
          <w:b/>
        </w:rPr>
        <w:t xml:space="preserve">[3] </w:t>
      </w:r>
      <w:hyperlink r:id="rId323">
        <w:r>
          <w:rPr>
            <w:color w:val="1155CC"/>
            <w:u w:val="single"/>
          </w:rPr>
          <w:t>重新审视惯性约束聚变中烧蚀瑞利-泰勒不稳定性的双模耦合</w:t>
        </w:r>
      </w:hyperlink>
    </w:p>
    <w:p>
      <w:pPr>
        <w:spacing w:before="0" w:after="80"/>
      </w:pPr>
      <w:r>
        <w:rPr>
          <w:i/>
          <w:sz w:val="20"/>
        </w:rPr>
        <w:t>EN: Revisit two-mode couplings of the ablative Rayleigh–Taylor instability in inertial confinement fusion</w:t>
      </w:r>
    </w:p>
    <w:p>
      <w:pPr>
        <w:spacing w:before="0" w:after="120"/>
      </w:pPr>
      <w:r>
        <w:rPr>
          <w:b/>
        </w:rPr>
        <w:t xml:space="preserve">Source: </w:t>
      </w:r>
      <w:r>
        <w:t>Nuclear Fusion - latest papers</w:t>
      </w:r>
      <w:r>
        <w:t xml:space="preserve">    </w:t>
      </w:r>
      <w:r>
        <w:rPr>
          <w:b/>
        </w:rPr>
        <w:t xml:space="preserve">Pub date: </w:t>
      </w:r>
      <w:r>
        <w:t>2026-08-23 23:00:00+00:00</w:t>
      </w:r>
      <w:r>
        <w:t xml:space="preserve">    </w:t>
      </w:r>
      <w:r>
        <w:rPr>
          <w:b/>
        </w:rPr>
        <w:t xml:space="preserve">DOI: </w:t>
      </w:r>
      <w:hyperlink r:id="rId324">
        <w:r>
          <w:rPr>
            <w:color w:val="1155CC"/>
            <w:u w:val="single"/>
          </w:rPr>
          <w:t>10.1088/1741-4326/ae977d</w:t>
        </w:r>
      </w:hyperlink>
    </w:p>
    <w:p>
      <w:pPr>
        <w:spacing w:before="0" w:after="120"/>
      </w:pPr>
      <w:r>
        <w:rPr>
          <w:b/>
        </w:rPr>
        <w:t xml:space="preserve">Notes: </w:t>
      </w:r>
      <w:r>
        <w:t>abstract_source=rss_description</w:t>
      </w:r>
    </w:p>
    <w:p>
      <w:pPr>
        <w:spacing w:before="0" w:after="80" w:lineRule="auto" w:line="276"/>
      </w:pPr>
      <w:r>
        <w:rPr>
          <w:b/>
        </w:rPr>
        <w:t xml:space="preserve">摘要（ZH）: </w:t>
      </w:r>
      <w:r>
        <w:t>通过数值模拟重新审视惯性约束聚变（ICF）相关参数下烧蚀瑞利-泰勒不稳定性（ARTI）的二维两模耦合，重点关注初始模式的波数接近截止波数的区域。在准线性阶段，生成模式近似随时间呈指数增长，生成模式的自增长（就像在单模状态下）和由于模式耦合导致的驱动增长都被发现很重要。发现一系列线性不稳定模式是通过两个线性稳定初始模式的耦合产生的，然后根据提出的准则竞争主导模式。提出了一种模型，该模型包括自增长和驱动增长的贡献，并具有根据经验修改的耦合系数，并被证明可以准确预测生成模式的增长。这些发现对于评估 ARTI 在 ICF 设计中的影响具有重要意义。</w:t>
      </w:r>
    </w:p>
    <w:p>
      <w:pPr>
        <w:spacing w:before="0" w:after="200" w:lineRule="auto" w:line="276"/>
      </w:pPr>
      <w:r>
        <w:rPr>
          <w:b/>
        </w:rPr>
        <w:t xml:space="preserve">Abstract (EN): </w:t>
      </w:r>
      <w:r>
        <w:t>Two-dimensional two-mode couplings of the ablative Rayleigh–Taylor instability (ARTI) under inertial-confinement-fusion (ICF) relevant parameters are revisited via numerical simulations, with a focus on the regimes where the wavenumbers of the initial modes are close to the cutoff wavenumber. In the quasi-linear stage in which the generated modes approximately grow exponentially with time, both the self-growth of the generated mode (as if in the single-mode regime) and the driven-growth due to mode couplings are found to be important. A series of linearly unstable modes are found to be generated by coupling of two linearly stable initial modes, and then compete for the dominant mode according to a proposed criterion. A model including the contribution of both the self-growth and the driven-growth with an empirically modified coupling coefficient is proposed and shown to accurately predict the growth of the generated mode. The findings have implications for assessing the impact of ARTI in ICF designs.</w:t>
      </w:r>
    </w:p>
    <w:p>
      <w:pPr>
        <w:spacing w:before="120" w:after="120"/>
      </w:pPr>
      <w:r>
        <w:rPr>
          <w:sz w:val="18"/>
        </w:rPr>
        <w:t>——————————————————————————————————————————————————————————————————————</w:t>
      </w:r>
    </w:p>
    <w:p>
      <w:pPr>
        <w:spacing w:before="160" w:after="40" w:line="240" w:lineRule="auto"/>
      </w:pPr>
      <w:r>
        <w:rPr>
          <w:b/>
        </w:rPr>
        <w:t xml:space="preserve">[4] </w:t>
      </w:r>
      <w:hyperlink r:id="rId325">
        <w:r>
          <w:rPr>
            <w:color w:val="1155CC"/>
            <w:u w:val="single"/>
          </w:rPr>
          <w:t>非均匀密度结构对多次冲击压缩DT燃料快燃燃耗比的影响</w:t>
        </w:r>
      </w:hyperlink>
    </w:p>
    <w:p>
      <w:pPr>
        <w:spacing w:before="0" w:after="80"/>
      </w:pPr>
      <w:r>
        <w:rPr>
          <w:i/>
          <w:sz w:val="20"/>
        </w:rPr>
        <w:t>EN: Effect of nonuniform density structure on burn-up ratio of multi-shock-compressed DT fuel in fast ignition</w:t>
      </w:r>
    </w:p>
    <w:p>
      <w:pPr>
        <w:spacing w:before="0" w:after="120"/>
      </w:pPr>
      <w:r>
        <w:rPr>
          <w:b/>
        </w:rPr>
        <w:t xml:space="preserve">Source: </w:t>
      </w:r>
      <w:r>
        <w:t>Nuclear Fusion - latest papers</w:t>
      </w:r>
      <w:r>
        <w:t xml:space="preserve">    </w:t>
      </w:r>
      <w:r>
        <w:rPr>
          <w:b/>
        </w:rPr>
        <w:t xml:space="preserve">Pub date: </w:t>
      </w:r>
      <w:r>
        <w:t>2026-08-23 23:00:00+00:00</w:t>
      </w:r>
      <w:r>
        <w:t xml:space="preserve">    </w:t>
      </w:r>
      <w:r>
        <w:rPr>
          <w:b/>
        </w:rPr>
        <w:t xml:space="preserve">DOI: </w:t>
      </w:r>
      <w:hyperlink r:id="rId326">
        <w:r>
          <w:rPr>
            <w:color w:val="1155CC"/>
            <w:u w:val="single"/>
          </w:rPr>
          <w:t>10.1088/1741-4326/ae96c1</w:t>
        </w:r>
      </w:hyperlink>
    </w:p>
    <w:p>
      <w:pPr>
        <w:spacing w:before="0" w:after="120"/>
      </w:pPr>
      <w:r>
        <w:rPr>
          <w:b/>
        </w:rPr>
        <w:t xml:space="preserve">Notes: </w:t>
      </w:r>
      <w:r>
        <w:t>abstract_source=rss_description</w:t>
      </w:r>
    </w:p>
    <w:p>
      <w:pPr>
        <w:spacing w:before="0" w:after="80" w:lineRule="auto" w:line="276"/>
      </w:pPr>
      <w:r>
        <w:rPr>
          <w:b/>
        </w:rPr>
        <w:t xml:space="preserve">摘要（ZH）: </w:t>
      </w:r>
      <w:r>
        <w:t>使用二维燃烧模拟研究了快速点火条件下多次冲击压缩 DT 燃料的燃烧特性。在固体球内爆中，可以通过多次冲击压缩来实现高燃料面密度，同时降低对流体动力学不稳定性的敏感性。然而，由此产生的压缩燃料密度结构非常不均匀，由局部高密度核心和被包含大部分燃料质量的低密度燃料区域包围组成。在这种配置中，点火可以在中心高密度核心中引发，但燃烧波在传播到周围的低密度区域时迅速衰减，从而防止自持燃烧传播。因此，燃耗比明显低于总燃料面密度相当的均匀压缩燃料。通过检查内爆正时和人为修改的周围密度分布的影响，我们表明燃耗比不仅取决于总燃料面密度，还取决于点火区域周围的密度结构。这些结果表明，实现高燃耗比需要沿燃烧波传播路径有足够密集的燃料区域，而不是单独的局部高密度核心。</w:t>
      </w:r>
    </w:p>
    <w:p>
      <w:pPr>
        <w:spacing w:before="0" w:after="200" w:lineRule="auto" w:line="276"/>
      </w:pPr>
      <w:r>
        <w:rPr>
          <w:b/>
        </w:rPr>
        <w:t xml:space="preserve">Abstract (EN): </w:t>
      </w:r>
      <w:r>
        <w:t>The burn characteristics of multi-shock-compressed DT fuel under fast ignition conditions are investigated using two-dimensional burn simulations. In solid-sphere implosions, high fuel areal density can be achieved through multi-shock compression with reduced susceptibility to hydrodynamic instabilities. However, the resulting compressed-fuel density structure is highly nonuniform, consisting of a localized high-density core surrounded by a low-density fuel region that contains most of the fuel mass. In such a configuration, ignition can be initiated in the central high-density core, but the burn wave rapidly attenuates as it propagates into the surrounding low-density region, preventing self-sustained burn propagation. Consequently, the burn-up ratio is significantly lower than that of uniformly compressed fuel with comparable total fuel areal density. By examining the effects of implosion timing and artificially modified surrounding-density profiles, we show that the burn-up ratio is governed not only by the total fuel areal density, but also by the density structure around the ignition region. These results indicate that achieving a high burn-up ratio requires a sufficiently dense fuel region along the burn-wave propagation path, rather than a localized high-density core alone.</w:t>
      </w:r>
    </w:p>
    <w:p>
      <w:pPr>
        <w:spacing w:before="120" w:after="120"/>
      </w:pPr>
      <w:r>
        <w:rPr>
          <w:sz w:val="18"/>
        </w:rPr>
        <w:t>——————————————————————————————————————————————————————————————————————</w:t>
      </w:r>
    </w:p>
    <w:p>
      <w:pPr>
        <w:spacing w:before="160" w:after="40" w:line="240" w:lineRule="auto"/>
      </w:pPr>
      <w:r>
        <w:rPr>
          <w:b/>
        </w:rPr>
        <w:t xml:space="preserve">[5] </w:t>
      </w:r>
      <w:hyperlink r:id="rId327">
        <w:r>
          <w:rPr>
            <w:color w:val="1155CC"/>
            <w:u w:val="single"/>
          </w:rPr>
          <w:t>高热流负荷下 CuCrZr 散热管的微观结构演化和力学响应</w:t>
        </w:r>
      </w:hyperlink>
    </w:p>
    <w:p>
      <w:pPr>
        <w:spacing w:before="0" w:after="80"/>
      </w:pPr>
      <w:r>
        <w:rPr>
          <w:i/>
          <w:sz w:val="20"/>
        </w:rPr>
        <w:t>EN: Microstructural evolution and mechanical response of CuCrZr heat-sink tubes under high heat flux loading</w:t>
      </w:r>
    </w:p>
    <w:p>
      <w:pPr>
        <w:spacing w:before="0" w:after="120"/>
      </w:pPr>
      <w:r>
        <w:rPr>
          <w:b/>
        </w:rPr>
        <w:t xml:space="preserve">Source: </w:t>
      </w:r>
      <w:r>
        <w:t>Nuclear Fusion - latest papers</w:t>
      </w:r>
      <w:r>
        <w:t xml:space="preserve">    </w:t>
      </w:r>
      <w:r>
        <w:rPr>
          <w:b/>
        </w:rPr>
        <w:t xml:space="preserve">Pub date: </w:t>
      </w:r>
      <w:r>
        <w:t>2026-08-23 23:00:00+00:00</w:t>
      </w:r>
      <w:r>
        <w:t xml:space="preserve">    </w:t>
      </w:r>
      <w:r>
        <w:rPr>
          <w:b/>
        </w:rPr>
        <w:t xml:space="preserve">DOI: </w:t>
      </w:r>
      <w:hyperlink r:id="rId328">
        <w:r>
          <w:rPr>
            <w:color w:val="1155CC"/>
            <w:u w:val="single"/>
          </w:rPr>
          <w:t>10.1088/1741-4326/ae9535</w:t>
        </w:r>
      </w:hyperlink>
    </w:p>
    <w:p>
      <w:pPr>
        <w:spacing w:before="0" w:after="120"/>
      </w:pPr>
      <w:r>
        <w:rPr>
          <w:b/>
        </w:rPr>
        <w:t xml:space="preserve">Notes: </w:t>
      </w:r>
      <w:r>
        <w:t>abstract_source=rss_description</w:t>
      </w:r>
    </w:p>
    <w:p>
      <w:pPr>
        <w:spacing w:before="0" w:after="80" w:lineRule="auto" w:line="276"/>
      </w:pPr>
      <w:r>
        <w:rPr>
          <w:b/>
        </w:rPr>
        <w:t xml:space="preserve">摘要（ZH）: </w:t>
      </w:r>
      <w:r>
        <w:t>系统地研究了 CuCrZr 散热器管在高热通量 (HHF) 负载下的微观结构演变，特别强调热梯度、循环热应力和热历史的耦合效应。 HHF 测试在 20 MW m−2 下进行 300 和 1000 个循环，以及在 23 和 25 MW m−2 下进行 300 个循环。使用硬度测量、拉伸测试、电子背散射衍射 (EBSD) 和 TEM 来表征所得的微观结构和机械响应。在热等静压条件下，CuCrZr 管表现出由有限的再结晶区域和变形主导区域组成的异质微观结构，纳米级 Cr 析出物沿晶界分布，提供主要强化贡献。管的机械性能表现出明显的空间依赖性和对 HHF 载荷参数的强烈敏感性。靠近热负荷表面的区域经历更严重的热退化，而热影响区随着功率密度和循环次数的增加而逐渐向内部延伸。最明显的降解发生在暴露于 20 MW m−2 1000 个循环后，顶部区域的屈服强度降至 167.1 MPa，比热等静压状态低约 30 MPa。在非稳态 HHF 条件下，循环热应力促进强烈的位错运动，导致亚晶结构分解成缠结或细胞位错构型。同时，Cr 沉淀物发生溶解</w:t>
      </w:r>
    </w:p>
    <w:p>
      <w:pPr>
        <w:spacing w:before="0" w:after="200" w:lineRule="auto" w:line="276"/>
      </w:pPr>
      <w:r>
        <w:rPr>
          <w:b/>
        </w:rPr>
        <w:t xml:space="preserve">Abstract (EN): </w:t>
      </w:r>
      <w:r>
        <w:t>The microstructural evolution of CuCrZr heat-sink tubes subjected to high heat flux (HHF) loading was systematically investigated, with particular emphasis on the coupled effects of thermal gradients, cyclic thermal stresses, and thermal histories. HHF tests were performed at 20 MW m−2 for 300 and 1000 cycles, as well as at 23 and 25 MW m−2 for 300 cycles. The resulting microstructural and mechanical responses were characterized using hardness measurements, tensile testing, electron backscatter diffraction (EBSD), and TEM. In the as-HIPed condition, the CuCrZr tube exhibits a heterogeneous microstructure consisting of limited recrystallized regions and deformation-dominated areas, with nanoscale Cr precipitates distributed along grain boundaries providing the primary strengthening contribution. The mechanical properties of the tube show pronounced spatial dependence and strong sensitivity to HHF loading parameters. Regions closer to the heat-loading surface experience more severe thermal degradation, while the thermally affected zone progressively extends toward the interior with increasing power density and cycle number. The most pronounced degradation occurs after exposure to 20 MW m−2 for 1000 cycles, where the yield strength in the top region decreases to 167.1 MPa, approximately 30 MPa lower than that of the as-HIPed state. Under non-steady-state HHF conditions, cyclic thermal stresses promote intensive dislocation motion, leading to the decomposition of subgrain structures into tangled or cellular dislocation configurations. Concurrently, Cr precipitates undergo dissolution and re-precipitation, resulting in a more homogeneous dispersion within the matrix. Pre-existing recrystallized regions exhibit strain hardening due to the accumulation of geometrically necessary dislocations, whereas dislocation recovery and dynamic recrystallization within deformation regions are identified as the primary contributors to mechanical degradation. These results demonstrate that, unlike isothermal annealing, the mechanical performance of CuCrZr under HHF loading is governed by the combined effects of cyclic thermal stress–induced substructure evolution, precipitate redistribution, HHF parameters, and spatial position, providing mechanistic insight relevant to fusion divertor applications.</w:t>
      </w:r>
    </w:p>
    <w:p>
      <w:pPr>
        <w:spacing w:before="120" w:after="120"/>
      </w:pPr>
      <w:r>
        <w:rPr>
          <w:sz w:val="18"/>
        </w:rPr>
        <w:t>——————————————————————————————————————————————————————————————————————</w:t>
      </w:r>
    </w:p>
    <w:p>
      <w:pPr>
        <w:spacing w:before="160" w:after="40" w:line="240" w:lineRule="auto"/>
      </w:pPr>
      <w:r>
        <w:rPr>
          <w:b/>
        </w:rPr>
        <w:t xml:space="preserve">[6] </w:t>
      </w:r>
      <w:hyperlink r:id="rId329">
        <w:r>
          <w:rPr>
            <w:color w:val="1155CC"/>
            <w:u w:val="single"/>
          </w:rPr>
          <w:t>价值数十亿美元的机器旨在创造聚变能记录并研究核武器</w:t>
        </w:r>
      </w:hyperlink>
    </w:p>
    <w:p>
      <w:pPr>
        <w:spacing w:before="0" w:after="80"/>
      </w:pPr>
      <w:r>
        <w:rPr>
          <w:i/>
          <w:sz w:val="20"/>
        </w:rPr>
        <w:t>EN: Billion-dollar machine aims to set a fusion-energy record — and study nuclear weapons</w:t>
      </w:r>
    </w:p>
    <w:p>
      <w:pPr>
        <w:spacing w:before="0" w:after="120"/>
      </w:pPr>
      <w:r>
        <w:rPr>
          <w:b/>
        </w:rPr>
        <w:t xml:space="preserve">Source: </w:t>
      </w:r>
      <w:r>
        <w:t>Nature</w:t>
      </w:r>
      <w:r>
        <w:t xml:space="preserve">    </w:t>
      </w:r>
      <w:r>
        <w:rPr>
          <w:b/>
        </w:rPr>
        <w:t xml:space="preserve">Pub date: </w:t>
      </w:r>
      <w:r>
        <w:t>2026-08-24 00:00:00+00:00</w:t>
      </w:r>
      <w:r>
        <w:t xml:space="preserve">    </w:t>
      </w:r>
      <w:r>
        <w:rPr>
          <w:b/>
        </w:rPr>
        <w:t xml:space="preserve">DOI: </w:t>
      </w:r>
      <w:hyperlink r:id="rId330">
        <w:r>
          <w:rPr>
            <w:color w:val="1155CC"/>
            <w:u w:val="single"/>
          </w:rPr>
          <w:t>10.1038/d41586-026-02620-3</w:t>
        </w:r>
      </w:hyperlink>
    </w:p>
    <w:p>
      <w:pPr>
        <w:spacing w:before="0" w:after="120"/>
      </w:pPr>
      <w:r>
        <w:rPr>
          <w:b/>
        </w:rPr>
        <w:t xml:space="preserve">Notes: </w:t>
      </w:r>
      <w:r>
        <w:t>abstract_source=rss_nature</w:t>
      </w:r>
    </w:p>
    <w:p>
      <w:pPr>
        <w:spacing w:before="0" w:after="80" w:lineRule="auto" w:line="276"/>
      </w:pPr>
      <w:r>
        <w:rPr>
          <w:b/>
        </w:rPr>
        <w:t xml:space="preserve">摘要（ZH）: </w:t>
      </w:r>
      <w:r>
        <w:t>太平洋聚变公司正在美国核武器实验室旁边破土动工，希望此次合作能够为其带来优势。</w:t>
      </w:r>
    </w:p>
    <w:p>
      <w:pPr>
        <w:spacing w:before="0" w:after="200" w:lineRule="auto" w:line="276"/>
      </w:pPr>
      <w:r>
        <w:rPr>
          <w:b/>
        </w:rPr>
        <w:t xml:space="preserve">Abstract (EN): </w:t>
      </w:r>
      <w:r>
        <w:t>Pacific Fusion is breaking ground next door to a US nuclear-weapons laboratory, hoping the partnership will give it an edge.</w:t>
      </w:r>
    </w:p>
    <w:p>
      <w:pPr>
        <w:spacing w:before="120" w:after="120"/>
      </w:pPr>
      <w:r>
        <w:rPr>
          <w:sz w:val="18"/>
        </w:rPr>
        <w:t>——————————————————————————————————————————————————————————————————————</w:t>
      </w:r>
    </w:p>
    <w:p>
      <w:pPr>
        <w:spacing w:before="160" w:after="40" w:line="240" w:lineRule="auto"/>
      </w:pPr>
      <w:r>
        <w:rPr>
          <w:b/>
        </w:rPr>
        <w:t xml:space="preserve">[7] </w:t>
      </w:r>
      <w:hyperlink r:id="rId331">
        <w:r>
          <w:rPr>
            <w:color w:val="1155CC"/>
            <w:u w:val="single"/>
          </w:rPr>
          <w:t>有限温度核裂变中配对相关性和分裂时的壳效应的存在：对奇偶交错的影响</w:t>
        </w:r>
      </w:hyperlink>
    </w:p>
    <w:p>
      <w:pPr>
        <w:spacing w:before="0" w:after="80"/>
      </w:pPr>
      <w:r>
        <w:rPr>
          <w:i/>
          <w:sz w:val="20"/>
        </w:rPr>
        <w:t>EN: Survival of pairing correlations and shell effects at scission in finite-temperature nuclear fission: Implications for odd-even staggering</w:t>
      </w:r>
    </w:p>
    <w:p>
      <w:pPr>
        <w:spacing w:before="0" w:after="120"/>
      </w:pPr>
      <w:r>
        <w:rPr>
          <w:b/>
        </w:rPr>
        <w:t xml:space="preserve">Source: </w:t>
      </w:r>
      <w:r>
        <w:t>Recent Articles in Phys. Rev. C</w:t>
      </w:r>
      <w:r>
        <w:t xml:space="preserve">    </w:t>
      </w:r>
      <w:r>
        <w:rPr>
          <w:b/>
        </w:rPr>
        <w:t xml:space="preserve">Pub date: </w:t>
      </w:r>
      <w:r>
        <w:t>2026-08-24 10:00:00+00:00</w:t>
      </w:r>
      <w:r>
        <w:t xml:space="preserve">    </w:t>
      </w:r>
      <w:r>
        <w:rPr>
          <w:b/>
        </w:rPr>
        <w:t xml:space="preserve">DOI: </w:t>
      </w:r>
      <w:hyperlink r:id="rId332">
        <w:r>
          <w:rPr>
            <w:color w:val="1155CC"/>
            <w:u w:val="single"/>
          </w:rPr>
          <w:t>10.1103/w4z5-wbc2</w:t>
        </w:r>
      </w:hyperlink>
    </w:p>
    <w:p>
      <w:pPr>
        <w:spacing w:before="0" w:after="120"/>
      </w:pPr>
      <w:r>
        <w:rPr>
          <w:b/>
        </w:rPr>
        <w:t xml:space="preserve">Notes: </w:t>
      </w:r>
      <w:r>
        <w:t>abstract_source=rss_description</w:t>
      </w:r>
    </w:p>
    <w:p>
      <w:pPr>
        <w:spacing w:before="0" w:after="80" w:lineRule="auto" w:line="276"/>
      </w:pPr>
      <w:r>
        <w:rPr>
          <w:b/>
        </w:rPr>
        <w:t xml:space="preserve">摘要（ZH）: </w:t>
      </w:r>
      <w:r>
        <w:t>作者：K. Pomorski、A. Augustyn、T. Cap、Y. J. Chen、M. Kowal、M. Warda 和 Z. G. Xiao 我们研究核裂变中微观自由能修正的有限温度演化，重点关注裂变附近的配对和壳效应。该分析基于有限温度 BCS 处理与 Strutinsky 方法相结合，并针对代表性变形进行......[Phys。 Rev. C 114, 024336] 于 2026 年 8 月 24 日星期一发布</w:t>
      </w:r>
    </w:p>
    <w:p>
      <w:pPr>
        <w:spacing w:before="0" w:after="200" w:lineRule="auto" w:line="276"/>
      </w:pPr>
      <w:r>
        <w:rPr>
          <w:b/>
        </w:rPr>
        <w:t xml:space="preserve">Abstract (EN): </w:t>
      </w:r>
      <w:r>
        <w:t>Author(s): K. Pomorski, A. Augustyn, T. Cap, Y. J. Chen, M. Kowal, M. Warda, and Z. G. XiaoWe investigate the finite-temperature evolution of microscopic free-energy corrections in nuclear fission, focusing on pairing and shell effects near scission. The analysis is based on a finite-temperature BCS treatment combined with the Strutinsky method and is performed for representative deformat…[Phys. Rev. C 114, 024336] Published Mon Aug 24, 2026</w:t>
      </w:r>
    </w:p>
    <w:p>
      <w:pPr>
        <w:spacing w:before="120" w:after="120"/>
      </w:pPr>
      <w:r>
        <w:rPr>
          <w:sz w:val="18"/>
        </w:rPr>
        <w:t>——————————————————————————————————————————————————————————————————————</w:t>
      </w:r>
    </w:p>
    <w:p>
      <w:pPr>
        <w:spacing w:before="160" w:after="40" w:line="240" w:lineRule="auto"/>
      </w:pPr>
      <w:r>
        <w:rPr>
          <w:b/>
        </w:rPr>
        <w:t xml:space="preserve">[8] </w:t>
      </w:r>
      <w:hyperlink r:id="rId333">
        <w:r>
          <w:rPr>
            <w:color w:val="1155CC"/>
            <w:u w:val="single"/>
          </w:rPr>
          <w:t>WEST长脉冲成果支持下一代聚变装置</w:t>
        </w:r>
      </w:hyperlink>
    </w:p>
    <w:p>
      <w:pPr>
        <w:spacing w:before="0" w:after="80"/>
      </w:pPr>
      <w:r>
        <w:rPr>
          <w:i/>
          <w:sz w:val="20"/>
        </w:rPr>
        <w:t>EN: WEST long-pulse achievements in support of next-step fusion devices</w:t>
      </w:r>
    </w:p>
    <w:p>
      <w:pPr>
        <w:spacing w:before="0" w:after="120"/>
      </w:pPr>
      <w:r>
        <w:rPr>
          <w:b/>
        </w:rPr>
        <w:t xml:space="preserve">Source: </w:t>
      </w:r>
      <w:r>
        <w:t>Nuclear Fusion - latest papers</w:t>
      </w:r>
      <w:r>
        <w:t xml:space="preserve">    </w:t>
      </w:r>
      <w:r>
        <w:rPr>
          <w:b/>
        </w:rPr>
        <w:t xml:space="preserve">Pub date: </w:t>
      </w:r>
      <w:r>
        <w:t>2026-08-24 23:00:00+00:00</w:t>
      </w:r>
      <w:r>
        <w:t xml:space="preserve">    </w:t>
      </w:r>
      <w:r>
        <w:rPr>
          <w:b/>
        </w:rPr>
        <w:t xml:space="preserve">DOI: </w:t>
      </w:r>
      <w:hyperlink r:id="rId334">
        <w:r>
          <w:rPr>
            <w:color w:val="1155CC"/>
            <w:u w:val="single"/>
          </w:rPr>
          <w:t>10.1088/1741-4326/ae9490</w:t>
        </w:r>
      </w:hyperlink>
    </w:p>
    <w:p>
      <w:pPr>
        <w:spacing w:before="0" w:after="120"/>
      </w:pPr>
      <w:r>
        <w:rPr>
          <w:b/>
        </w:rPr>
        <w:t xml:space="preserve">Notes: </w:t>
      </w:r>
      <w:r>
        <w:t>abstract_source=rss_description</w:t>
      </w:r>
    </w:p>
    <w:p>
      <w:pPr>
        <w:spacing w:before="0" w:after="80" w:lineRule="auto" w:line="276"/>
      </w:pPr>
      <w:r>
        <w:rPr>
          <w:b/>
        </w:rPr>
        <w:t xml:space="preserve">摘要（ZH）: </w:t>
      </w:r>
      <w:r>
        <w:t>WEST托卡马克配备了超导环形磁场系统、多兆瓦射频辅助电源系统和主动冷却的ITER级钨偏滤器。因此，它非常适合探索与下一步器件的长脉冲操作相关的实验方面。在预测优先集成建模的支持下，定制场景开发可以实现零环路电压脉冲。由此产生的放电，MA 范围内的等离子电流仅由较低混合电流驱动 (LHCD) 系统作为辅助电源维持，持续时间超过 22 分钟，注入/提取能量高达 2.61 GJ。等离子体性能的特征是极向β、归一化环形β 和限制因子的范围。轻微的 MHD 活动（被确定为 3/1 和 4/1 撕裂模式相互作用的结果）偶尔会出现，具体取决于所使用的 LHCD 天线组合。本文介绍了在长脉冲场景开发工作中采用的预测优先方法。回顾了主要成果和进行的物理分析，包括实验后集成建模方面。描绘了进一步长脉冲发展的前景。</w:t>
      </w:r>
    </w:p>
    <w:p>
      <w:pPr>
        <w:spacing w:before="0" w:after="200" w:lineRule="auto" w:line="276"/>
      </w:pPr>
      <w:r>
        <w:rPr>
          <w:b/>
        </w:rPr>
        <w:t xml:space="preserve">Abstract (EN): </w:t>
      </w:r>
      <w:r>
        <w:t>The WEST tokamak is equipped with a superconducting toroidal magnetic field system, a multi-megawatt radiofrequency auxiliary power system, and an actively cooled ITER-grade tungsten divertor. As such, it is well adapted to explore experimental aspects related to the long pulse operation of next-step devices. Supported by predict-first integrated modeling, bespoke scenario development has allowed zero-loop voltage pulses to be achieved. The resulting discharges, with plasma currents in the range MA exclusively sustained by the lower hybrid current drive (LHCD) system as an auxiliary power source, have achieved durations in excess of 22 min and injected/extracted energies up to 2.61 GJ. Plasma performance is characterized by ranges of poloidal beta , normalized toroidal beta and confinement factor . Mild MHD activity, identified as resulting from the interaction of 3/1 and 4/1 tearing modes, is occasionally present, depending on the LHCD antenna combination used. This article describes the predict-first approach thathas been employed in the context of this long-pulse scenario development endeavor. The main achievements and the physics analyses performed are reviewed, including post-experiment integrated modeling aspects. Prospects for further long-pulse developments are drawn.</w:t>
      </w:r>
    </w:p>
    <w:p>
      <w:pPr>
        <w:spacing w:before="120" w:after="120"/>
      </w:pPr>
      <w:r>
        <w:rPr>
          <w:sz w:val="18"/>
        </w:rPr>
        <w:t>——————————————————————————————————————————————————————————————————————</w:t>
      </w:r>
    </w:p>
    <w:p>
      <w:pPr>
        <w:spacing w:before="160" w:after="40" w:line="240" w:lineRule="auto"/>
      </w:pPr>
      <w:r>
        <w:rPr>
          <w:b/>
        </w:rPr>
        <w:t xml:space="preserve">[9] </w:t>
      </w:r>
      <w:hyperlink r:id="rId335">
        <w:r>
          <w:rPr>
            <w:color w:val="1155CC"/>
            <w:u w:val="single"/>
          </w:rPr>
          <w:t>RMP 环形相对 EAST 中 ELM 缓解和杂质控制的影响</w:t>
        </w:r>
      </w:hyperlink>
    </w:p>
    <w:p>
      <w:pPr>
        <w:spacing w:before="0" w:after="80"/>
      </w:pPr>
      <w:r>
        <w:rPr>
          <w:i/>
          <w:sz w:val="20"/>
        </w:rPr>
        <w:t>EN: Impacts of RMP toroidal phase on ELM mitigation and impurity control in EAST</w:t>
      </w:r>
    </w:p>
    <w:p>
      <w:pPr>
        <w:spacing w:before="0" w:after="120"/>
      </w:pPr>
      <w:r>
        <w:rPr>
          <w:b/>
        </w:rPr>
        <w:t xml:space="preserve">Source: </w:t>
      </w:r>
      <w:r>
        <w:t>Nuclear Fusion - latest papers</w:t>
      </w:r>
      <w:r>
        <w:t xml:space="preserve">    </w:t>
      </w:r>
      <w:r>
        <w:rPr>
          <w:b/>
        </w:rPr>
        <w:t xml:space="preserve">Pub date: </w:t>
      </w:r>
      <w:r>
        <w:t>2026-08-24 23:00:00+00:00</w:t>
      </w:r>
      <w:r>
        <w:t xml:space="preserve">    </w:t>
      </w:r>
      <w:r>
        <w:rPr>
          <w:b/>
        </w:rPr>
        <w:t xml:space="preserve">DOI: </w:t>
      </w:r>
      <w:hyperlink r:id="rId336">
        <w:r>
          <w:rPr>
            <w:color w:val="1155CC"/>
            <w:u w:val="single"/>
          </w:rPr>
          <w:t>10.1088/1741-4326/ae9626</w:t>
        </w:r>
      </w:hyperlink>
    </w:p>
    <w:p>
      <w:pPr>
        <w:spacing w:before="0" w:after="120"/>
      </w:pPr>
      <w:r>
        <w:rPr>
          <w:b/>
        </w:rPr>
        <w:t xml:space="preserve">Notes: </w:t>
      </w:r>
      <w:r>
        <w:t>abstract_source=rss_description</w:t>
      </w:r>
    </w:p>
    <w:p>
      <w:pPr>
        <w:spacing w:before="0" w:after="80" w:lineRule="auto" w:line="276"/>
      </w:pPr>
      <w:r>
        <w:rPr>
          <w:b/>
        </w:rPr>
        <w:t xml:space="preserve">摘要（ZH）: </w:t>
      </w:r>
      <w:r>
        <w:t>我们进行了一项集成建模研究，将 MARS-F 代码与 EMC3-EIRENE 代码相结合，以检查谐振磁扰动 (RMP) 的环形相位 (Δφ) 对 EAST 中边缘局域模式 (ELM) 缓解和杂质控制的影响。建模表明，等离子体响应从根本上重塑了边缘共振扰动的相位依赖性，最大绝对响应幅度在 Δφ 约 90° 处，最小绝对响应幅度在 Δφ 约 270° 处。根据边缘谐振场准则，预计 Δφ 约 90° 处的放大主导相位有利于 ELM 缓解，而 Δφ 约 270° 处的屏蔽主导相位表现出较弱的性能。在相同的相位扫描中，发现钨 (W) 目标侵蚀减少、边缘屏蔽增强和岩心堆积减少与 ELM 缓解的相同相位窗口一致。这一发现表明，适当的 RMP 定相可以为 ELM 缓解创造有利的机制，同时减少 W 积累，为 RMP 操作中的环形相位优化提供实用指南。</w:t>
      </w:r>
    </w:p>
    <w:p>
      <w:pPr>
        <w:spacing w:before="0" w:after="200" w:lineRule="auto" w:line="276"/>
      </w:pPr>
      <w:r>
        <w:rPr>
          <w:b/>
        </w:rPr>
        <w:t xml:space="preserve">Abstract (EN): </w:t>
      </w:r>
      <w:r>
        <w:t>An integrated modeling study, coupling the MARS-F code with the EMC3-EIRENE code, has been performed to examine the impacts of the toroidal phase (Δφ) of resonant magnetic perturbation (RMP) on edge-localized mode (ELM) mitigation and impurity control in EAST. The modeling shows that the plasma response fundamentally reshapes the phase dependence of the edge resonant perturbations, with the maximum absolute response magnitude at Δφ ≈90° and the minimum at Δφ ≈270°. According to the edge resonant field criterion, amplification-dominated phases at Δφ ≈90° are expected to be favorable for ELM mitigation, whereas screening-dominated phases at Δφ ≈270° show weak performance. In the same phase scan, reduced tungsten (W) target erosion, enhanced edge screening, and decreased core accumulation are found to coincide with the same phase window for ELM mitigation. This finding indicates that appropriate RMP phasing could create a favorable regime for ELM mitigation and simultaneously for reduced W accumulation, offering a practical guideline for toroidal phase optimization in RMP operation.</w:t>
      </w:r>
    </w:p>
    <w:p>
      <w:pPr>
        <w:spacing w:before="120" w:after="120"/>
      </w:pPr>
      <w:r>
        <w:rPr>
          <w:sz w:val="18"/>
        </w:rPr>
        <w:t>——————————————————————————————————————————————————————————————————————</w:t>
      </w:r>
    </w:p>
    <w:p>
      <w:pPr>
        <w:spacing w:before="160" w:after="40" w:line="240" w:lineRule="auto"/>
      </w:pPr>
      <w:r>
        <w:rPr>
          <w:b/>
        </w:rPr>
        <w:t xml:space="preserve">[10] </w:t>
      </w:r>
      <w:hyperlink r:id="rId337">
        <w:r>
          <w:rPr>
            <w:color w:val="1155CC"/>
            <w:u w:val="single"/>
          </w:rPr>
          <w:t>DIII-D 和 TCV 托卡马克上类似负三角等离子体中的无量纲约束缩放</w:t>
        </w:r>
      </w:hyperlink>
    </w:p>
    <w:p>
      <w:pPr>
        <w:spacing w:before="0" w:after="80"/>
      </w:pPr>
      <w:r>
        <w:rPr>
          <w:i/>
          <w:sz w:val="20"/>
        </w:rPr>
        <w:t>EN: Non-dimensional confinement scaling in similar negative triangularity plasmas on the DIII-D and TCV tokamaks</w:t>
      </w:r>
    </w:p>
    <w:p>
      <w:pPr>
        <w:spacing w:before="0" w:after="120"/>
      </w:pPr>
      <w:r>
        <w:rPr>
          <w:b/>
        </w:rPr>
        <w:t xml:space="preserve">Source: </w:t>
      </w:r>
      <w:r>
        <w:t>Nuclear Fusion - latest papers</w:t>
      </w:r>
      <w:r>
        <w:t xml:space="preserve">    </w:t>
      </w:r>
      <w:r>
        <w:rPr>
          <w:b/>
        </w:rPr>
        <w:t xml:space="preserve">Pub date: </w:t>
      </w:r>
      <w:r>
        <w:t>2026-08-24 23:00:00+00:00</w:t>
      </w:r>
      <w:r>
        <w:t xml:space="preserve">    </w:t>
      </w:r>
      <w:r>
        <w:rPr>
          <w:b/>
        </w:rPr>
        <w:t xml:space="preserve">DOI: </w:t>
      </w:r>
      <w:hyperlink r:id="rId338">
        <w:r>
          <w:rPr>
            <w:color w:val="1155CC"/>
            <w:u w:val="single"/>
          </w:rPr>
          <w:t>10.1088/1741-4326/ae96c6</w:t>
        </w:r>
      </w:hyperlink>
    </w:p>
    <w:p>
      <w:pPr>
        <w:spacing w:before="0" w:after="120"/>
      </w:pPr>
      <w:r>
        <w:rPr>
          <w:b/>
        </w:rPr>
        <w:t xml:space="preserve">Notes: </w:t>
      </w:r>
      <w:r>
        <w:t>abstract_source=rss_description</w:t>
      </w:r>
    </w:p>
    <w:p>
      <w:pPr>
        <w:spacing w:before="0" w:after="80" w:lineRule="auto" w:line="276"/>
      </w:pPr>
      <w:r>
        <w:rPr>
          <w:b/>
        </w:rPr>
        <w:t xml:space="preserve">摘要（ZH）: </w:t>
      </w:r>
      <w:r>
        <w:t>在 DIII-D 和 TCV 托卡马克上进行了相似性实验，以探索使用无量纲变量在负三角 (NT) 等离子体中能量限制的尺度。在较低的单零配置中创建了具有大的上下平均 NT 的近上下对称等离子体，两个设备之间的分界线形状紧密匹配。发现归一化能量限制在增加碰撞性时有微弱的改善，并且在两个设备之间，显示了玻姆和陀螺玻姆之间的机器尺寸缩放行为。大型 DIII-D 数据集上的工程缩放与无量纲实验一致。</w:t>
      </w:r>
    </w:p>
    <w:p>
      <w:pPr>
        <w:spacing w:before="0" w:after="200" w:lineRule="auto" w:line="276"/>
      </w:pPr>
      <w:r>
        <w:rPr>
          <w:b/>
        </w:rPr>
        <w:t xml:space="preserve">Abstract (EN): </w:t>
      </w:r>
      <w:r>
        <w:t>Similarity experiments were performed on the DIII-D and TCV tokamaks to explore the scaling of energy confinement in negative triangularity (NT) plasmas using non-dimensional variables. Near up-down symmetric plasmas with large top-bottom averaged NT were created in a lower single null configuration, with the shape of the separatrix being closely matched between the two devices. The normalized energy confinement is found to weakly improve at increasing collisionality and, between the two devices, shows a machine size scaling behavior between Bohm and gyro-Bohm. Engineering scaling on a large DIII-D dataset is in agreement with the non-dimensional experiment.</w:t>
      </w:r>
    </w:p>
    <w:p>
      <w:pPr>
        <w:spacing w:before="120" w:after="120"/>
      </w:pPr>
      <w:r>
        <w:rPr>
          <w:sz w:val="18"/>
        </w:rPr>
        <w:t>——————————————————————————————————————————————————————————————————————</w:t>
      </w:r>
    </w:p>
    <w:p>
      <w:pPr>
        <w:spacing w:before="160" w:after="40" w:line="240" w:lineRule="auto"/>
      </w:pPr>
      <w:r>
        <w:rPr>
          <w:b/>
        </w:rPr>
        <w:t xml:space="preserve">[11] </w:t>
      </w:r>
      <w:hyperlink r:id="rId339">
        <w:r>
          <w:rPr>
            <w:color w:val="1155CC"/>
            <w:u w:val="single"/>
          </w:rPr>
          <w:t>阿尔文间隙模式的径向相位变化和能量流</w:t>
        </w:r>
      </w:hyperlink>
    </w:p>
    <w:p>
      <w:pPr>
        <w:spacing w:before="0" w:after="80"/>
      </w:pPr>
      <w:r>
        <w:rPr>
          <w:i/>
          <w:sz w:val="20"/>
        </w:rPr>
        <w:t>EN: Radial phase variation and energy flow of Alfvén gap modes</w:t>
      </w:r>
    </w:p>
    <w:p>
      <w:pPr>
        <w:spacing w:before="0" w:after="120"/>
      </w:pPr>
      <w:r>
        <w:rPr>
          <w:b/>
        </w:rPr>
        <w:t xml:space="preserve">Source: </w:t>
      </w:r>
      <w:r>
        <w:t>Nuclear Fusion - latest papers</w:t>
      </w:r>
      <w:r>
        <w:t xml:space="preserve">    </w:t>
      </w:r>
      <w:r>
        <w:rPr>
          <w:b/>
        </w:rPr>
        <w:t xml:space="preserve">Pub date: </w:t>
      </w:r>
      <w:r>
        <w:t>2026-08-24 23:00:00+00:00</w:t>
      </w:r>
      <w:r>
        <w:t xml:space="preserve">    </w:t>
      </w:r>
      <w:r>
        <w:rPr>
          <w:b/>
        </w:rPr>
        <w:t xml:space="preserve">DOI: </w:t>
      </w:r>
      <w:hyperlink r:id="rId340">
        <w:r>
          <w:rPr>
            <w:color w:val="1155CC"/>
            <w:u w:val="single"/>
          </w:rPr>
          <w:t>10.1088/1741-4326/ae977e</w:t>
        </w:r>
      </w:hyperlink>
    </w:p>
    <w:p>
      <w:pPr>
        <w:spacing w:before="0" w:after="120"/>
      </w:pPr>
      <w:r>
        <w:rPr>
          <w:b/>
        </w:rPr>
        <w:t xml:space="preserve">Notes: </w:t>
      </w:r>
      <w:r>
        <w:t>abstract_source=rss_description</w:t>
      </w:r>
    </w:p>
    <w:p>
      <w:pPr>
        <w:spacing w:before="0" w:after="80" w:lineRule="auto" w:line="276"/>
      </w:pPr>
      <w:r>
        <w:rPr>
          <w:b/>
        </w:rPr>
        <w:t xml:space="preserve">摘要（ZH）: </w:t>
      </w:r>
      <w:r>
        <w:t>阿尔文本征模式的径向弯曲模式结构在与能量传输相关的聚变实验中常见，这表明非理想磁流体动力学 (MHD) 和全局效应引起的径向相位变化。在这项工作中，基于朗道流体体等离子体和非微扰回动高能离子的MAS全局特征值模拟，我们研究了RSAE弯曲极向模式结构尾部以及DIII-D等离子体中径向耦合RSAE和TAE快速相变的物理机制。前一种是由于 RSAE 和 Alfvén 连续体之间的动力学相互作用，增强了模式转换为动态 Alfvén 波，而后一种可以通过高阶径向本征态或具有多个极向谐波的 RSAE-TAE 混合模式的全局效应来解释。在MAS框架中制定并实现了基于全局模式结构的改进能量传输模型，该模型清楚地展示了径向坡印廷矢量的径向相位变化和EI非微扰效应。</w:t>
      </w:r>
    </w:p>
    <w:p>
      <w:pPr>
        <w:spacing w:before="0" w:after="200" w:lineRule="auto" w:line="276"/>
      </w:pPr>
      <w:r>
        <w:rPr>
          <w:b/>
        </w:rPr>
        <w:t xml:space="preserve">Abstract (EN): </w:t>
      </w:r>
      <w:r>
        <w:t>Radially curved mode structures of Alfvén eigenmodes are commonly observed in fusion experiments associated with energy transport, which indicate the radial phase variation arising from non-ideal magnetohydrodynamics (MHD) and global effects. In this work, based on MAS global eigenvalue simulations with Landau-fluid bulk plasmas and non-perturbative gyrokinetic energetic ions, we investigate the physical mechanisms responsible for the curved poloidal mode structure tail of RSAE and the rapid phase change of radially coupled RSAE and TAE in DIII-D plasmas. The former one is due to kinetic interaction between RSAE and Alfvén continuum with enhanced mode conversion to kinetic Alfvén waves, and the latter one can be explained by global effects of higher-order radial eigenstate or RSAE–TAE hybrid modes with multiple poloidal harmonics. An improved energy transport model based on global mode structures is formulated and implemented in the MAS framework, which clearly demonstrates the radial phase variation and EI non-perturbative effects on the radial Poynting vector.</w:t>
      </w:r>
    </w:p>
    <w:p>
      <w:pPr>
        <w:spacing w:before="120" w:after="120"/>
      </w:pPr>
      <w:r>
        <w:rPr>
          <w:sz w:val="18"/>
        </w:rPr>
        <w:t>——————————————————————————————————————————————————————————————————————</w:t>
      </w:r>
    </w:p>
    <w:p>
      <w:pPr>
        <w:spacing w:before="160" w:after="40" w:line="240" w:lineRule="auto"/>
      </w:pPr>
      <w:r>
        <w:rPr>
          <w:b/>
        </w:rPr>
        <w:t xml:space="preserve">[12] </w:t>
      </w:r>
      <w:hyperlink r:id="rId341">
        <w:r>
          <w:rPr>
            <w:color w:val="1155CC"/>
            <w:u w:val="single"/>
          </w:rPr>
          <w:t>E×B楼梯稳定性理论：有利...</w:t>
        </w:r>
      </w:hyperlink>
    </w:p>
    <w:p>
      <w:pPr>
        <w:spacing w:before="0" w:after="80"/>
      </w:pPr>
      <w:r>
        <w:rPr>
          <w:i/>
          <w:sz w:val="20"/>
        </w:rPr>
        <w:t>EN: A theory of E × B staircase stability: favorab...</w:t>
      </w:r>
    </w:p>
    <w:p>
      <w:pPr>
        <w:spacing w:before="0" w:after="120"/>
      </w:pPr>
      <w:r>
        <w:rPr>
          <w:b/>
        </w:rPr>
        <w:t xml:space="preserve">Source: </w:t>
      </w:r>
      <w:r>
        <w:t>Nuclear Fusion - latest papers</w:t>
      </w:r>
      <w:r>
        <w:t xml:space="preserve">    </w:t>
      </w:r>
      <w:r>
        <w:rPr>
          <w:b/>
        </w:rPr>
        <w:t xml:space="preserve">Pub date: </w:t>
      </w:r>
      <w:r>
        <w:t>2026-08-24 23:00:00+00:00</w:t>
      </w:r>
      <w:r>
        <w:t xml:space="preserve">    </w:t>
      </w:r>
      <w:r>
        <w:rPr>
          <w:b/>
        </w:rPr>
        <w:t xml:space="preserve">DOI: </w:t>
      </w:r>
      <w:hyperlink r:id="rId342">
        <w:r>
          <w:rPr>
            <w:color w:val="1155CC"/>
            <w:u w:val="single"/>
          </w:rPr>
          <w:t>10.1088/1741-4326/ae97f4</w:t>
        </w:r>
      </w:hyperlink>
    </w:p>
    <w:p>
      <w:pPr>
        <w:spacing w:before="0" w:after="120"/>
      </w:pPr>
      <w:r>
        <w:rPr>
          <w:b/>
        </w:rPr>
        <w:t xml:space="preserve">Notes: </w:t>
      </w:r>
      <w:r>
        <w:t>abstract_source=rss_description</w:t>
      </w:r>
    </w:p>
    <w:p>
      <w:pPr>
        <w:spacing w:before="0" w:after="80" w:lineRule="auto" w:line="276"/>
      </w:pPr>
      <w:r>
        <w:rPr>
          <w:b/>
        </w:rPr>
        <w:t xml:space="preserve">摘要（ZH）: </w:t>
      </w:r>
      <w:r>
        <w:t>我们提出了 E B 阶梯稳定性的分析理论，以防止凹凸孔对生长的内在塌陷。所获得的维持阶梯所需的与尺度相关的临界 E B 剪切速率表明，更精细尺度的流动分量本质上更容易崩溃。将我们的模型扩展到包括快离子，我们发现临界剪切率急剧降低。它源于快离子布居导致的径向漂移波群速度的降低。结果表明，快离子在维持尖锐、阶梯式 E B 阶梯结构方面具有非常有利的作用，这与最近在 KSTAR FIRE 模式等离子体中长寿命阶梯的实验观察结果一致。</w:t>
      </w:r>
    </w:p>
    <w:p>
      <w:pPr>
        <w:spacing w:before="0" w:after="200" w:lineRule="auto" w:line="276"/>
      </w:pPr>
      <w:r>
        <w:rPr>
          <w:b/>
        </w:rPr>
        <w:t xml:space="preserve">Abstract (EN): </w:t>
      </w:r>
      <w:r>
        <w:t>We present an analytic theory for the E B staircase stability against intrinsic collapse with a bump-hole pair growth. The obtained scale-dependent critical E B shearing rate required to sustain the staircase indicates that finer-scale flow components are inherently more susceptible to collapse. Extending our model to include fast ions, we find a drastic reduction in the critical shearing rate. It originates from the reduction of the radial drift wave group velocity due to fast ion population. The result suggests a highly favorable role of fast ions in maintaining the sharp, step-wise E B staircase structure, consistent with recent experimental observations of long-lived staircases in KSTAR FIRE mode plasmas.</w:t>
      </w:r>
    </w:p>
    <w:p>
      <w:pPr>
        <w:spacing w:before="120" w:after="120"/>
      </w:pPr>
      <w:r>
        <w:rPr>
          <w:sz w:val="18"/>
        </w:rPr>
        <w:t>——————————————————————————————————————————————————————————————————————</w:t>
      </w:r>
    </w:p>
    <w:p>
      <w:pPr>
        <w:spacing w:before="160" w:after="40" w:line="240" w:lineRule="auto"/>
      </w:pPr>
      <w:r>
        <w:rPr>
          <w:b/>
        </w:rPr>
        <w:t xml:space="preserve">[13] </w:t>
      </w:r>
      <w:hyperlink r:id="rId343">
        <w:r>
          <w:rPr>
            <w:color w:val="1155CC"/>
            <w:u w:val="single"/>
          </w:rPr>
          <w:t>采用先进W-K板制备的整体靶材的高热通量性能</w:t>
        </w:r>
      </w:hyperlink>
    </w:p>
    <w:p>
      <w:pPr>
        <w:spacing w:before="0" w:after="80"/>
      </w:pPr>
      <w:r>
        <w:rPr>
          <w:i/>
          <w:sz w:val="20"/>
        </w:rPr>
        <w:t>EN: High-heat-flux performance of monoblock target prepared with advanced W–K plate</w:t>
      </w:r>
    </w:p>
    <w:p>
      <w:pPr>
        <w:spacing w:before="0" w:after="120"/>
      </w:pPr>
      <w:r>
        <w:rPr>
          <w:b/>
        </w:rPr>
        <w:t xml:space="preserve">Source: </w:t>
      </w:r>
      <w:r>
        <w:t>Nuclear Fusion - latest papers</w:t>
      </w:r>
      <w:r>
        <w:t xml:space="preserve">    </w:t>
      </w:r>
      <w:r>
        <w:rPr>
          <w:b/>
        </w:rPr>
        <w:t xml:space="preserve">Pub date: </w:t>
      </w:r>
      <w:r>
        <w:t>2026-08-24 23:00:00+00:00</w:t>
      </w:r>
      <w:r>
        <w:t xml:space="preserve">    </w:t>
      </w:r>
      <w:r>
        <w:rPr>
          <w:b/>
        </w:rPr>
        <w:t xml:space="preserve">DOI: </w:t>
      </w:r>
      <w:hyperlink r:id="rId344">
        <w:r>
          <w:rPr>
            <w:color w:val="1155CC"/>
            <w:u w:val="single"/>
          </w:rPr>
          <w:t>10.1088/1741-4326/ae97f5</w:t>
        </w:r>
      </w:hyperlink>
    </w:p>
    <w:p>
      <w:pPr>
        <w:spacing w:before="0" w:after="120"/>
      </w:pPr>
      <w:r>
        <w:rPr>
          <w:b/>
        </w:rPr>
        <w:t xml:space="preserve">Notes: </w:t>
      </w:r>
      <w:r>
        <w:t>abstract_source=rss_description</w:t>
      </w:r>
    </w:p>
    <w:p>
      <w:pPr>
        <w:spacing w:before="0" w:after="80" w:lineRule="auto" w:line="276"/>
      </w:pPr>
      <w:r>
        <w:rPr>
          <w:b/>
        </w:rPr>
        <w:t xml:space="preserve">摘要（ZH）: </w:t>
      </w:r>
      <w:r>
        <w:t>钾掺杂钨 (W-K) 是一种有前途的面向等离子体的材料，因为纳米级 K 气泡可以提高微观结构稳定性，而无需引入固体第二相。在这项工作中，通过粉末冶金、热轧和去应力退火制造了含有〜90 ppm K的大型轧制W-K板，并将其加工成类似ITER的水冷整体模型。轧制板材在 50 °C 时的拉伸强度为 1225 MPa，在 200 °C 时的延展性超过 20%，再结晶温度约为 1500 °C。 RD-TD 平面上的瞬态电子束热冲击测试表明，轧制状态和 1400 °C 退火的 W-K 在 100 个 1 ms 脉冲至 0.66 GW m−2 后仍保持无裂纹，而在 1500 °C 退火的样品则表现出较低的裂纹阈值。在稳态高热通量疲劳下，W-K 整体在 20 MW m−2 下保持结构完整性长达 1500 次循环，尽管表面粗糙、晶间裂纹和局部熔化随着循环次数的增加而发展。在 25 MW m−2 时，500 次循环后，表观表面温度超过 2300 °C，出现严重的粗糙/侵蚀。一个关键的机制发现是裂纹密度和裂纹深度受不同因素控制：裂纹密度主要随着热循环的累积而增加，而裂纹深度主要由峰值表面温度控制。稳定的 K 气泡分散体可以延缓晶界迁移并抑制微裂纹成核，从而有助于轧制 W-K 整体块的高热冲击和 HHF 耐受性。</w:t>
      </w:r>
    </w:p>
    <w:p>
      <w:pPr>
        <w:spacing w:before="0" w:after="200" w:lineRule="auto" w:line="276"/>
      </w:pPr>
      <w:r>
        <w:rPr>
          <w:b/>
        </w:rPr>
        <w:t xml:space="preserve">Abstract (EN): </w:t>
      </w:r>
      <w:r>
        <w:t>Potassium-doped tungsten (W–K) is a promising plasma-facing material because nanoscale K bubbles may improve microstructural stability without introducing solid second phases. In this work, large-scale rolled W–K plates containing ∼90 ppm K were fabricated by powder metallurgy, hot rolling and stress-relief annealing, and were machined into ITER-like water-cooled monoblock mock-ups. The rolled plates showed a tensile strength of 1225 MPa at 50 °C, ductility exceeding 20% at 200 °C, and a recrystallization temperature of ∼1500 °C. Transient electron-beam thermal-shock tests on the RD-TD plane demonstrated that the as-rolled and 1400 °C -annealed W–K remained crack-free after 100 pulses of 1 ms up to 0.66 GW m−2, whereas specimens annealed at ⩾1500 °C exhibited reduced cracking thresholds. Under steady-state high-heat-flux fatigue, W–K monoblocks maintained structural integrity at 20 MW m−2 for up to 1500 cycles, although surface roughening, intergranular fissures and local melting developed with increasing cycle number. At 25 MW m−2, severe roughening/erosion occurred after 500 cycles as the apparent surface temperature exceeded 2300 °C. A key mechanistic finding is that crack density and crack depth are governed by different factors: crack density increased mainly with accumulated thermal cycles, whereas crack depth was controlled predominantly by peak surface temperature. Stable K-bubble dispersion is suggested to retard grain-boundary migration and suppress microcrack nucleation, contributing to the high thermal-shock and HHF tolerance of rolled W–K monoblocks.</w:t>
      </w:r>
    </w:p>
    <w:p>
      <w:pPr>
        <w:spacing w:before="120" w:after="120"/>
      </w:pPr>
      <w:r>
        <w:rPr>
          <w:sz w:val="18"/>
        </w:rPr>
        <w:t>——————————————————————————————————————————————————————————————————————</w:t>
      </w:r>
    </w:p>
    <w:p>
      <w:pPr>
        <w:spacing w:before="160" w:after="40" w:line="240" w:lineRule="auto"/>
      </w:pPr>
      <w:r>
        <w:rPr>
          <w:b/>
        </w:rPr>
        <w:t xml:space="preserve">[14] </w:t>
      </w:r>
      <w:hyperlink r:id="rId345">
        <w:r>
          <w:rPr>
            <w:color w:val="1155CC"/>
            <w:u w:val="single"/>
          </w:rPr>
          <w:t>首次观察磁约束装置中阿尔芬本征模感应的电流</w:t>
        </w:r>
      </w:hyperlink>
    </w:p>
    <w:p>
      <w:pPr>
        <w:spacing w:before="0" w:after="80"/>
      </w:pPr>
      <w:r>
        <w:rPr>
          <w:i/>
          <w:sz w:val="20"/>
        </w:rPr>
        <w:t>EN: First Observation of Currents Induced by Alfvén Eigenmodes in a Magnetic Confinement Device</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346">
        <w:r>
          <w:rPr>
            <w:color w:val="1155CC"/>
            <w:u w:val="single"/>
          </w:rPr>
          <w:t>10.1103/1kzf-4n8n</w:t>
        </w:r>
      </w:hyperlink>
    </w:p>
    <w:p>
      <w:pPr>
        <w:spacing w:before="0" w:after="120"/>
      </w:pPr>
      <w:r>
        <w:rPr>
          <w:b/>
        </w:rPr>
        <w:t xml:space="preserve">Notes: </w:t>
      </w:r>
      <w:r>
        <w:t>abstract_source=rss_description</w:t>
      </w:r>
    </w:p>
    <w:p>
      <w:pPr>
        <w:spacing w:before="0" w:after="80" w:lineRule="auto" w:line="276"/>
      </w:pPr>
      <w:r>
        <w:rPr>
          <w:b/>
        </w:rPr>
        <w:t xml:space="preserve">摘要（ZH）: </w:t>
      </w:r>
      <w:r>
        <w:t>作者：W. W. Heidbrink、X. D. Du、M. E. Austin、K. J. Callahan、C. T. Holcomb、J. B. Lestz、L. Liu、G. R. McKee、L. Schmitz、M. A. Van Zeeland 和 Z. Yan 由高能粒子驱动的不稳定性通常会降低聚变功率，但最近的研究发现 Alfvén 本征模式不稳定性可以驱动“带状”流动和减少热传输的电流，提高整体性能。 DIII-D 托卡马克的运动斯塔克效应数据揭示了磁力的变化……[物理。莱特牧师。 137, 095101] 2026 年 8 月 25 日星期二发布</w:t>
      </w:r>
    </w:p>
    <w:p>
      <w:pPr>
        <w:spacing w:before="0" w:after="200" w:lineRule="auto" w:line="276"/>
      </w:pPr>
      <w:r>
        <w:rPr>
          <w:b/>
        </w:rPr>
        <w:t xml:space="preserve">Abstract (EN): </w:t>
      </w:r>
      <w:r>
        <w:t>Author(s): W. W. Heidbrink, X. D. Du, M. E. Austin, K. J. Callahan, C. T. Holcomb, J. B. Lestz, L. Liu, G. R. McKee, L. Schmitz, M. A. Van Zeeland, and Z. YanInstabilities driven by energetic particles normally reduce fusion power, but recent studies find Alfvén eigenmode instabilities can drive “zonal” flows and currents that reduce thermal transport, improving overall performance. Motional Stark effect data from the DIII-D tokamak reveal changes in mag…[Phys. Rev. Lett. 137, 095101] Published Tue Aug 25, 2026</w:t>
      </w:r>
    </w:p>
    <w:p>
      <w:pPr>
        <w:spacing w:before="120" w:after="120"/>
      </w:pPr>
      <w:r>
        <w:rPr>
          <w:sz w:val="18"/>
        </w:rPr>
        <w:t>——————————————————————————————————————————————————————————————————————</w:t>
      </w:r>
    </w:p>
    <w:p>
      <w:pPr>
        <w:spacing w:before="160" w:after="40" w:line="240" w:lineRule="auto"/>
      </w:pPr>
      <w:r>
        <w:rPr>
          <w:b/>
        </w:rPr>
        <w:t xml:space="preserve">[15] </w:t>
      </w:r>
      <w:hyperlink r:id="rId347">
        <w:r>
          <w:rPr>
            <w:color w:val="1155CC"/>
            <w:u w:val="single"/>
          </w:rPr>
          <w:t>MAST-U 上 X 点目标偏滤器放电的初步观察</w:t>
        </w:r>
      </w:hyperlink>
    </w:p>
    <w:p>
      <w:pPr>
        <w:spacing w:before="0" w:after="80"/>
      </w:pPr>
      <w:r>
        <w:rPr>
          <w:i/>
          <w:sz w:val="20"/>
        </w:rPr>
        <w:t>EN: Initial observations in X-point target divertor discharges on MAST-U</w:t>
      </w:r>
    </w:p>
    <w:p>
      <w:pPr>
        <w:spacing w:before="0" w:after="120"/>
      </w:pPr>
      <w:r>
        <w:rPr>
          <w:b/>
        </w:rPr>
        <w:t xml:space="preserve">Source: </w:t>
      </w:r>
      <w:r>
        <w:t>Nuclear Fusion - latest papers</w:t>
      </w:r>
      <w:r>
        <w:t xml:space="preserve">    </w:t>
      </w:r>
      <w:r>
        <w:rPr>
          <w:b/>
        </w:rPr>
        <w:t xml:space="preserve">Pub date: </w:t>
      </w:r>
      <w:r>
        <w:t>2026-08-25 23:00:00+00:00</w:t>
      </w:r>
      <w:r>
        <w:t xml:space="preserve">    </w:t>
      </w:r>
      <w:r>
        <w:rPr>
          <w:b/>
        </w:rPr>
        <w:t xml:space="preserve">DOI: </w:t>
      </w:r>
      <w:hyperlink r:id="rId348">
        <w:r>
          <w:rPr>
            <w:color w:val="1155CC"/>
            <w:u w:val="single"/>
          </w:rPr>
          <w:t>10.1088/1741-4326/ae948e</w:t>
        </w:r>
      </w:hyperlink>
    </w:p>
    <w:p>
      <w:pPr>
        <w:spacing w:before="0" w:after="120"/>
      </w:pPr>
      <w:r>
        <w:rPr>
          <w:b/>
        </w:rPr>
        <w:t xml:space="preserve">Notes: </w:t>
      </w:r>
      <w:r>
        <w:t>abstract_source=rss_description</w:t>
      </w:r>
    </w:p>
    <w:p>
      <w:pPr>
        <w:spacing w:before="0" w:after="80" w:lineRule="auto" w:line="276"/>
      </w:pPr>
      <w:r>
        <w:rPr>
          <w:b/>
        </w:rPr>
        <w:t xml:space="preserve">摘要（ZH）: </w:t>
      </w:r>
      <w:r>
        <w:t>首次使用双零 X 点目标 (XPT) 偏滤器配置的高功率 (3 MW) H 模式实验已在 MAST-U 上进行。 XPT 几何形状是通过将类似于 Super-X 偏滤器 (SXD) 的大撞击点半径与带挡板的外偏滤器室中的分界线附近的附加 X 点相结合而获得的，与 SXD 相比，具有额外的排气优势。次 X 点附近更宽的电子密度分布会导致额外的等离子体中性相互作用，这一点可以通过更广泛的氢发射分布来证明，并导致更大的功率和离子汇。等离子体-中性相互作用的增加也导致目标电子温度和热通量降低。这些优势似乎扩展到瞬态，并且提出了 XPT 中边缘局部模式缓冲改进的初步证据。这些结果展示了如何组合多种替代偏滤器配置策略来改善动量、功率和颗粒损失，这可能是未来反应堆具有挑战性的排气条件所必需的。</w:t>
      </w:r>
    </w:p>
    <w:p>
      <w:pPr>
        <w:spacing w:before="0" w:after="200" w:lineRule="auto" w:line="276"/>
      </w:pPr>
      <w:r>
        <w:rPr>
          <w:b/>
        </w:rPr>
        <w:t xml:space="preserve">Abstract (EN): </w:t>
      </w:r>
      <w:r>
        <w:t>The first high-power ( 3 MW) H-mode experiments using a double-null X-point-target (XPT) divertor configuration have been performed on MAST-U. The XPT geometry is obtained by combining a large strike point radius, similar to the Super-X divertor (SXD), with an additional X-point near the separatrix in the baffled outer divertor chambers and leads to additional exhaust benefits over the SXD. The broader electron density profile near the secondary X-point leads to additional plasma-neutral interactions, evidenced by a broader hydrogenic emission profile, and resulting in larger power and ion sinks. The increase in plasma-neutral interactions also leads to lower target electron temperatures and heat fluxes. These benefits appear to extend to transients, and preliminary evidence of improved Edge Localized Mode buffering in the XPT is presented. These results showcase how multiple alternative divertor configuration strategies can be combined to improve momentum, power, and particle losses, which may be required for the challenging exhaust conditions of future reactors.</w:t>
      </w:r>
    </w:p>
    <w:p>
      <w:pPr>
        <w:spacing w:before="120" w:after="120"/>
      </w:pPr>
      <w:r>
        <w:rPr>
          <w:sz w:val="18"/>
        </w:rPr>
        <w:t>——————————————————————————————————————————————————————————————————————</w:t>
      </w:r>
    </w:p>
    <w:p>
      <w:pPr>
        <w:spacing w:before="160" w:after="40" w:line="240" w:lineRule="auto"/>
      </w:pPr>
      <w:r>
        <w:rPr>
          <w:b/>
        </w:rPr>
        <w:t xml:space="preserve">[16] </w:t>
      </w:r>
      <w:hyperlink r:id="rId349">
        <w:r>
          <w:rPr>
            <w:color w:val="1155CC"/>
            <w:u w:val="single"/>
          </w:rPr>
          <w:t>为 W7–X 和 JT-60SA 聚变装置开发钨主动冷却偏滤器靶面等离子体组件</w:t>
        </w:r>
      </w:hyperlink>
    </w:p>
    <w:p>
      <w:pPr>
        <w:spacing w:before="0" w:after="80"/>
      </w:pPr>
      <w:r>
        <w:rPr>
          <w:i/>
          <w:sz w:val="20"/>
        </w:rPr>
        <w:t>EN: Development of tungsten actively cooled divertor target plasma facing components for W7–X and JT-60SA fusion devices</w:t>
      </w:r>
    </w:p>
    <w:p>
      <w:pPr>
        <w:spacing w:before="0" w:after="120"/>
      </w:pPr>
      <w:r>
        <w:rPr>
          <w:b/>
        </w:rPr>
        <w:t xml:space="preserve">Source: </w:t>
      </w:r>
      <w:r>
        <w:t>Nuclear Fusion - latest papers</w:t>
      </w:r>
      <w:r>
        <w:t xml:space="preserve">    </w:t>
      </w:r>
      <w:r>
        <w:rPr>
          <w:b/>
        </w:rPr>
        <w:t xml:space="preserve">Pub date: </w:t>
      </w:r>
      <w:r>
        <w:t>2026-08-25 23:00:00+00:00</w:t>
      </w:r>
      <w:r>
        <w:t xml:space="preserve">    </w:t>
      </w:r>
      <w:r>
        <w:rPr>
          <w:b/>
        </w:rPr>
        <w:t xml:space="preserve">DOI: </w:t>
      </w:r>
      <w:hyperlink r:id="rId350">
        <w:r>
          <w:rPr>
            <w:color w:val="1155CC"/>
            <w:u w:val="single"/>
          </w:rPr>
          <w:t>10.1088/1741-4326/ae93db</w:t>
        </w:r>
      </w:hyperlink>
    </w:p>
    <w:p>
      <w:pPr>
        <w:spacing w:before="0" w:after="120"/>
      </w:pPr>
      <w:r>
        <w:rPr>
          <w:b/>
        </w:rPr>
        <w:t xml:space="preserve">Notes: </w:t>
      </w:r>
      <w:r>
        <w:t>abstract_source=rss_description</w:t>
      </w:r>
    </w:p>
    <w:p>
      <w:pPr>
        <w:spacing w:before="0" w:after="80" w:lineRule="auto" w:line="276"/>
      </w:pPr>
      <w:r>
        <w:rPr>
          <w:b/>
        </w:rPr>
        <w:t xml:space="preserve">摘要（ZH）: </w:t>
      </w:r>
      <w:r>
        <w:t>本研究描述了面向未来聚变装置的面向等离子体组件 (PFC) 的持续开发，要求 PFC 能够在偏滤器区域处理至少 10 MW m−2 的高热负荷。钨 (W) 因其对等离子壁相互作用和高热通量 (HHF) 的抵抗力而被选为铠装材料。人们正在对各种聚变装置（WEST、EAST、KSTAR...）进行重大努力，以测试和优化水冷 W 基 PFC。对于 W7-X，正在开发新的 PFC，使用放置在偏滤器目标区域的 W 装甲材料。与目前运行的基于主动冷却碳纤维复合材料的偏滤器相比，该设计旨在简化制造、检查和安装过程，同时满足热和机械约束。所开发的概念和相关的制造选择很有前景，因为我们证明它能够承受所需的热负荷。此外，JT-60SA 托卡马克计划在 2029 年之后过渡到金属 PFC。W 整体概念已成功用于 WEST、EAST 和 KSTAR，并计划用于 ITER，目前正在适用于 JT-60SA，目前是参考概念。然而，一些探索节省成本措施和增强传热能力的先进设计也在开发中。激光粉末床熔合 (LPBF) 和热等静压 (HIP) 等制造工艺经过优化，可确保可靠的冷却通道，以开发拟议的增强型设计。对于这些发展，热水力分析和 HHF 测试已经显示出有希望的结果，表面温度</w:t>
      </w:r>
    </w:p>
    <w:p>
      <w:pPr>
        <w:spacing w:before="0" w:after="200" w:lineRule="auto" w:line="276"/>
      </w:pPr>
      <w:r>
        <w:rPr>
          <w:b/>
        </w:rPr>
        <w:t xml:space="preserve">Abstract (EN): </w:t>
      </w:r>
      <w:r>
        <w:t>The present study describes the ongoing developments for plasma-facing components (PFCs) intended for future fusion devices, requiring PFCs to handle high heat loads of at least 10 MW m−2 in the divertor region. Tungsten (W) is chosen as the armor material due to its resistance to plasma-wall interactions and high heat fluxes (HHF). Significant efforts are underway on various fusion devices (WEST, EAST, KSTAR…) to test and optimize water-cooled W-based PFCs. For W7–X, new PFCs are being developed, using W armor material placed at the divertor target region. The design aims to simplify manufacturing, inspection, and installation processes compared to the currently operated actively cooled carbon fiber composite based divertor, while meeting thermal and mechanical constraints. The developed concept and related manufacturing choices are promising since, we show that it is able to sustain the required heat loads. Also, the JT-60SA tokamak plans a transition to metallic PFCs after 2029. The W monoblock concept, successfully used in WEST, EAST and KSTAR and planned for ITER, is being adapted for JT-60SA, and is currently the reference concept. However, some advanced designs exploring cost-saving measures and enhanced heat transfer capabilities are also under development. Manufacturing processes, such as laser powder bed fusion (LPBF) and hot isostatic pressing (HIP), are optimized to ensure reliable cooling channels for the development of the proposed enhanced designs. For these developments, thermo-hydraulic analyses and HHF tests have shown promising results, with surface temperatures being in agreement with models and material temperature limits. These developments lead to show a successful use of combined advanced manufacturing processes (additive manufacturing…), design hypotheses and adapted modeling tools to propose components with relevant performances.</w:t>
      </w:r>
    </w:p>
    <w:p>
      <w:pPr>
        <w:spacing w:before="120" w:after="120"/>
      </w:pPr>
      <w:r>
        <w:rPr>
          <w:sz w:val="18"/>
        </w:rPr>
        <w:t>——————————————————————————————————————————————————————————————————————</w:t>
      </w:r>
    </w:p>
    <w:p>
      <w:pPr>
        <w:spacing w:before="160" w:after="40" w:line="240" w:lineRule="auto"/>
      </w:pPr>
      <w:r>
        <w:rPr>
          <w:b/>
        </w:rPr>
        <w:t xml:space="preserve">[17] </w:t>
      </w:r>
      <w:hyperlink r:id="rId351">
        <w:r>
          <w:rPr>
            <w:color w:val="1155CC"/>
            <w:u w:val="single"/>
          </w:rPr>
          <w:t>GKFieldFlow：非线性回旋湍流的时空神经替代物</w:t>
        </w:r>
      </w:hyperlink>
    </w:p>
    <w:p>
      <w:pPr>
        <w:spacing w:before="0" w:after="80"/>
      </w:pPr>
      <w:r>
        <w:rPr>
          <w:i/>
          <w:sz w:val="20"/>
        </w:rPr>
        <w:t>EN: GKFieldFlow: a spatio-temporal neural surrogate for nonlinear gyrokinetic turbulence</w:t>
      </w:r>
    </w:p>
    <w:p>
      <w:pPr>
        <w:spacing w:before="0" w:after="120"/>
      </w:pPr>
      <w:r>
        <w:rPr>
          <w:b/>
        </w:rPr>
        <w:t xml:space="preserve">Source: </w:t>
      </w:r>
      <w:r>
        <w:t>Nuclear Fusion - latest papers</w:t>
      </w:r>
      <w:r>
        <w:t xml:space="preserve">    </w:t>
      </w:r>
      <w:r>
        <w:rPr>
          <w:b/>
        </w:rPr>
        <w:t xml:space="preserve">Pub date: </w:t>
      </w:r>
      <w:r>
        <w:t>2026-08-25 23:00:00+00:00</w:t>
      </w:r>
      <w:r>
        <w:t xml:space="preserve">    </w:t>
      </w:r>
      <w:r>
        <w:rPr>
          <w:b/>
        </w:rPr>
        <w:t xml:space="preserve">DOI: </w:t>
      </w:r>
      <w:hyperlink r:id="rId352">
        <w:r>
          <w:rPr>
            <w:color w:val="1155CC"/>
            <w:u w:val="single"/>
          </w:rPr>
          <w:t>10.1088/1741-4326/ae7e08</w:t>
        </w:r>
      </w:hyperlink>
    </w:p>
    <w:p>
      <w:pPr>
        <w:spacing w:before="0" w:after="120"/>
      </w:pPr>
      <w:r>
        <w:rPr>
          <w:b/>
        </w:rPr>
        <w:t xml:space="preserve">Notes: </w:t>
      </w:r>
      <w:r>
        <w:t>abstract_source=rss_description</w:t>
      </w:r>
    </w:p>
    <w:p>
      <w:pPr>
        <w:spacing w:before="0" w:after="80" w:lineRule="auto" w:line="276"/>
      </w:pPr>
      <w:r>
        <w:rPr>
          <w:b/>
        </w:rPr>
        <w:t xml:space="preserve">摘要（ZH）: </w:t>
      </w:r>
      <w:r>
        <w:t>我们提出了 GKFieldFlow，一种新颖的三维自回归深度学习替代模型，用于非线性回旋 (GK) 湍流的饱和状态。该模型基于 FieldFlow-Net 构建，FieldFlow-Net 是本工作中引入的原始架构，专为时空 GK 场演化而设计。 FieldFlow-Net 将在不断变化的等离子体势场上运行的多分辨率 3D U-Net 编码器解码器与学习潜在湍流特征的非线性时间演化的扩张时间卷积网络 (TCN) 相结合。 GKFieldFlow 同时 (i) 直接从 CGYRO 湍流预测离子和电子能量通量和粒子通量，以及 (ii) 以所需的空间分辨率自回归预测未来势场。这使得模型能够复制瞬时传输和生成它的底层时空动力学。该架构的设计遵循物理原理：3D 卷积保留了 GK 涨落的各向异性几何形状和相结构，而扩张时间卷积则捕获多尺度动态耦合，例如湍流和层流相互作用、湍流去相关和间歇性突发传输。我们提供数据结构、模型组件以及每个架构选择背后的基本原理的完整技术描述。该模型在所有三个传输通道上实现了高精度，并且多水平推理保持了鲁棒性。自回归场卷展栏保留了 CGYRO 非线性斯塔的光谱内容、相位相干性和能量分布</w:t>
      </w:r>
    </w:p>
    <w:p>
      <w:pPr>
        <w:spacing w:before="0" w:after="200" w:lineRule="auto" w:line="276"/>
      </w:pPr>
      <w:r>
        <w:rPr>
          <w:b/>
        </w:rPr>
        <w:t xml:space="preserve">Abstract (EN): </w:t>
      </w:r>
      <w:r>
        <w:t>We present GKFieldFlow, a novel three-dimensional autoregressive deep learning surrogate model for the saturated state of nonlinear gyrokinetic (GK) turbulence. The model is built on FieldFlow-Net, an original architecture introduced in this work and designed specifically for spatio-temporal GK field evolution. FieldFlow-Net combines a multi-resolution 3D U-Net encoder–decoder operating on evolving plasma potential fields with a dilated temporal convolutional network (TCN) that learns the nonlinear time evolution of latent turbulence features. GKFieldFlow simultaneously (i) predicts ion and electron energy fluxes and particle flux directly from CGYRO turbulence, and (ii) predicts future potential fields autoregressively with desired spatial resolution. This enables the model to replicate both instantaneous transport and the underlying spatio–temporal dynamics that generate it. The architecture is physics-informed in its design: 3D convolutions preserve the anisotropic geometry and phase structure of GK fluctuations, while dilated temporal convolutions capture multiscale dynamical couplings such as turbulence and zonal-flow interactions, turbulence decorrelation, and intermittent bursty transport. We provide a complete technical description of the data structure, model components, and rationale behind each architectural choice. The model achieves high accuracy across all three transport channels, with multi–horizon inference maintaining robustness. Autoregressive field rollouts preserve the spectral content, phase coherence, and energy distribution of the CGYRO nonlinear state with strong fidelity, and flux predictions remain consistent with CGYRO within a small fractional error. This work presents GKFieldFlow as a data-driven reduced model that can jointly learn turbulence dynamics and transport.</w:t>
      </w:r>
    </w:p>
    <w:p>
      <w:pPr>
        <w:spacing w:before="120" w:after="120"/>
      </w:pPr>
      <w:r>
        <w:rPr>
          <w:sz w:val="18"/>
        </w:rPr>
        <w:t>——————————————————————————————————————————————————————————————————————</w:t>
      </w:r>
    </w:p>
    <w:p>
      <w:pPr>
        <w:spacing w:before="160" w:after="40" w:line="240" w:lineRule="auto"/>
      </w:pPr>
      <w:r>
        <w:rPr>
          <w:b/>
        </w:rPr>
        <w:t xml:space="preserve">[18] </w:t>
      </w:r>
      <w:hyperlink r:id="rId353">
        <w:r>
          <w:rPr>
            <w:color w:val="1155CC"/>
            <w:u w:val="single"/>
          </w:rPr>
          <w:t>46 家公司竞相将核聚变能源商业化</w:t>
        </w:r>
      </w:hyperlink>
    </w:p>
    <w:p>
      <w:pPr>
        <w:spacing w:before="0" w:after="80"/>
      </w:pPr>
      <w:r>
        <w:rPr>
          <w:i/>
          <w:sz w:val="20"/>
        </w:rPr>
        <w:t>EN: The 46 companies scrambling to commercialize fusion for energy</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354">
        <w:r>
          <w:rPr>
            <w:color w:val="1155CC"/>
            <w:u w:val="single"/>
          </w:rPr>
          <w:t>10.1038/d41586-026-02513-5</w:t>
        </w:r>
      </w:hyperlink>
    </w:p>
    <w:p>
      <w:pPr>
        <w:spacing w:before="0" w:after="120"/>
      </w:pPr>
      <w:r>
        <w:rPr>
          <w:b/>
        </w:rPr>
        <w:t xml:space="preserve">Notes: </w:t>
      </w:r>
      <w:r>
        <w:t>abstract_source=rss_nature</w:t>
      </w:r>
    </w:p>
    <w:p>
      <w:pPr>
        <w:spacing w:before="0" w:after="80" w:lineRule="auto" w:line="276"/>
      </w:pPr>
      <w:r>
        <w:rPr>
          <w:b/>
        </w:rPr>
        <w:t xml:space="preserve">摘要（ZH）: </w:t>
      </w:r>
      <w:r>
        <w:t>数十亿美元的投资能否带来取之不尽、用之不竭的清洁电力来源尚不得而知。</w:t>
      </w:r>
    </w:p>
    <w:p>
      <w:pPr>
        <w:spacing w:before="0" w:after="200" w:lineRule="auto" w:line="276"/>
      </w:pPr>
      <w:r>
        <w:rPr>
          <w:b/>
        </w:rPr>
        <w:t xml:space="preserve">Abstract (EN): </w:t>
      </w:r>
      <w:r>
        <w:t>Whether the billions of dollars of investment will lead to an inexhaustible source of clean electrical power is not yet known.</w:t>
      </w:r>
    </w:p>
    <w:p>
      <w:pPr>
        <w:spacing w:before="120" w:after="120"/>
      </w:pPr>
      <w:r>
        <w:rPr>
          <w:sz w:val="18"/>
        </w:rPr>
        <w:t>——————————————————————————————————————————————————————————————————————</w:t>
      </w:r>
    </w:p>
    <w:p>
      <w:pPr>
        <w:spacing w:before="160" w:after="40" w:line="240" w:lineRule="auto"/>
      </w:pPr>
      <w:r>
        <w:rPr>
          <w:b/>
        </w:rPr>
        <w:t xml:space="preserve">[19] </w:t>
      </w:r>
      <w:hyperlink r:id="rId355">
        <w:r>
          <w:rPr>
            <w:color w:val="1155CC"/>
            <w:u w:val="single"/>
          </w:rPr>
          <w:t>利用核电打造清洁能源的未来</w:t>
        </w:r>
      </w:hyperlink>
    </w:p>
    <w:p>
      <w:pPr>
        <w:spacing w:before="0" w:after="80"/>
      </w:pPr>
      <w:r>
        <w:rPr>
          <w:i/>
          <w:sz w:val="20"/>
        </w:rPr>
        <w:t>EN: Harnessing nuclear power for a clean-energy future</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356">
        <w:r>
          <w:rPr>
            <w:color w:val="1155CC"/>
            <w:u w:val="single"/>
          </w:rPr>
          <w:t>10.1038/d41586-026-02505-5</w:t>
        </w:r>
      </w:hyperlink>
    </w:p>
    <w:p>
      <w:pPr>
        <w:spacing w:before="0" w:after="120"/>
      </w:pPr>
      <w:r>
        <w:rPr>
          <w:b/>
        </w:rPr>
        <w:t xml:space="preserve">Notes: </w:t>
      </w:r>
      <w:r>
        <w:t>abstract_source=rss_nature</w:t>
      </w:r>
    </w:p>
    <w:p>
      <w:pPr>
        <w:spacing w:before="0" w:after="80" w:lineRule="auto" w:line="276"/>
      </w:pPr>
      <w:r>
        <w:rPr>
          <w:b/>
        </w:rPr>
        <w:t xml:space="preserve">摘要（ZH）: </w:t>
      </w:r>
      <w:r>
        <w:t>利用裂变发电有着曲折的过去。小型反应堆等新方法可以将该技术转变为更灵活的始终在线、无碳电力来源。</w:t>
      </w:r>
    </w:p>
    <w:p>
      <w:pPr>
        <w:spacing w:before="0" w:after="200" w:lineRule="auto" w:line="276"/>
      </w:pPr>
      <w:r>
        <w:rPr>
          <w:b/>
        </w:rPr>
        <w:t xml:space="preserve">Abstract (EN): </w:t>
      </w:r>
      <w:r>
        <w:t>Generating electricity using fission has a chequered past. New approaches such as smaller reactors could transform the technology into a more nimble source of always-on, carbon-free power.</w:t>
      </w:r>
    </w:p>
    <w:p>
      <w:pPr>
        <w:spacing w:before="120" w:after="120"/>
      </w:pPr>
      <w:r>
        <w:rPr>
          <w:sz w:val="18"/>
        </w:rPr>
        <w:t>——————————————————————————————————————————————————————————————————————</w:t>
      </w:r>
    </w:p>
    <w:p>
      <w:pPr>
        <w:spacing w:before="160" w:after="40" w:line="240" w:lineRule="auto"/>
      </w:pPr>
      <w:r>
        <w:rPr>
          <w:b/>
        </w:rPr>
        <w:t xml:space="preserve">[20] </w:t>
      </w:r>
      <w:hyperlink r:id="rId357">
        <w:r>
          <w:rPr>
            <w:color w:val="1155CC"/>
            <w:u w:val="single"/>
          </w:rPr>
          <w:t>大量初创公司押注核聚变</w:t>
        </w:r>
      </w:hyperlink>
    </w:p>
    <w:p>
      <w:pPr>
        <w:spacing w:before="0" w:after="80"/>
      </w:pPr>
      <w:r>
        <w:rPr>
          <w:i/>
          <w:sz w:val="20"/>
        </w:rPr>
        <w:t>EN: A raft of start-up firms is betting on nuclear fusion</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358">
        <w:r>
          <w:rPr>
            <w:color w:val="1155CC"/>
            <w:u w:val="single"/>
          </w:rPr>
          <w:t>10.1038/d41586-026-02511-7</w:t>
        </w:r>
      </w:hyperlink>
    </w:p>
    <w:p>
      <w:pPr>
        <w:spacing w:before="0" w:after="120"/>
      </w:pPr>
      <w:r>
        <w:rPr>
          <w:b/>
        </w:rPr>
        <w:t xml:space="preserve">Notes: </w:t>
      </w:r>
      <w:r>
        <w:t>abstract_source=rss_nature</w:t>
      </w:r>
    </w:p>
    <w:p>
      <w:pPr>
        <w:spacing w:before="0" w:after="80" w:lineRule="auto" w:line="276"/>
      </w:pPr>
      <w:r>
        <w:rPr>
          <w:b/>
        </w:rPr>
        <w:t xml:space="preserve">摘要（ZH）: </w:t>
      </w:r>
      <w:r>
        <w:t>恒星发光和氢弹爆炸的现象尚未被可靠地驯服以用于能源生产。但这并没有阻止公司尝试。</w:t>
      </w:r>
    </w:p>
    <w:p>
      <w:pPr>
        <w:spacing w:before="0" w:after="200" w:lineRule="auto" w:line="276"/>
      </w:pPr>
      <w:r>
        <w:rPr>
          <w:b/>
        </w:rPr>
        <w:t xml:space="preserve">Abstract (EN): </w:t>
      </w:r>
      <w:r>
        <w:t>The phenomenon that makes stars shine and hydrogen bombs explode has yet to be reliably tamed for energy generation. But that isn’t stopping companies from trying.</w:t>
      </w:r>
    </w:p>
    <w:p>
      <w:pPr>
        <w:spacing w:before="120" w:after="120"/>
      </w:pPr>
      <w:r>
        <w:rPr>
          <w:sz w:val="18"/>
        </w:rPr>
        <w:t>——————————————————————————————————————————————————————————————————————</w:t>
      </w:r>
    </w:p>
    <w:p>
      <w:pPr>
        <w:spacing w:before="160" w:after="40" w:line="240" w:lineRule="auto"/>
      </w:pPr>
      <w:r>
        <w:rPr>
          <w:b/>
        </w:rPr>
        <w:t xml:space="preserve">[21] </w:t>
      </w:r>
      <w:hyperlink r:id="rId359">
        <w:r>
          <w:rPr>
            <w:color w:val="1155CC"/>
            <w:u w:val="single"/>
          </w:rPr>
          <w:t>推动消除核电废物处理障碍</w:t>
        </w:r>
      </w:hyperlink>
    </w:p>
    <w:p>
      <w:pPr>
        <w:spacing w:before="0" w:after="80"/>
      </w:pPr>
      <w:r>
        <w:rPr>
          <w:i/>
          <w:sz w:val="20"/>
        </w:rPr>
        <w:t>EN: The push to clear nuclear power’s waste-disposal hurdle</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360">
        <w:r>
          <w:rPr>
            <w:color w:val="1155CC"/>
            <w:u w:val="single"/>
          </w:rPr>
          <w:t>10.1038/d41586-026-02507-3</w:t>
        </w:r>
      </w:hyperlink>
    </w:p>
    <w:p>
      <w:pPr>
        <w:spacing w:before="0" w:after="120"/>
      </w:pPr>
      <w:r>
        <w:rPr>
          <w:b/>
        </w:rPr>
        <w:t xml:space="preserve">Notes: </w:t>
      </w:r>
      <w:r>
        <w:t>abstract_source=rss_nature</w:t>
      </w:r>
    </w:p>
    <w:p>
      <w:pPr>
        <w:spacing w:before="0" w:after="80" w:lineRule="auto" w:line="276"/>
      </w:pPr>
      <w:r>
        <w:rPr>
          <w:b/>
        </w:rPr>
        <w:t xml:space="preserve">摘要（ZH）: </w:t>
      </w:r>
      <w:r>
        <w:t>技术问题已基本解决，但放射性物质的长期潜在危险使得很难找到政治上可接受的地点。</w:t>
      </w:r>
    </w:p>
    <w:p>
      <w:pPr>
        <w:spacing w:before="0" w:after="200" w:lineRule="auto" w:line="276"/>
      </w:pPr>
      <w:r>
        <w:rPr>
          <w:b/>
        </w:rPr>
        <w:t xml:space="preserve">Abstract (EN): </w:t>
      </w:r>
      <w:r>
        <w:t>The technical issues have mostly been solved, but the long-term potential peril of radioactive material has made it difficult to find politically acceptable sites.</w:t>
      </w:r>
    </w:p>
    <w:p>
      <w:pPr>
        <w:spacing w:before="120" w:after="120"/>
      </w:pPr>
      <w:r>
        <w:rPr>
          <w:sz w:val="18"/>
        </w:rPr>
        <w:t>——————————————————————————————————————————————————————————————————————</w:t>
      </w:r>
    </w:p>
    <w:p>
      <w:pPr>
        <w:spacing w:before="160" w:after="40" w:line="240" w:lineRule="auto"/>
      </w:pPr>
      <w:r>
        <w:rPr>
          <w:b/>
        </w:rPr>
        <w:t xml:space="preserve">[22] </w:t>
      </w:r>
      <w:hyperlink r:id="rId361">
        <w:r>
          <w:rPr>
            <w:color w:val="1155CC"/>
            <w:u w:val="single"/>
          </w:rPr>
          <w:t>历史上管理得最好的工业废物</w:t>
        </w:r>
      </w:hyperlink>
    </w:p>
    <w:p>
      <w:pPr>
        <w:spacing w:before="0" w:after="80"/>
      </w:pPr>
      <w:r>
        <w:rPr>
          <w:i/>
          <w:sz w:val="20"/>
        </w:rPr>
        <w:t>EN: The best-managed industrial waste in history</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362">
        <w:r>
          <w:rPr>
            <w:color w:val="1155CC"/>
            <w:u w:val="single"/>
          </w:rPr>
          <w:t>10.1038/d41586-026-02508-2</w:t>
        </w:r>
      </w:hyperlink>
    </w:p>
    <w:p>
      <w:pPr>
        <w:spacing w:before="0" w:after="120"/>
      </w:pPr>
      <w:r>
        <w:rPr>
          <w:b/>
        </w:rPr>
        <w:t xml:space="preserve">Notes: </w:t>
      </w:r>
      <w:r>
        <w:t>abstract_source=rss_nature</w:t>
      </w:r>
    </w:p>
    <w:p>
      <w:pPr>
        <w:spacing w:before="0" w:after="80" w:lineRule="auto" w:line="276"/>
      </w:pPr>
      <w:r>
        <w:rPr>
          <w:b/>
        </w:rPr>
        <w:t xml:space="preserve">摘要（ZH）: </w:t>
      </w:r>
      <w:r>
        <w:t>即使没有新的废物处理方案，扩大核能的使用也将保护环境。</w:t>
      </w:r>
    </w:p>
    <w:p>
      <w:pPr>
        <w:spacing w:before="0" w:after="200" w:lineRule="auto" w:line="276"/>
      </w:pPr>
      <w:r>
        <w:rPr>
          <w:b/>
        </w:rPr>
        <w:t xml:space="preserve">Abstract (EN): </w:t>
      </w:r>
      <w:r>
        <w:t>Expanded use of nuclear energy will protect the environment even without fresh options for waste disposal.</w:t>
      </w:r>
    </w:p>
    <w:p>
      <w:pPr>
        <w:spacing w:before="120" w:after="120"/>
      </w:pPr>
      <w:r>
        <w:rPr>
          <w:sz w:val="18"/>
        </w:rPr>
        <w:t>——————————————————————————————————————————————————————————————————————</w:t>
      </w:r>
    </w:p>
    <w:p>
      <w:pPr>
        <w:spacing w:before="160" w:after="40" w:line="240" w:lineRule="auto"/>
      </w:pPr>
      <w:r>
        <w:rPr>
          <w:b/>
        </w:rPr>
        <w:t xml:space="preserve">[23] </w:t>
      </w:r>
      <w:hyperlink r:id="rId363">
        <w:r>
          <w:rPr>
            <w:color w:val="1155CC"/>
            <w:u w:val="single"/>
          </w:rPr>
          <w:t>支持核政治对公共安全构成威胁吗？</w:t>
        </w:r>
      </w:hyperlink>
    </w:p>
    <w:p>
      <w:pPr>
        <w:spacing w:before="0" w:after="80"/>
      </w:pPr>
      <w:r>
        <w:rPr>
          <w:i/>
          <w:sz w:val="20"/>
        </w:rPr>
        <w:t>EN: Are pro-nuclear politics a threat to public safety?</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364">
        <w:r>
          <w:rPr>
            <w:color w:val="1155CC"/>
            <w:u w:val="single"/>
          </w:rPr>
          <w:t>10.1038/d41586-026-02509-1</w:t>
        </w:r>
      </w:hyperlink>
    </w:p>
    <w:p>
      <w:pPr>
        <w:spacing w:before="0" w:after="120"/>
      </w:pPr>
      <w:r>
        <w:rPr>
          <w:b/>
        </w:rPr>
        <w:t xml:space="preserve">Notes: </w:t>
      </w:r>
      <w:r>
        <w:t>abstract_source=rss_nature</w:t>
      </w:r>
    </w:p>
    <w:p>
      <w:pPr>
        <w:spacing w:before="0" w:after="80" w:lineRule="auto" w:line="276"/>
      </w:pPr>
      <w:r>
        <w:rPr>
          <w:b/>
        </w:rPr>
        <w:t xml:space="preserve">摘要（ZH）: </w:t>
      </w:r>
      <w:r>
        <w:t>监督机构突然面临着快速评估一系列相对未经测试的反应堆设计的压力。</w:t>
      </w:r>
    </w:p>
    <w:p>
      <w:pPr>
        <w:spacing w:before="0" w:after="200" w:lineRule="auto" w:line="276"/>
      </w:pPr>
      <w:r>
        <w:rPr>
          <w:b/>
        </w:rPr>
        <w:t xml:space="preserve">Abstract (EN): </w:t>
      </w:r>
      <w:r>
        <w:t>Oversight agencies suddenly face pressure to rapidly assess a range of relatively untested reactor designs.</w:t>
      </w:r>
    </w:p>
    <w:p>
      <w:pPr>
        <w:spacing w:before="120" w:after="120"/>
      </w:pPr>
      <w:r>
        <w:rPr>
          <w:sz w:val="18"/>
        </w:rPr>
        <w:t>——————————————————————————————————————————————————————————————————————</w:t>
      </w:r>
    </w:p>
    <w:p>
      <w:pPr>
        <w:spacing w:before="160" w:after="40" w:line="240" w:lineRule="auto"/>
      </w:pPr>
      <w:r>
        <w:rPr>
          <w:b/>
        </w:rPr>
        <w:t xml:space="preserve">[24] </w:t>
      </w:r>
      <w:hyperlink r:id="rId365">
        <w:r>
          <w:rPr>
            <w:color w:val="1155CC"/>
            <w:u w:val="single"/>
          </w:rPr>
          <w:t>利用核废料为太空任务提供动力</w:t>
        </w:r>
      </w:hyperlink>
    </w:p>
    <w:p>
      <w:pPr>
        <w:spacing w:before="0" w:after="80"/>
      </w:pPr>
      <w:r>
        <w:rPr>
          <w:i/>
          <w:sz w:val="20"/>
        </w:rPr>
        <w:t>EN: Using nuclear waste to power space missions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366">
        <w:r>
          <w:rPr>
            <w:color w:val="1155CC"/>
            <w:u w:val="single"/>
          </w:rPr>
          <w:t>10.1038/d41586-026-02514-4</w:t>
        </w:r>
      </w:hyperlink>
    </w:p>
    <w:p>
      <w:pPr>
        <w:spacing w:before="0" w:after="120"/>
      </w:pPr>
      <w:r>
        <w:rPr>
          <w:b/>
        </w:rPr>
        <w:t xml:space="preserve">Notes: </w:t>
      </w:r>
      <w:r>
        <w:t>abstract_source=rss_nature</w:t>
      </w:r>
    </w:p>
    <w:p>
      <w:pPr>
        <w:spacing w:before="0" w:after="80" w:lineRule="auto" w:line="276"/>
      </w:pPr>
      <w:r>
        <w:rPr>
          <w:b/>
        </w:rPr>
        <w:t xml:space="preserve">摘要（ZH）: </w:t>
      </w:r>
      <w:r>
        <w:t>研究人员计划使用放射性同位素为未来火星探测器的系统提供动力。</w:t>
      </w:r>
    </w:p>
    <w:p>
      <w:pPr>
        <w:spacing w:before="0" w:after="200" w:lineRule="auto" w:line="276"/>
      </w:pPr>
      <w:r>
        <w:rPr>
          <w:b/>
        </w:rPr>
        <w:t xml:space="preserve">Abstract (EN): </w:t>
      </w:r>
      <w:r>
        <w:t>Researchers plan to use radioactive isotopes to power systems on a future Mars rover.</w:t>
      </w:r>
    </w:p>
    <w:p>
      <w:pPr>
        <w:spacing w:before="120" w:after="120"/>
      </w:pPr>
      <w:r>
        <w:rPr>
          <w:sz w:val="18"/>
        </w:rPr>
        <w:t>——————————————————————————————————————————————————————————————————————</w:t>
      </w:r>
    </w:p>
    <w:p>
      <w:pPr>
        <w:spacing w:before="160" w:after="40" w:line="240" w:lineRule="auto"/>
      </w:pPr>
      <w:r>
        <w:rPr>
          <w:b/>
        </w:rPr>
        <w:t xml:space="preserve">[25] </w:t>
      </w:r>
      <w:hyperlink r:id="rId367">
        <w:r>
          <w:rPr>
            <w:color w:val="1155CC"/>
            <w:u w:val="single"/>
          </w:rPr>
          <w:t>核电研究的五个亮点</w:t>
        </w:r>
      </w:hyperlink>
    </w:p>
    <w:p>
      <w:pPr>
        <w:spacing w:before="0" w:after="80"/>
      </w:pPr>
      <w:r>
        <w:rPr>
          <w:i/>
          <w:sz w:val="20"/>
        </w:rPr>
        <w:t>EN: Five highlights from nuclear-power research</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368">
        <w:r>
          <w:rPr>
            <w:color w:val="1155CC"/>
            <w:u w:val="single"/>
          </w:rPr>
          <w:t>10.1038/d41586-026-02512-6</w:t>
        </w:r>
      </w:hyperlink>
    </w:p>
    <w:p>
      <w:pPr>
        <w:spacing w:before="0" w:after="120"/>
      </w:pPr>
      <w:r>
        <w:rPr>
          <w:b/>
        </w:rPr>
        <w:t xml:space="preserve">Notes: </w:t>
      </w:r>
      <w:r>
        <w:t>abstract_source=rss_nature</w:t>
      </w:r>
    </w:p>
    <w:p>
      <w:pPr>
        <w:spacing w:before="0" w:after="80" w:lineRule="auto" w:line="276"/>
      </w:pPr>
      <w:r>
        <w:rPr>
          <w:b/>
        </w:rPr>
        <w:t xml:space="preserve">摘要（ZH）: </w:t>
      </w:r>
      <w:r>
        <w:t>先进材料、癌症风险分析和最近研究的其他进展。</w:t>
      </w:r>
    </w:p>
    <w:p>
      <w:pPr>
        <w:spacing w:before="0" w:after="200" w:lineRule="auto" w:line="276"/>
      </w:pPr>
      <w:r>
        <w:rPr>
          <w:b/>
        </w:rPr>
        <w:t xml:space="preserve">Abstract (EN): </w:t>
      </w:r>
      <w:r>
        <w:t>Advanced materials, cancer risk analysis and other developments from recent studies.</w:t>
      </w:r>
    </w:p>
    <w:p>
      <w:pPr>
        <w:spacing w:before="120" w:after="120"/>
      </w:pPr>
      <w:r>
        <w:rPr>
          <w:sz w:val="18"/>
        </w:rPr>
        <w:t>——————————————————————————————————————————————————————————————————————</w:t>
      </w:r>
    </w:p>
    <w:p>
      <w:pPr>
        <w:spacing w:before="160" w:after="40" w:line="240" w:lineRule="auto"/>
      </w:pPr>
      <w:r>
        <w:rPr>
          <w:b/>
        </w:rPr>
        <w:t xml:space="preserve">[26] </w:t>
      </w:r>
      <w:hyperlink r:id="rId369">
        <w:r>
          <w:rPr>
            <w:color w:val="1155CC"/>
            <w:u w:val="single"/>
          </w:rPr>
          <w:t>核反应堆能上路吗？</w:t>
        </w:r>
      </w:hyperlink>
    </w:p>
    <w:p>
      <w:pPr>
        <w:spacing w:before="0" w:after="80"/>
      </w:pPr>
      <w:r>
        <w:rPr>
          <w:i/>
          <w:sz w:val="20"/>
        </w:rPr>
        <w:t>EN: Can nuclear reactors hit the road?</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370">
        <w:r>
          <w:rPr>
            <w:color w:val="1155CC"/>
            <w:u w:val="single"/>
          </w:rPr>
          <w:t>10.1038/d41586-026-02510-8</w:t>
        </w:r>
      </w:hyperlink>
    </w:p>
    <w:p>
      <w:pPr>
        <w:spacing w:before="0" w:after="120"/>
      </w:pPr>
      <w:r>
        <w:rPr>
          <w:b/>
        </w:rPr>
        <w:t xml:space="preserve">Notes: </w:t>
      </w:r>
      <w:r>
        <w:t>abstract_source=rss_nature</w:t>
      </w:r>
    </w:p>
    <w:p>
      <w:pPr>
        <w:spacing w:before="0" w:after="80" w:lineRule="auto" w:line="276"/>
      </w:pPr>
      <w:r>
        <w:rPr>
          <w:b/>
        </w:rPr>
        <w:t xml:space="preserve">摘要（ZH）: </w:t>
      </w:r>
      <w:r>
        <w:t>安装在卡车上的裂变设施可以在需要的地方提供便携式电力，但一些人质疑它是否值得付出成本、安全妥协以及将炸弹原材料运送到社区的风险。</w:t>
      </w:r>
    </w:p>
    <w:p>
      <w:pPr>
        <w:spacing w:before="0" w:after="200" w:lineRule="auto" w:line="276"/>
      </w:pPr>
      <w:r>
        <w:rPr>
          <w:b/>
        </w:rPr>
        <w:t xml:space="preserve">Abstract (EN): </w:t>
      </w:r>
      <w:r>
        <w:t>Fission facilities that fit in a truck could provide portable power where it’s needed — but some people question whether it’s worth the cost, safety compromises and the risk of sending the raw materials for bombs into communities.</w:t>
      </w:r>
    </w:p>
    <w:p>
      <w:pPr>
        <w:spacing w:before="120" w:after="120"/>
      </w:pPr>
      <w:r>
        <w:rPr>
          <w:sz w:val="18"/>
        </w:rPr>
        <w:t>——————————————————————————————————————————————————————————————————————</w:t>
      </w:r>
    </w:p>
    <w:p>
      <w:pPr>
        <w:spacing w:before="160" w:after="40" w:line="240" w:lineRule="auto"/>
      </w:pPr>
      <w:r>
        <w:rPr>
          <w:b/>
        </w:rPr>
        <w:t xml:space="preserve">[27] </w:t>
      </w:r>
      <w:hyperlink r:id="rId371">
        <w:r>
          <w:rPr>
            <w:color w:val="1155CC"/>
            <w:u w:val="single"/>
          </w:rPr>
          <w:t>较小的反应堆使核电更接近实现其承诺</w:t>
        </w:r>
      </w:hyperlink>
    </w:p>
    <w:p>
      <w:pPr>
        <w:spacing w:before="0" w:after="80"/>
      </w:pPr>
      <w:r>
        <w:rPr>
          <w:i/>
          <w:sz w:val="20"/>
        </w:rPr>
        <w:t>EN: Smaller reactors bring nuclear power closer to fulfilling its promise</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372">
        <w:r>
          <w:rPr>
            <w:color w:val="1155CC"/>
            <w:u w:val="single"/>
          </w:rPr>
          <w:t>10.1038/d41586-026-02506-4</w:t>
        </w:r>
      </w:hyperlink>
    </w:p>
    <w:p>
      <w:pPr>
        <w:spacing w:before="0" w:after="120"/>
      </w:pPr>
      <w:r>
        <w:rPr>
          <w:b/>
        </w:rPr>
        <w:t xml:space="preserve">Notes: </w:t>
      </w:r>
      <w:r>
        <w:t>abstract_source=rss_nature</w:t>
      </w:r>
    </w:p>
    <w:p>
      <w:pPr>
        <w:spacing w:before="0" w:after="80" w:lineRule="auto" w:line="276"/>
      </w:pPr>
      <w:r>
        <w:rPr>
          <w:b/>
        </w:rPr>
        <w:t xml:space="preserve">摘要（ZH）: </w:t>
      </w:r>
      <w:r>
        <w:t>受过去灾难的影响，核工程师正在开发不同类型的反应堆、燃料、冷却剂和材料，以帮助裂变成为首选的零碳能源技术。</w:t>
      </w:r>
    </w:p>
    <w:p>
      <w:pPr>
        <w:spacing w:before="0" w:after="200" w:lineRule="auto" w:line="276"/>
      </w:pPr>
      <w:r>
        <w:rPr>
          <w:b/>
        </w:rPr>
        <w:t xml:space="preserve">Abstract (EN): </w:t>
      </w:r>
      <w:r>
        <w:t>Shadowed by past disasters, nuclear engineers are developing different types of reactor, fuel, coolant and material that could help to make fission the zero-carbon energy technology of choice.</w:t>
      </w:r>
    </w:p>
    <w:p>
      <w:pPr>
        <w:spacing w:before="120" w:after="120"/>
      </w:pPr>
      <w:r>
        <w:rPr>
          <w:sz w:val="18"/>
        </w:rPr>
        <w:t>——————————————————————————————————————————————————————————————————————</w:t>
      </w:r>
    </w:p>
    <w:p>
      <w:pPr>
        <w:spacing w:before="160" w:after="40" w:line="240" w:lineRule="auto"/>
      </w:pPr>
      <w:r>
        <w:rPr>
          <w:b/>
        </w:rPr>
        <w:t xml:space="preserve">[28] </w:t>
      </w:r>
      <w:hyperlink r:id="rId373">
        <w:r>
          <w:rPr>
            <w:color w:val="1155CC"/>
            <w:u w:val="single"/>
          </w:rPr>
          <w:t>研究 ${E}_{\text{lab}}≈6.2–6.9\phantom{\rule{0.28em}{0ex}}\mathrm{MeV}/\mathrm{nucleon}$ 处 $^{12}\mathrm{C}+^{193}\mathrm{Ir}→^{205}\mathrm{Bi}^{*}$ 反应中的裂变碎片</w:t>
        </w:r>
      </w:hyperlink>
    </w:p>
    <w:p>
      <w:pPr>
        <w:spacing w:before="0" w:after="80"/>
      </w:pPr>
      <w:r>
        <w:rPr>
          <w:i/>
          <w:sz w:val="20"/>
        </w:rPr>
        <w:t>EN: Investigating fission fragments in the $^{12}\mathrm{C}+^{193}\mathrm{Ir}→^{205}\mathrm{Bi}^{*}$ reaction at ${E}_{\text{lab}}≈6.2–6.9\phantom{\rule{0.28em}{0ex}}\mathrm{MeV}/\mathrm{nucleon}$</w:t>
      </w:r>
    </w:p>
    <w:p>
      <w:pPr>
        <w:spacing w:before="0" w:after="120"/>
      </w:pPr>
      <w:r>
        <w:rPr>
          <w:b/>
        </w:rPr>
        <w:t xml:space="preserve">Source: </w:t>
      </w:r>
      <w:r>
        <w:t>Recent Articles in Phys. Rev. C</w:t>
      </w:r>
      <w:r>
        <w:t xml:space="preserve">    </w:t>
      </w:r>
      <w:r>
        <w:rPr>
          <w:b/>
        </w:rPr>
        <w:t xml:space="preserve">Pub date: </w:t>
      </w:r>
      <w:r>
        <w:t>2026-08-26 10:00:00+00:00</w:t>
      </w:r>
      <w:r>
        <w:t xml:space="preserve">    </w:t>
      </w:r>
      <w:r>
        <w:rPr>
          <w:b/>
        </w:rPr>
        <w:t xml:space="preserve">DOI: </w:t>
      </w:r>
      <w:hyperlink r:id="rId374">
        <w:r>
          <w:rPr>
            <w:color w:val="1155CC"/>
            <w:u w:val="single"/>
          </w:rPr>
          <w:t>10.1103/nd2j-tpnh</w:t>
        </w:r>
      </w:hyperlink>
    </w:p>
    <w:p>
      <w:pPr>
        <w:spacing w:before="0" w:after="120"/>
      </w:pPr>
      <w:r>
        <w:rPr>
          <w:b/>
        </w:rPr>
        <w:t xml:space="preserve">Notes: </w:t>
      </w:r>
      <w:r>
        <w:t>abstract_source=rss_description</w:t>
      </w:r>
    </w:p>
    <w:p>
      <w:pPr>
        <w:spacing w:before="0" w:after="80" w:lineRule="auto" w:line="276"/>
      </w:pPr>
      <w:r>
        <w:rPr>
          <w:b/>
        </w:rPr>
        <w:t xml:space="preserve">摘要（ZH）: </w:t>
      </w:r>
      <w:r>
        <w:t>作者：Rupinderjeet Kaur、Amanjot、Priyanka、Malika Kaushik、Manoj Kumar Sharma 和 Pushpendra P. Singh 质量范围 $71≤ A≤141$ 的 23 个裂变碎片的产生截面已在 $^{12}\mathrm{C}+^{193}\mathrm{Ir}$ 反应中测量${E}_{\mathrm{lab}}=83.99\phantom{\rule{0.16em}{0ex}}±0.013、80.99±0.007$ 和 $74.82±0.026\phantom{\rule{0.28em}{0ex}}\mathrm{MeV}$ 使用…[物理。 Rev. C 114, 024611] 2026 年 8 月 26 日星期三发布</w:t>
      </w:r>
    </w:p>
    <w:p>
      <w:pPr>
        <w:spacing w:before="0" w:after="200" w:lineRule="auto" w:line="276"/>
      </w:pPr>
      <w:r>
        <w:rPr>
          <w:b/>
        </w:rPr>
        <w:t xml:space="preserve">Abstract (EN): </w:t>
      </w:r>
      <w:r>
        <w:t>Author(s): Rupinderjeet Kaur, Amanjot, Priyanka, Malika Kaushik, Manoj Kumar Sharma, and Pushpendra P. SinghThe production cross sections of 23 fission fragments in the mass range $71≤ A≤141$ have been measured in the $^{12}\mathrm{C}+^{193}\mathrm{Ir}$ reaction at ${E}_{\mathrm{lab}}=83.99\phantom{\rule{0.16em}{0ex}}±0.013, 80.99±0.007$, and $74.82±0.026\phantom{\rule{0.28em}{0ex}}\mathrm{MeV}$ using the…[Phys. Rev. C 114, 024611] Published Wed Aug 26, 2026</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375">
        <w:r>
          <w:rPr>
            <w:color w:val="1155CC"/>
            <w:u w:val="single"/>
          </w:rPr>
          <w:t>可解释的强化学习能源调度与系统规模共同优化，以实现稳定高效的离网绿色氢系统</w:t>
        </w:r>
      </w:hyperlink>
    </w:p>
    <w:p>
      <w:pPr>
        <w:spacing w:before="0" w:after="80"/>
      </w:pPr>
      <w:r>
        <w:rPr>
          <w:i/>
          <w:sz w:val="20"/>
        </w:rPr>
        <w:t>EN: Interpretable reinforcement-learning energy dispatch co-optimized with system sizing for stable and efficient off-grid green‑hydrogen systems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376">
        <w:r>
          <w:rPr>
            <w:color w:val="1155CC"/>
            <w:u w:val="single"/>
          </w:rPr>
          <w:t>10.1016/j.apenergy.2026.128682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377">
        <w:r>
          <w:rPr>
            <w:color w:val="1155CC"/>
            <w:u w:val="single"/>
          </w:rPr>
          <w:t>合理设计具有丰富异质界面的双功能 CoS2/MoS2 催化剂，实现高效整体水分解</w:t>
        </w:r>
      </w:hyperlink>
    </w:p>
    <w:p>
      <w:pPr>
        <w:spacing w:before="0" w:after="80"/>
      </w:pPr>
      <w:r>
        <w:rPr>
          <w:i/>
          <w:sz w:val="20"/>
        </w:rPr>
        <w:t>EN: Rational Design of Bifunctional CoS2/MoS2 Catalysts with Abundant Heterointerfaces for Efficient Overall Water Splitting</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378">
        <w:r>
          <w:rPr>
            <w:color w:val="1155CC"/>
            <w:u w:val="single"/>
          </w:rPr>
          <w:t>10.1021/acsami.6c09731</w:t>
        </w:r>
      </w:hyperlink>
    </w:p>
    <w:p>
      <w:pPr>
        <w:spacing w:before="0" w:after="120"/>
      </w:pPr>
      <w:r>
        <w:rPr>
          <w:b/>
        </w:rPr>
        <w:t xml:space="preserve">Notes: </w:t>
      </w:r>
      <w:r>
        <w:t>abstract_source=crossref</w:t>
      </w:r>
    </w:p>
    <w:p>
      <w:pPr>
        <w:spacing w:before="0" w:after="80" w:lineRule="auto" w:line="276"/>
      </w:pPr>
      <w:r>
        <w:rPr>
          <w:b/>
        </w:rPr>
        <w:t xml:space="preserve">摘要（ZH）: </w:t>
      </w:r>
      <w:r>
        <w:t>摘要 开发用于析氢反应（HER）和析氧反应（OER）的低成本、高效双功能非贵金属催化剂对于整体水分解的应用至关重要。在此，我们报告了通过简单的两步水热策略合理设计具有丰富界面的CoS2/MoS2异质结构。由于其独特的三维结构和丰富的通道，CoS2/MoS2组件提供了大量的电化学活性表面积和电荷转移途径。此外，界面处从CoS2到MoS2的电子转移不仅增强了MoS2的电导率，而且还优化了HER和OER过程中中间体的吸附。更重要的是，MoS2和CoS2分别作为HER和OER的活性中心，协同作用，共同促进水分子的分裂。因此，优化的CoS2/MoS2-0.1（其中“0.1”代表Co/Mo摩尔比）电催化剂表现出优异的双功能性能，在10 mA cm−2下HER过电势小至127 mV，OER过电势小至252 mV，并且在24 h内具有良好的稳定性。此外，通过将 CoS2/MoS2-0.1 组装到双电极电解槽中，需要 1.61 V 的低电池电压才能实现 10 mA cm−2 的电流密度以实现整体水分解。</w:t>
      </w:r>
    </w:p>
    <w:p>
      <w:pPr>
        <w:spacing w:before="0" w:after="200" w:lineRule="auto" w:line="276"/>
      </w:pPr>
      <w:r>
        <w:rPr>
          <w:b/>
        </w:rPr>
        <w:t xml:space="preserve">Abstract (EN): </w:t>
      </w:r>
      <w:r>
        <w:t>Developing low-cost, highly efficient bifunctional non-noble-metal catalysts for both the hydrogen evolution reaction (HER) and oxygen evolution reaction (OER) is crucial for the application of overall water splitting. Herein, we report the rational design of a CoS2/MoS2 heterostructure with abundant interfaces by a facile two-step hydrothermal strategy. Owing to its unique three-dimensional structure with rich channels, the CoS2/MoS2 assembly provides a large amount of electrochemically active surface area and charge transfer pathways. In addition, the electron transfer from CoS2 to MoS2 at the interfaces not only enhances the conductivity of MoS2 but also optimizes the adsorption of intermediates in both the HER and OER processes. More importantly, MoS2 and CoS2, serving as the active centers for HER and OER, respectively, work in synergy to jointly promote the splitting of water molecules. Consequently, the optimized CoS2/MoS2-0.1 (where “0.1” represents the Co/Mo molar ratio) electrocatalyst exhibits excellent bifunctional performance with small overpotentials of 127 mV for HER and 252 mV for OER at 10 mA cm−2, as well as good stability for 24 h. In addition, a low cell voltage of 1.61 V is required to achieve the current density of 10 mA cm−2 toward overall water splitting by assembling CoS2/MoS2-0.1 into a two-electrode electrolyzer.</w:t>
      </w:r>
    </w:p>
    <w:p>
      <w:pPr>
        <w:spacing w:before="120" w:after="120"/>
      </w:pPr>
      <w:r>
        <w:rPr>
          <w:sz w:val="18"/>
        </w:rPr>
        <w:t>——————————————————————————————————————————————————————————————————————</w:t>
      </w:r>
    </w:p>
    <w:p>
      <w:pPr>
        <w:spacing w:before="160" w:after="40" w:line="240" w:lineRule="auto"/>
      </w:pPr>
      <w:r>
        <w:rPr>
          <w:b/>
        </w:rPr>
        <w:t xml:space="preserve">[3] </w:t>
      </w:r>
      <w:hyperlink r:id="rId379">
        <w:r>
          <w:rPr>
            <w:color w:val="1155CC"/>
            <w:u w:val="single"/>
          </w:rPr>
          <w:t>哈伯-博世过程中 N2/H2 反应气体混合物对氮气活化的作用</w:t>
        </w:r>
      </w:hyperlink>
    </w:p>
    <w:p>
      <w:pPr>
        <w:spacing w:before="0" w:after="80"/>
      </w:pPr>
      <w:r>
        <w:rPr>
          <w:i/>
          <w:sz w:val="20"/>
        </w:rPr>
        <w:t>EN: The role of the N2/H2 reactant gas mixture on nitrogen activation in the Haber–Bosch process</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哈伯-博世催化过程的研究投入了大量精力。然而，尚未研究的一个方面是催化表面前面存在的 N2 和 H2 的热气态混合物的作用。在这里，我们开发了一种大规范模拟方法，与机器学习生成的反应电势一起，能够模拟这种气体/基质界面。在压力高于 150 bar 和温度高于 700 K 的操作条件下，H2 分子撞击 (110) 铁表面时会解离。由此产生的吸附原子扩散、重组并与气相交换，建立动态平衡，从而导致大量覆盖，但仍低于饱和度。我们研究了化学计量的 N2:H2 气体混合物中 N2 在 Fe(110) 上的解离吸附。我们的模拟揭示了尽管覆盖率高但具有催化活性的表面，这表明在现实的工业条件下，富氢表面调节了该过程的基本步骤。</w:t>
      </w:r>
    </w:p>
    <w:p>
      <w:pPr>
        <w:spacing w:before="0" w:after="200" w:lineRule="auto" w:line="276"/>
      </w:pPr>
      <w:r>
        <w:rPr>
          <w:b/>
        </w:rPr>
        <w:t xml:space="preserve">Abstract (EN): </w:t>
      </w:r>
      <w:r>
        <w:t>Much effort has been devoted to the study of the Haber–Bosch catalytic process. However, one aspect that has not yet been investigated is the role of the presence in front of the catalytic surface of a dense hot gaseous mixture of N2 and H2. Here, we develop a grand-canonical simulation method that, together with machine-learning-generated reactive potentials, enables the simulations of such gas/substrate interface. At the operando conditions of pressures above 150 bar and temperatures higher than 700 K, H2 molecules dissociate upon impinging on the (110) iron surface. The resulting adsorbed atoms diffuse, recombine, and exchange with the gas phase, establishing a dynamical equilibrium that leads to substantial coverage, which nevertheless remains below saturation. We investigate the dissociative adsorption of N2 on Fe(110), from a stoichiometric N2:H2 gas mixture. Our simulations reveal a catalytically active surface despite the high coverage, suggesting that under realistic industrial conditions the hydrogen-rich surface modulates the elementary steps of the process.</w:t>
      </w:r>
    </w:p>
    <w:p>
      <w:pPr>
        <w:spacing w:before="120" w:after="120"/>
      </w:pPr>
      <w:r>
        <w:rPr>
          <w:sz w:val="18"/>
        </w:rPr>
        <w:t>——————————————————————————————————————————————————————————————————————</w:t>
      </w:r>
    </w:p>
    <w:p>
      <w:pPr>
        <w:spacing w:before="160" w:after="40" w:line="240" w:lineRule="auto"/>
      </w:pPr>
      <w:r>
        <w:rPr>
          <w:b/>
        </w:rPr>
        <w:t xml:space="preserve">[4] </w:t>
      </w:r>
      <w:hyperlink r:id="rId380">
        <w:r>
          <w:rPr>
            <w:color w:val="1155CC"/>
            <w:u w:val="single"/>
          </w:rPr>
          <w:t>通过金红石 SnO2 实现准晶 IrCoOx 稳定，以实现持久的酸性析氧</w:t>
        </w:r>
      </w:hyperlink>
    </w:p>
    <w:p>
      <w:pPr>
        <w:spacing w:before="0" w:after="80"/>
      </w:pPr>
      <w:r>
        <w:rPr>
          <w:i/>
          <w:sz w:val="20"/>
        </w:rPr>
        <w:t>EN: Paracrystalline IrCoOx stabilization by rutile SnO2 towards durable acidic oxygen evolution</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开发在酸性介质中具有高活性和长期耐久性的析氧反应催化剂仍然是质子交换膜水电解的主要挑战。在此，我们报告了一种通过将其与金红石 SnO2 结合来稳定高活性副晶 IrCoOx 相的策略，从而实现最佳的活性-耐久性平衡。通过原位加热透射电子显微镜直接观察到的副晶相的形成增强了晶格氧活化和氧析出动力学。由于它们共享 P42/mnm 空间群，所得的 IrCoOx−2@SnO2 催化剂表现出 1192 A gIr−1 的质量活性（IrO2 的 114 倍），并且在电解池中在 2 A cm−2 下可持久运行 3880 小时，在相同条件下表现出非常有竞争力的稳定性。 SnO2 被证明可以通过减轻金属溶解、团聚和 Ir 过度氧化来稳定副晶相，而有利的界面水动力学可以实现可逆的氧物质循环和有效的质子转移，共同有助于实现令人满意的耐久性。</w:t>
      </w:r>
    </w:p>
    <w:p>
      <w:pPr>
        <w:spacing w:before="0" w:after="200" w:lineRule="auto" w:line="276"/>
      </w:pPr>
      <w:r>
        <w:rPr>
          <w:b/>
        </w:rPr>
        <w:t xml:space="preserve">Abstract (EN): </w:t>
      </w:r>
      <w:r>
        <w:t>The development of oxygen evolution reaction catalysts featuring high activity with long-term durability in acidic media remains a major challenge for proton exchange membrane water electrolysis. Herein, we report a strategy to stabilize highly active paracrystalline IrCoOx phase by integrating it with rutile SnO2, achieving an optimal activity-durability balance. The formation of paracrystalline phase, directly visualized by in-situ heating transmission electron microscopy, enhances lattice oxygen activation and oxygen evolution kinetics. Owing to their shared P42/mnm space group, the resulting IrCoOx−2@SnO2 catalyst demonstrates a mass activity of 1192 A gIr−1 (114 times that of IrO2), and a durable operation for 3880 h at 2 A cm−2 in electrolysis cell, representing a very competitive stability under the identical conditions. The SnO2 was proven to stabilize the paracrystalline phase by mitigating metal dissolution, agglomeration, and Ir over-oxidation, while favorable interfacial water dynamics enables reversible oxygen species cycling and efficient proton transfer, collectively contributing to the satisfactory durability.</w:t>
      </w:r>
    </w:p>
    <w:p>
      <w:pPr>
        <w:spacing w:before="120" w:after="120"/>
      </w:pPr>
      <w:r>
        <w:rPr>
          <w:sz w:val="18"/>
        </w:rPr>
        <w:t>——————————————————————————————————————————————————————————————————————</w:t>
      </w:r>
    </w:p>
    <w:p>
      <w:pPr>
        <w:spacing w:before="160" w:after="40" w:line="240" w:lineRule="auto"/>
      </w:pPr>
      <w:r>
        <w:rPr>
          <w:b/>
        </w:rPr>
        <w:t xml:space="preserve">[5] </w:t>
      </w:r>
      <w:hyperlink r:id="rId381">
        <w:r>
          <w:rPr>
            <w:color w:val="1155CC"/>
            <w:u w:val="single"/>
          </w:rPr>
          <w:t>甲烷光氧化中载流子富集类型依赖的产物选择性</w:t>
        </w:r>
      </w:hyperlink>
    </w:p>
    <w:p>
      <w:pPr>
        <w:spacing w:before="0" w:after="80"/>
      </w:pPr>
      <w:r>
        <w:rPr>
          <w:i/>
          <w:sz w:val="20"/>
        </w:rPr>
        <w:t>EN: Charge-carrier enrichment type-dependent product selectivity in methane photooxidation</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在温和条件下将甲烷选择性光催化氧化为增值的 C1 含氧化合物很有吸引力，但由于甲醇和甲醛具有密切相关的能量和途径，因此对支化选择性的控制不佳仍然受到限制。在这里，我们通过控制金属/氮化硼（BN）界面上光生载流子的主要类型来展示甲烷光氧化的可编程选择性。活性位点的载流子富集决定了控制常见羟甲基中间体命运的氢转移步骤，从而实现甲醇和甲醛之间的选择性切换。我们提出，富电子的 AuNPs/BN 促进羟甲基中间体加氢生成甲醇，而空穴积累的 PdSA/BN 促进羟甲基中间体脱氢生成甲醛。在大气压下，PdSA/BN以约90%的选择性产生甲醛，生成率为1653.75 μmol·g−1·h−1，而AuNPs/BN以1070.17 μmol·g−1·h−1实现约92%的选择性甲醇生成。在这里，我们展示了在异质界面建立载流子极性编程作为控制光催化 C-H 氧化中支化选择性的一般策略。</w:t>
      </w:r>
    </w:p>
    <w:p>
      <w:pPr>
        <w:spacing w:before="0" w:after="200" w:lineRule="auto" w:line="276"/>
      </w:pPr>
      <w:r>
        <w:rPr>
          <w:b/>
        </w:rPr>
        <w:t xml:space="preserve">Abstract (EN): </w:t>
      </w:r>
      <w:r>
        <w:t>Selective photocatalytic oxidation of methane to value-added C1 oxygenates under mild conditions is attractive but remains limited by poor control over branching selectivity, because methanol and formaldehyde share closely related energetics and pathways. Here we demonstrate programmable selectivity in methane photooxidation by steering the dominant type of photogenerated charge carriers at metal/boron nitride (BN) interfaces. Carrier enrichment at the active sites dictates the hydrogen-transfer steps that govern the fate of a common hydroxymethyl intermediate, enabling selective switching between methanol and formaldehyde. We propose that electron-enriched AuNPs/BN facilitates hydroxymethyl intermediate hydrogenation to methanol, whereas hole-accumulating PdSA/BN promotes hydroxymethyl intermediate dehydrogenation to formaldehyde. Under atmospheric pressure, PdSA/BN gives formaldehyde with ~90% selectivity and generation rate of 1653.75 μmol·g−1·h−1, while AuNPs/BN achieves ~92% selective methanol production at 1070.17 μmol·g−1·h−1. Here, we show that establishing carrier-polarity programming at heterogeneous interfaces as a general strategy to control branching selectivity in photocatalytic C-H oxidation.</w:t>
      </w:r>
    </w:p>
    <w:p>
      <w:pPr>
        <w:spacing w:before="120" w:after="120"/>
      </w:pPr>
      <w:r>
        <w:rPr>
          <w:sz w:val="18"/>
        </w:rPr>
        <w:t>——————————————————————————————————————————————————————————————————————</w:t>
      </w:r>
    </w:p>
    <w:p>
      <w:pPr>
        <w:spacing w:before="160" w:after="40" w:line="240" w:lineRule="auto"/>
      </w:pPr>
      <w:r>
        <w:rPr>
          <w:b/>
        </w:rPr>
        <w:t xml:space="preserve">[6] </w:t>
      </w:r>
      <w:hyperlink r:id="rId382">
        <w:r>
          <w:rPr>
            <w:color w:val="1155CC"/>
            <w:u w:val="single"/>
          </w:rPr>
          <w:t>用于增强氨合成的几何依赖电子结构：从纳米颗粒到纳米片和金属烯</w:t>
        </w:r>
      </w:hyperlink>
    </w:p>
    <w:p>
      <w:pPr>
        <w:spacing w:before="0" w:after="80"/>
      </w:pPr>
      <w:r>
        <w:rPr>
          <w:i/>
          <w:sz w:val="20"/>
        </w:rPr>
        <w:t>EN: Geometry-Dependent Electronic Structure for Enhanced Ammonia Synthesis: From Nanoparticle to Nanosheet and Metallene</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383">
        <w:r>
          <w:rPr>
            <w:color w:val="1155CC"/>
            <w:u w:val="single"/>
          </w:rPr>
          <w:t>10.1021/jacs.6c12661</w:t>
        </w:r>
      </w:hyperlink>
    </w:p>
    <w:p>
      <w:pPr>
        <w:spacing w:before="0" w:after="120"/>
      </w:pPr>
      <w:r>
        <w:rPr>
          <w:b/>
        </w:rPr>
        <w:t xml:space="preserve">Notes: </w:t>
      </w:r>
      <w:r>
        <w:t>abstract_source=crossref</w:t>
      </w:r>
    </w:p>
    <w:p>
      <w:pPr>
        <w:spacing w:before="0" w:after="80" w:lineRule="auto" w:line="276"/>
      </w:pPr>
      <w:r>
        <w:rPr>
          <w:b/>
        </w:rPr>
        <w:t xml:space="preserve">摘要（ZH）: </w:t>
      </w:r>
      <w:r>
        <w:t>摘要 开发在温和条件下合成氨（NH3）的高效催化剂仍然是一项具有挑战性的任务。催化剂中使用的活性金属主要以零维纳米粒子的形式存在，这限制了它们充分利用原子和电子的能力，导致活性不理想。在此，我们提出了三角形钌纳米片，其特征在于六边形密堆积原子排列的二维结构。将 Ru 纳米片的厚度进一步调整至埃级，产生 Ru 金属烯。与 Ru 纳米粒子或常规纳米片相比，我们的研究表明，Ru 金属烯的独特几何构型基本上稳定了富含丰富 4d 电子的金属 Ru0 活性位点。因此，原子级薄的 Ru 金属烯在 400 °C 和 1 MPa 下具有 70.7 mmol gcat–1 h–1 的高 NH3 合成速率，超过了 Ru 纳米颗粒或纳米片。这种合成方法广泛适用于其他过渡金属（例如铁和钼）。该工作为NH3合成催化剂的埃级几何工程提供了一条新途径。</w:t>
      </w:r>
    </w:p>
    <w:p>
      <w:pPr>
        <w:spacing w:before="0" w:after="200" w:lineRule="auto" w:line="276"/>
      </w:pPr>
      <w:r>
        <w:rPr>
          <w:b/>
        </w:rPr>
        <w:t xml:space="preserve">Abstract (EN): </w:t>
      </w:r>
      <w:r>
        <w:t>Developing highly effective catalysts for ammonia (NH3) synthesis under mild conditions remains a challenging task. The active metals employed in catalysts are predominantly presented as zero-dimensional nanoparticles, which limits their capacity to fully exploit atoms and electrons, resulting in unsatisfactory activity. Herein, we present triangular Ru nanosheet that features a two-dimensional structure characterized by a hexagonal close-packed atomic arrangement. The thickness of the Ru nanosheet is further tailored down to angstrom level, yielding Ru metallene. In contrast to Ru nanoparticles or regular nanosheet, our studies demonstrate that the unique geometric configuration of Ru metallene substantially stabilizes metallic Ru0 active sites enriched with abundant 4d electrons. Therefore, atomically thin Ru metallene delivers a high NH3 synthesis rate of 70.7 mmol gcat–1 h–1 at 400 °C and 1 MPa, surpassing Ru nanoparticles or nanosheets. This synthetic approach is broadly applicable to other transition metals (e.g., Fe and Mo). This work provides a new route for angstrom-level geometric engineering for NH3 synthesis catalysts.</w:t>
      </w:r>
    </w:p>
    <w:p>
      <w:pPr>
        <w:spacing w:before="120" w:after="120"/>
      </w:pPr>
      <w:r>
        <w:rPr>
          <w:sz w:val="18"/>
        </w:rPr>
        <w:t>——————————————————————————————————————————————————————————————————————</w:t>
      </w:r>
    </w:p>
    <w:p>
      <w:pPr>
        <w:spacing w:before="160" w:after="40" w:line="240" w:lineRule="auto"/>
      </w:pPr>
      <w:r>
        <w:rPr>
          <w:b/>
        </w:rPr>
        <w:t xml:space="preserve">[7] </w:t>
      </w:r>
      <w:hyperlink r:id="rId384">
        <w:r>
          <w:rPr>
            <w:color w:val="1155CC"/>
            <w:u w:val="single"/>
          </w:rPr>
          <w:t>通过调整空间资源约束与设施异质性，探索中国区域零碳钢路径</w:t>
        </w:r>
      </w:hyperlink>
    </w:p>
    <w:p>
      <w:pPr>
        <w:spacing w:before="0" w:after="80"/>
      </w:pPr>
      <w:r>
        <w:rPr>
          <w:i/>
          <w:sz w:val="20"/>
        </w:rPr>
        <w:t>EN: Navigating regional zero-carbon steel pathways in China by aligning spatial resource constraints with facility heterogeneity</w:t>
      </w:r>
    </w:p>
    <w:p>
      <w:pPr>
        <w:spacing w:before="0" w:after="120"/>
      </w:pPr>
      <w:r>
        <w:rPr>
          <w:b/>
        </w:rPr>
        <w:t xml:space="preserve">Source: </w:t>
      </w:r>
      <w:r>
        <w:t>Earth and environmental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中国钢铁行业对于全球工业脱碳至关重要，但在异质的区域资源禀赋下，近零转型路径仍知之甚少。在这里，我们开发了一个工厂解决的、空间明确的框架，该框架集成了设施级排放数据库、成本最小化技术模型和地理空间资源匹配。我们发现，高炉-碱性氧气转炉生产占行业排放量的 83%，而 35% 的高炉已有 10-15 年的使用年限，创造了改造机会和碳锁定风险。到2060年实现减排97%需要在2040年之前加速改造，淘汰140个小型设施，将氢冶金扩大到34.6%，并将碳捕获和封存的作用限制在12.1%。相对于一切照旧，到 2060 年，尽管有 4,360 亿美元的搁浅资产，但接近于零的路径将累计系统成本削减 21,840 亿美元 (USD)。北方和沿海地区青睐氢冶金，而内陆省份则集中了全国46%的碳捕集能力。本研究强调了在技术锁定和资源禀赋不均的情况下，难以减排行业脱碳的差异化区域路径。</w:t>
      </w:r>
    </w:p>
    <w:p>
      <w:pPr>
        <w:spacing w:before="0" w:after="200" w:lineRule="auto" w:line="276"/>
      </w:pPr>
      <w:r>
        <w:rPr>
          <w:b/>
        </w:rPr>
        <w:t xml:space="preserve">Abstract (EN): </w:t>
      </w:r>
      <w:r>
        <w:t>China’s iron and steel sector is pivotal to global industrial decarbonization, yet near-zero transition pathways under heterogeneous regional resource endowments remain poorly understood. Here we develop a plant-resolved, spatially explicit framework that integrates a facility-level emission database, a cost-minimizing technology model and geospatial resource matching. We find that blast furnace-basic oxygen furnace production accounts for 83% of sectoral emissions, while 35% of blast furnaces are 10–15 years old, creating retrofit opportunities and carbon lock-in risks. Achieving a 97% emissions reduction by 2060 requires accelerated retrofits before 2040, retirement of 140 small facilities, expansion of hydrogen metallurgy to 34.6%, and a limited role for carbon capture and storage at 12.1%. Relative to business as usual, the near-zero pathway cuts cumulative system costs by 2,184 billion United States dollars (USD) by 2060 despite USD 436 billion in stranded assets. Northern and coastal regions favour hydrogen metallurgy, whereas inland provinces concentrate 46% of national carbon capture capacity. This study highlights differentiated regional pathway for decarbonizing hard-to-abate sectors under technological lock-in and uneven resource endowments.</w:t>
      </w:r>
    </w:p>
    <w:p>
      <w:pPr>
        <w:spacing w:before="120" w:after="120"/>
      </w:pPr>
      <w:r>
        <w:rPr>
          <w:sz w:val="18"/>
        </w:rPr>
        <w:t>——————————————————————————————————————————————————————————————————————</w:t>
      </w:r>
    </w:p>
    <w:p>
      <w:pPr>
        <w:spacing w:before="160" w:after="40" w:line="240" w:lineRule="auto"/>
      </w:pPr>
      <w:r>
        <w:rPr>
          <w:b/>
        </w:rPr>
        <w:t xml:space="preserve">[8] </w:t>
      </w:r>
      <w:hyperlink r:id="rId385">
        <w:r>
          <w:rPr>
            <w:color w:val="1155CC"/>
            <w:u w:val="single"/>
          </w:rPr>
          <w:t>氢电船舶电力系统的物理-经济-健康协调：三层统一框架</w:t>
        </w:r>
      </w:hyperlink>
    </w:p>
    <w:p>
      <w:pPr>
        <w:spacing w:before="0" w:after="80"/>
      </w:pPr>
      <w:r>
        <w:rPr>
          <w:i/>
          <w:sz w:val="20"/>
        </w:rPr>
        <w:t>EN: Physical-economic-health coordination for hydrogen-electrified ship power systems: A triple-layer unified framework</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386">
        <w:r>
          <w:rPr>
            <w:color w:val="1155CC"/>
            <w:u w:val="single"/>
          </w:rPr>
          <w:t>10.1016/j.apenergy.2026.128672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87">
        <w:r>
          <w:rPr>
            <w:color w:val="1155CC"/>
            <w:u w:val="single"/>
          </w:rPr>
          <w:t>氢基远程微电网的稳健容量规划与共同优化的日常服务窗口</w:t>
        </w:r>
      </w:hyperlink>
    </w:p>
    <w:p>
      <w:pPr>
        <w:spacing w:before="0" w:after="80"/>
      </w:pPr>
      <w:r>
        <w:rPr>
          <w:i/>
          <w:sz w:val="20"/>
        </w:rPr>
        <w:t>EN: Robust capacity planning of hydrogen-based remote microgrids with a co-optimized daily service window</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388">
        <w:r>
          <w:rPr>
            <w:color w:val="1155CC"/>
            <w:u w:val="single"/>
          </w:rPr>
          <w:t>10.1016/j.apenergy.2026.128686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389">
        <w:r>
          <w:rPr>
            <w:color w:val="1155CC"/>
            <w:u w:val="single"/>
          </w:rPr>
          <w:t>通过单原子位点对界面水结构和金属载体相互作用进行双重调节，用于工业析氢</w:t>
        </w:r>
      </w:hyperlink>
    </w:p>
    <w:p>
      <w:pPr>
        <w:spacing w:before="0" w:after="80"/>
      </w:pPr>
      <w:r>
        <w:rPr>
          <w:i/>
          <w:sz w:val="20"/>
        </w:rPr>
        <w:t>EN: Dual Modulation of Interfacial Water Structure and Metal‐Support Interaction via Single‐Atom Sites for Industrial Hydrogen Evolution</w:t>
      </w:r>
    </w:p>
    <w:p>
      <w:pPr>
        <w:spacing w:before="0" w:after="120"/>
      </w:pPr>
      <w:r>
        <w:rPr>
          <w:b/>
        </w:rPr>
        <w:t xml:space="preserve">Source: </w:t>
      </w:r>
      <w:r>
        <w:t>Wiley: Advanced Materials: Table of Contents</w:t>
      </w:r>
      <w:r>
        <w:t xml:space="preserve">    </w:t>
      </w:r>
      <w:r>
        <w:rPr>
          <w:b/>
        </w:rPr>
        <w:t xml:space="preserve">Pub date: </w:t>
      </w:r>
      <w:r>
        <w:t>2026-08-21 05:10:48+00:00</w:t>
      </w:r>
      <w:r>
        <w:t xml:space="preserve">    </w:t>
      </w:r>
      <w:r>
        <w:rPr>
          <w:b/>
        </w:rPr>
        <w:t xml:space="preserve">DOI: </w:t>
      </w:r>
      <w:hyperlink r:id="rId390">
        <w:r>
          <w:rPr>
            <w:color w:val="1155CC"/>
            <w:u w:val="single"/>
          </w:rPr>
          <w:t>10.1002/adma.74720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钌基催化剂是阴离子交换膜水电解（AEMWE）中碱性析氢反应（HER）的有前途的阴极，但缓慢的水离解、过强的Ru─H吸附以及耐久性损失仍然限制了其实际性能。在此，我们构建了用于锚定Ru颗粒的受控M─N─C（M=Fe，Co，Ni）支撑系列，并建立了将界面水活化与支撑诱导的Ru电子优化相结合的双重调节策略。 M─N</w:t>
      </w:r>
      <w:r>
        <w:rPr>
          <w:vertAlign w:val="subscript"/>
        </w:rPr>
        <w:t>4</w:t>
      </w:r>
      <w:r>
        <w:t>配位基序主要调节近地表水环境并促进水解离动力学，而M─N─C载体通过金属-载体相互作用调节Ru的电子结构。优化的 Ru/Ni─N─C 在 10 mA cm 电流下可提供 9 mV 的超低过电势</w:t>
      </w:r>
      <w:r>
        <w:t xml:space="preserve"> </w:t>
      </w:r>
      <w:r>
        <w:t>−2</w:t>
      </w:r>
      <w:r>
        <w:t xml:space="preserve"> </w:t>
      </w:r>
      <w:r>
        <w:t>并达到 4000 mA cm</w:t>
      </w:r>
      <w:r>
        <w:t xml:space="preserve"> </w:t>
      </w:r>
      <w:r>
        <w:t>−2</w:t>
      </w:r>
      <w:r>
        <w:t xml:space="preserve"> </w:t>
      </w:r>
      <w:r>
        <w:t>在实际 AEMWE 中，电压为 2.0 V 时，表观电压增加率为 3.1 µV h</w:t>
      </w:r>
      <w:r>
        <w:t xml:space="preserve"> </w:t>
      </w:r>
      <w:r>
        <w:t>−1</w:t>
      </w:r>
      <w:r>
        <w:t xml:space="preserve"> </w:t>
      </w:r>
      <w:r>
        <w:t>超过 1600 小时。原位拉曼和红外光谱表明 Ni─N</w:t>
      </w:r>
      <w:r>
        <w:rPr>
          <w:vertAlign w:val="subscript"/>
        </w:rPr>
        <w:t>4</w:t>
      </w:r>
      <w:r>
        <w:t>图案丰富并极化界面 K</w:t>
      </w:r>
      <w:r>
        <w:t xml:space="preserve"> </w:t>
      </w:r>
      <w:r>
        <w:t>+</w:t>
      </w:r>
      <w:r>
        <w:t xml:space="preserve"> </w:t>
      </w:r>
      <w:r>
        <w:t>－H</w:t>
      </w:r>
      <w:r>
        <w:rPr>
          <w:vertAlign w:val="subscript"/>
        </w:rPr>
        <w:t>2</w:t>
      </w:r>
      <w:r>
        <w:t>O 物种，促进 Volmer 步骤。理论计算进一步表明Ni─N</w:t>
      </w:r>
      <w:r>
        <w:rPr>
          <w:vertAlign w:val="subscript"/>
        </w:rPr>
        <w:t>4</w:t>
      </w:r>
      <w:r>
        <w:t>将水解离势垒降低至 0.19 eV，而 Ni─N─C 载体将 Ru─H 吸附优化至 -0.07</w:t>
      </w:r>
    </w:p>
    <w:p>
      <w:pPr>
        <w:spacing w:before="0" w:after="200" w:lineRule="auto" w:line="276"/>
      </w:pPr>
      <w:r>
        <w:rPr>
          <w:b/>
        </w:rPr>
        <w:t xml:space="preserve">Abstract (EN): </w:t>
      </w:r>
      <w:r>
        <w:t>Ru‐based catalysts are promising cathodes for alkaline hydrogen evolution reaction (HER) in anion exchange membrane water electrolysis (AEMWE), yet sluggish water dissociation, overly strong Ru─H adsorption, and durability loss still limit their practical performance. Herein, we construct a controlled M─N─C (M═Fe, Co, Ni) support series for anchoring Ru particles and establish a dual‐regulation strategy that couples interfacial water activation with support‐induced Ru electronic optimization. M─N</w:t>
      </w:r>
      <w:r>
        <w:rPr>
          <w:vertAlign w:val="subscript"/>
        </w:rPr>
        <w:t>4</w:t>
      </w:r>
      <w:r>
        <w:t>coordination motifs mainly regulate the near‐surface water environment and promote water‐dissociation kinetics, while the M─N─C supports modulate the electronic structure of Ru through metal‐support interaction. The optimized Ru/Ni─N─C delivers an ultralow overpotential of 9 mV at 10 mA cm</w:t>
      </w:r>
      <w:r>
        <w:t xml:space="preserve"> </w:t>
      </w:r>
      <w:r>
        <w:t>−2</w:t>
      </w:r>
      <w:r>
        <w:t xml:space="preserve"> </w:t>
      </w:r>
      <w:r>
        <w:t>and achieves 4000 mA cm</w:t>
      </w:r>
      <w:r>
        <w:t xml:space="preserve"> </w:t>
      </w:r>
      <w:r>
        <w:t>−2</w:t>
      </w:r>
      <w:r>
        <w:t xml:space="preserve"> </w:t>
      </w:r>
      <w:r>
        <w:t>at 2.0 V in a practical AEMWE, with an apparent voltage increase rate of 3.1 µV h</w:t>
      </w:r>
      <w:r>
        <w:t xml:space="preserve"> </w:t>
      </w:r>
      <w:r>
        <w:t>−1</w:t>
      </w:r>
      <w:r>
        <w:t xml:space="preserve"> </w:t>
      </w:r>
      <w:r>
        <w:t>over 1600 h. In situ Raman and infrared spectroscopies reveal that Ni─N</w:t>
      </w:r>
      <w:r>
        <w:rPr>
          <w:vertAlign w:val="subscript"/>
        </w:rPr>
        <w:t>4</w:t>
      </w:r>
      <w:r>
        <w:t>motifs enrich and polarize interfacial K</w:t>
      </w:r>
      <w:r>
        <w:t xml:space="preserve"> </w:t>
      </w:r>
      <w:r>
        <w:t>+</w:t>
      </w:r>
      <w:r>
        <w:t xml:space="preserve"> </w:t>
      </w:r>
      <w:r>
        <w:t>‐H</w:t>
      </w:r>
      <w:r>
        <w:rPr>
          <w:vertAlign w:val="subscript"/>
        </w:rPr>
        <w:t>2</w:t>
      </w:r>
      <w:r>
        <w:t>O species, facilitating the Volmer step. Theoretical calculations further show that Ni─N</w:t>
      </w:r>
      <w:r>
        <w:rPr>
          <w:vertAlign w:val="subscript"/>
        </w:rPr>
        <w:t>4</w:t>
      </w:r>
      <w:r>
        <w:t>lowers the water dissociation barrier to 0.19 eV, while the Ni─N─C support optimizes Ru─H adsorption to −0.07 eV through metal‐support interaction. This work provides mechanistic guidance for designing efficient Ru‐based alkaline HER catalysts by integrating water‐structure regulation with support‐mediated Ru electronic modulation.</w:t>
      </w:r>
    </w:p>
    <w:p>
      <w:pPr>
        <w:spacing w:before="120" w:after="120"/>
      </w:pPr>
      <w:r>
        <w:rPr>
          <w:sz w:val="18"/>
        </w:rPr>
        <w:t>——————————————————————————————————————————————————————————————————————</w:t>
      </w:r>
    </w:p>
    <w:p>
      <w:pPr>
        <w:spacing w:before="160" w:after="40" w:line="240" w:lineRule="auto"/>
      </w:pPr>
      <w:r>
        <w:rPr>
          <w:b/>
        </w:rPr>
        <w:t xml:space="preserve">[11] </w:t>
      </w:r>
      <w:hyperlink r:id="rId391">
        <w:r>
          <w:rPr>
            <w:color w:val="1155CC"/>
            <w:u w:val="single"/>
          </w:rPr>
          <w:t>界面结构调制触发工业级水电解的双位点协同</w:t>
        </w:r>
      </w:hyperlink>
    </w:p>
    <w:p>
      <w:pPr>
        <w:spacing w:before="0" w:after="80"/>
      </w:pPr>
      <w:r>
        <w:rPr>
          <w:i/>
          <w:sz w:val="20"/>
        </w:rPr>
        <w:t>EN: Interfacial Structure Modulation Triggering Dual Sites Synergy for Industrial‐Grade Water Electrolysis</w:t>
      </w:r>
    </w:p>
    <w:p>
      <w:pPr>
        <w:spacing w:before="0" w:after="120"/>
      </w:pPr>
      <w:r>
        <w:rPr>
          <w:b/>
        </w:rPr>
        <w:t xml:space="preserve">Source: </w:t>
      </w:r>
      <w:r>
        <w:t>Wiley: Advanced Materials: Table of Contents</w:t>
      </w:r>
      <w:r>
        <w:t xml:space="preserve">    </w:t>
      </w:r>
      <w:r>
        <w:rPr>
          <w:b/>
        </w:rPr>
        <w:t xml:space="preserve">Pub date: </w:t>
      </w:r>
      <w:r>
        <w:t>2026-08-21 11:18:26+00:00</w:t>
      </w:r>
      <w:r>
        <w:t xml:space="preserve">    </w:t>
      </w:r>
      <w:r>
        <w:rPr>
          <w:b/>
        </w:rPr>
        <w:t xml:space="preserve">DOI: </w:t>
      </w:r>
      <w:hyperlink r:id="rId392">
        <w:r>
          <w:rPr>
            <w:color w:val="1155CC"/>
            <w:u w:val="single"/>
          </w:rPr>
          <w:t>10.1002/adma.74763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阴离子交换膜水电解（AEMWE）被认为是一种有前景的绿色制氢技术。高性能非贵金属基（NNM）电催化剂的开发对其工业规模部署至关重要。然而，在碱性介质中，它们通常面临着同时激活水分子和优化氢物质吸附的严峻挑战，导致水解离动力学缓慢。在这里，我们设计了 NiS/Ni</w:t>
      </w:r>
      <w:r>
        <w:rPr>
          <w:vertAlign w:val="subscript"/>
        </w:rPr>
        <w:t>3</w:t>
      </w:r>
      <w:r>
        <w:t>S</w:t>
      </w:r>
      <w:r>
        <w:rPr>
          <w:vertAlign w:val="subscript"/>
        </w:rPr>
        <w:t>2</w:t>
      </w:r>
      <w:r>
        <w:t>通过简便的阴极极化方法形成具有强界面相互作用的异质结。理论和实验分析揭示了析氢反应的协同双位点机制：Ni位点促进H</w:t>
      </w:r>
      <w:r>
        <w:rPr>
          <w:vertAlign w:val="subscript"/>
        </w:rPr>
        <w:t>2</w:t>
      </w:r>
      <w:r>
        <w:t>O通过上移的d带中心吸附，作为主要的水解离中心；同时，S位点通过接受界面电荷优化氢结合能，促进H*吸附/解吸。这种双位点机制显着降低了 Volmer 步骤的能垒。令人印象深刻的是，在 AEMWE 测试中生成的 NiS/Ni</w:t>
      </w:r>
      <w:r>
        <w:rPr>
          <w:vertAlign w:val="subscript"/>
        </w:rPr>
        <w:t>3</w:t>
      </w:r>
      <w:r>
        <w:t>S</w:t>
      </w:r>
      <w:r>
        <w:rPr>
          <w:vertAlign w:val="subscript"/>
        </w:rPr>
        <w:t>2</w:t>
      </w:r>
      <w:r>
        <w:t>@W 仅需要 1.73 和 1.68 V 即可达到 1 A cm 的电流密度</w:t>
      </w:r>
      <w:r>
        <w:t xml:space="preserve"> </w:t>
      </w:r>
      <w:r>
        <w:t>−2</w:t>
      </w:r>
      <w:r>
        <w:t xml:space="preserve"> </w:t>
      </w:r>
      <w:r>
        <w:t>分别在 60°C 和 80°C 下。此外，它可以在1.5 A cm下保持稳定运行1000小时以上</w:t>
      </w:r>
      <w:r>
        <w:t xml:space="preserve"> </w:t>
      </w:r>
      <w:r>
        <w:t>−2</w:t>
      </w:r>
    </w:p>
    <w:p>
      <w:pPr>
        <w:spacing w:before="0" w:after="200" w:lineRule="auto" w:line="276"/>
      </w:pPr>
      <w:r>
        <w:rPr>
          <w:b/>
        </w:rPr>
        <w:t xml:space="preserve">Abstract (EN): </w:t>
      </w:r>
      <w:r>
        <w:t>Anion exchange membrane water electrolysis (AEMWE) is recognized as a promising technology for green hydrogen production. The development of high‐performance non‐noble‐metal‐based (NNM) electrocatalysts is crucial for its industrial‐scale deployment. However, in alkaline media, they typically face a critical challenge in simultaneously activating water molecular and optimizing hydrogen species adsorption, resulting in sluggish water dissociation kinetics. Herein, we engineer a NiS/Ni</w:t>
      </w:r>
      <w:r>
        <w:rPr>
          <w:vertAlign w:val="subscript"/>
        </w:rPr>
        <w:t>3</w:t>
      </w:r>
      <w:r>
        <w:t>S</w:t>
      </w:r>
      <w:r>
        <w:rPr>
          <w:vertAlign w:val="subscript"/>
        </w:rPr>
        <w:t>2</w:t>
      </w:r>
      <w:r>
        <w:t>heterojunction with strong interfacial interaction via a facile cathodic polarization method. Theoretical and experimental analyses reveal a synergistic dual‐site mechanism of hydrogen evolution reaction: Ni sites promote H</w:t>
      </w:r>
      <w:r>
        <w:rPr>
          <w:vertAlign w:val="subscript"/>
        </w:rPr>
        <w:t>2</w:t>
      </w:r>
      <w:r>
        <w:t>O adsorption through upshifted d‐band center, serving as the primary water dissociation centers; concurrently, S sites optimize the hydrogen binding energy by accepting interfacial charges, facilitating H* adsorption/desorption. This dual‐site mechanism significantly lowers the energy barrier of the Volmer step. Impressively, in AEMWE tests the resultant NiS/Ni</w:t>
      </w:r>
      <w:r>
        <w:rPr>
          <w:vertAlign w:val="subscript"/>
        </w:rPr>
        <w:t>3</w:t>
      </w:r>
      <w:r>
        <w:t>S</w:t>
      </w:r>
      <w:r>
        <w:rPr>
          <w:vertAlign w:val="subscript"/>
        </w:rPr>
        <w:t>2</w:t>
      </w:r>
      <w:r>
        <w:t>@W requiring only 1.73 and 1.68 V to reach a current density of 1 A cm</w:t>
      </w:r>
      <w:r>
        <w:t xml:space="preserve"> </w:t>
      </w:r>
      <w:r>
        <w:t>−2</w:t>
      </w:r>
      <w:r>
        <w:t xml:space="preserve"> </w:t>
      </w:r>
      <w:r>
        <w:t>at 60°C and 80°C, respectively. Furthermore, it can maintain stable operation for over 1 000 h at 1.5 A cm</w:t>
      </w:r>
      <w:r>
        <w:t xml:space="preserve"> </w:t>
      </w:r>
      <w:r>
        <w:t>−2</w:t>
      </w:r>
      <w:r>
        <w:t xml:space="preserve"> </w:t>
      </w:r>
      <w:r>
        <w:t>and exhibits robust tolerance under dynamic fluctuating conditions. This work provides a reliable interface engineering strategy for designing efficient electrocatalysts for industrial‐grade water electrolysis.</w:t>
      </w:r>
    </w:p>
    <w:p>
      <w:pPr>
        <w:spacing w:before="120" w:after="120"/>
      </w:pPr>
      <w:r>
        <w:rPr>
          <w:sz w:val="18"/>
        </w:rPr>
        <w:t>——————————————————————————————————————————————————————————————————————</w:t>
      </w:r>
    </w:p>
    <w:p>
      <w:pPr>
        <w:spacing w:before="160" w:after="40" w:line="240" w:lineRule="auto"/>
      </w:pPr>
      <w:r>
        <w:rPr>
          <w:b/>
        </w:rPr>
        <w:t xml:space="preserve">[12] </w:t>
      </w:r>
      <w:hyperlink r:id="rId393">
        <w:r>
          <w:rPr>
            <w:color w:val="1155CC"/>
            <w:u w:val="single"/>
          </w:rPr>
          <w:t>用于服务作业船舶的氢和甲醇混合动力系统的多目标优化：技术经济和环境分析</w:t>
        </w:r>
      </w:hyperlink>
    </w:p>
    <w:p>
      <w:pPr>
        <w:spacing w:before="0" w:after="80"/>
      </w:pPr>
      <w:r>
        <w:rPr>
          <w:i/>
          <w:sz w:val="20"/>
        </w:rPr>
        <w:t>EN: Multi-objective optimisation of hydrogen and methanol-based hybrid power systems for service operation vessels: A techno-economic and environmental analysis</w:t>
      </w:r>
    </w:p>
    <w:p>
      <w:pPr>
        <w:spacing w:before="0" w:after="120"/>
      </w:pPr>
      <w:r>
        <w:rPr>
          <w:b/>
        </w:rPr>
        <w:t xml:space="preserve">Source: </w:t>
      </w:r>
      <w:r>
        <w:t>ScienceDirect Publication: Applied Energy</w:t>
      </w:r>
      <w:r>
        <w:t xml:space="preserve">    </w:t>
      </w:r>
      <w:r>
        <w:rPr>
          <w:b/>
        </w:rPr>
        <w:t xml:space="preserve">Pub date: </w:t>
      </w:r>
      <w:r>
        <w:t>2026-08-22 00:00:00+00:00</w:t>
      </w:r>
      <w:r>
        <w:t xml:space="preserve">    </w:t>
      </w:r>
      <w:r>
        <w:rPr>
          <w:b/>
        </w:rPr>
        <w:t xml:space="preserve">DOI: </w:t>
      </w:r>
      <w:hyperlink r:id="rId394">
        <w:r>
          <w:rPr>
            <w:color w:val="1155CC"/>
            <w:u w:val="single"/>
          </w:rPr>
          <w:t>10.1016/j.apenergy.2026.128679</w:t>
        </w:r>
      </w:hyperlink>
    </w:p>
    <w:p>
      <w:pPr>
        <w:spacing w:before="0" w:after="120"/>
      </w:pPr>
      <w:r>
        <w:rPr>
          <w:b/>
        </w:rPr>
        <w:t xml:space="preserve">Notes: </w:t>
      </w:r>
      <w:r>
        <w:t>abstract_source=openalex</w:t>
      </w:r>
    </w:p>
    <w:p>
      <w:pPr>
        <w:spacing w:before="0" w:after="80" w:lineRule="auto" w:line="276"/>
      </w:pPr>
      <w:r>
        <w:rPr>
          <w:b/>
        </w:rPr>
        <w:t xml:space="preserve">摘要（ZH）: </w:t>
      </w:r>
      <w:r>
        <w:t>海上风电服务运营船（SOV）脱碳需要选择平衡成本、排放和船上集成的燃料路径。本研究为 5 000 GT 海上风电场 SOV 开发了双层技术经济和环境优化框架，将 NSGA-II 架构规模调整与逐秒基于规则的能源管理相结合。比较的三种替代途径是双燃料甲醇发动机（DFME）、液氢质子交换膜燃料电池（PEMFC）和甲醇重整燃料电池（MRFC）。该框架在具有代表性的 14 天任务概况中最大限度地减少了资本支出、生命周期运营支出和苏醒碳强度，并使用 TOPSIS 从每个帕累托前沿选择一个平衡的决策案例。引入统一的 β * / γ * 度量来量化与每个路径相关的重量重新分配或甲板体积膨胀。相对于柴油基线，TOPSIS 设计将 DFME 的油井至尾流碳强度降低了 68.7%，将 MRFC 降低了 83.3%，将 PEMFC 降低了 93.6%，同时将生命周期成本从 29.14 MUSD 增加到 96.89-110.72 MUSD。没有一条路径在成本、排放和一体化相关指标上普遍占主导地位。 DFME 提供最低的生命周期成本和最高的技术准备度。 MRFC 在深度脱碳选项中提供了最有利的重量和体积配合。仅当绿色氢生产排放因子保持低于约2.1 kgCO 2 e/kgH 2 时，PEMFC 才能实现最大的碳减排。</w:t>
      </w:r>
    </w:p>
    <w:p>
      <w:pPr>
        <w:spacing w:before="0" w:after="200" w:lineRule="auto" w:line="276"/>
      </w:pPr>
      <w:r>
        <w:rPr>
          <w:b/>
        </w:rPr>
        <w:t xml:space="preserve">Abstract (EN): </w:t>
      </w:r>
      <w:r>
        <w:t>Decarbonising offshore-wind service operation vessels (SOVs) requires fuel-pathway choices that balance cost, emissions, and onboard integration. This study develops a bi-level techno-economic and environmental optimisation framework for a 5 000 GT offshore wind farm SOV, coupling NSGA-II architecture sizing with second-by-second rule-based energy management. The three alternative pathways compared are dual-fuel methanol engines (DFME), liquid-hydrogen proton-exchange membrane fuel cells (PEMFC), and methanol-reforming fuel cells (MRFC). The framework minimises capital expenditure, lifecycle operating expenditure, and well-to-wake carbon intensity over a representative 14-day mission profile, with TOPSIS used to select one balanced decision case from each Pareto front. A unified β ∗ / Γ ∗ metric is introduced to quantify the weight reallocation or deck-volume expansion associated with each pathway. Relative to the diesel baseline, the TOPSIS designs reduce well-to-wake carbon intensity by 68.7% for DFME, 83.3% for MRFC, and 93.6% for PEMFC, while increasing lifecycle cost from 29.14 MUSD to 96.89–110.72 MUSD. No pathway is universally dominant across cost, emissions, and integration-related indicators. DFME provides the lowest lifecycle cost and highest technology readiness. MRFC offers the most favourable weight-and-volume fit among the deep-decarbonisation options. PEMFC achieves the largest carbon reduction only when the green-hydrogen production emission factor remains below approximately 2.1 kgCO 2 e/kgH 2 .</w:t>
      </w:r>
    </w:p>
    <w:p>
      <w:pPr>
        <w:spacing w:before="120" w:after="120"/>
      </w:pPr>
      <w:r>
        <w:rPr>
          <w:sz w:val="18"/>
        </w:rPr>
        <w:t>——————————————————————————————————————————————————————————————————————</w:t>
      </w:r>
    </w:p>
    <w:p>
      <w:pPr>
        <w:spacing w:before="160" w:after="40" w:line="240" w:lineRule="auto"/>
      </w:pPr>
      <w:r>
        <w:rPr>
          <w:b/>
        </w:rPr>
        <w:t xml:space="preserve">[13] </w:t>
      </w:r>
      <w:hyperlink r:id="rId395">
        <w:r>
          <w:rPr>
            <w:color w:val="1155CC"/>
            <w:u w:val="single"/>
          </w:rPr>
          <w:t>主族钾辅助双站点继电器打破了酸性氧还原中的活性与稳定性权衡</w:t>
        </w:r>
      </w:hyperlink>
    </w:p>
    <w:p>
      <w:pPr>
        <w:spacing w:before="0" w:after="80"/>
      </w:pPr>
      <w:r>
        <w:rPr>
          <w:i/>
          <w:sz w:val="20"/>
        </w:rPr>
        <w:t>EN: Main-Group Potassium-Assisted Dual-Site Relay Breaks the Activity–Stability Trade-Off in Acidic Oxygen 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2026-08-22 00:00:00+00:00</w:t>
      </w:r>
      <w:r>
        <w:t xml:space="preserve">    </w:t>
      </w:r>
      <w:r>
        <w:rPr>
          <w:b/>
        </w:rPr>
        <w:t xml:space="preserve">DOI: </w:t>
      </w:r>
      <w:hyperlink r:id="rId396">
        <w:r>
          <w:rPr>
            <w:color w:val="1155CC"/>
            <w:u w:val="single"/>
          </w:rPr>
          <w:t>10.1021/jacs.6c12145</w:t>
        </w:r>
      </w:hyperlink>
    </w:p>
    <w:p>
      <w:pPr>
        <w:spacing w:before="0" w:after="120"/>
      </w:pPr>
      <w:r>
        <w:rPr>
          <w:b/>
        </w:rPr>
        <w:t xml:space="preserve">Notes: </w:t>
      </w:r>
      <w:r>
        <w:t>abstract_source=crossref</w:t>
      </w:r>
    </w:p>
    <w:p>
      <w:pPr>
        <w:spacing w:before="0" w:after="80" w:lineRule="auto" w:line="276"/>
      </w:pPr>
      <w:r>
        <w:rPr>
          <w:b/>
        </w:rPr>
        <w:t xml:space="preserve">摘要（ZH）: </w:t>
      </w:r>
      <w:r>
        <w:t>摘要 Fe-N-C 催化剂是用于质子交换膜燃料电池的有前景的无铂族金属阴极。然而，孤立的 FeN4 位点上的 O2 激活通常遵循单中心缔合途径，这限制了（氧还原反应）ORR 动力学，并与酸性操作条件下过氧化物的形成和 Fe 脱金属相关。在此，首次报道了一种原子分散的Fe-K双位点催化剂FeN4-KN6/C，其中引入N6配位的s-块K位点（KN6）作为主基团辅助位点来调节FeN4，而不是作为孤立的活性中心。邻近的 KN6 单元通过 K s/p 态介导的扰动调节 FeN4 的局部电子结构，从而实现桥式 O2 激活并促进 Fe 结合的 *OH 解吸。因此，*OOH 积累和 H2O2 形成受到抑制，活性氧介导的降解得到减轻，并且 Fe-N 配位得到加强，以改善 Fe 位点的保留。 FeN4–KN6/C 的 ORR 半波电位为 0.850 V，H2O2 产量较低。使用 FeN4-KN6/C 阴极的膜电极组件在 H2-O2 条件下可在 0.9 V 下输出 47.0 mA cm-2，在 H2-空气条件下在 0.8 V 下可输出 101 mA cm-2，相应的峰值功率密度分别为 1.30 W cm-2 和 0.71 W cm-2。此外，经过30,000次电压循环后，峰值功率密度保持率在H2-空气下达到90.1%，在H2-O2条件下达到92.3%。这项工作建立了用于酸性 ORR 的 s 区碱金属辅助 Fe 双位点机制，并将 Fe 基双原子催化剂设计扩展到</w:t>
      </w:r>
    </w:p>
    <w:p>
      <w:pPr>
        <w:spacing w:before="0" w:after="200" w:lineRule="auto" w:line="276"/>
      </w:pPr>
      <w:r>
        <w:rPr>
          <w:b/>
        </w:rPr>
        <w:t xml:space="preserve">Abstract (EN): </w:t>
      </w:r>
      <w:r>
        <w:t>Fe–N–C catalysts are promising platinum-group-metal-free cathodes for proton-exchange membrane fuel cells. However, O2 activation on isolated FeN4 sites typically follows a single-center associative pathway, which limits (oxygen reduction reaction) ORR kinetics and is associated with peroxide formation and Fe demetalation under acidic operation conditions. Herein, an atomically dispersed Fe–K dual-site catalyst, FeN4–KN6/C, is reported for the first time, in which the N6-coordinated s-block K site (KN6) is introduced as a main-group auxiliary site to regulate FeN4 rather than as an isolated active center. The neighboring KN6 unit modulates the local electronic structure of FeN4 through K s/p-state-mediated perturbation, enabling bridge-type O2 activation and facilitating Fe-bound *OH desorption. Consequently, *OOH accumulation and H2O2 formation are suppressed, reactive oxygen species mediated degradation is mitigated, and Fe–N coordination is reinforced for improved Fe-site retention. FeN4–KN6/C exhibits an ORR half-wave potential of 0.850 V with a low H2O2 yield. Membrane electrode assemblies using FeN4–KN6/C cathodes deliver 47.0 mA cm–2 at 0.9 V under H2–O2 and 101 mA cm–2 at 0.8 V under H2–air conditions, with corresponding peak power densities of 1.30 W cm–2 and 0.71 W cm–2, respectively. Moreover, after 30,000 voltage cycles, the peak power density retention reaches 90.1% under H2–air and 92.3% under H2–O2 conditions. This work establishes an s-block alkali-metal-assisted Fe dual-site mechanism for acidic ORR and expands Fe-based dual-atom catalyst design beyond conventional transition-metal combinations.</w:t>
      </w:r>
    </w:p>
    <w:p>
      <w:pPr>
        <w:spacing w:before="120" w:after="120"/>
      </w:pPr>
      <w:r>
        <w:rPr>
          <w:sz w:val="18"/>
        </w:rPr>
        <w:t>——————————————————————————————————————————————————————————————————————</w:t>
      </w:r>
    </w:p>
    <w:p>
      <w:pPr>
        <w:spacing w:before="160" w:after="40" w:line="240" w:lineRule="auto"/>
      </w:pPr>
      <w:r>
        <w:rPr>
          <w:b/>
        </w:rPr>
        <w:t xml:space="preserve">[14] </w:t>
      </w:r>
      <w:hyperlink r:id="rId397">
        <w:r>
          <w:rPr>
            <w:color w:val="1155CC"/>
            <w:u w:val="single"/>
          </w:rPr>
          <w:t>单原子锑掺杂促进晶格氮介导的电化学硝酸盐还原</w:t>
        </w:r>
      </w:hyperlink>
    </w:p>
    <w:p>
      <w:pPr>
        <w:spacing w:before="0" w:after="80"/>
      </w:pPr>
      <w:r>
        <w:rPr>
          <w:i/>
          <w:sz w:val="20"/>
        </w:rPr>
        <w:t>EN: Lattice-Nitrogen-Mediated Electrochemical Nitrate Reduction Boosted by Single-Atom Antimony Doping</w:t>
      </w:r>
    </w:p>
    <w:p>
      <w:pPr>
        <w:spacing w:before="0" w:after="120"/>
      </w:pPr>
      <w:r>
        <w:rPr>
          <w:b/>
        </w:rPr>
        <w:t xml:space="preserve">Source: </w:t>
      </w:r>
      <w:r>
        <w:t>Journal of the American Chemical Society: Latest Articles (ACS Publications)</w:t>
      </w:r>
      <w:r>
        <w:t xml:space="preserve">    </w:t>
      </w:r>
      <w:r>
        <w:rPr>
          <w:b/>
        </w:rPr>
        <w:t xml:space="preserve">Pub date: </w:t>
      </w:r>
      <w:r>
        <w:t>2026-08-22 00:00:00+00:00</w:t>
      </w:r>
      <w:r>
        <w:t xml:space="preserve">    </w:t>
      </w:r>
      <w:r>
        <w:rPr>
          <w:b/>
        </w:rPr>
        <w:t xml:space="preserve">DOI: </w:t>
      </w:r>
      <w:hyperlink r:id="rId398">
        <w:r>
          <w:rPr>
            <w:color w:val="1155CC"/>
            <w:u w:val="single"/>
          </w:rPr>
          <w:t>10.1021/jacs.6c12366</w:t>
        </w:r>
      </w:hyperlink>
    </w:p>
    <w:p>
      <w:pPr>
        <w:spacing w:before="0" w:after="120"/>
      </w:pPr>
      <w:r>
        <w:rPr>
          <w:b/>
        </w:rPr>
        <w:t xml:space="preserve">Notes: </w:t>
      </w:r>
      <w:r>
        <w:t>abstract_source=crossref</w:t>
      </w:r>
    </w:p>
    <w:p>
      <w:pPr>
        <w:spacing w:before="0" w:after="80" w:lineRule="auto" w:line="276"/>
      </w:pPr>
      <w:r>
        <w:rPr>
          <w:b/>
        </w:rPr>
        <w:t xml:space="preserve">摘要（ZH）: </w:t>
      </w:r>
      <w:r>
        <w:t>摘要 稳定的晶格氮介导的硝酸盐还原可以缓解氨合成本质上缓慢的动力学，但在反应条件下维持这一途径仍然具有挑战性。在这里，原位表征与理论计算相结合表明，Co-N固溶体（CoNx）中的晶格氮直接参与硝酸盐还原。然而，由阴极场和氧化硝酸盐吸附的耦合效应驱动的重建会导致结构崩溃和不可逆的晶格氮损失，从而中断晶格氮介导的途径。将 Sb 单原子 (SA) 引入 CoNx 基质中，通过具有明显共价特性的 Sb-Co 相互作用来稳定框架。这种稳定作用实现了再生晶格氮循环，其中晶格氮被氢化并以氨的形式释放，而产生的氮空位捕获硝酸盐以补充晶格氮并完成循环。此外，Sb SA 促进晶格氮活化，增强氮空位位点的硝酸盐捕获，从而优化反应动力学。结果，CoNx-Sb催化剂对氨的最大法拉第效率为97.00±2.58%，最大氨产率为85.18±2.37 mg h–1 cm–2，并在膜电极组件中稳定运行超过200 h。这些发现强调了结构稳定在维持晶格氮介导的硝酸盐还原中的重要性。</w:t>
      </w:r>
    </w:p>
    <w:p>
      <w:pPr>
        <w:spacing w:before="0" w:after="200" w:lineRule="auto" w:line="276"/>
      </w:pPr>
      <w:r>
        <w:rPr>
          <w:b/>
        </w:rPr>
        <w:t xml:space="preserve">Abstract (EN): </w:t>
      </w:r>
      <w:r>
        <w:t>Stable lattice-nitrogen-mediated nitrate reduction could alleviate the intrinsically sluggish kinetics of ammonia synthesis, but sustaining this pathway remains challenging under reaction conditions. Here, in situ characterizations combined with theoretical calculations reveal that lattice nitrogen in a Co–N solid solution (CoNx) is directly involved in nitrate reduction. However, reconstruction driven by the coupled effects of the cathodic field and oxidative nitrate adsorption causes structural collapse and irreversible lattice-nitrogen loss, thereby interrupting the lattice-nitrogen-mediated pathway. Introducing Sb single atoms (SAs) into the CoNx matrix stabilizes the framework through Sb–Co interactions with appreciable covalent character. This stabilization enables a regenerative lattice-nitrogen cycle in which lattice-nitrogen is hydrogenated and released as ammonia, while the resulting nitrogen vacancies capture nitrate to replenish lattice-nitrogen and complete the cycle. Moreover, Sb SAs promote lattice-nitrogen activation, strengthen nitrate capture at nitrogen-vacancy sites, and thereby optimize the reaction kinetics. As a result, the CoNx-Sb catalyst achieves a maximum Faradaic efficiency for ammonia of 97.00 ± 2.58%, a maximum ammonia yield rate of 85.18 ± 2.37 mg h–1 cm–2, and stable operation in a membrane electrode assembly for over 200 h. These findings highlight the importance of structural stabilization in sustaining lattice-nitrogen-mediated nitrate reduction.</w:t>
      </w:r>
    </w:p>
    <w:p>
      <w:pPr>
        <w:spacing w:before="120" w:after="120"/>
      </w:pPr>
      <w:r>
        <w:rPr>
          <w:sz w:val="18"/>
        </w:rPr>
        <w:t>——————————————————————————————————————————————————————————————————————</w:t>
      </w:r>
    </w:p>
    <w:p>
      <w:pPr>
        <w:spacing w:before="160" w:after="40" w:line="240" w:lineRule="auto"/>
      </w:pPr>
      <w:r>
        <w:rPr>
          <w:b/>
        </w:rPr>
        <w:t xml:space="preserve">[15] </w:t>
      </w:r>
      <w:hyperlink r:id="rId399">
        <w:r>
          <w:rPr>
            <w:color w:val="1155CC"/>
            <w:u w:val="single"/>
          </w:rPr>
          <w:t>镍基高熵氧化物助催化剂的旋转工程：同步优化光催化析氢的中间吸附和载流子分离</w:t>
        </w:r>
      </w:hyperlink>
    </w:p>
    <w:p>
      <w:pPr>
        <w:spacing w:before="0" w:after="80"/>
      </w:pPr>
      <w:r>
        <w:rPr>
          <w:i/>
          <w:sz w:val="20"/>
        </w:rPr>
        <w:t>EN: Spin Engineering of Ni‐Based High‐Entropy Oxide Cocatalyst: Synchronously Optimizing Intermediate Adsorption and Charge Carrier Separation for Photocatalytic Hydrogen Evolution</w:t>
      </w:r>
    </w:p>
    <w:p>
      <w:pPr>
        <w:spacing w:before="0" w:after="120"/>
      </w:pPr>
      <w:r>
        <w:rPr>
          <w:b/>
        </w:rPr>
        <w:t xml:space="preserve">Source: </w:t>
      </w:r>
      <w:r>
        <w:t>Wiley: Advanced Materials: Table of Contents</w:t>
      </w:r>
      <w:r>
        <w:t xml:space="preserve">    </w:t>
      </w:r>
      <w:r>
        <w:rPr>
          <w:b/>
        </w:rPr>
        <w:t xml:space="preserve">Pub date: </w:t>
      </w:r>
      <w:r>
        <w:t>2026-08-22 03:53:18+00:00</w:t>
      </w:r>
      <w:r>
        <w:t xml:space="preserve">    </w:t>
      </w:r>
      <w:r>
        <w:rPr>
          <w:b/>
        </w:rPr>
        <w:t xml:space="preserve">DOI: </w:t>
      </w:r>
      <w:hyperlink r:id="rId400">
        <w:r>
          <w:rPr>
            <w:color w:val="1155CC"/>
            <w:u w:val="single"/>
          </w:rPr>
          <w:t>10.1002/adma.74778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高熵材料（HEM）作为一种新兴的多组分系统，由于其连续可调的电子结构，在绿色太阳能转换方面表现出巨大的潜力。然而，HEM 中复杂的局部化学环境导致金属活性位点的中间吸附/解吸存在显着差异，并使光生电子转移变得复杂。在此，我们提出了一种将异质过渡金属 Zn 纳入高熵氧化物（HEO）晶格中的策略，以精确调节 Ni 的自旋态</w:t>
      </w:r>
      <w:r>
        <w:t xml:space="preserve"> </w:t>
      </w:r>
      <w:r>
        <w:t>2+</w:t>
      </w:r>
      <w:r>
        <w:t xml:space="preserve"> </w:t>
      </w:r>
      <w:r>
        <w:t>。由于Ni的自旋态转变</w:t>
      </w:r>
      <w:r>
        <w:t xml:space="preserve"> </w:t>
      </w:r>
      <w:r>
        <w:t>2+</w:t>
      </w:r>
      <w:r>
        <w:t xml:space="preserve"> </w:t>
      </w:r>
      <w:r>
        <w:t>不涉及来自 t 的电子转移</w:t>
      </w:r>
      <w:r>
        <w:t xml:space="preserve"> </w:t>
      </w:r>
      <w:r>
        <w:t>2克</w:t>
      </w:r>
      <w:r>
        <w:t xml:space="preserve"> </w:t>
      </w:r>
      <w:r>
        <w:t>到 e</w:t>
      </w:r>
      <w:r>
        <w:t xml:space="preserve"> </w:t>
      </w:r>
      <w:r>
        <w:t>克</w:t>
      </w:r>
      <w:r>
        <w:t xml:space="preserve"> </w:t>
      </w:r>
      <w:r>
        <w:t>轨道，但只涉及 e 内的电子重新分布</w:t>
      </w:r>
      <w:r>
        <w:t xml:space="preserve"> </w:t>
      </w:r>
      <w:r>
        <w:t>克</w:t>
      </w:r>
      <w:r>
        <w:t xml:space="preserve"> </w:t>
      </w:r>
      <w:r>
        <w:t>多方面，其电子结构对晶格畸变引起的晶体场强度变化特别敏感，从而能够选择性调节 Ni</w:t>
      </w:r>
      <w:r>
        <w:t xml:space="preserve"> </w:t>
      </w:r>
      <w:r>
        <w:t>2+</w:t>
      </w:r>
      <w:r>
        <w:t xml:space="preserve"> </w:t>
      </w:r>
      <w:r>
        <w:t>从低自旋到高自旋。场相关磁化强度测量和 X 射线吸收光谱证实，Zn 的掺入有效地调节了 Ni 的自旋态</w:t>
      </w:r>
      <w:r>
        <w:t xml:space="preserve"> </w:t>
      </w:r>
      <w:r>
        <w:t>2+</w:t>
      </w:r>
      <w:r>
        <w:t xml:space="preserve"> </w:t>
      </w:r>
      <w:r>
        <w:t>。密度泛函理论计算和飞秒瞬态吸收光谱表明高自旋镍</w:t>
      </w:r>
      <w:r>
        <w:t xml:space="preserve"> </w:t>
      </w:r>
      <w:r>
        <w:t>2+</w:t>
      </w:r>
      <w:r>
        <w:t xml:space="preserve"> </w:t>
      </w:r>
      <w:r>
        <w:t>表现出升档</w:t>
      </w:r>
    </w:p>
    <w:p>
      <w:pPr>
        <w:spacing w:before="0" w:after="200" w:lineRule="auto" w:line="276"/>
      </w:pPr>
      <w:r>
        <w:rPr>
          <w:b/>
        </w:rPr>
        <w:t xml:space="preserve">Abstract (EN): </w:t>
      </w:r>
      <w:r>
        <w:t>High‐entropy materials (HEMs), as an emerging multicomponent system, exhibit significant potential in green solar energy conversion owing to their continuously tunable electronic structures. Nevertheless, the complex local chemical environments in HEMs induce significant differences in intermediate adsorption/desorption at metal active sites and complicate photoexcited electron transfer. Herein, we propose a strategy of incorporating heterogeneous transition metal Zn into a high‐entropy oxide (HEO) lattice to precisely tune the spin state of Ni</w:t>
      </w:r>
      <w:r>
        <w:t xml:space="preserve"> </w:t>
      </w:r>
      <w:r>
        <w:t>2+</w:t>
      </w:r>
      <w:r>
        <w:t xml:space="preserve"> </w:t>
      </w:r>
      <w:r>
        <w:t>. Since the spin‐state transition of Ni</w:t>
      </w:r>
      <w:r>
        <w:t xml:space="preserve"> </w:t>
      </w:r>
      <w:r>
        <w:t>2+</w:t>
      </w:r>
      <w:r>
        <w:t xml:space="preserve"> </w:t>
      </w:r>
      <w:r>
        <w:t>does not involve electron transfer from t</w:t>
      </w:r>
      <w:r>
        <w:t xml:space="preserve"> </w:t>
      </w:r>
      <w:r>
        <w:t>2g</w:t>
      </w:r>
      <w:r>
        <w:t xml:space="preserve"> </w:t>
      </w:r>
      <w:r>
        <w:t>to e</w:t>
      </w:r>
      <w:r>
        <w:t xml:space="preserve"> </w:t>
      </w:r>
      <w:r>
        <w:t>g</w:t>
      </w:r>
      <w:r>
        <w:t xml:space="preserve"> </w:t>
      </w:r>
      <w:r>
        <w:t>orbitals, but rather only involves electron redistribution within e</w:t>
      </w:r>
      <w:r>
        <w:t xml:space="preserve"> </w:t>
      </w:r>
      <w:r>
        <w:t>g</w:t>
      </w:r>
      <w:r>
        <w:t xml:space="preserve"> </w:t>
      </w:r>
      <w:r>
        <w:t>manifold, its electronic structure is particularly sensitive to lattice distortion‐induced variations in crystal‐field strength, thereby enabling selective regulation of Ni</w:t>
      </w:r>
      <w:r>
        <w:t xml:space="preserve"> </w:t>
      </w:r>
      <w:r>
        <w:t>2+</w:t>
      </w:r>
      <w:r>
        <w:t xml:space="preserve"> </w:t>
      </w:r>
      <w:r>
        <w:t>from low‐spin to high‐spin. Field‐dependent magnetization measurements and x‐ray absorption spectroscopy confirm that Zn incorporation effectively modulates the spin state of Ni</w:t>
      </w:r>
      <w:r>
        <w:t xml:space="preserve"> </w:t>
      </w:r>
      <w:r>
        <w:t>2+</w:t>
      </w:r>
      <w:r>
        <w:t xml:space="preserve"> </w:t>
      </w:r>
      <w:r>
        <w:t>. Density functional theory calculations and femtosecond transient absorption spectroscopy reveal that high‐spin Ni</w:t>
      </w:r>
      <w:r>
        <w:t xml:space="preserve"> </w:t>
      </w:r>
      <w:r>
        <w:t>2+</w:t>
      </w:r>
      <w:r>
        <w:t xml:space="preserve"> </w:t>
      </w:r>
      <w:r>
        <w:t>exhibits an upshifted</w:t>
      </w:r>
      <w:r>
        <w:t xml:space="preserve"> </w:t>
      </w:r>
      <w:r>
        <w:t>d</w:t>
      </w:r>
      <w:r>
        <w:t xml:space="preserve"> </w:t>
      </w:r>
      <w:r>
        <w:t>‐band center and pronounced spin polarization, which synergistically optimize both *H adsorption and photogenerated charge carrier separation efficiency. Consequently, 0.75%FeCoNi</w:t>
      </w:r>
      <w:r>
        <w:t xml:space="preserve"> </w:t>
      </w:r>
      <w:r>
        <w:t>0.3</w:t>
      </w:r>
      <w:r>
        <w:t xml:space="preserve"> </w:t>
      </w:r>
      <w:r>
        <w:t>MnZn–HEO/Cd</w:t>
      </w:r>
      <w:r>
        <w:rPr>
          <w:vertAlign w:val="subscript"/>
        </w:rPr>
        <w:t>3</w:t>
      </w:r>
      <w:r>
        <w:t>(C</w:t>
      </w:r>
      <w:r>
        <w:rPr>
          <w:vertAlign w:val="subscript"/>
        </w:rPr>
        <w:t>3</w:t>
      </w:r>
      <w:r>
        <w:t>N</w:t>
      </w:r>
      <w:r>
        <w:rPr>
          <w:vertAlign w:val="subscript"/>
        </w:rPr>
        <w:t>3</w:t>
      </w:r>
      <w:r>
        <w:t>S</w:t>
      </w:r>
      <w:r>
        <w:rPr>
          <w:vertAlign w:val="subscript"/>
        </w:rPr>
        <w:t>3</w:t>
      </w:r>
      <w:r>
        <w:t>)</w:t>
      </w:r>
      <w:r>
        <w:rPr>
          <w:vertAlign w:val="subscript"/>
        </w:rPr>
        <w:t>2</w:t>
      </w:r>
      <w:r>
        <w:t>(0.75%Ni</w:t>
      </w:r>
      <w:r>
        <w:t xml:space="preserve"> </w:t>
      </w:r>
      <w:r>
        <w:t>0.3</w:t>
      </w:r>
      <w:r>
        <w:t xml:space="preserve"> </w:t>
      </w:r>
      <w:r>
        <w:t>Zn–HEO/CdTMT) exhibits a prominent PHE rate of 47.53 mmol g</w:t>
      </w:r>
      <w:r>
        <w:t xml:space="preserve"> </w:t>
      </w:r>
      <w:r>
        <w:t>−1</w:t>
      </w:r>
      <w:r>
        <w:t xml:space="preserve"> </w:t>
      </w:r>
      <w:r>
        <w:t>h</w:t>
      </w:r>
      <w:r>
        <w:t xml:space="preserve"> </w:t>
      </w:r>
      <w:r>
        <w:t>−1</w:t>
      </w:r>
      <w:r>
        <w:t xml:space="preserve"> </w:t>
      </w:r>
      <w:r>
        <w:t>. This work opens new paradigms for the rational design of spin‐directed multi‐component HEMs.</w:t>
      </w:r>
    </w:p>
    <w:p>
      <w:pPr>
        <w:spacing w:before="120" w:after="120"/>
      </w:pPr>
      <w:r>
        <w:rPr>
          <w:sz w:val="18"/>
        </w:rPr>
        <w:t>——————————————————————————————————————————————————————————————————————</w:t>
      </w:r>
    </w:p>
    <w:p>
      <w:pPr>
        <w:spacing w:before="160" w:after="40" w:line="240" w:lineRule="auto"/>
      </w:pPr>
      <w:r>
        <w:rPr>
          <w:b/>
        </w:rPr>
        <w:t xml:space="preserve">[16] </w:t>
      </w:r>
      <w:hyperlink r:id="rId401">
        <w:r>
          <w:rPr>
            <w:color w:val="1155CC"/>
            <w:u w:val="single"/>
          </w:rPr>
          <w:t>通过活性氢捕获和溢出位点的空间分离实现高选择性电催化氨合成</w:t>
        </w:r>
      </w:hyperlink>
    </w:p>
    <w:p>
      <w:pPr>
        <w:spacing w:before="0" w:after="80"/>
      </w:pPr>
      <w:r>
        <w:rPr>
          <w:i/>
          <w:sz w:val="20"/>
        </w:rPr>
        <w:t>EN: Highly Selective Electrocatalytic Ammonia Synthesis Enabled by Spatial Separation of Active Hydrogen Capture and Spillover Sites</w:t>
      </w:r>
    </w:p>
    <w:p>
      <w:pPr>
        <w:spacing w:before="0" w:after="120"/>
      </w:pPr>
      <w:r>
        <w:rPr>
          <w:b/>
        </w:rPr>
        <w:t xml:space="preserve">Source: </w:t>
      </w:r>
      <w:r>
        <w:t>Wiley: Angewandte Chemie International Edition: Table of Contents</w:t>
      </w:r>
      <w:r>
        <w:t xml:space="preserve">    </w:t>
      </w:r>
      <w:r>
        <w:rPr>
          <w:b/>
        </w:rPr>
        <w:t xml:space="preserve">Pub date: </w:t>
      </w:r>
      <w:r>
        <w:t>2026-08-22 09:17:22+00:00</w:t>
      </w:r>
      <w:r>
        <w:t xml:space="preserve">    </w:t>
      </w:r>
      <w:r>
        <w:rPr>
          <w:b/>
        </w:rPr>
        <w:t xml:space="preserve">DOI: </w:t>
      </w:r>
      <w:hyperlink r:id="rId402">
        <w:r>
          <w:rPr>
            <w:color w:val="1155CC"/>
            <w:u w:val="single"/>
          </w:rPr>
          <w:t>10.1002/anie.5589616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电化学硝酸盐还原（eNO</w:t>
      </w:r>
      <w:r>
        <w:rPr>
          <w:vertAlign w:val="subscript"/>
        </w:rPr>
        <w:t>3</w:t>
      </w:r>
      <w:r>
        <w:t>RR）实现可持续氨（NH</w:t>
      </w:r>
      <w:r>
        <w:rPr>
          <w:vertAlign w:val="subscript"/>
        </w:rPr>
        <w:t>3</w:t>
      </w:r>
      <w:r>
        <w:t>) 合成和硝酸盐 (NO</w:t>
      </w:r>
      <w:r>
        <w:rPr>
          <w:vertAlign w:val="subscript"/>
        </w:rPr>
        <w:t>3</w:t>
      </w:r>
      <w:r>
        <w:t>-</w:t>
      </w:r>
      <w:r>
        <w:t>）修复，但受到缓慢的多步质子电子转移和低效的中间转化的限制。为了应对这些挑战，我们战略性地管理活性氢（H</w:t>
      </w:r>
      <w:r>
        <w:t xml:space="preserve"> </w:t>
      </w:r>
      <w:r>
        <w:t>*</w:t>
      </w:r>
      <w:r>
        <w:t xml:space="preserve"> </w:t>
      </w:r>
      <w:r>
        <w:t>）通过将金属 Cu 与原子分散的 Zn−N 结合</w:t>
      </w:r>
      <w:r>
        <w:rPr>
          <w:vertAlign w:val="subscript"/>
        </w:rPr>
        <w:t>4</w:t>
      </w:r>
      <w:r>
        <w:t>位点，从而选择性地增加 NH</w:t>
      </w:r>
      <w:r>
        <w:rPr>
          <w:vertAlign w:val="subscript"/>
        </w:rPr>
        <w:t>3</w:t>
      </w:r>
      <w:r>
        <w:t>生产。原位X射线吸收光谱、原位红外、原位拉曼，并结合理论计算，系统地证明了Zn−N</w:t>
      </w:r>
      <w:r>
        <w:rPr>
          <w:vertAlign w:val="subscript"/>
        </w:rPr>
        <w:t>4</w:t>
      </w:r>
      <w:r>
        <w:t>位点促进水分解以产生和捕获 H</w:t>
      </w:r>
      <w:r>
        <w:t xml:space="preserve"> </w:t>
      </w:r>
      <w:r>
        <w:t>*</w:t>
      </w:r>
      <w:r>
        <w:t xml:space="preserve"> </w:t>
      </w:r>
      <w:r>
        <w:t>种。这些H</w:t>
      </w:r>
      <w:r>
        <w:t xml:space="preserve"> </w:t>
      </w:r>
      <w:r>
        <w:t>*</w:t>
      </w:r>
      <w:r>
        <w:t xml:space="preserve"> </w:t>
      </w:r>
      <w:r>
        <w:t>物种随后溢出到邻近的金属铜，这在 NO 中起着至关重要的作用</w:t>
      </w:r>
      <w:r>
        <w:rPr>
          <w:vertAlign w:val="subscript"/>
        </w:rPr>
        <w:t>3</w:t>
      </w:r>
      <w:r>
        <w:t>-</w:t>
      </w:r>
      <w:r>
        <w:t>吸附和活化。 H 之间的空间分离效应</w:t>
      </w:r>
      <w:r>
        <w:t xml:space="preserve"> </w:t>
      </w:r>
      <w:r>
        <w:t>*</w:t>
      </w:r>
      <w:r>
        <w:t xml:space="preserve"> </w:t>
      </w:r>
      <w:r>
        <w:t>捕获和利用站点确保持续的 H</w:t>
      </w:r>
      <w:r>
        <w:t xml:space="preserve"> </w:t>
      </w:r>
      <w:r>
        <w:t>*</w:t>
      </w:r>
      <w:r>
        <w:t xml:space="preserve"> </w:t>
      </w:r>
      <w:r>
        <w:t>产生和供应，从而增强 N─H 键耦合以获得高效的 NH</w:t>
      </w:r>
      <w:r>
        <w:rPr>
          <w:vertAlign w:val="subscript"/>
        </w:rPr>
        <w:t>3</w:t>
      </w:r>
      <w:r>
        <w:t>合成</w:t>
      </w:r>
    </w:p>
    <w:p>
      <w:pPr>
        <w:spacing w:before="0" w:after="200" w:lineRule="auto" w:line="276"/>
      </w:pPr>
      <w:r>
        <w:rPr>
          <w:b/>
        </w:rPr>
        <w:t xml:space="preserve">Abstract (EN): </w:t>
      </w:r>
      <w:r>
        <w:t>Electrochemical nitrate reduction (eNO</w:t>
      </w:r>
      <w:r>
        <w:rPr>
          <w:vertAlign w:val="subscript"/>
        </w:rPr>
        <w:t>3</w:t>
      </w:r>
      <w:r>
        <w:t>RR) enables sustainable ammonia (NH</w:t>
      </w:r>
      <w:r>
        <w:rPr>
          <w:vertAlign w:val="subscript"/>
        </w:rPr>
        <w:t>3</w:t>
      </w:r>
      <w:r>
        <w:t>) synthesis and nitrate (NO</w:t>
      </w:r>
      <w:r>
        <w:rPr>
          <w:vertAlign w:val="subscript"/>
        </w:rPr>
        <w:t>3</w:t>
      </w:r>
      <w:r>
        <w:t>−</w:t>
      </w:r>
      <w:r>
        <w:t>) remediation but is limited by sluggish multi‐step proton−electron transfers and inefficient intermediate conversion. To address these challenges, we strategically manage the generation and utilization of active hydrogen (H</w:t>
      </w:r>
      <w:r>
        <w:t xml:space="preserve"> </w:t>
      </w:r>
      <w:r>
        <w:t>*</w:t>
      </w:r>
      <w:r>
        <w:t xml:space="preserve"> </w:t>
      </w:r>
      <w:r>
        <w:t>) by integrating metallic Cu with atomically dispersed Zn−N</w:t>
      </w:r>
      <w:r>
        <w:rPr>
          <w:vertAlign w:val="subscript"/>
        </w:rPr>
        <w:t>4</w:t>
      </w:r>
      <w:r>
        <w:t>sites, thereby selectively increasing NH</w:t>
      </w:r>
      <w:r>
        <w:rPr>
          <w:vertAlign w:val="subscript"/>
        </w:rPr>
        <w:t>3</w:t>
      </w:r>
      <w:r>
        <w:t>production. In situ x‐ray absorption spectroscopy, in situ infrared, in situ Raman, and combined with theoretical calculations, systematically demonstrate that Zn−N</w:t>
      </w:r>
      <w:r>
        <w:rPr>
          <w:vertAlign w:val="subscript"/>
        </w:rPr>
        <w:t>4</w:t>
      </w:r>
      <w:r>
        <w:t>sites facilitate water dissociation to generate and capture H</w:t>
      </w:r>
      <w:r>
        <w:t xml:space="preserve"> </w:t>
      </w:r>
      <w:r>
        <w:t>*</w:t>
      </w:r>
      <w:r>
        <w:t xml:space="preserve"> </w:t>
      </w:r>
      <w:r>
        <w:t>species. These H</w:t>
      </w:r>
      <w:r>
        <w:t xml:space="preserve"> </w:t>
      </w:r>
      <w:r>
        <w:t>*</w:t>
      </w:r>
      <w:r>
        <w:t xml:space="preserve"> </w:t>
      </w:r>
      <w:r>
        <w:t>species subsequently spill over to neighboring metallic Cu, which play a crucial role in NO</w:t>
      </w:r>
      <w:r>
        <w:rPr>
          <w:vertAlign w:val="subscript"/>
        </w:rPr>
        <w:t>3</w:t>
      </w:r>
      <w:r>
        <w:t>−</w:t>
      </w:r>
      <w:r>
        <w:t>adsorption and activation. The spatial separation effect between H</w:t>
      </w:r>
      <w:r>
        <w:t xml:space="preserve"> </w:t>
      </w:r>
      <w:r>
        <w:t>*</w:t>
      </w:r>
      <w:r>
        <w:t xml:space="preserve"> </w:t>
      </w:r>
      <w:r>
        <w:t>capture and utilization sites ensures continuous H</w:t>
      </w:r>
      <w:r>
        <w:t xml:space="preserve"> </w:t>
      </w:r>
      <w:r>
        <w:t>*</w:t>
      </w:r>
      <w:r>
        <w:t xml:space="preserve"> </w:t>
      </w:r>
      <w:r>
        <w:t>generation and supply, thus enhancing N─H bond coupling for efficient NH</w:t>
      </w:r>
      <w:r>
        <w:rPr>
          <w:vertAlign w:val="subscript"/>
        </w:rPr>
        <w:t>3</w:t>
      </w:r>
      <w:r>
        <w:t>synthesis. As a result, the catalyst achieves a maximum NH</w:t>
      </w:r>
      <w:r>
        <w:rPr>
          <w:vertAlign w:val="subscript"/>
        </w:rPr>
        <w:t>3</w:t>
      </w:r>
      <w:r>
        <w:t>yield rate of 21.96 mg h</w:t>
      </w:r>
      <w:r>
        <w:t xml:space="preserve"> </w:t>
      </w:r>
      <w:r>
        <w:t>−1</w:t>
      </w:r>
      <w:r>
        <w:t xml:space="preserve"> </w:t>
      </w:r>
      <w:r>
        <w:t>cm</w:t>
      </w:r>
      <w:r>
        <w:t xml:space="preserve"> </w:t>
      </w:r>
      <w:r>
        <w:t>−2</w:t>
      </w:r>
      <w:r>
        <w:t xml:space="preserve"> </w:t>
      </w:r>
      <w:r>
        <w:t>and a highest Faradaic efficiency (FE) of 97.07% in 0.1 M KNO</w:t>
      </w:r>
      <w:r>
        <w:rPr>
          <w:vertAlign w:val="subscript"/>
        </w:rPr>
        <w:t>3</w:t>
      </w:r>
      <w:r>
        <w:t>under alkaline media. The constructed Zn‐NO</w:t>
      </w:r>
      <w:r>
        <w:rPr>
          <w:vertAlign w:val="subscript"/>
        </w:rPr>
        <w:t>3</w:t>
      </w:r>
      <w:r>
        <w:t>−</w:t>
      </w:r>
      <w:r>
        <w:t>battery can deliver an impressive power density of 14.59 mW cm</w:t>
      </w:r>
      <w:r>
        <w:t xml:space="preserve"> </w:t>
      </w:r>
      <w:r>
        <w:t>−2</w:t>
      </w:r>
      <w:r>
        <w:t xml:space="preserve"> </w:t>
      </w:r>
      <w:r>
        <w:t>, a NH</w:t>
      </w:r>
      <w:r>
        <w:rPr>
          <w:vertAlign w:val="subscript"/>
        </w:rPr>
        <w:t>3</w:t>
      </w:r>
      <w:r>
        <w:t>yield rate of 4.26 mg h</w:t>
      </w:r>
      <w:r>
        <w:t xml:space="preserve"> </w:t>
      </w:r>
      <w:r>
        <w:t>−1</w:t>
      </w:r>
      <w:r>
        <w:t xml:space="preserve"> </w:t>
      </w:r>
      <w:r>
        <w:t>cm</w:t>
      </w:r>
      <w:r>
        <w:t xml:space="preserve"> </w:t>
      </w:r>
      <w:r>
        <w:t>−2</w:t>
      </w:r>
      <w:r>
        <w:t xml:space="preserve"> </w:t>
      </w:r>
      <w:r>
        <w:t>, and a FE of 93.65%, while consistently operating for over 100 h.</w:t>
      </w:r>
    </w:p>
    <w:p>
      <w:pPr>
        <w:spacing w:before="120" w:after="120"/>
      </w:pPr>
      <w:r>
        <w:rPr>
          <w:sz w:val="18"/>
        </w:rPr>
        <w:t>——————————————————————————————————————————————————————————————————————</w:t>
      </w:r>
    </w:p>
    <w:p>
      <w:pPr>
        <w:spacing w:before="160" w:after="40" w:line="240" w:lineRule="auto"/>
      </w:pPr>
      <w:r>
        <w:rPr>
          <w:b/>
        </w:rPr>
        <w:t xml:space="preserve">[17] </w:t>
      </w:r>
      <w:hyperlink r:id="rId403">
        <w:r>
          <w:rPr>
            <w:color w:val="1155CC"/>
            <w:u w:val="single"/>
          </w:rPr>
          <w:t>用于增强水电解的具有催化剂涂层膜的混合无离聚物多孔传输电极</w:t>
        </w:r>
      </w:hyperlink>
    </w:p>
    <w:p>
      <w:pPr>
        <w:spacing w:before="0" w:after="80"/>
      </w:pPr>
      <w:r>
        <w:rPr>
          <w:i/>
          <w:sz w:val="20"/>
        </w:rPr>
        <w:t>EN: Hybrid Ionomer‐Free Porous Transport Electrodes With Catalyst Coated Membranes for Enhanced Water Electrolysis</w:t>
      </w:r>
    </w:p>
    <w:p>
      <w:pPr>
        <w:spacing w:before="0" w:after="120"/>
      </w:pPr>
      <w:r>
        <w:rPr>
          <w:b/>
        </w:rPr>
        <w:t xml:space="preserve">Source: </w:t>
      </w:r>
      <w:r>
        <w:t>Wiley: Advanced Energy Materials: Table of Contents</w:t>
      </w:r>
      <w:r>
        <w:t xml:space="preserve">    </w:t>
      </w:r>
      <w:r>
        <w:rPr>
          <w:b/>
        </w:rPr>
        <w:t xml:space="preserve">Pub date: </w:t>
      </w:r>
      <w:r>
        <w:t>2026-08-22 09:46:12+00:00</w:t>
      </w:r>
      <w:r>
        <w:t xml:space="preserve">    </w:t>
      </w:r>
      <w:r>
        <w:rPr>
          <w:b/>
        </w:rPr>
        <w:t xml:space="preserve">DOI: </w:t>
      </w:r>
      <w:hyperlink r:id="rId404">
        <w:r>
          <w:rPr>
            <w:color w:val="1155CC"/>
            <w:u w:val="single"/>
          </w:rPr>
          <w:t>10.1002/aenm.71479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为了促进聚合物电解质膜（PEM）水电解槽等清洁制氢技术的工业应用，需要改进催化剂层（CL）形态。我们展示了在 PEM 水电解槽中使用无离聚物多孔传输电极 (PTE) 与传统催化剂涂层膜 (CCM) 组件结合时如何提高电化学性能。值得注意的是，我们揭示了使用混合 PTE 和 CCM 组件时实现的卓越性能是由于与多孔传输层 (PTL) 和 PEM 界面的最佳接触所导致的欧姆性能增强。使用原位中子射线照相术，我们证明利用 CCM 的配置可以更快地向反应位点补充水，这表明膜水合作用的增强有利于性能。这种增强的膜水合作用以及 PEM 催化剂层 (CL) 和 PTL-CL 界面接触面积的改善是通过混合 PTE-CCM 设计降低欧姆过电势来揭示的，该设计在 2000 mA cm 时实现了 431 mV 的最低欧姆过电势</w:t>
      </w:r>
      <w:r>
        <w:t xml:space="preserve"> </w:t>
      </w:r>
      <w:r>
        <w:t>−2</w:t>
      </w:r>
      <w:r>
        <w:t xml:space="preserve"> </w:t>
      </w:r>
      <w:r>
        <w:t>。虽然电池配置之间的平均平面内水分布通常相似，但我们发现，由于催化剂利用率提高，利用 PTE 配置可以促进 CL 膜界面附近更均匀的水分布。</w:t>
      </w:r>
    </w:p>
    <w:p>
      <w:pPr>
        <w:spacing w:before="0" w:after="200" w:lineRule="auto" w:line="276"/>
      </w:pPr>
      <w:r>
        <w:rPr>
          <w:b/>
        </w:rPr>
        <w:t xml:space="preserve">Abstract (EN): </w:t>
      </w:r>
      <w:r>
        <w:t>To promote industrial uptake of clean hydrogen production technologies such as polymer electrolyte membrane (PEM) water electrolyzers, advancements in catalyst layer (CL) morphology are required. We demonstrate how improved electrochemical performance can be achieved when using an ionomer free porous transport electrode (PTE) coupled with a traditional catalyst coated membrane (CCM) assembly in PEM water electrolyzers. Notably, we reveal that the superior performance achieved when utilizing a hybrid PTE and CCM assembly is due to enhanced ohmic performance caused by optimal contact with both the porous transport layer (PTL) and PEM interfaces. Using operando neutron radiography, we demonstrate that configurations utilizing a CCM resulted in more rapid water replenishment to reaction sites, indicating enhanced membrane hydration beneficial for performance. This enhanced membrane hydration coupled with improved contact area at the PEM‐catalyst layer (CL) and PTL‐CL interfaces was revealed through the reduced ohmic overpotentials of the hybrid PTE‐CCM design, which achieved the lowest ohmic overpotential of 431 mV at 2000 mA cm</w:t>
      </w:r>
      <w:r>
        <w:t xml:space="preserve"> </w:t>
      </w:r>
      <w:r>
        <w:t>−2</w:t>
      </w:r>
      <w:r>
        <w:t xml:space="preserve"> </w:t>
      </w:r>
      <w:r>
        <w:t>. While the average in‐plane water distributions are generally similar between cell configurations, we reveal that utilizing a PTE configuration promotes a more homogenous water distribution near the CL‐membrane interface due to enhanced catalyst utilization.</w:t>
      </w:r>
    </w:p>
    <w:p>
      <w:pPr>
        <w:spacing w:before="120" w:after="120"/>
      </w:pPr>
      <w:r>
        <w:rPr>
          <w:sz w:val="18"/>
        </w:rPr>
        <w:t>——————————————————————————————————————————————————————————————————————</w:t>
      </w:r>
    </w:p>
    <w:p>
      <w:pPr>
        <w:spacing w:before="160" w:after="40" w:line="240" w:lineRule="auto"/>
      </w:pPr>
      <w:r>
        <w:rPr>
          <w:b/>
        </w:rPr>
        <w:t xml:space="preserve">[18] </w:t>
      </w:r>
      <w:hyperlink r:id="rId227">
        <w:r>
          <w:rPr>
            <w:color w:val="1155CC"/>
            <w:u w:val="single"/>
          </w:rPr>
          <w:t>从上到下：通过 3D 扩散生成模型实现能源设备电极的制造过程上下文感知解析</w:t>
        </w:r>
      </w:hyperlink>
    </w:p>
    <w:p>
      <w:pPr>
        <w:spacing w:before="0" w:after="80"/>
      </w:pPr>
      <w:r>
        <w:rPr>
          <w:i/>
          <w:sz w:val="20"/>
        </w:rPr>
        <w:t>EN: From Top to Bottom: Manufacturing Process‐Context Aware Resolution of Energy Device Electrodes Through a 3D Diffusion Generative Model</w:t>
      </w:r>
    </w:p>
    <w:p>
      <w:pPr>
        <w:spacing w:before="0" w:after="120"/>
      </w:pPr>
      <w:r>
        <w:rPr>
          <w:b/>
        </w:rPr>
        <w:t xml:space="preserve">Source: </w:t>
      </w:r>
      <w:r>
        <w:t>Wiley: Advanced Energy Materials: Table of Contents</w:t>
      </w:r>
      <w:r>
        <w:t xml:space="preserve">    </w:t>
      </w:r>
      <w:r>
        <w:rPr>
          <w:b/>
        </w:rPr>
        <w:t xml:space="preserve">Pub date: </w:t>
      </w:r>
      <w:r>
        <w:t>2026-08-22 09:48:38+00:00</w:t>
      </w:r>
      <w:r>
        <w:t xml:space="preserve">    </w:t>
      </w:r>
      <w:r>
        <w:rPr>
          <w:b/>
        </w:rPr>
        <w:t xml:space="preserve">DOI: </w:t>
      </w:r>
      <w:hyperlink r:id="rId228">
        <w:r>
          <w:rPr>
            <w:color w:val="1155CC"/>
            <w:u w:val="single"/>
          </w:rPr>
          <w:t>10.1002/aenm.71418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能量存储和转换装置的优化通常取决于电极微观结构特性，其3D表示提供了制造工艺和装置性能之间最完整的联系。深度生成模型可以解决传统微观结构解析方法的实验吞吐量慢和计算成本高的问题，但大多数文献都集中在生成对抗网络上，容易出现模式崩溃问题。这项工作应用生成扩散模型来合成锂离子电池和质子交换膜燃料电池电极的 3D 解析多相微观结构，这些结构源自实验成像和计算机模拟。生成的体积根据基于微观结构描述符的训练数据进行验证，包括体积分数、比表面积和弯曲系数。此外，用于生成模型训练的标准立方子体积增强策略无法捕获厚且经过大量加工的微结构（例如压延电极）中的深度相关特征。提出了一种深度感知增强管道，将完整的电极厚度纳入训练样本中，从而提高生成的电极的全厚度弯曲因子精度。此外，对生成的微观结构进行 3D 解析多物理场仿真可以高精度地再现其训练对应物的性能行为。这些结果建立了一个基于扩散模型的框架，作为产生商业相关的可行手段</w:t>
      </w:r>
    </w:p>
    <w:p>
      <w:pPr>
        <w:spacing w:before="0" w:after="200" w:lineRule="auto" w:line="276"/>
      </w:pPr>
      <w:r>
        <w:rPr>
          <w:b/>
        </w:rPr>
        <w:t xml:space="preserve">Abstract (EN): </w:t>
      </w:r>
      <w:r>
        <w:t>Optimization of electrochemical energy storage and conversion devices often depends on the electrode microstructure properties, of which its 3D representation provides the most complete link between manufacturing process and device performance. Deep generative models can address slow experimental throughput and high computational costs of traditional microstructure resolution methods, yet most literature focuses on Generative Adversarial Networks, prone to mode collapse issues. This work applies a generative diffusion model to synthesize 3D‐resolved multiphase microstructures of lithium ion battery and proton exchange membrane fuel cell electrodes, sourced from experimental imaging and computer‐based simulations. Generated volumes are validated against training data based on microstructural descriptors, including volume fraction, specific surface area, and tortuosity factor. Moreover, the standard cubic sub‐volume augmentation strategy used forgenerative model training fails to capture depth‐dependent features in thick and heavily processed microstructures, such as calendered electrodes. A depth‐aware augmentation pipeline is proposed to incorporate full electrode thickness into training samples, improving through‐thickness tortuosity factor accuracy in the generated electrodes. Furthermore, 3D‐resolved multiphysics simulation on the generated microstructures reproduce the performance behavior of their training counterparts with high accuracy. These results establish a diffusion model‐based framework as a viable means to generate commercially relevant electrode data, intended for computational optimization and design of next‐generation energy devices.</w:t>
      </w:r>
    </w:p>
    <w:p>
      <w:pPr>
        <w:spacing w:before="120" w:after="120"/>
      </w:pPr>
      <w:r>
        <w:rPr>
          <w:sz w:val="18"/>
        </w:rPr>
        <w:t>——————————————————————————————————————————————————————————————————————</w:t>
      </w:r>
    </w:p>
    <w:p>
      <w:pPr>
        <w:spacing w:before="160" w:after="40" w:line="240" w:lineRule="auto"/>
      </w:pPr>
      <w:r>
        <w:rPr>
          <w:b/>
        </w:rPr>
        <w:t xml:space="preserve">[19] </w:t>
      </w:r>
      <w:hyperlink r:id="rId405">
        <w:r>
          <w:rPr>
            <w:color w:val="1155CC"/>
            <w:u w:val="single"/>
          </w:rPr>
          <w:t>Pt介导的Cu/CuO异质结构上羟基和氮杂环物质的共吸附增强偶氮三唑电合成和双电极产氢</w:t>
        </w:r>
      </w:hyperlink>
    </w:p>
    <w:p>
      <w:pPr>
        <w:spacing w:before="0" w:after="80"/>
      </w:pPr>
      <w:r>
        <w:rPr>
          <w:i/>
          <w:sz w:val="20"/>
        </w:rPr>
        <w:t>EN: Pt‐Mediated Co‐Adsorption of Hydroxyl and Nitrogen‐Heterocyclic Species Over Cu/CuO Heterostructure Enhances Coupled Azotriazole Electrosynthesis and Dual‐Electrode Hydrogen Production</w:t>
      </w:r>
    </w:p>
    <w:p>
      <w:pPr>
        <w:spacing w:before="0" w:after="120"/>
      </w:pPr>
      <w:r>
        <w:rPr>
          <w:b/>
        </w:rPr>
        <w:t xml:space="preserve">Source: </w:t>
      </w:r>
      <w:r>
        <w:t>Wiley: Angewandte Chemie International Edition: Table of Contents</w:t>
      </w:r>
      <w:r>
        <w:t xml:space="preserve">    </w:t>
      </w:r>
      <w:r>
        <w:rPr>
          <w:b/>
        </w:rPr>
        <w:t xml:space="preserve">Pub date: </w:t>
      </w:r>
      <w:r>
        <w:t>2026-08-23 18:03:04+00:00</w:t>
      </w:r>
      <w:r>
        <w:t xml:space="preserve">    </w:t>
      </w:r>
      <w:r>
        <w:rPr>
          <w:b/>
        </w:rPr>
        <w:t xml:space="preserve">DOI: </w:t>
      </w:r>
      <w:hyperlink r:id="rId406">
        <w:r>
          <w:rPr>
            <w:color w:val="1155CC"/>
            <w:u w:val="single"/>
          </w:rPr>
          <w:t>10.1002/anie.3766558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电催化N─N氧化偶联（OC）提供了一种生产增值偶氮材料的环保方法，但其动力学缓慢且法拉第效率（FE）有限。关键的根本问题是羟基和羟基的不利竞争吸附</w:t>
      </w:r>
      <w:r>
        <w:t xml:space="preserve"> </w:t>
      </w:r>
      <w:r>
        <w:t>氮</w:t>
      </w:r>
      <w:r>
        <w:t xml:space="preserve"> </w:t>
      </w:r>
      <w:r>
        <w:t>‐杂环物种。在这里，设计了一种固定 Pt 的 Cu/CuO 异质结构，以产生能量有利的 N─N OC</w:t>
      </w:r>
      <w:r>
        <w:t xml:space="preserve"> </w:t>
      </w:r>
      <w:r>
        <w:t>氮</w:t>
      </w:r>
      <w:r>
        <w:t xml:space="preserve"> </w:t>
      </w:r>
      <w:r>
        <w:t>‐杂环二氨基三唑（DATOC）。</w:t>
      </w:r>
      <w:r>
        <w:t xml:space="preserve"> </w:t>
      </w:r>
      <w:r>
        <w:t>操作</w:t>
      </w:r>
      <w:r>
        <w:t xml:space="preserve"> </w:t>
      </w:r>
      <w:r>
        <w:t>光谱和理论计算表明，Cu/CuO 中 Pt 纳米团簇 (NC) 的固定介导了两种物质的吸附能力</w:t>
      </w:r>
      <w:r>
        <w:t xml:space="preserve"> </w:t>
      </w:r>
      <w:r>
        <w:t>氮</w:t>
      </w:r>
      <w:r>
        <w:t xml:space="preserve"> </w:t>
      </w:r>
      <w:r>
        <w:t>‐杂环底物/中间体和 OH</w:t>
      </w:r>
      <w:r>
        <w:t xml:space="preserve"> </w:t>
      </w:r>
      <w:r>
        <w:t>-</w:t>
      </w:r>
      <w:r>
        <w:t>Cu/CuO 的 Cu 位点上的物种，协同促进 DATOC 动力学。而N─N中间体通过金属-N配位有效吸附在Pt─Cu位点上。因此，Pt@Cu/CuO催化剂仅需要0.832和0.904 V</w:t>
      </w:r>
      <w:r>
        <w:t xml:space="preserve"> </w:t>
      </w:r>
      <w:r>
        <w:t>右心室</w:t>
      </w:r>
      <w:r>
        <w:t xml:space="preserve"> </w:t>
      </w:r>
      <w:r>
        <w:t>达到 10 和 100 mA cm</w:t>
      </w:r>
      <w:r>
        <w:t xml:space="preserve"> </w:t>
      </w:r>
      <w:r>
        <w:t>−2</w:t>
      </w:r>
      <w:r>
        <w:t xml:space="preserve"> </w:t>
      </w:r>
      <w:r>
        <w:t>，分别具有 95% 的高 FE。由于 DATOC 电势较低，氨基三唑的 N─H 裂解中吸附的氢原子会发生违反直觉的自偶联到 H</w:t>
      </w:r>
      <w:r>
        <w:rPr>
          <w:vertAlign w:val="subscript"/>
        </w:rPr>
        <w:t>2</w:t>
      </w:r>
      <w:r>
        <w:t>。因此，双电极 H</w:t>
      </w:r>
      <w:r>
        <w:rPr>
          <w:vertAlign w:val="subscript"/>
        </w:rPr>
        <w:t>2</w:t>
      </w:r>
      <w:r>
        <w:t>生产仅需1.1电力输入</w:t>
      </w:r>
    </w:p>
    <w:p>
      <w:pPr>
        <w:spacing w:before="0" w:after="200" w:lineRule="auto" w:line="276"/>
      </w:pPr>
      <w:r>
        <w:rPr>
          <w:b/>
        </w:rPr>
        <w:t xml:space="preserve">Abstract (EN): </w:t>
      </w:r>
      <w:r>
        <w:t>Electrocatalytic N─N oxidative coupling (OC) offers an eco‐friendly approach to produce value‐added azo materials, but suffers from sluggish kinetics and limited Faradaic efficiency (FE). The key fundamental issue is unfavorable competitive adsorption of hydroxyl groups and</w:t>
      </w:r>
      <w:r>
        <w:t xml:space="preserve"> </w:t>
      </w:r>
      <w:r>
        <w:t>N</w:t>
      </w:r>
      <w:r>
        <w:t xml:space="preserve"> </w:t>
      </w:r>
      <w:r>
        <w:t>‐heterocyclic species. Here, a Pt‐immobilized Cu/CuO heterostructure is designed to create energy‐favorable N─N OC of</w:t>
      </w:r>
      <w:r>
        <w:t xml:space="preserve"> </w:t>
      </w:r>
      <w:r>
        <w:t>N</w:t>
      </w:r>
      <w:r>
        <w:t xml:space="preserve"> </w:t>
      </w:r>
      <w:r>
        <w:t>‐heterocyclic diaminotriazole (DATOC).</w:t>
      </w:r>
      <w:r>
        <w:t xml:space="preserve"> </w:t>
      </w:r>
      <w:r>
        <w:t>Operando</w:t>
      </w:r>
      <w:r>
        <w:t xml:space="preserve"> </w:t>
      </w:r>
      <w:r>
        <w:t>spectroscopy along with theoretical calculations reveal that the immobilization of Pt nanoclusters (NCs) in Cu/CuO mediates adsorption capacities for both</w:t>
      </w:r>
      <w:r>
        <w:t xml:space="preserve"> </w:t>
      </w:r>
      <w:r>
        <w:t>N</w:t>
      </w:r>
      <w:r>
        <w:t xml:space="preserve"> </w:t>
      </w:r>
      <w:r>
        <w:t>‐heterocyclic substrates/intermediates and OH</w:t>
      </w:r>
      <w:r>
        <w:t xml:space="preserve"> </w:t>
      </w:r>
      <w:r>
        <w:t>−</w:t>
      </w:r>
      <w:r>
        <w:t>species on Cu sites of Cu/CuO, collaboratively promoting DATOC kinetics. While the N─N intermediates are effectively adsorbed on Pt─Cu sites via metal–N coordination. Consequently, the Pt@Cu/CuO catalyst only requires 0.832 and 0.904 V</w:t>
      </w:r>
      <w:r>
        <w:t xml:space="preserve"> </w:t>
      </w:r>
      <w:r>
        <w:t>RHE</w:t>
      </w:r>
      <w:r>
        <w:t xml:space="preserve"> </w:t>
      </w:r>
      <w:r>
        <w:t>to achieve 10 and 100 mA cm</w:t>
      </w:r>
      <w:r>
        <w:t xml:space="preserve"> </w:t>
      </w:r>
      <w:r>
        <w:t>−2</w:t>
      </w:r>
      <w:r>
        <w:t xml:space="preserve"> </w:t>
      </w:r>
      <w:r>
        <w:t>, respectively, with a high FE of 95%. Due to the low‐potential DATOC, the adsorbed hydrogen atom from N─H cleavage of aminotriazole undergoes counterintuitive self‐coupling to H</w:t>
      </w:r>
      <w:r>
        <w:rPr>
          <w:vertAlign w:val="subscript"/>
        </w:rPr>
        <w:t>2</w:t>
      </w:r>
      <w:r>
        <w:t>. As a result, the dual‐electrode H</w:t>
      </w:r>
      <w:r>
        <w:rPr>
          <w:vertAlign w:val="subscript"/>
        </w:rPr>
        <w:t>2</w:t>
      </w:r>
      <w:r>
        <w:t>production requires an electricity input of only 1.15 kWh per m</w:t>
      </w:r>
      <w:r>
        <w:rPr>
          <w:vertAlign w:val="subscript"/>
        </w:rPr>
        <w:t>3</w:t>
      </w:r>
      <w:r>
        <w:t>of H</w:t>
      </w:r>
      <w:r>
        <w:rPr>
          <w:vertAlign w:val="subscript"/>
        </w:rPr>
        <w:t>2</w:t>
      </w:r>
      <w:r>
        <w:t>. The exceptional catalytic durability of the coupled system is also demonstrated in a flow electrolyzer for 600 h@500 mA cm</w:t>
      </w:r>
      <w:r>
        <w:t xml:space="preserve"> </w:t>
      </w:r>
      <w:r>
        <w:t>−2</w:t>
      </w:r>
      <w:r>
        <w:t xml:space="preserve"> </w:t>
      </w:r>
      <w:r>
        <w:t>. This work provides a new perspective for highly efficient green azo electrosynthesis and low‐energy‐consumption H</w:t>
      </w:r>
      <w:r>
        <w:rPr>
          <w:vertAlign w:val="subscript"/>
        </w:rPr>
        <w:t>2</w:t>
      </w:r>
      <w:r>
        <w:t>production.</w:t>
      </w:r>
    </w:p>
    <w:p>
      <w:pPr>
        <w:spacing w:before="120" w:after="120"/>
      </w:pPr>
      <w:r>
        <w:rPr>
          <w:sz w:val="18"/>
        </w:rPr>
        <w:t>——————————————————————————————————————————————————————————————————————</w:t>
      </w:r>
    </w:p>
    <w:p>
      <w:pPr>
        <w:spacing w:before="160" w:after="40" w:line="240" w:lineRule="auto"/>
      </w:pPr>
      <w:r>
        <w:rPr>
          <w:b/>
        </w:rPr>
        <w:t xml:space="preserve">[20] </w:t>
      </w:r>
      <w:hyperlink r:id="rId407">
        <w:r>
          <w:rPr>
            <w:color w:val="1155CC"/>
            <w:u w:val="single"/>
          </w:rPr>
          <w:t>通过 FeCoS2@MoS2 核壳异质结构中的磷掺入促进碱性析氧反应</w:t>
        </w:r>
      </w:hyperlink>
    </w:p>
    <w:p>
      <w:pPr>
        <w:spacing w:before="0" w:after="80"/>
      </w:pPr>
      <w:r>
        <w:rPr>
          <w:i/>
          <w:sz w:val="20"/>
        </w:rPr>
        <w:t>EN: Boosted Alkaline Oxygen Evolution Reaction via Phosphorus Incorporation in FeCoS2@MoS2 Core–Shell Heterostructures</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408">
        <w:r>
          <w:rPr>
            <w:color w:val="1155CC"/>
            <w:u w:val="single"/>
          </w:rPr>
          <w:t>10.1021/acsami.6c10037</w:t>
        </w:r>
      </w:hyperlink>
    </w:p>
    <w:p>
      <w:pPr>
        <w:spacing w:before="0" w:after="120"/>
      </w:pPr>
      <w:r>
        <w:rPr>
          <w:b/>
        </w:rPr>
        <w:t xml:space="preserve">Notes: </w:t>
      </w:r>
      <w:r>
        <w:t>abstract_source=crossref</w:t>
      </w:r>
    </w:p>
    <w:p>
      <w:pPr>
        <w:spacing w:before="0" w:after="80" w:lineRule="auto" w:line="276"/>
      </w:pPr>
      <w:r>
        <w:rPr>
          <w:b/>
        </w:rPr>
        <w:t xml:space="preserve">摘要（ZH）: </w:t>
      </w:r>
      <w:r>
        <w:t>摘要 实现可持续的能源转换取决于析氧反应（OER）电催化剂的合理设计，以实现高效率和低成本。在此，我们报道了泡沫镍上的磷掺杂铁钴硫化物/硫化钼异质结构（P-FeCoS2@MoS2/NF）作为碱性淡水和碱性海水中有效的OER电催化剂。在硫化和磷化步骤中，MoS2纳米片垂直生长在由FeCo层状双氢氧化物衍生的FeCoS2纳米棒的表面上，形成杂原子-P掺杂的核壳结构。核壳结构可防止MoS2纳米片重新堆叠并暴露出丰富的活性表面。异质界面诱导强电子耦合并增强活性位点以提高催化性能。实验表征证实了异质结构的成功形成和磷的均匀分布。由于分级结构、异质界面的形成和磷掺杂的协同作用，P-FeCoS2@MoS2/NF表现出优异的OER活性，在碱性电解质和碱性海水电解质中分别需要220和226 mV的过电势才能达到10 mA cm-2，并具有优异的催化稳定性。两种电解质的低塔菲尔斜率和减小的界面电荷转移电阻阐明了 OER 操作过程中的快速反应动力学。 OER 后分析证明了保留的形态和表面化学，强调了其结构鲁棒性</w:t>
      </w:r>
    </w:p>
    <w:p>
      <w:pPr>
        <w:spacing w:before="0" w:after="200" w:lineRule="auto" w:line="276"/>
      </w:pPr>
      <w:r>
        <w:rPr>
          <w:b/>
        </w:rPr>
        <w:t xml:space="preserve">Abstract (EN): </w:t>
      </w:r>
      <w:r>
        <w:t>Achieving sustainable energy conversion hinges on the rational design of oxygen evolution reaction (OER) electrocatalysts that deliver both high efficiency and low cost. Herein, we report a phosphorus-doped iron-cobalt sulfide/molybdenum sulfide heterostructure on nickel foam (P-FeCoS2@MoS2/NF) as an effective OER electrocatalyst in both alkaline freshwater and alkaline seawater. During the sulfurization and phosphorization steps, MoS2 nanosheets are vertically grown on the surface of FeCoS2 nanorods derived from FeCo-layered double hydroxide, forming a heteroatom-P doped core–shell architecture. The core–shell structure prevents the restacking of MoS2 nanosheets and exposes an abundant active surface. The heterointerface induces strong electronic coupling and boosts the active sites to improve the catalytic performance. Experimental characterization confirms the successful formation of the heterostructure and the uniform distribution of phosphorus. Owing to the synergistic effects of a hierarchical structure, the formation of heterointerfaces, and phosphorus doping, P-FeCoS2@MoS2/NF exhibits exceptional OER activity, requiring overpotentials of 220 and 226 mV to reach 10 mA cm–2 in the alkaline electrolyte and alkaline seawater electrolyte, respectively, together with excellent catalytic stability. The low Tafel slope and diminished interfacial charge-transfer resistance in both electrolytes elucidate the rapid reaction kinetics during the OER operation. Post-OER analysis demonstrates the preserved morphology and surface chemistry, underscoring its structural robustness. This work offers a multi-step compositional and structural engineering approach for designing advanced metal sulfide-based heterostructure electrocatalysts for hydrogen production.</w:t>
      </w:r>
    </w:p>
    <w:p>
      <w:pPr>
        <w:spacing w:before="120" w:after="120"/>
      </w:pPr>
      <w:r>
        <w:rPr>
          <w:sz w:val="18"/>
        </w:rPr>
        <w:t>——————————————————————————————————————————————————————————————————————</w:t>
      </w:r>
    </w:p>
    <w:p>
      <w:pPr>
        <w:spacing w:before="160" w:after="40" w:line="240" w:lineRule="auto"/>
      </w:pPr>
      <w:r>
        <w:rPr>
          <w:b/>
        </w:rPr>
        <w:t xml:space="preserve">[21] </w:t>
      </w:r>
      <w:hyperlink r:id="rId409">
        <w:r>
          <w:rPr>
            <w:color w:val="1155CC"/>
            <w:u w:val="single"/>
          </w:rPr>
          <w:t>FTO 上的 Pt 单原子催化剂用于光学不可见 pH 通用析氢电极</w:t>
        </w:r>
      </w:hyperlink>
    </w:p>
    <w:p>
      <w:pPr>
        <w:spacing w:before="0" w:after="80"/>
      </w:pPr>
      <w:r>
        <w:rPr>
          <w:i/>
          <w:sz w:val="20"/>
        </w:rPr>
        <w:t>EN: Pt Single‐Atom Catalysts on FTO for Optically Invisible pH‐Universal Hydrogen Evolution Electrodes</w:t>
      </w:r>
    </w:p>
    <w:p>
      <w:pPr>
        <w:spacing w:before="0" w:after="120"/>
      </w:pPr>
      <w:r>
        <w:rPr>
          <w:b/>
        </w:rPr>
        <w:t xml:space="preserve">Source: </w:t>
      </w:r>
      <w:r>
        <w:t>Wiley: Advanced Energy Materials: Table of Contents</w:t>
      </w:r>
      <w:r>
        <w:t xml:space="preserve">    </w:t>
      </w:r>
      <w:r>
        <w:rPr>
          <w:b/>
        </w:rPr>
        <w:t xml:space="preserve">Pub date: </w:t>
      </w:r>
      <w:r>
        <w:t>2026-08-24 08:12:16+00:00</w:t>
      </w:r>
      <w:r>
        <w:t xml:space="preserve">    </w:t>
      </w:r>
      <w:r>
        <w:rPr>
          <w:b/>
        </w:rPr>
        <w:t xml:space="preserve">DOI: </w:t>
      </w:r>
      <w:hyperlink r:id="rId410">
        <w:r>
          <w:rPr>
            <w:color w:val="1155CC"/>
            <w:u w:val="single"/>
          </w:rPr>
          <w:t>10.1002/aenm.71493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透明的析氢电极对于光电化学和光电能量转换装置至关重要，但通常会受到催化活性和光传输之间的权衡。在这里，我们证明，通过反应沉积将超低负载的 Pt 单原子（SA，0.03 at%）直接锚定在掺氟氧化锡（FTO）上，可提供接近块状 Pt 的析氢反应（HER）动力学，同时保持光学不可见。在这种低 SA 负载量下，HAADF-STEM 直接解析原子隔离的 Pt 位点，而 X 射线光电子和吸收光谱则仅确认阳离子 Pt</w:t>
      </w:r>
      <w:r>
        <w:t xml:space="preserve"> </w:t>
      </w:r>
      <w:r>
        <w:t>δ</w:t>
      </w:r>
      <w:r>
        <w:t xml:space="preserve"> </w:t>
      </w:r>
      <w:r>
        <w:t>+</w:t>
      </w:r>
      <w:r>
        <w:t xml:space="preserve"> </w:t>
      </w:r>
      <w:r>
        <w:t>(δ ≈ 2) 在 Pt-O 中</w:t>
      </w:r>
      <w:r>
        <w:rPr>
          <w:vertAlign w:val="subscript"/>
        </w:rPr>
        <w:t>4</w:t>
      </w:r>
      <w:r>
        <w:t>协调。 Pt SA/FTO 电极表现出 pH 通用的 HER 活性，同时周转频率超过 500 秒</w:t>
      </w:r>
      <w:r>
        <w:t xml:space="preserve"> </w:t>
      </w:r>
      <w:r>
        <w:t>−1</w:t>
      </w:r>
      <w:r>
        <w:t xml:space="preserve"> </w:t>
      </w:r>
      <w:r>
        <w:t>在中等过电势下。密度泛函理论计算支持 Pt SA/FTO 的高稳定性，并通过优化中间体形成的能量学解释了异常的 HER 活性。要实现与传统溅射 Pt 薄膜相当的动力学，需要高出 1000 倍以上的 Pt 负载，并导致大量的光学损失。由于其光学中性，当用作三明治型光电化学电池中的对电极时，Pt SA/FTO 电极的光电流比活性匹配的 Pt 薄膜高 2-3 倍。因此，这些关于 Pt SA 修饰的 FTO 的结果描述了一个一般的 stra</w:t>
      </w:r>
    </w:p>
    <w:p>
      <w:pPr>
        <w:spacing w:before="0" w:after="200" w:lineRule="auto" w:line="276"/>
      </w:pPr>
      <w:r>
        <w:rPr>
          <w:b/>
        </w:rPr>
        <w:t xml:space="preserve">Abstract (EN): </w:t>
      </w:r>
      <w:r>
        <w:t>Transparent hydrogen‐evolution electrodes are essential for photoelectrochemical and optoelectronic energy‐conversion devices, yet typically suffer from a trade‐off between catalytic activity and optical transmission. Here, we demonstrate that an ultra‐low loading of Pt single atoms (SA, 0.03 at%) directly anchored on fluorine‐doped tin oxide (FTO) via a reactive deposition delivers hydrogen evolution reaction (HER) kinetics approaching bulk Pt, while remaining optically invisible. At this low SA loading, HAADF‐STEM directly resolves atomically isolated Pt sites, while x‐ray photoelectron and absorption spectroscopy confirm exclusively cationic Pt</w:t>
      </w:r>
      <w:r>
        <w:t xml:space="preserve"> </w:t>
      </w:r>
      <w:r>
        <w:t>δ</w:t>
      </w:r>
      <w:r>
        <w:t xml:space="preserve"> </w:t>
      </w:r>
      <w:r>
        <w:t>+</w:t>
      </w:r>
      <w:r>
        <w:t xml:space="preserve"> </w:t>
      </w:r>
      <w:r>
        <w:t>(δ ≈ 2) in Pt–O</w:t>
      </w:r>
      <w:r>
        <w:rPr>
          <w:vertAlign w:val="subscript"/>
        </w:rPr>
        <w:t>4</w:t>
      </w:r>
      <w:r>
        <w:t>coordination. The Pt SA/FTO electrodes exhibit pH‐universal HER activity, alongside turnover frequencies exceeding 500 s</w:t>
      </w:r>
      <w:r>
        <w:t xml:space="preserve"> </w:t>
      </w:r>
      <w:r>
        <w:t>−1</w:t>
      </w:r>
      <w:r>
        <w:t xml:space="preserve"> </w:t>
      </w:r>
      <w:r>
        <w:t>at moderate overpotentials. Density Functional Theory calculations support the high stability of Pt SA/FTO and explain exceptional HER activity by optimized energetics of intermediate formation. Achieving comparable kinetics with conventional sputtered Pt films requires &amp;gt;1000‐fold higher Pt loading and leads to substantial optical losses. Owing to its optical neutrality, the Pt SA/FTO electrode enables 2–3 × higher photocurrents than activity‐matched Pt films when used as a counter electrode in sandwich‐type photoelectrochemical cells. These results on Pt SA‐decorated FTO thus describe a general strategy to unite noble‐metal utilization, high catalytic efficiency, and optical transparency in electro‐ and photoelectrochemical devices.</w:t>
      </w:r>
    </w:p>
    <w:p>
      <w:pPr>
        <w:spacing w:before="120" w:after="120"/>
      </w:pPr>
      <w:r>
        <w:rPr>
          <w:sz w:val="18"/>
        </w:rPr>
        <w:t>——————————————————————————————————————————————————————————————————————</w:t>
      </w:r>
    </w:p>
    <w:p>
      <w:pPr>
        <w:spacing w:before="160" w:after="40" w:line="240" w:lineRule="auto"/>
      </w:pPr>
      <w:r>
        <w:rPr>
          <w:b/>
        </w:rPr>
        <w:t xml:space="preserve">[22] </w:t>
      </w:r>
      <w:hyperlink r:id="rId411">
        <w:r>
          <w:rPr>
            <w:color w:val="1155CC"/>
            <w:u w:val="single"/>
          </w:rPr>
          <w:t>用于同时膜蒸馏和光催化析氢的分层柔性陶瓷纳米纤维膜</w:t>
        </w:r>
      </w:hyperlink>
    </w:p>
    <w:p>
      <w:pPr>
        <w:spacing w:before="0" w:after="80"/>
      </w:pPr>
      <w:r>
        <w:rPr>
          <w:i/>
          <w:sz w:val="20"/>
        </w:rPr>
        <w:t>EN: Hierarchical Flexible Ceramic Nanofiber Membrane for Simultaneous Membrane Distillation and Photocatalytic Hydrogen Evolution</w:t>
      </w:r>
    </w:p>
    <w:p>
      <w:pPr>
        <w:spacing w:before="0" w:after="120"/>
      </w:pPr>
      <w:r>
        <w:rPr>
          <w:b/>
        </w:rPr>
        <w:t xml:space="preserve">Source: </w:t>
      </w:r>
      <w:r>
        <w:t>Wiley: Advanced Materials: Table of Contents</w:t>
      </w:r>
      <w:r>
        <w:t xml:space="preserve">    </w:t>
      </w:r>
      <w:r>
        <w:rPr>
          <w:b/>
        </w:rPr>
        <w:t xml:space="preserve">Pub date: </w:t>
      </w:r>
      <w:r>
        <w:t>2026-08-24 14:07:23+00:00</w:t>
      </w:r>
      <w:r>
        <w:t xml:space="preserve">    </w:t>
      </w:r>
      <w:r>
        <w:rPr>
          <w:b/>
        </w:rPr>
        <w:t xml:space="preserve">DOI: </w:t>
      </w:r>
      <w:hyperlink r:id="rId412">
        <w:r>
          <w:rPr>
            <w:color w:val="1155CC"/>
            <w:u w:val="single"/>
          </w:rPr>
          <w:t>10.1002/adma.74777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清洁能源和淡水的需求不断增长，需要综合而非分割的技术解决方案。然而，传统的海水淡化和光催化制氢通常作为不同的过程进行，导致太阳能利用不理想并增加了系统的复杂性。在此，设计了一种分层柔性陶瓷纳米纤维膜，从根本上将光催化析氢与热辅助膜蒸馏结合起来，从而能够同时产生淡水和氢气。 La掺杂ZrO</w:t>
      </w:r>
      <w:r>
        <w:rPr>
          <w:vertAlign w:val="subscript"/>
        </w:rPr>
        <w:t>2</w:t>
      </w:r>
      <w:r>
        <w:t>纳米纤维支架具有卓越的机械强度和辐照稳定性，而原位构建的超疏水 UiO-66-NH</w:t>
      </w:r>
      <w:r>
        <w:rPr>
          <w:vertAlign w:val="subscript"/>
        </w:rPr>
        <w:t>2</w:t>
      </w:r>
      <w:r>
        <w:t>/CdS 异质结有利于高效的光收集、定向电荷分离和持久的抗润湿性能。因此，集成膜同时具有 74.8 mmol m 的出色析氢速率</w:t>
      </w:r>
      <w:r>
        <w:t xml:space="preserve"> </w:t>
      </w:r>
      <w:r>
        <w:t>−2</w:t>
      </w:r>
      <w:r>
        <w:t xml:space="preserve"> </w:t>
      </w:r>
      <w:r>
        <w:t>小时</w:t>
      </w:r>
      <w:r>
        <w:t xml:space="preserve"> </w:t>
      </w:r>
      <w:r>
        <w:t>−1</w:t>
      </w:r>
      <w:r>
        <w:t xml:space="preserve"> </w:t>
      </w:r>
      <w:r>
        <w:t>可持续蒸气通量为 41.0 L m</w:t>
      </w:r>
      <w:r>
        <w:t xml:space="preserve"> </w:t>
      </w:r>
      <w:r>
        <w:t>−2</w:t>
      </w:r>
      <w:r>
        <w:t xml:space="preserve"> </w:t>
      </w:r>
      <w:r>
        <w:t>小时</w:t>
      </w:r>
      <w:r>
        <w:t xml:space="preserve"> </w:t>
      </w:r>
      <w:r>
        <w:t>−1</w:t>
      </w:r>
      <w:r>
        <w:t xml:space="preserve"> </w:t>
      </w:r>
      <w:r>
        <w:t>模拟太阳照射下脱盐率达99.95%。光电化学测量和密度泛函理论计算表明，配置的II型异质结本质上驱动空间电荷分离以促进质子还原。福</w:t>
      </w:r>
    </w:p>
    <w:p>
      <w:pPr>
        <w:spacing w:before="0" w:after="200" w:lineRule="auto" w:line="276"/>
      </w:pPr>
      <w:r>
        <w:rPr>
          <w:b/>
        </w:rPr>
        <w:t xml:space="preserve">Abstract (EN): </w:t>
      </w:r>
      <w:r>
        <w:t>The escalating demand for clean energy and freshwater necessitates integrated rather than compartmentalized technological solutions. However, conventional desalination and photocatalytic hydrogen production typically operate as disparate processes, resulting in suboptimal solar energy utilization and increased system complexity. Herein, a hierarchical and flexible ceramic nanofiber membrane is engineered to fundamentally couple photocatalytic hydrogen evolution with thermally assisted membrane distillation, enabling the simultaneous generation of freshwater and hydrogen. The La‐doped ZrO</w:t>
      </w:r>
      <w:r>
        <w:rPr>
          <w:vertAlign w:val="subscript"/>
        </w:rPr>
        <w:t>2</w:t>
      </w:r>
      <w:r>
        <w:t>nanofiber scaffold imparts exceptional mechanical robustness and irradiation stability, while in situ‐constructed superhydrophobic UiO‐66‐NH</w:t>
      </w:r>
      <w:r>
        <w:rPr>
          <w:vertAlign w:val="subscript"/>
        </w:rPr>
        <w:t>2</w:t>
      </w:r>
      <w:r>
        <w:t>/CdS heterojunctions facilitate highly efficient light harvesting, directed charge separation, and durable anti‐wetting performance. Consequently, the integrated membrane concurrently delivers an outstanding hydrogen evolution rate of 74.8 mmol m</w:t>
      </w:r>
      <w:r>
        <w:t xml:space="preserve"> </w:t>
      </w:r>
      <w:r>
        <w:t>−2</w:t>
      </w:r>
      <w:r>
        <w:t xml:space="preserve"> </w:t>
      </w:r>
      <w:r>
        <w:t>h</w:t>
      </w:r>
      <w:r>
        <w:t xml:space="preserve"> </w:t>
      </w:r>
      <w:r>
        <w:t>−1</w:t>
      </w:r>
      <w:r>
        <w:t xml:space="preserve"> </w:t>
      </w:r>
      <w:r>
        <w:t>and a sustainable vapor flux of 41.0 L m</w:t>
      </w:r>
      <w:r>
        <w:t xml:space="preserve"> </w:t>
      </w:r>
      <w:r>
        <w:t>−2</w:t>
      </w:r>
      <w:r>
        <w:t xml:space="preserve"> </w:t>
      </w:r>
      <w:r>
        <w:t>h</w:t>
      </w:r>
      <w:r>
        <w:t xml:space="preserve"> </w:t>
      </w:r>
      <w:r>
        <w:t>−1</w:t>
      </w:r>
      <w:r>
        <w:t xml:space="preserve"> </w:t>
      </w:r>
      <w:r>
        <w:t>with 99.95% salt rejection under simulated solar irradiation. Photoelectrochemical measurements and density functional theory calculations elucidate that the configured type‐II heterojunction intrinsically drives spatial charge separation to boost proton reduction. Furthermore, multiphysics simulations demonstrate that the three‐dimensional fibrous architecture remarkably amplifies light confinement and accelerates rapid gas‐product transport, fundamentally mitigating mass transfer limitations. By synergizing structural resilience with unified processes, this work establishes a scalable materials paradigm for high‐efficiency water–energy co‐generation.</w:t>
      </w:r>
    </w:p>
    <w:p>
      <w:pPr>
        <w:spacing w:before="120" w:after="120"/>
      </w:pPr>
      <w:r>
        <w:rPr>
          <w:sz w:val="18"/>
        </w:rPr>
        <w:t>——————————————————————————————————————————————————————————————————————</w:t>
      </w:r>
    </w:p>
    <w:p>
      <w:pPr>
        <w:spacing w:before="160" w:after="40" w:line="240" w:lineRule="auto"/>
      </w:pPr>
      <w:r>
        <w:rPr>
          <w:b/>
        </w:rPr>
        <w:t xml:space="preserve">[23] </w:t>
      </w:r>
      <w:hyperlink r:id="rId413">
        <w:r>
          <w:rPr>
            <w:color w:val="1155CC"/>
            <w:u w:val="single"/>
          </w:rPr>
          <w:t>天然海水弱界面能抗镁盐安培级制氢</w:t>
        </w:r>
      </w:hyperlink>
    </w:p>
    <w:p>
      <w:pPr>
        <w:spacing w:before="0" w:after="80"/>
      </w:pPr>
      <w:r>
        <w:rPr>
          <w:i/>
          <w:sz w:val="20"/>
        </w:rPr>
        <w:t>EN: Weak interfacial energy for magnesium salt-resistant ampere-level hydrogen production from natural seawater</w:t>
      </w:r>
    </w:p>
    <w:p>
      <w:pPr>
        <w:spacing w:before="0" w:after="120"/>
      </w:pPr>
      <w:r>
        <w:rPr>
          <w:b/>
        </w:rPr>
        <w:t xml:space="preserve">Source: </w:t>
      </w:r>
      <w:r>
        <w:t>National Science Review Advance Access</w:t>
      </w:r>
      <w:r>
        <w:t xml:space="preserve">    </w:t>
      </w:r>
      <w:r>
        <w:rPr>
          <w:b/>
        </w:rPr>
        <w:t xml:space="preserve">Pub date: </w:t>
      </w:r>
      <w:r>
        <w:t>2026-08-25 00:00:00+00:00</w:t>
      </w:r>
      <w:r>
        <w:t xml:space="preserve">    </w:t>
      </w:r>
      <w:r>
        <w:rPr>
          <w:b/>
        </w:rPr>
        <w:t xml:space="preserve">DOI: </w:t>
      </w:r>
      <w:hyperlink r:id="rId414">
        <w:r>
          <w:rPr>
            <w:color w:val="1155CC"/>
            <w:u w:val="single"/>
          </w:rPr>
          <w:t>10.1093/nsr/nwag535</w:t>
        </w:r>
      </w:hyperlink>
    </w:p>
    <w:p>
      <w:pPr>
        <w:spacing w:before="0" w:after="120"/>
      </w:pPr>
      <w:r>
        <w:rPr>
          <w:b/>
        </w:rPr>
        <w:t xml:space="preserve">Notes: </w:t>
      </w:r>
      <w:r>
        <w:t>abstract_source=rss_oup</w:t>
      </w:r>
    </w:p>
    <w:p>
      <w:pPr>
        <w:spacing w:before="0" w:after="80" w:lineRule="auto" w:line="276"/>
      </w:pPr>
      <w:r>
        <w:rPr>
          <w:b/>
        </w:rPr>
        <w:t xml:space="preserve">摘要（ZH）: </w:t>
      </w:r>
      <w:r>
        <w:t>天然海水制氢是目前解决工业制氢依赖淡水资源问题的重要途径之一。然而，高电流密度下Mg(OH)2在阴极表面的沉积严重阻碍了其实际发展。在此，我们将富含氧空位（Ov）的NiO@MoO2（NMO）纳米片催化剂负载到3D打印的Ni-C（3DP NiC）上，有效降低了Mg（OH）2与电极之间的界面能，同时能够在高电流密度下连续去除Mg（OH）2沉淀物。因此，富含 Ov 的 3DP NiC/NMO 表现出出色的耐用性，在 500 mA cm−2 下可持续长达 668 小时，在 1000 mA cm−2 下可持续长达 200 小时，分别是泡沫镍/NiO@MoO2 (NiF/NMO) 寿命的 39.3 倍和 16.7 倍。此外，它可以实现长达20天的太阳能海水电解，将制氢成本降低至每公斤0.24美元，低于美国能源部2025年和2030年的目标（每公斤氢气分别为1.40美元和1.00美元）。这项工作提出了一种通过降低界面能来防止沉积的策略，促进直接从天然海水中制氢，打破淡水资源的限制，为全球能源转型开辟可持续的道路。</w:t>
      </w:r>
    </w:p>
    <w:p>
      <w:pPr>
        <w:spacing w:before="0" w:after="200" w:lineRule="auto" w:line="276"/>
      </w:pPr>
      <w:r>
        <w:rPr>
          <w:b/>
        </w:rPr>
        <w:t xml:space="preserve">Abstract (EN): </w:t>
      </w:r>
      <w:r>
        <w:t>Hydrogen production from natural seawater is currently one of the important approaches to solve the problem of industrial hydrogen production that relies on freshwater resources. However, the deposition of Mg(OH)2 on the cathode surface at high current densities severely hinders its practical development. Herein, we loaded oxygen vacancy (Ov)-rich NiO@MoO2 (NMO) nanosheet catalysts onto the 3D-printed Ni-C (3DP NiC), effectively reducing the interfacial energy between Mg(OH)2 and the electrode while enabling continuous removal of Mg(OH)2 precipitates at high current densities. As a result, the Ov-rich 3DP NiC/NMO demonstrates outstanding durability lasting up to 668 h at 500 mA cm−2 and 200 h at 1000 mA cm−2, which is 39.3 times and 16.7 times the lifespan of Ni foam/NiO@MoO2 (NiF/NMO), respectively. Moreover, it enables solar-powered seawater electrolysis for up to 20 days, reducing the hydrogen production cost to US$0.24 per kg, which is below the DOE 2025 and 2030 targets (US$1.40 and US$1.00 per kg of H2, respectively). This work presents a strategy to prevent sedimentation by reducing the interfacial energy, advancing hydrogen production directly from natural seawater, breaking the limitation of freshwater resources, and opening a sustainable path for global energy transformation.</w:t>
      </w:r>
    </w:p>
    <w:p>
      <w:pPr>
        <w:spacing w:before="120" w:after="120"/>
      </w:pPr>
      <w:r>
        <w:rPr>
          <w:sz w:val="18"/>
        </w:rPr>
        <w:t>——————————————————————————————————————————————————————————————————————</w:t>
      </w:r>
    </w:p>
    <w:p>
      <w:pPr>
        <w:spacing w:before="160" w:after="40" w:line="240" w:lineRule="auto"/>
      </w:pPr>
      <w:r>
        <w:rPr>
          <w:b/>
        </w:rPr>
        <w:t xml:space="preserve">[24] </w:t>
      </w:r>
      <w:hyperlink r:id="rId415">
        <w:r>
          <w:rPr>
            <w:color w:val="1155CC"/>
            <w:u w:val="single"/>
          </w:rPr>
          <w:t>铁在碱性水电解中的双重作用：是朋友还是敌人？</w:t>
        </w:r>
      </w:hyperlink>
    </w:p>
    <w:p>
      <w:pPr>
        <w:spacing w:before="0" w:after="80"/>
      </w:pPr>
      <w:r>
        <w:rPr>
          <w:i/>
          <w:sz w:val="20"/>
        </w:rPr>
        <w:t>EN: The dual role of iron in alkaline water electrolysis: A friend or a foe?</w:t>
      </w:r>
    </w:p>
    <w:p>
      <w:pPr>
        <w:spacing w:before="0" w:after="120"/>
      </w:pPr>
      <w:r>
        <w:rPr>
          <w:b/>
        </w:rPr>
        <w:t xml:space="preserve">Source: </w:t>
      </w:r>
      <w:r>
        <w:t>Joule</w:t>
      </w:r>
      <w:r>
        <w:t xml:space="preserve">    </w:t>
      </w:r>
      <w:r>
        <w:rPr>
          <w:b/>
        </w:rPr>
        <w:t xml:space="preserve">Pub date: </w:t>
      </w:r>
      <w:r>
        <w:t>2026-08-25 00:00:00+00:00</w:t>
      </w:r>
      <w:r>
        <w:t xml:space="preserve">    </w:t>
      </w:r>
      <w:r>
        <w:rPr>
          <w:b/>
        </w:rPr>
        <w:t xml:space="preserve">DOI: </w:t>
      </w:r>
      <w:hyperlink r:id="rId416">
        <w:r>
          <w:rPr>
            <w:color w:val="1155CC"/>
            <w:u w:val="single"/>
          </w:rPr>
          <w:t>10.1016/j.joule.2026.102639</w:t>
        </w:r>
      </w:hyperlink>
    </w:p>
    <w:p>
      <w:pPr>
        <w:spacing w:before="0" w:after="120"/>
      </w:pPr>
      <w:r>
        <w:rPr>
          <w:b/>
        </w:rPr>
        <w:t xml:space="preserve">Notes: </w:t>
      </w:r>
      <w:r>
        <w:t>abstract_source=rss_cell</w:t>
      </w:r>
    </w:p>
    <w:p>
      <w:pPr>
        <w:spacing w:before="0" w:after="80" w:lineRule="auto" w:line="276"/>
      </w:pPr>
      <w:r>
        <w:rPr>
          <w:b/>
        </w:rPr>
        <w:t xml:space="preserve">摘要（ZH）: </w:t>
      </w:r>
      <w:r>
        <w:t>微量铁杂质通常被认为有利于碱性水电解，但其在长期运行中的全部作用仍不清楚。我们表明，铁在运行过程中穿过电池，既可以提高催化性能，又可以形成威胁长期稳定性的金属沉积物和枝晶。通过确定控制铁离子迁移率的操作条件，这项工作提供了一个管理杂质的框架，以提高电解槽的耐用性。</w:t>
      </w:r>
    </w:p>
    <w:p>
      <w:pPr>
        <w:spacing w:before="0" w:after="200" w:lineRule="auto" w:line="276"/>
      </w:pPr>
      <w:r>
        <w:rPr>
          <w:b/>
        </w:rPr>
        <w:t xml:space="preserve">Abstract (EN): </w:t>
      </w:r>
      <w:r>
        <w:t>Trace iron impurities are often viewed as beneficial for alkaline water electrolysis, yet their full role during long-term operation has remained unclear. We show that iron moves through the cell during operation, where it can both improve catalytic performance and form metallic deposits and dendrites that threaten long-term stability. By identifying the operating conditions that govern iron ion mobility, this work provides a framework for managing impurities toward improving electrolyzer durability.</w:t>
      </w:r>
    </w:p>
    <w:p>
      <w:pPr>
        <w:spacing w:before="120" w:after="120"/>
      </w:pPr>
      <w:r>
        <w:rPr>
          <w:sz w:val="18"/>
        </w:rPr>
        <w:t>——————————————————————————————————————————————————————————————————————</w:t>
      </w:r>
    </w:p>
    <w:p>
      <w:pPr>
        <w:spacing w:before="160" w:after="40" w:line="240" w:lineRule="auto"/>
      </w:pPr>
      <w:r>
        <w:rPr>
          <w:b/>
        </w:rPr>
        <w:t xml:space="preserve">[25] </w:t>
      </w:r>
      <w:hyperlink r:id="rId417">
        <w:r>
          <w:rPr>
            <w:color w:val="1155CC"/>
            <w:u w:val="single"/>
          </w:rPr>
          <w:t>利用天然海水在室温下进行人工光合作用将氮还原为氨</w:t>
        </w:r>
      </w:hyperlink>
    </w:p>
    <w:p>
      <w:pPr>
        <w:spacing w:before="0" w:after="80"/>
      </w:pPr>
      <w:r>
        <w:rPr>
          <w:i/>
          <w:sz w:val="20"/>
        </w:rPr>
        <w:t>EN: Artificial photosynthetic reduction of nitrogen to ammonia at room temperature using natural seawater</w:t>
      </w:r>
    </w:p>
    <w:p>
      <w:pPr>
        <w:spacing w:before="0" w:after="120"/>
      </w:pPr>
      <w:r>
        <w:rPr>
          <w:b/>
        </w:rPr>
        <w:t xml:space="preserve">Source: </w:t>
      </w:r>
      <w:r>
        <w:t>Nature Chemistry</w:t>
      </w:r>
      <w:r>
        <w:t xml:space="preserve">    </w:t>
      </w:r>
      <w:r>
        <w:rPr>
          <w:b/>
        </w:rPr>
        <w:t xml:space="preserve">Pub date: </w:t>
      </w:r>
      <w:r>
        <w:t>2026-08-25 00:00:00+00:00</w:t>
      </w:r>
      <w:r>
        <w:t xml:space="preserve">    </w:t>
      </w:r>
      <w:r>
        <w:rPr>
          <w:b/>
        </w:rPr>
        <w:t xml:space="preserve">DOI: </w:t>
      </w:r>
      <w:hyperlink r:id="rId418">
        <w:r>
          <w:rPr>
            <w:color w:val="1155CC"/>
            <w:u w:val="single"/>
          </w:rPr>
          <w:t>10.1038/s41557-026-02218-2</w:t>
        </w:r>
      </w:hyperlink>
    </w:p>
    <w:p>
      <w:pPr>
        <w:spacing w:before="0" w:after="120"/>
      </w:pPr>
      <w:r>
        <w:rPr>
          <w:b/>
        </w:rPr>
        <w:t xml:space="preserve">Notes: </w:t>
      </w:r>
      <w:r>
        <w:t>abstract_source=pubmed</w:t>
      </w:r>
    </w:p>
    <w:p>
      <w:pPr>
        <w:spacing w:before="0" w:after="80" w:lineRule="auto" w:line="276"/>
      </w:pPr>
      <w:r>
        <w:rPr>
          <w:b/>
        </w:rPr>
        <w:t xml:space="preserve">摘要（ZH）: </w:t>
      </w:r>
      <w:r>
        <w:t>自然光合作用利用光和水来促进细胞活动。尽管在光合作用的复制要素方面已经取得了长足的进步，但将二氮还原与氨与水氧化有效耦合仍然具有挑战性。在这里，我们报道了在常温常压下，利用廉价的铁（II）盐（在紫外 C 光照射下产生溶剂化电子）来还原 Mo 催化剂，通过二氮还原光驱动生产氨，量子产率为 5.0%。生成的 Fe(III) 离子也会吸收紫外线并在氧化水的同时还原回 Fe(II)，从而将水氧化与氮还原结合起来。尽管氮在水中的低溶解度限制了催化作用，但我们通过提高二氮压力来规避这一限制，达到 10.8% 的光化学量子产率。我们进一步证明了这种反应性即使在未净化的海水或环境空气中也能运行。经计算，该过程是吸能的，能量为 329.2kJmol-1，与光合作用过程一致，光能转化为化学能的效率为 7.6%。</w:t>
      </w:r>
    </w:p>
    <w:p>
      <w:pPr>
        <w:spacing w:before="0" w:after="200" w:lineRule="auto" w:line="276"/>
      </w:pPr>
      <w:r>
        <w:rPr>
          <w:b/>
        </w:rPr>
        <w:t xml:space="preserve">Abstract (EN): </w:t>
      </w:r>
      <w:r>
        <w:t>Natural photosynthesis uses light and water to fuel cellular activity. While great strides have been made in reproducing elements of photosynthesis, efficiently coupling dinitrogen reduction to ammonia with water oxidation remains challenging. Here we report the light-driven production of ammonia from dinitrogen reduction with a quantum yield of 5.0% in water at normal temperature and pressure by leveraging inexpensive iron(II) salts, which produce solvated electrons upon ultraviolet C light irradiation, to reduce a Mo catalyst. The resulting Fe(III) ions also absorb ultraviolet light and undergo reduction back to Fe(II) while oxidizing water, thus coupling water oxidation with nitrogen reduction. Although the low solubility of nitrogen in water limits catalysis, we circumvented this limitation by using elevated dinitrogen pressures to reach photochemical quantum yields of 10.8%. We further demonstrate this reactivity to operate even in unpurified seawater or in ambient air. The process is calculated to be endoergonic by 329.2 kJ mol-1 in agreement with a photosynthetic process possessing a light-to-chemical energy conversion efficiency of 7.6%.</w:t>
      </w:r>
    </w:p>
    <w:p>
      <w:pPr>
        <w:spacing w:before="120" w:after="120"/>
      </w:pPr>
      <w:r>
        <w:rPr>
          <w:sz w:val="18"/>
        </w:rPr>
        <w:t>——————————————————————————————————————————————————————————————————————</w:t>
      </w:r>
    </w:p>
    <w:p>
      <w:pPr>
        <w:spacing w:before="160" w:after="40" w:line="240" w:lineRule="auto"/>
      </w:pPr>
      <w:r>
        <w:rPr>
          <w:b/>
        </w:rPr>
        <w:t xml:space="preserve">[26] </w:t>
      </w:r>
      <w:hyperlink r:id="rId419">
        <w:r>
          <w:rPr>
            <w:color w:val="1155CC"/>
            <w:u w:val="single"/>
          </w:rPr>
          <w:t>迈向可规模化水电解催化剂：机理见解、结构-活性关系和多尺度设计</w:t>
        </w:r>
      </w:hyperlink>
    </w:p>
    <w:p>
      <w:pPr>
        <w:spacing w:before="0" w:after="80"/>
      </w:pPr>
      <w:r>
        <w:rPr>
          <w:i/>
          <w:sz w:val="20"/>
        </w:rPr>
        <w:t>EN: Toward Scalable Water Electrolysis Catalysts: Mechanistic Insights, Structure‐Activity Relationships and Multiscale Design</w:t>
      </w:r>
    </w:p>
    <w:p>
      <w:pPr>
        <w:spacing w:before="0" w:after="120"/>
      </w:pPr>
      <w:r>
        <w:rPr>
          <w:b/>
        </w:rPr>
        <w:t xml:space="preserve">Source: </w:t>
      </w:r>
      <w:r>
        <w:t>Wiley: Advanced Energy Materials: Table of Contents</w:t>
      </w:r>
      <w:r>
        <w:t xml:space="preserve">    </w:t>
      </w:r>
      <w:r>
        <w:rPr>
          <w:b/>
        </w:rPr>
        <w:t xml:space="preserve">Pub date: </w:t>
      </w:r>
      <w:r>
        <w:t>2026-08-25 10:43:32+00:00</w:t>
      </w:r>
      <w:r>
        <w:t xml:space="preserve">    </w:t>
      </w:r>
      <w:r>
        <w:rPr>
          <w:b/>
        </w:rPr>
        <w:t xml:space="preserve">DOI: </w:t>
      </w:r>
      <w:hyperlink r:id="rId420">
        <w:r>
          <w:rPr>
            <w:color w:val="1155CC"/>
            <w:u w:val="single"/>
          </w:rPr>
          <w:t>10.1002/aenm.71510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活性催化剂极大地促进了水电解，用于绿色氢生产和脱碳能源系统。然而，大规模部署仍然受到同时实现高催化活性、长期耐用性和可扩展制造性的挑战的阻碍。尽管在开发非贵金属电催化剂方面取得了显着进展，但由于复杂的合成路线和非工业评估条件，大多数材料仍仅限于实验室规模的演示，导致催化剂发现与实际实施之间存在巨大差距。本综述总结了连接水电解电催化剂实验室创新和可扩展制造的最新进展。系统地讨论了基本反应机制、可扩展的合成策略、结构-活性关系和多尺度设计原理，涵盖本征活性和活性位点密度的原子级调控，到优化质量传输和操作稳定性的宏观结构工程。最后，介绍了可持续催化剂制造和工业部署的当前挑战和未来轨迹。</w:t>
      </w:r>
    </w:p>
    <w:p>
      <w:pPr>
        <w:spacing w:before="0" w:after="200" w:lineRule="auto" w:line="276"/>
      </w:pPr>
      <w:r>
        <w:rPr>
          <w:b/>
        </w:rPr>
        <w:t xml:space="preserve">Abstract (EN): </w:t>
      </w:r>
      <w:r>
        <w:t>Highly active catalysts have substantially advanced water electrolysis for green hydrogen production and decarbonized energy systems. However, large‐scale deployment remains hindered by the challenge of simultaneously achieving high catalytic activity, long‐term durability, and scalable manufacturability. Despite remarkable progress in developing non‐noble electrocatalysts, most materials remain confined to lab‐scale demonstrations owing to complex synthesis routes and non‐industrial evaluation conditions, inducing a significant gap between catalyst discovery and practical implementation. This review summarizes recent progress in bridging laboratory innovation and scalable manufacturing for water electrolysis electrocatalysts. Fundamental reaction mechanisms, scalable synthesis strategies, structure‐activity relationships, and multiscale design principles are systematically discussed, spanning atomic‐level regulation of intrinsic activity and active site density to macroscopic architectures engineering for optimized mass transport and operational stability. Finally, the prevailing challenges and future trajectories for sustainable catalyst manufacturing and industrial deployment are presented.</w:t>
      </w:r>
    </w:p>
    <w:p>
      <w:pPr>
        <w:spacing w:before="120" w:after="120"/>
      </w:pPr>
      <w:r>
        <w:rPr>
          <w:sz w:val="18"/>
        </w:rPr>
        <w:t>——————————————————————————————————————————————————————————————————————</w:t>
      </w:r>
    </w:p>
    <w:p>
      <w:pPr>
        <w:spacing w:before="160" w:after="40" w:line="240" w:lineRule="auto"/>
      </w:pPr>
      <w:r>
        <w:rPr>
          <w:b/>
        </w:rPr>
        <w:t xml:space="preserve">[27] </w:t>
      </w:r>
      <w:hyperlink r:id="rId421">
        <w:r>
          <w:rPr>
            <w:color w:val="1155CC"/>
            <w:u w:val="single"/>
          </w:rPr>
          <w:t>具有界面阶梯匹配的开放式 AgRh 空心纳米立方体用于选择性硝酸盐-氨电合成</w:t>
        </w:r>
      </w:hyperlink>
    </w:p>
    <w:p>
      <w:pPr>
        <w:spacing w:before="0" w:after="80"/>
      </w:pPr>
      <w:r>
        <w:rPr>
          <w:i/>
          <w:sz w:val="20"/>
        </w:rPr>
        <w:t>EN: Open AgRh Hollow Nanocubes With Interfacial Step Matching for Selective Nitrate‐to‐Ammonia Electrosynthesis</w:t>
      </w:r>
    </w:p>
    <w:p>
      <w:pPr>
        <w:spacing w:before="0" w:after="120"/>
      </w:pPr>
      <w:r>
        <w:rPr>
          <w:b/>
        </w:rPr>
        <w:t xml:space="preserve">Source: </w:t>
      </w:r>
      <w:r>
        <w:t>Wiley: Advanced Energy Materials: Table of Contents</w:t>
      </w:r>
      <w:r>
        <w:t xml:space="preserve">    </w:t>
      </w:r>
      <w:r>
        <w:rPr>
          <w:b/>
        </w:rPr>
        <w:t xml:space="preserve">Pub date: </w:t>
      </w:r>
      <w:r>
        <w:t>2026-08-25 13:15:32+00:00</w:t>
      </w:r>
      <w:r>
        <w:t xml:space="preserve">    </w:t>
      </w:r>
      <w:r>
        <w:rPr>
          <w:b/>
        </w:rPr>
        <w:t xml:space="preserve">DOI: </w:t>
      </w:r>
      <w:hyperlink r:id="rId422">
        <w:r>
          <w:rPr>
            <w:color w:val="1155CC"/>
            <w:u w:val="single"/>
          </w:rPr>
          <w:t>10.1002/aenm.71507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电化学硝酸盐制氨（NO</w:t>
      </w:r>
      <w:r>
        <w:rPr>
          <w:vertAlign w:val="subscript"/>
        </w:rPr>
        <w:t>3</w:t>
      </w:r>
      <w:r>
        <w:t>-</w:t>
      </w:r>
      <w:r>
        <w:t>至 NH</w:t>
      </w:r>
      <w:r>
        <w:rPr>
          <w:vertAlign w:val="subscript"/>
        </w:rPr>
        <w:t>3</w:t>
      </w:r>
      <w:r>
        <w:t>) 转化为 NO 提供了一条有前途的途径</w:t>
      </w:r>
      <w:r>
        <w:rPr>
          <w:vertAlign w:val="subscript"/>
        </w:rPr>
        <w:t>3</w:t>
      </w:r>
      <w:r>
        <w:t>-</w:t>
      </w:r>
      <w:r>
        <w:t>去除和分配NH</w:t>
      </w:r>
      <w:r>
        <w:rPr>
          <w:vertAlign w:val="subscript"/>
        </w:rPr>
        <w:t>3</w:t>
      </w:r>
      <w:r>
        <w:t>合成。然而，其效率受到缓慢的 NO 的限制。</w:t>
      </w:r>
      <w:r>
        <w:rPr>
          <w:vertAlign w:val="subscript"/>
        </w:rPr>
        <w:t>3</w:t>
      </w:r>
      <w:r>
        <w:t>-</w:t>
      </w:r>
      <w:r>
        <w:t>活化、不完全氢化和竞争析氢。在此，开放式银铑合金空心纳米立方体（AgRh hNC）是通过氯化物辅助合金化和蚀刻工艺从银纳米立方体重建的。该催化剂具有多孔、纳米颗粒组装的框架和富含 Rh 的近表面区域，增强了质量传输和界面电子耦合。因此，AgRh hNC 对 NH 的法拉第效率高达 98%</w:t>
      </w:r>
      <w:r>
        <w:rPr>
          <w:vertAlign w:val="subscript"/>
        </w:rPr>
        <w:t>3</w:t>
      </w:r>
      <w:r>
        <w:t>，一个NH</w:t>
      </w:r>
      <w:r>
        <w:rPr>
          <w:vertAlign w:val="subscript"/>
        </w:rPr>
        <w:t>3</w:t>
      </w:r>
      <w:r>
        <w:t>产量为 10.6 mg h</w:t>
      </w:r>
      <w:r>
        <w:t xml:space="preserve"> </w:t>
      </w:r>
      <w:r>
        <w:t>−1</w:t>
      </w:r>
      <w:r>
        <w:t xml:space="preserve"> </w:t>
      </w:r>
      <w:r>
        <w:t>毫克</w:t>
      </w:r>
      <w:r>
        <w:t xml:space="preserve"> </w:t>
      </w:r>
      <w:r>
        <w:t>猫</w:t>
      </w:r>
      <w:r>
        <w:t xml:space="preserve"> </w:t>
      </w:r>
      <w:r>
        <w:t>−1</w:t>
      </w:r>
      <w:r>
        <w:t xml:space="preserve"> </w:t>
      </w:r>
      <w:r>
        <w:t>，以及在碱性硝酸盐还原反应（NO</w:t>
      </w:r>
      <w:r>
        <w:rPr>
          <w:vertAlign w:val="subscript"/>
        </w:rPr>
        <w:t>3</w:t>
      </w:r>
      <w:r>
        <w:t>RR）。理论和实验相结合的研究揭示了一种串联式界面阶梯匹配机制，其中 Ag 促进 NO</w:t>
      </w:r>
      <w:r>
        <w:rPr>
          <w:vertAlign w:val="subscript"/>
        </w:rPr>
        <w:t>3</w:t>
      </w:r>
      <w:r>
        <w:t>‐到‐NO</w:t>
      </w:r>
      <w:r>
        <w:rPr>
          <w:vertAlign w:val="subscript"/>
        </w:rPr>
        <w:t>2</w:t>
      </w:r>
      <w:r>
        <w:t>步骤，而Rh中心位点则驱动硝基的深度氢化</w:t>
      </w:r>
    </w:p>
    <w:p>
      <w:pPr>
        <w:spacing w:before="0" w:after="200" w:lineRule="auto" w:line="276"/>
      </w:pPr>
      <w:r>
        <w:rPr>
          <w:b/>
        </w:rPr>
        <w:t xml:space="preserve">Abstract (EN): </w:t>
      </w:r>
      <w:r>
        <w:t>Electrochemical nitrate‐to‐ammonia (NO</w:t>
      </w:r>
      <w:r>
        <w:rPr>
          <w:vertAlign w:val="subscript"/>
        </w:rPr>
        <w:t>3</w:t>
      </w:r>
      <w:r>
        <w:t>−</w:t>
      </w:r>
      <w:r>
        <w:t>to NH</w:t>
      </w:r>
      <w:r>
        <w:rPr>
          <w:vertAlign w:val="subscript"/>
        </w:rPr>
        <w:t>3</w:t>
      </w:r>
      <w:r>
        <w:t>) conversion offers a promising route for NO</w:t>
      </w:r>
      <w:r>
        <w:rPr>
          <w:vertAlign w:val="subscript"/>
        </w:rPr>
        <w:t>3</w:t>
      </w:r>
      <w:r>
        <w:t>−</w:t>
      </w:r>
      <w:r>
        <w:t>removal and distributed NH</w:t>
      </w:r>
      <w:r>
        <w:rPr>
          <w:vertAlign w:val="subscript"/>
        </w:rPr>
        <w:t>3</w:t>
      </w:r>
      <w:r>
        <w:t>synthesis. However, its efficiency is constrained by sluggish NO</w:t>
      </w:r>
      <w:r>
        <w:rPr>
          <w:vertAlign w:val="subscript"/>
        </w:rPr>
        <w:t>3</w:t>
      </w:r>
      <w:r>
        <w:t>−</w:t>
      </w:r>
      <w:r>
        <w:t>activation, incomplete hydrogenation, and competing hydrogen evolution. Herein, open AgRh alloy hollow nanocubes (AgRh hNCs) are reconstructed from Ag nanocubes through a chloride‐assisted alloying and etching process. The catalyst possesses a porous, nanograin‐assembled framework with a Rh‐enriched near‐surface region, enhancing both mass transport and interfacial electronic coupling. Consequently, AgRh hNCs achieve up to 98% Faradaic efficiency for NH</w:t>
      </w:r>
      <w:r>
        <w:rPr>
          <w:vertAlign w:val="subscript"/>
        </w:rPr>
        <w:t>3</w:t>
      </w:r>
      <w:r>
        <w:t>, an NH</w:t>
      </w:r>
      <w:r>
        <w:rPr>
          <w:vertAlign w:val="subscript"/>
        </w:rPr>
        <w:t>3</w:t>
      </w:r>
      <w:r>
        <w:t>yield rate of 10.6 mg h</w:t>
      </w:r>
      <w:r>
        <w:t xml:space="preserve"> </w:t>
      </w:r>
      <w:r>
        <w:t>−1</w:t>
      </w:r>
      <w:r>
        <w:t xml:space="preserve"> </w:t>
      </w:r>
      <w:r>
        <w:t>mg</w:t>
      </w:r>
      <w:r>
        <w:t xml:space="preserve"> </w:t>
      </w:r>
      <w:r>
        <w:t>cat</w:t>
      </w:r>
      <w:r>
        <w:t xml:space="preserve"> </w:t>
      </w:r>
      <w:r>
        <w:t>−1</w:t>
      </w:r>
      <w:r>
        <w:t xml:space="preserve"> </w:t>
      </w:r>
      <w:r>
        <w:t>, and excellent durability in the alkaline nitrate reduction reaction (NO</w:t>
      </w:r>
      <w:r>
        <w:rPr>
          <w:vertAlign w:val="subscript"/>
        </w:rPr>
        <w:t>3</w:t>
      </w:r>
      <w:r>
        <w:t>RR). Combined theoretical and experimental studies reveal a tandem‐like interfacial step‐matching mechanism, in which Ag promotes the NO</w:t>
      </w:r>
      <w:r>
        <w:rPr>
          <w:vertAlign w:val="subscript"/>
        </w:rPr>
        <w:t>3</w:t>
      </w:r>
      <w:r>
        <w:t>‐to‐NO</w:t>
      </w:r>
      <w:r>
        <w:rPr>
          <w:vertAlign w:val="subscript"/>
        </w:rPr>
        <w:t>2</w:t>
      </w:r>
      <w:r>
        <w:t>step, while Rh‐centered sites drive deep hydrogenation of nitrogen‐containing intermediates to NH</w:t>
      </w:r>
      <w:r>
        <w:rPr>
          <w:vertAlign w:val="subscript"/>
        </w:rPr>
        <w:t>3</w:t>
      </w:r>
      <w:r>
        <w:t>. Moreover, AgRh hNCs show high hydrazine oxidation reaction (HzOR) activity, enabling a membrane‐separated NO</w:t>
      </w:r>
      <w:r>
        <w:rPr>
          <w:vertAlign w:val="subscript"/>
        </w:rPr>
        <w:t>3</w:t>
      </w:r>
      <w:r>
        <w:t>RR||HzOR electrolyzer with a 1.58 V lower cell voltage than the oxygen evolution reaction‐coupled system at 10 mA cm</w:t>
      </w:r>
      <w:r>
        <w:t xml:space="preserve"> </w:t>
      </w:r>
      <w:r>
        <w:t>−2</w:t>
      </w:r>
      <w:r>
        <w:t xml:space="preserve"> </w:t>
      </w:r>
      <w:r>
        <w:t>. This work demonstrates that integrating an open hollow structure with cooperative Ag‐Rh interfacial sites is an effective strategy for selective NO</w:t>
      </w:r>
      <w:r>
        <w:rPr>
          <w:vertAlign w:val="subscript"/>
        </w:rPr>
        <w:t>3</w:t>
      </w:r>
      <w:r>
        <w:t>−</w:t>
      </w:r>
      <w:r>
        <w:t>‐to‐NH</w:t>
      </w:r>
      <w:r>
        <w:rPr>
          <w:vertAlign w:val="subscript"/>
        </w:rPr>
        <w:t>3</w:t>
      </w:r>
      <w:r>
        <w:t>electrosynthesis.</w:t>
      </w:r>
    </w:p>
    <w:p>
      <w:pPr>
        <w:spacing w:before="120" w:after="120"/>
      </w:pPr>
      <w:r>
        <w:rPr>
          <w:sz w:val="18"/>
        </w:rPr>
        <w:t>——————————————————————————————————————————————————————————————————————</w:t>
      </w:r>
    </w:p>
    <w:p>
      <w:pPr>
        <w:spacing w:before="160" w:after="40" w:line="240" w:lineRule="auto"/>
      </w:pPr>
      <w:r>
        <w:rPr>
          <w:b/>
        </w:rPr>
        <w:t xml:space="preserve">[28] </w:t>
      </w:r>
      <w:hyperlink r:id="rId423">
        <w:r>
          <w:rPr>
            <w:color w:val="1155CC"/>
            <w:u w:val="single"/>
          </w:rPr>
          <w:t>MOF 中手性驱动的压电催化：实现高效的无助催化剂析氢</w:t>
        </w:r>
      </w:hyperlink>
    </w:p>
    <w:p>
      <w:pPr>
        <w:spacing w:before="0" w:after="80"/>
      </w:pPr>
      <w:r>
        <w:rPr>
          <w:i/>
          <w:sz w:val="20"/>
        </w:rPr>
        <w:t>EN: Chirality‐Driven Piezocatalysis in MOFs: Achieving Efficient Cocatalyst‐Free Hydrogen Evolution</w:t>
      </w:r>
    </w:p>
    <w:p>
      <w:pPr>
        <w:spacing w:before="0" w:after="120"/>
      </w:pPr>
      <w:r>
        <w:rPr>
          <w:b/>
        </w:rPr>
        <w:t xml:space="preserve">Source: </w:t>
      </w:r>
      <w:r>
        <w:t>Wiley: Angewandte Chemie International Edition: Table of Contents</w:t>
      </w:r>
      <w:r>
        <w:t xml:space="preserve">    </w:t>
      </w:r>
      <w:r>
        <w:rPr>
          <w:b/>
        </w:rPr>
        <w:t xml:space="preserve">Pub date: </w:t>
      </w:r>
      <w:r>
        <w:t>2026-08-26 04:14:03+00:00</w:t>
      </w:r>
      <w:r>
        <w:t xml:space="preserve">    </w:t>
      </w:r>
      <w:r>
        <w:rPr>
          <w:b/>
        </w:rPr>
        <w:t xml:space="preserve">DOI: </w:t>
      </w:r>
      <w:hyperlink r:id="rId424">
        <w:r>
          <w:rPr>
            <w:color w:val="1155CC"/>
            <w:u w:val="single"/>
          </w:rPr>
          <w:t>10.1002/anie.3163680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金属有机框架（MOF）已成为一种有前途的能量转换催化剂，但其在压电催化中的应用受到本质上高对称性的严重阻碍，这导致压电响应较弱。在此，我们报告了一种手性驱动的合成后修饰策略，通过将手性 L-组氨酸 (L-His) 接枝到 Hf 上来增强 MOF-808(Hf) 的压电性</w:t>
      </w:r>
      <w:r>
        <w:rPr>
          <w:vertAlign w:val="subscript"/>
        </w:rPr>
        <w:t>6</w:t>
      </w:r>
      <w:r>
        <w:t>集群。与 MOF-808(Hf) 相比，MOF-808(Hf)-His 表现出显着增强的压电响应，</w:t>
      </w:r>
      <w:r>
        <w:rPr>
          <w:vertAlign w:val="subscript"/>
        </w:rPr>
        <w:t>33</w:t>
      </w:r>
      <w:r>
        <w:t>系数从 44.2 增加到 108.8 pm/V。这种增强归因于 L-His 的引入，它打破了结构对称性并引入了 C=N 键作为高度应力敏感的极化中心。因此，在机械应力下会产生更强的内置电场，促进有效的电荷分离和迁移。同时，接枝的L-His降低了析氢势垒，Δ</w:t>
      </w:r>
      <w:r>
        <w:t xml:space="preserve"> </w:t>
      </w:r>
      <w:r>
        <w:t>G</w:t>
      </w:r>
      <w:r>
        <w:t xml:space="preserve"> </w:t>
      </w:r>
      <w:r>
        <w:t>H*</w:t>
      </w:r>
      <w:r>
        <w:t xml:space="preserve"> </w:t>
      </w:r>
      <w:r>
        <w:t>从 0.46 eV 降至 0.37 eV，并在应力下进一步降至 0.32 eV。因此，在没有任何助催化剂的情况下，MOF-808(Hf)-His 实现了优异的压电催化 H</w:t>
      </w:r>
      <w:r>
        <w:rPr>
          <w:vertAlign w:val="subscript"/>
        </w:rPr>
        <w:t>2</w:t>
      </w:r>
      <w:r>
        <w:t>5215.70 µmol g 的演化速率</w:t>
      </w:r>
      <w:r>
        <w:t xml:space="preserve"> </w:t>
      </w:r>
      <w:r>
        <w:t>−1</w:t>
      </w:r>
      <w:r>
        <w:t xml:space="preserve"> </w:t>
      </w:r>
      <w:r>
        <w:t>小时</w:t>
      </w:r>
      <w:r>
        <w:t xml:space="preserve"> </w:t>
      </w:r>
      <w:r>
        <w:t>−1</w:t>
      </w:r>
      <w:r>
        <w:t xml:space="preserve"> </w:t>
      </w:r>
      <w:r>
        <w:t>，比 MOF-808(Hf) 高 23 倍，是所有报道的基于 MOF 的压电催化剂中最高的。这部作品</w:t>
      </w:r>
    </w:p>
    <w:p>
      <w:pPr>
        <w:spacing w:before="0" w:after="200" w:lineRule="auto" w:line="276"/>
      </w:pPr>
      <w:r>
        <w:rPr>
          <w:b/>
        </w:rPr>
        <w:t xml:space="preserve">Abstract (EN): </w:t>
      </w:r>
      <w:r>
        <w:t>Metal–organic frameworks (MOFs) have emerged as promising catalysts for energy conversion, yet their application in piezocatalysis is severely hindered by intrinsically high symmetry, which leads to a weak piezoelectric response. Herein, we report a chirality‐driven post‐synthetic modification strategy to enhance the piezoelectricity of MOF‐808(Hf) by grafting chiral L‐histidine (L‐His) onto Hf</w:t>
      </w:r>
      <w:r>
        <w:rPr>
          <w:vertAlign w:val="subscript"/>
        </w:rPr>
        <w:t>6</w:t>
      </w:r>
      <w:r>
        <w:t>clusters. Compared with MOF‐808(Hf), MOF‐808(Hf)‐His exhibits a significantly enhanced piezoelectric response, with the d</w:t>
      </w:r>
      <w:r>
        <w:rPr>
          <w:vertAlign w:val="subscript"/>
        </w:rPr>
        <w:t>33</w:t>
      </w:r>
      <w:r>
        <w:t>coefficient increasing from 44.2 to 108.8 pm/V. This enhancement is attributed to the introduction of L‐His, which breaks the structural symmetry and introduces the C═N bond as a highly stress‐sensitive polarization center. Consequently, a stronger built‐in electric field is generated under mechanical stress, promoting efficient charge separation and migration. Meanwhile, the grafted L‐His lowers the hydrogen evolution barrier, with Δ</w:t>
      </w:r>
      <w:r>
        <w:t xml:space="preserve"> </w:t>
      </w:r>
      <w:r>
        <w:t>G</w:t>
      </w:r>
      <w:r>
        <w:t xml:space="preserve"> </w:t>
      </w:r>
      <w:r>
        <w:t>H*</w:t>
      </w:r>
      <w:r>
        <w:t xml:space="preserve"> </w:t>
      </w:r>
      <w:r>
        <w:t>decreasing from 0.46 to 0.37 eV, and further to 0.32 eV under stress. Consequently, without any cocatalyst, MOF‐808(Hf)‐His achieves an exceptional piezo‐catalytic H</w:t>
      </w:r>
      <w:r>
        <w:rPr>
          <w:vertAlign w:val="subscript"/>
        </w:rPr>
        <w:t>2</w:t>
      </w:r>
      <w:r>
        <w:t>evolution rate of 5215.70 µmol g</w:t>
      </w:r>
      <w:r>
        <w:t xml:space="preserve"> </w:t>
      </w:r>
      <w:r>
        <w:t>−1</w:t>
      </w:r>
      <w:r>
        <w:t xml:space="preserve"> </w:t>
      </w:r>
      <w:r>
        <w:t>h</w:t>
      </w:r>
      <w:r>
        <w:t xml:space="preserve"> </w:t>
      </w:r>
      <w:r>
        <w:t>−1</w:t>
      </w:r>
      <w:r>
        <w:t xml:space="preserve"> </w:t>
      </w:r>
      <w:r>
        <w:t>, 23‐fold higher than that of MOF‐808(Hf), and the highest among all reported MOF‐based piezo‐catalysts. This work establishes a robust chirality‐driven approach to overcome the intrinsic limitations of MOFs in piezocatalysis, offering a versatile pathway for sustainable hydrogen production from mechanical energy.</w:t>
      </w:r>
    </w:p>
    <w:p>
      <w:pPr>
        <w:spacing w:before="120" w:after="120"/>
      </w:pPr>
      <w:r>
        <w:rPr>
          <w:sz w:val="18"/>
        </w:rPr>
        <w:t>——————————————————————————————————————————————————————————————————————</w:t>
      </w:r>
    </w:p>
    <w:p>
      <w:pPr>
        <w:spacing w:before="160" w:after="40" w:line="240" w:lineRule="auto"/>
      </w:pPr>
      <w:r>
        <w:rPr>
          <w:b/>
        </w:rPr>
        <w:t xml:space="preserve">[29] </w:t>
      </w:r>
      <w:hyperlink r:id="rId425">
        <w:r>
          <w:rPr>
            <w:color w:val="1155CC"/>
            <w:u w:val="single"/>
          </w:rPr>
          <w:t>电催化硝酸盐还原合成氮产品的中间介导选择性</w:t>
        </w:r>
      </w:hyperlink>
    </w:p>
    <w:p>
      <w:pPr>
        <w:spacing w:before="0" w:after="80"/>
      </w:pPr>
      <w:r>
        <w:rPr>
          <w:i/>
          <w:sz w:val="20"/>
        </w:rPr>
        <w:t>EN: Intermediate‐Mediated Selectivity in Electrocatalytic Nitrate Reduction for Nitrogen Product Synthesis</w:t>
      </w:r>
    </w:p>
    <w:p>
      <w:pPr>
        <w:spacing w:before="0" w:after="120"/>
      </w:pPr>
      <w:r>
        <w:rPr>
          <w:b/>
        </w:rPr>
        <w:t xml:space="preserve">Source: </w:t>
      </w:r>
      <w:r>
        <w:t>Wiley: Angewandte Chemie International Edition: Table of Contents</w:t>
      </w:r>
      <w:r>
        <w:t xml:space="preserve">    </w:t>
      </w:r>
      <w:r>
        <w:rPr>
          <w:b/>
        </w:rPr>
        <w:t xml:space="preserve">Pub date: </w:t>
      </w:r>
      <w:r>
        <w:t>2026-08-26 04:32:10+00:00</w:t>
      </w:r>
      <w:r>
        <w:t xml:space="preserve">    </w:t>
      </w:r>
      <w:r>
        <w:rPr>
          <w:b/>
        </w:rPr>
        <w:t xml:space="preserve">DOI: </w:t>
      </w:r>
      <w:hyperlink r:id="rId426">
        <w:r>
          <w:rPr>
            <w:color w:val="1155CC"/>
            <w:u w:val="single"/>
          </w:rPr>
          <w:t>10.1002/anie.3154221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电催化硝酸盐（NO</w:t>
      </w:r>
      <w:r>
        <w:rPr>
          <w:vertAlign w:val="subscript"/>
        </w:rPr>
        <w:t>3</w:t>
      </w:r>
      <w:r>
        <w:t>-</w:t>
      </w:r>
      <w:r>
        <w:t>) 还原反应 (eNO</w:t>
      </w:r>
      <w:r>
        <w:rPr>
          <w:vertAlign w:val="subscript"/>
        </w:rPr>
        <w:t>3</w:t>
      </w:r>
      <w:r>
        <w:t>RR）已成为一种有前景的废弃 NO 策略</w:t>
      </w:r>
      <w:r>
        <w:rPr>
          <w:vertAlign w:val="subscript"/>
        </w:rPr>
        <w:t>3</w:t>
      </w:r>
      <w:r>
        <w:t>-</w:t>
      </w:r>
      <w:r>
        <w:t>价值化，为环境修复提供机会。然而，其复杂的质子耦合电子转移过程涉及多种竞争途径，其中关键中间体的命运控制着反应活性和产物选择性。在这篇综述中，我们提供了一个以中间人为中心的 eNO 观点</w:t>
      </w:r>
      <w:r>
        <w:rPr>
          <w:vertAlign w:val="subscript"/>
        </w:rPr>
        <w:t>3</w:t>
      </w:r>
      <w:r>
        <w:t>RR，涵盖NO的反应途径</w:t>
      </w:r>
      <w:r>
        <w:rPr>
          <w:vertAlign w:val="subscript"/>
        </w:rPr>
        <w:t>3</w:t>
      </w:r>
      <w:r>
        <w:t>-</w:t>
      </w:r>
      <w:r>
        <w:t>NH选择性合成的活化</w:t>
      </w:r>
      <w:r>
        <w:rPr>
          <w:vertAlign w:val="subscript"/>
        </w:rPr>
        <w:t>3</w:t>
      </w:r>
      <w:r>
        <w:t>,N</w:t>
      </w:r>
      <w:r>
        <w:rPr>
          <w:vertAlign w:val="subscript"/>
        </w:rPr>
        <w:t>2</w:t>
      </w:r>
      <w:r>
        <w:t>, 和 NH</w:t>
      </w:r>
      <w:r>
        <w:rPr>
          <w:vertAlign w:val="subscript"/>
        </w:rPr>
        <w:t>2</w:t>
      </w:r>
      <w:r>
        <w:t>哦。然后我们总结了当前探测含氮中间体和活性氢（*H）的技术。在此基础上，我们讨论了催化剂设计和微环境工程如何调控eNO的关键过程。</w:t>
      </w:r>
      <w:r>
        <w:rPr>
          <w:vertAlign w:val="subscript"/>
        </w:rPr>
        <w:t>3</w:t>
      </w:r>
      <w:r>
        <w:t>RR，包括中间体吸附、保留和解吸、N─O键断裂、氢化和N─N偶联。我们还研究了数据驱动方法在优化 eNO 方面的新兴作用</w:t>
      </w:r>
      <w:r>
        <w:rPr>
          <w:vertAlign w:val="subscript"/>
        </w:rPr>
        <w:t>3</w:t>
      </w:r>
      <w:r>
        <w:t>RR 系统。将这些讨论结合在一起，我们提炼出选择性产品合成的原则。最后，我们不</w:t>
      </w:r>
    </w:p>
    <w:p>
      <w:pPr>
        <w:spacing w:before="0" w:after="200" w:lineRule="auto" w:line="276"/>
      </w:pPr>
      <w:r>
        <w:rPr>
          <w:b/>
        </w:rPr>
        <w:t xml:space="preserve">Abstract (EN): </w:t>
      </w:r>
      <w:r>
        <w:t>Electrocatalytic nitrate (NO</w:t>
      </w:r>
      <w:r>
        <w:rPr>
          <w:vertAlign w:val="subscript"/>
        </w:rPr>
        <w:t>3</w:t>
      </w:r>
      <w:r>
        <w:t>−</w:t>
      </w:r>
      <w:r>
        <w:t>) reduction reaction (eNO</w:t>
      </w:r>
      <w:r>
        <w:rPr>
          <w:vertAlign w:val="subscript"/>
        </w:rPr>
        <w:t>3</w:t>
      </w:r>
      <w:r>
        <w:t>RR) has emerged as a promising strategy for waste NO</w:t>
      </w:r>
      <w:r>
        <w:rPr>
          <w:vertAlign w:val="subscript"/>
        </w:rPr>
        <w:t>3</w:t>
      </w:r>
      <w:r>
        <w:t>−</w:t>
      </w:r>
      <w:r>
        <w:t>valorization, offering opportunities for environmental remediation. However, its complex proton‐coupled electron transfer processes involve multiple competing pathways, in which the fate of key intermediates governs reaction activity and product selectivity. In this review, we provide an intermediate‐centered perspective on eNO</w:t>
      </w:r>
      <w:r>
        <w:rPr>
          <w:vertAlign w:val="subscript"/>
        </w:rPr>
        <w:t>3</w:t>
      </w:r>
      <w:r>
        <w:t>RR, covering the reaction pathways from NO</w:t>
      </w:r>
      <w:r>
        <w:rPr>
          <w:vertAlign w:val="subscript"/>
        </w:rPr>
        <w:t>3</w:t>
      </w:r>
      <w:r>
        <w:t>−</w:t>
      </w:r>
      <w:r>
        <w:t>activation to the selective synthesis of NH</w:t>
      </w:r>
      <w:r>
        <w:rPr>
          <w:vertAlign w:val="subscript"/>
        </w:rPr>
        <w:t>3</w:t>
      </w:r>
      <w:r>
        <w:t>, N</w:t>
      </w:r>
      <w:r>
        <w:rPr>
          <w:vertAlign w:val="subscript"/>
        </w:rPr>
        <w:t>2</w:t>
      </w:r>
      <w:r>
        <w:t>, and NH</w:t>
      </w:r>
      <w:r>
        <w:rPr>
          <w:vertAlign w:val="subscript"/>
        </w:rPr>
        <w:t>2</w:t>
      </w:r>
      <w:r>
        <w:t>OH. We then summarize current techniques for probing N‐containing intermediates and active hydrogen (*H). On this basis, we discuss how catalyst design and microenvironment engineering regulate key processes in eNO</w:t>
      </w:r>
      <w:r>
        <w:rPr>
          <w:vertAlign w:val="subscript"/>
        </w:rPr>
        <w:t>3</w:t>
      </w:r>
      <w:r>
        <w:t>RR, including intermediate adsorption, retention and desorption, N─O bond cleavage, hydrogenation, and N─N coupling. We also examine the emerging role of data‐driven approaches in optimizing eNO</w:t>
      </w:r>
      <w:r>
        <w:rPr>
          <w:vertAlign w:val="subscript"/>
        </w:rPr>
        <w:t>3</w:t>
      </w:r>
      <w:r>
        <w:t>RR systems. Drawing these discussions together, we distill principles for selective product synthesis. Finally, we discuss remaining challenges in achieving a deeper mechanistic understanding, regulating the interfacial microenvironment, and applying eNO</w:t>
      </w:r>
      <w:r>
        <w:rPr>
          <w:vertAlign w:val="subscript"/>
        </w:rPr>
        <w:t>3</w:t>
      </w:r>
      <w:r>
        <w:t>RR to real wastewater.</w:t>
      </w:r>
    </w:p>
    <w:p>
      <w:pPr>
        <w:spacing w:before="120" w:after="120"/>
      </w:pPr>
      <w:r>
        <w:rPr>
          <w:sz w:val="18"/>
        </w:rPr>
        <w:t>——————————————————————————————————————————————————————————————————————</w:t>
      </w:r>
    </w:p>
    <w:p>
      <w:pPr>
        <w:spacing w:before="160" w:after="40" w:line="240" w:lineRule="auto"/>
      </w:pPr>
      <w:r>
        <w:rPr>
          <w:b/>
        </w:rPr>
        <w:t xml:space="preserve">[30] </w:t>
      </w:r>
      <w:hyperlink r:id="rId427">
        <w:r>
          <w:rPr>
            <w:color w:val="1155CC"/>
            <w:u w:val="single"/>
          </w:rPr>
          <w:t>功能基序定向解偶联-重偶联策略构建多位点铂基催化剂以实现燃料电池中的高效氢氧化</w:t>
        </w:r>
      </w:hyperlink>
    </w:p>
    <w:p>
      <w:pPr>
        <w:spacing w:before="0" w:after="80"/>
      </w:pPr>
      <w:r>
        <w:rPr>
          <w:i/>
          <w:sz w:val="20"/>
        </w:rPr>
        <w:t>EN: Functional Motif Directed Decoupling‐Recoupling Strategy for Constructing Multi‐Site Pt‐Based Catalyst Toward Efficient Hydrogen Oxidation in Fuel Cells</w:t>
      </w:r>
    </w:p>
    <w:p>
      <w:pPr>
        <w:spacing w:before="0" w:after="120"/>
      </w:pPr>
      <w:r>
        <w:rPr>
          <w:b/>
        </w:rPr>
        <w:t xml:space="preserve">Source: </w:t>
      </w:r>
      <w:r>
        <w:t>Wiley: Advanced Energy Materials: Table of Contents</w:t>
      </w:r>
      <w:r>
        <w:t xml:space="preserve">    </w:t>
      </w:r>
      <w:r>
        <w:rPr>
          <w:b/>
        </w:rPr>
        <w:t xml:space="preserve">Pub date: </w:t>
      </w:r>
      <w:r>
        <w:t>2026-08-26 06:09:07+00:00</w:t>
      </w:r>
      <w:r>
        <w:t xml:space="preserve">    </w:t>
      </w:r>
      <w:r>
        <w:rPr>
          <w:b/>
        </w:rPr>
        <w:t xml:space="preserve">DOI: </w:t>
      </w:r>
      <w:hyperlink r:id="rId428">
        <w:r>
          <w:rPr>
            <w:color w:val="1155CC"/>
            <w:u w:val="single"/>
          </w:rPr>
          <w:t>10.1002/aenm.71431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碱性介质中的氢氧化反应（HOR）面临动力学缓慢、CO 中毒和活性位点降解等多重挑战。具有多个活性位点的多金属催化剂有望解决这些问题；然而，它们受到原子水平的结构异质性和对经验试错筛选的依赖的阻碍。在此，我们介绍了一种新颖的功能基序定向解偶联-重偶联策略，用于设计能够实现超活性和持久 HOR 电催化的多位点催化剂。利用每个元素明确的原子坐标和 PtM 金属间化合物 (IMC) 的超晶格有序结构，多功能 Pt 基 HOR 催化剂的开发与离散 Pt-M 功能基序的独立筛选分离。这些经过优化选择的 Pt-M 基序随后被重新耦合到 L1 中</w:t>
      </w:r>
      <w:r>
        <w:rPr>
          <w:vertAlign w:val="subscript"/>
        </w:rPr>
        <w:t>0</w:t>
      </w:r>
      <w:r>
        <w:t>‐PtFe 框架，构建设计的 PtRuFeGaMo-I 催化剂。 PtRuFeGaMo-I 集成了 Pt-Ru/Ga/Mo 基序的多功能性，同时克服了碱性 HOR 的关键局限性。因此，设计的 PtRuFeGaMo-I 表现出卓越的 HOR 性能。在阴离子交换膜燃料电池 (AEMFC) 中，PtRuFeGaMo-I 实现了 0.84 A mg 的卓越质量活性</w:t>
      </w:r>
      <w:r>
        <w:t xml:space="preserve"> </w:t>
      </w:r>
      <w:r>
        <w:t>总铂族金属</w:t>
      </w:r>
      <w:r>
        <w:t xml:space="preserve"> </w:t>
      </w:r>
      <w:r>
        <w:t>−1</w:t>
      </w:r>
      <w:r>
        <w:t xml:space="preserve"> </w:t>
      </w:r>
      <w:r>
        <w:t>，超越了商业 Pt/C 和大多数报道的贵金属基催化剂。这项工作为设计先进催化剂提供了新平台</w:t>
      </w:r>
    </w:p>
    <w:p>
      <w:pPr>
        <w:spacing w:before="0" w:after="200" w:lineRule="auto" w:line="276"/>
      </w:pPr>
      <w:r>
        <w:rPr>
          <w:b/>
        </w:rPr>
        <w:t xml:space="preserve">Abstract (EN): </w:t>
      </w:r>
      <w:r>
        <w:t>Hydrogen oxidation reaction (HOR) in alkaline media suffers from multiple challenges of sluggish kinetics, CO poisoning, and active‐site degradation. Multi‐metallic catalysts with multiple active sites hold promise for addressing the issues; however, they are thwarted by structural heterogeneity at the atomic level and reliance on empirical trial‐and‐error screening. Herein, we introduce a novel functional motif directed decoupling‐recoupling strategy for the design of multi‐site catalysts capable of super‐active and durable HOR electrocatalysis. Leveraging the well‐defined atomic coordinates for each element and superlattice ordering structure of the PtM intermetallic compound (IMC), the development of a multi‐functional Pt‐based HOR catalyst is decoupled into the independent screening of discrete Pt–M functional motifs. These optimally selected Pt–M motifs were subsequently recoupled into an L1</w:t>
      </w:r>
      <w:r>
        <w:rPr>
          <w:vertAlign w:val="subscript"/>
        </w:rPr>
        <w:t>0</w:t>
      </w:r>
      <w:r>
        <w:t>‐PtFe framework, constructing the designed PtRuFeGaMo‐I catalyst. PtRuFeGaMo‐I integrates the multifunctionality of Pt–Ru/Ga/Mo motifs to simultaneously overcome the key limitations of alkaline HOR. Consequently, the engineered PtRuFeGaMo‐I exhibits exceptional HOR performance. In an anion exchange membrane fuel cell (AEMFC), PtRuFeGaMo‐I achieves a remarkable mass activity of 0.84 A mg</w:t>
      </w:r>
      <w:r>
        <w:t xml:space="preserve"> </w:t>
      </w:r>
      <w:r>
        <w:t>total PGM</w:t>
      </w:r>
      <w:r>
        <w:t xml:space="preserve"> </w:t>
      </w:r>
      <w:r>
        <w:t>−1</w:t>
      </w:r>
      <w:r>
        <w:t xml:space="preserve"> </w:t>
      </w:r>
      <w:r>
        <w:t>, surpassing commercial Pt/C and most reported noble‐metal‐based catalysts. This work provides a new platform to design advanced catalysts tailored to diverse electrocatalytic demands.</w:t>
      </w:r>
    </w:p>
    <w:p>
      <w:pPr>
        <w:spacing w:before="120" w:after="120"/>
      </w:pPr>
      <w:r>
        <w:rPr>
          <w:sz w:val="18"/>
        </w:rPr>
        <w:t>——————————————————————————————————————————————————————————————————————</w:t>
      </w:r>
    </w:p>
    <w:p>
      <w:pPr>
        <w:spacing w:before="160" w:after="40" w:line="240" w:lineRule="auto"/>
      </w:pPr>
      <w:r>
        <w:rPr>
          <w:b/>
        </w:rPr>
        <w:t xml:space="preserve">[31] </w:t>
      </w:r>
      <w:hyperlink r:id="rId429">
        <w:r>
          <w:rPr>
            <w:color w:val="1155CC"/>
            <w:u w:val="single"/>
          </w:rPr>
          <w:t>耦合大气水收集和质子陶瓷电解实现干旱地区自持式绿色氢气生产（Adv. Energy Mater. 32/2026）</w:t>
        </w:r>
      </w:hyperlink>
    </w:p>
    <w:p>
      <w:pPr>
        <w:spacing w:before="0" w:after="80"/>
      </w:pPr>
      <w:r>
        <w:rPr>
          <w:i/>
          <w:sz w:val="20"/>
        </w:rPr>
        <w:t>EN: Coupled Atmospheric Water Harvesting and Protonic Ceramic Electrolysis Enabling Self‐Sustained Green Hydrogen Production in Arid Regions (Adv. Energy Mater. 32/2026)</w:t>
      </w:r>
    </w:p>
    <w:p>
      <w:pPr>
        <w:spacing w:before="0" w:after="120"/>
      </w:pPr>
      <w:r>
        <w:rPr>
          <w:b/>
        </w:rPr>
        <w:t xml:space="preserve">Source: </w:t>
      </w:r>
      <w:r>
        <w:t>Wiley: Advanced Energy Materials: Table of Contents</w:t>
      </w:r>
      <w:r>
        <w:t xml:space="preserve">    </w:t>
      </w:r>
      <w:r>
        <w:rPr>
          <w:b/>
        </w:rPr>
        <w:t xml:space="preserve">Pub date: </w:t>
      </w:r>
      <w:r>
        <w:t>2026-08-26 06:24:34+00:00</w:t>
      </w:r>
      <w:r>
        <w:t xml:space="preserve">    </w:t>
      </w:r>
      <w:r>
        <w:rPr>
          <w:b/>
        </w:rPr>
        <w:t xml:space="preserve">DOI: </w:t>
      </w:r>
      <w:hyperlink r:id="rId430">
        <w:r>
          <w:rPr>
            <w:color w:val="1155CC"/>
            <w:u w:val="single"/>
          </w:rPr>
          <w:t>10.1002/aenm.71346</w:t>
        </w:r>
      </w:hyperlink>
    </w:p>
    <w:p>
      <w:pPr>
        <w:spacing w:before="0" w:after="120"/>
      </w:pPr>
      <w:r>
        <w:rPr>
          <w:b/>
        </w:rPr>
        <w:t xml:space="preserve">Notes: </w:t>
      </w:r>
      <w:r>
        <w:t>abstract_source=openalex</w:t>
      </w:r>
    </w:p>
    <w:p>
      <w:pPr>
        <w:spacing w:before="0" w:after="80" w:lineRule="auto" w:line="276"/>
      </w:pPr>
      <w:r>
        <w:rPr>
          <w:b/>
        </w:rPr>
        <w:t xml:space="preserve">摘要（ZH）: </w:t>
      </w:r>
      <w:r>
        <w:t>绿色制氢大孔吸湿性聚丙烯酰胺珠从干燥空气中提取水分，并利用回收的废热释放热蒸汽进行质子陶瓷电解。该蒸汽供给系统可实现连续、高效、无液态水的绿色氢气生产，克服了干旱地区可再生能源丰富与淡水稀缺之间的不匹配。更多内容请参见文章编号 e71199，作者：Yingle Tao、Chuan Zhou、Haiqing Li、Wei Zhou 及其同事。</w:t>
      </w:r>
    </w:p>
    <w:p>
      <w:pPr>
        <w:spacing w:before="0" w:after="200" w:lineRule="auto" w:line="276"/>
      </w:pPr>
      <w:r>
        <w:rPr>
          <w:b/>
        </w:rPr>
        <w:t xml:space="preserve">Abstract (EN): </w:t>
      </w:r>
      <w:r>
        <w:t>Green Hydrogen Production Macroporous hygroscopic polyacrylamide beads extract moisture from dry air and release hot vapor using recycled waste heat for protonic ceramic electrolysis. The vapor-fed system enables continuous, efficient, liquid-water-free green hydrogen production, overcoming the mismatch between renewable energy abundance and freshwater scarcity in arid regions. More in article number e71199, Yingle Tao, Chuan Zhou, Haiqing Li, Wei Zhou, and co-workers.</w:t>
      </w:r>
    </w:p>
    <w:p>
      <w:pPr>
        <w:spacing w:before="120" w:after="120"/>
      </w:pPr>
      <w:r>
        <w:rPr>
          <w:sz w:val="18"/>
        </w:rPr>
        <w:t>——————————————————————————————————————————————————————————————————————</w:t>
      </w:r>
    </w:p>
    <w:p>
      <w:pPr>
        <w:spacing w:before="160" w:after="40" w:line="240" w:lineRule="auto"/>
      </w:pPr>
      <w:r>
        <w:rPr>
          <w:b/>
        </w:rPr>
        <w:t xml:space="preserve">[32] </w:t>
      </w:r>
      <w:hyperlink r:id="rId431">
        <w:r>
          <w:rPr>
            <w:color w:val="1155CC"/>
            <w:u w:val="single"/>
          </w:rPr>
          <w:t>等离子体工程碳分子筛膜可实现精确稳定的氢渗透</w:t>
        </w:r>
      </w:hyperlink>
    </w:p>
    <w:p>
      <w:pPr>
        <w:spacing w:before="0" w:after="80"/>
      </w:pPr>
      <w:r>
        <w:rPr>
          <w:i/>
          <w:sz w:val="20"/>
        </w:rPr>
        <w:t>EN: Plasma engineered carbon molecular sieve membranes for precise and stable hydrogen permeation</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432">
        <w:r>
          <w:rPr>
            <w:color w:val="1155CC"/>
            <w:u w:val="single"/>
          </w:rPr>
          <w:t>10.1126/sciadv.aee7783</w:t>
        </w:r>
      </w:hyperlink>
    </w:p>
    <w:p>
      <w:pPr>
        <w:spacing w:before="0" w:after="120"/>
      </w:pPr>
      <w:r>
        <w:rPr>
          <w:b/>
        </w:rPr>
        <w:t xml:space="preserve">Notes: </w:t>
      </w:r>
      <w:r>
        <w:t>abstract_source=crossref</w:t>
      </w:r>
    </w:p>
    <w:p>
      <w:pPr>
        <w:spacing w:before="0" w:after="80" w:lineRule="auto" w:line="276"/>
      </w:pPr>
      <w:r>
        <w:rPr>
          <w:b/>
        </w:rPr>
        <w:t xml:space="preserve">摘要（ZH）: </w:t>
      </w:r>
      <w:r>
        <w:t>碳分子筛 (CMS) 膜代表了聚合物的高性能替代品，超越了传统聚合物膜中常见的渗透性和选择性之间的权衡限制。它们的功效源于精确的分子筛分机制，可实现卓越的气体分离性能。然而，微调其微孔结构以实现动力学直径差异较小的气体分子对的有效动力学分离仍然是一个挑战。我们证明，简单的等离子体处理可以从根本上改变 CMS 结构，驱动超选择性分子氢 (H</w:t>
      </w:r>
      <w:r>
        <w:rPr>
          <w:vertAlign w:val="subscript"/>
        </w:rPr>
        <w:t>2</w:t>
      </w:r>
      <w:r>
        <w:t>) 分离二氧化碳 (CO</w:t>
      </w:r>
      <w:r>
        <w:rPr>
          <w:vertAlign w:val="subscript"/>
        </w:rPr>
        <w:t>2</w:t>
      </w:r>
      <w:r>
        <w:t>）和甲烷（CH</w:t>
      </w:r>
      <w:r>
        <w:rPr>
          <w:vertAlign w:val="subscript"/>
        </w:rPr>
        <w:t>4</w:t>
      </w:r>
      <w:r>
        <w:t>），并在一年的物理老化过程中稳定结构。使用两种类型的等离子体，即氮源和氩源，这两种等离子体都通过产生缺陷或将氮原子掺入碳层和碳链中来诱导表面氧化，从而与原始 CMS 结构相比，导致超微孔性的明显发展。这些结构修改导致分离性能显着提高。经过等离子体处理的膜的 H 值提高了 40 倍以上</w:t>
      </w:r>
      <w:r>
        <w:rPr>
          <w:vertAlign w:val="subscript"/>
        </w:rPr>
        <w:t>2</w:t>
      </w:r>
      <w:r>
        <w:t>/CO</w:t>
      </w:r>
      <w:r>
        <w:rPr>
          <w:vertAlign w:val="subscript"/>
        </w:rPr>
        <w:t>2</w:t>
      </w:r>
      <w:r>
        <w:t>选择性和 H 增加超过 137 倍</w:t>
      </w:r>
      <w:r>
        <w:rPr>
          <w:vertAlign w:val="subscript"/>
        </w:rPr>
        <w:t>2</w:t>
      </w:r>
      <w:r>
        <w:t>/CH</w:t>
      </w:r>
      <w:r>
        <w:rPr>
          <w:vertAlign w:val="subscript"/>
        </w:rPr>
        <w:t>4</w:t>
      </w:r>
      <w:r>
        <w:t>与原始膜相比的选择性，同时保持</w:t>
      </w:r>
    </w:p>
    <w:p>
      <w:pPr>
        <w:spacing w:before="0" w:after="200" w:lineRule="auto" w:line="276"/>
      </w:pPr>
      <w:r>
        <w:rPr>
          <w:b/>
        </w:rPr>
        <w:t xml:space="preserve">Abstract (EN): </w:t>
      </w:r>
      <w:r>
        <w:t>Carbon molecular sieve (CMS) membranes represent a high-performance alternative to polymers, surpassing the trade-off limits between permeability and selectivity typically seen in conventional polymeric membranes. Their efficacy stems from a precise molecular sieving mechanism, enabling exceptional gas separation performance. However, a challenge persists in fine-tuning their microporous structure to achieve effective kinetic separation of gas molecule pairs with small differences in kinetic diameter. We demonstrate that simple plasma treatment can fundamentally alter the CMS structures, drive ultraselective molecular hydrogen (H</w:t>
      </w:r>
      <w:r>
        <w:rPr>
          <w:vertAlign w:val="subscript"/>
        </w:rPr>
        <w:t>2</w:t>
      </w:r>
      <w:r>
        <w:t>) separation over carbon dioxide (CO</w:t>
      </w:r>
      <w:r>
        <w:rPr>
          <w:vertAlign w:val="subscript"/>
        </w:rPr>
        <w:t>2</w:t>
      </w:r>
      <w:r>
        <w:t>) and methane (CH</w:t>
      </w:r>
      <w:r>
        <w:rPr>
          <w:vertAlign w:val="subscript"/>
        </w:rPr>
        <w:t>4</w:t>
      </w:r>
      <w:r>
        <w:t>), and stabilize the structures over a year of physical aging. Two types of plasma, nitrogen- and argon-derived, were used, both of which induced surface oxidation by creating defects or incorporating nitrogen atoms into the carbon layer and strands, leading to distinct development of ultramicroporosity compared to pristine CMS structures. These structural modifications resulted in marked improvements in separation performance. The plasma-treated membranes achieved over 40-fold increases in H</w:t>
      </w:r>
      <w:r>
        <w:rPr>
          <w:vertAlign w:val="subscript"/>
        </w:rPr>
        <w:t>2</w:t>
      </w:r>
      <w:r>
        <w:t>/CO</w:t>
      </w:r>
      <w:r>
        <w:rPr>
          <w:vertAlign w:val="subscript"/>
        </w:rPr>
        <w:t>2</w:t>
      </w:r>
      <w:r>
        <w:t>selectivity and over 137-fold increases in H</w:t>
      </w:r>
      <w:r>
        <w:rPr>
          <w:vertAlign w:val="subscript"/>
        </w:rPr>
        <w:t>2</w:t>
      </w:r>
      <w:r>
        <w:t>/CH</w:t>
      </w:r>
      <w:r>
        <w:rPr>
          <w:vertAlign w:val="subscript"/>
        </w:rPr>
        <w:t>4</w:t>
      </w:r>
      <w:r>
        <w:t>selectivity compared to the pristine membrane, while maintaining high H</w:t>
      </w:r>
      <w:r>
        <w:rPr>
          <w:vertAlign w:val="subscript"/>
        </w:rPr>
        <w:t>2</w:t>
      </w:r>
      <w:r>
        <w:t>permeabilities of over 1000 Barrers, surpassing the current upper bound set by CMS membranes. When combined with high-temperature pyrolysis, the plasma-treated membrane exhibited a record-high combination of H</w:t>
      </w:r>
      <w:r>
        <w:rPr>
          <w:vertAlign w:val="subscript"/>
        </w:rPr>
        <w:t>2</w:t>
      </w:r>
      <w:r>
        <w:t>permeability (exceeding 100 Barrers) and H</w:t>
      </w:r>
      <w:r>
        <w:rPr>
          <w:vertAlign w:val="subscript"/>
        </w:rPr>
        <w:t>2</w:t>
      </w:r>
      <w:r>
        <w:t>/CO</w:t>
      </w:r>
      <w:r>
        <w:rPr>
          <w:vertAlign w:val="subscript"/>
        </w:rPr>
        <w:t>2</w:t>
      </w:r>
      <w:r>
        <w:t>selectivity (exceeding 260). Plasma-treated CMS membranes demonstrated exceptional stability over 14 months of aging, with less than 10% variation in observed performance. This study establishes plasma treatment as a powerful strategy, delivering CMS membranes with both enhanced separation performance and remarkable long-term stability.</w:t>
      </w:r>
    </w:p>
    <w:p>
      <w:pPr>
        <w:spacing w:before="120" w:after="120"/>
      </w:pPr>
      <w:r>
        <w:rPr>
          <w:sz w:val="18"/>
        </w:rPr>
        <w:t>——————————————————————————————————————————————————————————————————————</w:t>
      </w:r>
    </w:p>
    <w:p>
      <w:pPr>
        <w:spacing w:before="160" w:after="40" w:line="240" w:lineRule="auto"/>
      </w:pPr>
      <w:r>
        <w:rPr>
          <w:b/>
        </w:rPr>
        <w:t xml:space="preserve">[33] </w:t>
      </w:r>
      <w:hyperlink r:id="rId433">
        <w:r>
          <w:rPr>
            <w:color w:val="1155CC"/>
            <w:u w:val="single"/>
          </w:rPr>
          <w:t>电催化氘化硝酸还原为氘化氨</w:t>
        </w:r>
      </w:hyperlink>
    </w:p>
    <w:p>
      <w:pPr>
        <w:spacing w:before="0" w:after="80"/>
      </w:pPr>
      <w:r>
        <w:rPr>
          <w:i/>
          <w:sz w:val="20"/>
        </w:rPr>
        <w:t>EN: Electrocatalytic Deuterated Nitric Acid Reduction to Deuterated Ammonia</w:t>
      </w:r>
    </w:p>
    <w:p>
      <w:pPr>
        <w:spacing w:before="0" w:after="120"/>
      </w:pPr>
      <w:r>
        <w:rPr>
          <w:b/>
        </w:rPr>
        <w:t xml:space="preserve">Source: </w:t>
      </w:r>
      <w:r>
        <w:t>Wiley: Angewandte Chemie International Edition: Table of Contents</w:t>
      </w:r>
      <w:r>
        <w:t xml:space="preserve">    </w:t>
      </w:r>
      <w:r>
        <w:rPr>
          <w:b/>
        </w:rPr>
        <w:t xml:space="preserve">Pub date: </w:t>
      </w:r>
      <w:r>
        <w:t>2026-08-26 07:07:22+00:00</w:t>
      </w:r>
      <w:r>
        <w:t xml:space="preserve">    </w:t>
      </w:r>
      <w:r>
        <w:rPr>
          <w:b/>
        </w:rPr>
        <w:t xml:space="preserve">DOI: </w:t>
      </w:r>
      <w:hyperlink r:id="rId434">
        <w:r>
          <w:rPr>
            <w:color w:val="1155CC"/>
            <w:u w:val="single"/>
          </w:rPr>
          <w:t>10.1002/anie.1338385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电催化硝酸盐（NO</w:t>
      </w:r>
      <w:r>
        <w:rPr>
          <w:vertAlign w:val="subscript"/>
        </w:rPr>
        <w:t>3</w:t>
      </w:r>
      <w:r>
        <w:t>-</w:t>
      </w:r>
      <w:r>
        <w:t>）氘代反应（ENDR）为氘代氨（ND</w:t>
      </w:r>
      <w:r>
        <w:rPr>
          <w:vertAlign w:val="subscript"/>
        </w:rPr>
        <w:t>3</w:t>
      </w:r>
      <w:r>
        <w:t>）。目前的研究主要集中在碱性电解质上，由于高 D 值，碱性电解质会遭受电池电压过高的问题。</w:t>
      </w:r>
      <w:r>
        <w:rPr>
          <w:vertAlign w:val="subscript"/>
        </w:rPr>
        <w:t>2</w:t>
      </w:r>
      <w:r>
        <w:t>O 解离能。氘代硝酸（DNO</w:t>
      </w:r>
      <w:r>
        <w:rPr>
          <w:vertAlign w:val="subscript"/>
        </w:rPr>
        <w:t>3</w:t>
      </w:r>
      <w:r>
        <w:t>）溶液可以提供丰富的D</w:t>
      </w:r>
      <w:r>
        <w:rPr>
          <w:vertAlign w:val="subscript"/>
        </w:rPr>
        <w:t>3</w:t>
      </w:r>
      <w:r>
        <w:t>氧</w:t>
      </w:r>
      <w:r>
        <w:t xml:space="preserve"> </w:t>
      </w:r>
      <w:r>
        <w:t>+</w:t>
      </w:r>
      <w:r>
        <w:t xml:space="preserve"> </w:t>
      </w:r>
      <w:r>
        <w:t>源并且很容易通过NO形成</w:t>
      </w:r>
      <w:r>
        <w:t xml:space="preserve"> </w:t>
      </w:r>
      <w:r>
        <w:t>x</w:t>
      </w:r>
      <w:r>
        <w:t xml:space="preserve"> </w:t>
      </w:r>
      <w:r>
        <w:t>直接吸收纯 D</w:t>
      </w:r>
      <w:r>
        <w:rPr>
          <w:vertAlign w:val="subscript"/>
        </w:rPr>
        <w:t>2</w:t>
      </w:r>
      <w:r>
        <w:t>然而，酸性条件不可避免地会引发竞争性析氢反应（DER）和严重的电催化剂失活。在此，我们设计并构建了锚定在介孔碳球上的低配位 Rh 纳米团簇 (Rh NCs/MCS)，它在 200 小时内表现出出色的长期 ENDR 稳定性，在纯 DNO 中法拉第效率超过 80%</w:t>
      </w:r>
      <w:r>
        <w:rPr>
          <w:vertAlign w:val="subscript"/>
        </w:rPr>
        <w:t>3</w:t>
      </w:r>
      <w:r>
        <w:t>。一系列表征表明低配位结构增强了*NO的吸附</w:t>
      </w:r>
      <w:r>
        <w:rPr>
          <w:vertAlign w:val="subscript"/>
        </w:rPr>
        <w:t>2</w:t>
      </w:r>
      <w:r>
        <w:t>，而MCS可以积累亚硝酸盐并减少D</w:t>
      </w:r>
      <w:r>
        <w:rPr>
          <w:vertAlign w:val="subscript"/>
        </w:rPr>
        <w:t>3</w:t>
      </w:r>
      <w:r>
        <w:t>氧</w:t>
      </w:r>
      <w:r>
        <w:t xml:space="preserve"> </w:t>
      </w:r>
      <w:r>
        <w:t>+</w:t>
      </w:r>
      <w:r>
        <w:t xml:space="preserve"> </w:t>
      </w:r>
      <w:r>
        <w:t>Rh 活性位点附近的浓度。双重积极效应可以提高 ND</w:t>
      </w:r>
    </w:p>
    <w:p>
      <w:pPr>
        <w:spacing w:before="0" w:after="200" w:lineRule="auto" w:line="276"/>
      </w:pPr>
      <w:r>
        <w:rPr>
          <w:b/>
        </w:rPr>
        <w:t xml:space="preserve">Abstract (EN): </w:t>
      </w:r>
      <w:r>
        <w:t>Electrocatalytic nitrate (NO</w:t>
      </w:r>
      <w:r>
        <w:rPr>
          <w:vertAlign w:val="subscript"/>
        </w:rPr>
        <w:t>3</w:t>
      </w:r>
      <w:r>
        <w:t>−</w:t>
      </w:r>
      <w:r>
        <w:t>) deuteration reaction (ENDR) offers a sustainable route for the distributed synthesis of deuterated ammonia (ND</w:t>
      </w:r>
      <w:r>
        <w:rPr>
          <w:vertAlign w:val="subscript"/>
        </w:rPr>
        <w:t>3</w:t>
      </w:r>
      <w:r>
        <w:t>). Present studies focus on alkaline electrolytes, which suffer from excessive cell voltage due to the high D</w:t>
      </w:r>
      <w:r>
        <w:rPr>
          <w:vertAlign w:val="subscript"/>
        </w:rPr>
        <w:t>2</w:t>
      </w:r>
      <w:r>
        <w:t>O dissociation energy. The deuterated nitric acid (DNO</w:t>
      </w:r>
      <w:r>
        <w:rPr>
          <w:vertAlign w:val="subscript"/>
        </w:rPr>
        <w:t>3</w:t>
      </w:r>
      <w:r>
        <w:t>) solution can supply an abundant D</w:t>
      </w:r>
      <w:r>
        <w:rPr>
          <w:vertAlign w:val="subscript"/>
        </w:rPr>
        <w:t>3</w:t>
      </w:r>
      <w:r>
        <w:t>O</w:t>
      </w:r>
      <w:r>
        <w:t xml:space="preserve"> </w:t>
      </w:r>
      <w:r>
        <w:t>+</w:t>
      </w:r>
      <w:r>
        <w:t xml:space="preserve"> </w:t>
      </w:r>
      <w:r>
        <w:t>source and be easily formed via NO</w:t>
      </w:r>
      <w:r>
        <w:t xml:space="preserve"> </w:t>
      </w:r>
      <w:r>
        <w:t>x</w:t>
      </w:r>
      <w:r>
        <w:t xml:space="preserve"> </w:t>
      </w:r>
      <w:r>
        <w:t>direct absorption in pure D</w:t>
      </w:r>
      <w:r>
        <w:rPr>
          <w:vertAlign w:val="subscript"/>
        </w:rPr>
        <w:t>2</w:t>
      </w:r>
      <w:r>
        <w:t>O. However, the acidic condition inevitably triggers the competing deuterium evolution reaction (DER) and severe electrocatalyst deactivation. Herein, we design and construct low‐coordinate Rh nanoclusters anchored on mesoporous carbon spheres (Rh NCs/MCS), which exhibits an outstanding long‐term ENDR stability over 200 h with a Faradaic Efficiency exceeding 80% in pure DNO</w:t>
      </w:r>
      <w:r>
        <w:rPr>
          <w:vertAlign w:val="subscript"/>
        </w:rPr>
        <w:t>3</w:t>
      </w:r>
      <w:r>
        <w:t>. A series of characterizations reveal that low‐coordinate structure enhances the adsorption of *NO</w:t>
      </w:r>
      <w:r>
        <w:rPr>
          <w:vertAlign w:val="subscript"/>
        </w:rPr>
        <w:t>2</w:t>
      </w:r>
      <w:r>
        <w:t>, while the MCS could accumulate nitrite and decrease D</w:t>
      </w:r>
      <w:r>
        <w:rPr>
          <w:vertAlign w:val="subscript"/>
        </w:rPr>
        <w:t>3</w:t>
      </w:r>
      <w:r>
        <w:t>O</w:t>
      </w:r>
      <w:r>
        <w:t xml:space="preserve"> </w:t>
      </w:r>
      <w:r>
        <w:t>+</w:t>
      </w:r>
      <w:r>
        <w:t xml:space="preserve"> </w:t>
      </w:r>
      <w:r>
        <w:t>concentration near Rh active sites. The dual‐positive effects could boost the ND</w:t>
      </w:r>
      <w:r>
        <w:rPr>
          <w:vertAlign w:val="subscript"/>
        </w:rPr>
        <w:t>4</w:t>
      </w:r>
      <w:r>
        <w:t>+</w:t>
      </w:r>
      <w:r>
        <w:t xml:space="preserve"> </w:t>
      </w:r>
      <w:r>
        <w:t>selectivity and inhibit the competing DER. Furthermore, a high ND</w:t>
      </w:r>
      <w:r>
        <w:rPr>
          <w:vertAlign w:val="subscript"/>
        </w:rPr>
        <w:t>4</w:t>
      </w:r>
      <w:r>
        <w:t>+</w:t>
      </w:r>
      <w:r>
        <w:t xml:space="preserve"> </w:t>
      </w:r>
      <w:r>
        <w:t>yield (6.15 mmol h</w:t>
      </w:r>
      <w:r>
        <w:t xml:space="preserve"> </w:t>
      </w:r>
      <w:r>
        <w:t>−1</w:t>
      </w:r>
      <w:r>
        <w:t xml:space="preserve"> </w:t>
      </w:r>
      <w:r>
        <w:t>) at industrial current densities (240 mA cm</w:t>
      </w:r>
      <w:r>
        <w:t xml:space="preserve"> </w:t>
      </w:r>
      <w:r>
        <w:t>−2</w:t>
      </w:r>
      <w:r>
        <w:t xml:space="preserve"> </w:t>
      </w:r>
      <w:r>
        <w:t>) is achieved in a scaled‐up electrolytic system. This work establishes a new paradigm for distributed ND</w:t>
      </w:r>
      <w:r>
        <w:rPr>
          <w:vertAlign w:val="subscript"/>
        </w:rPr>
        <w:t>3</w:t>
      </w:r>
      <w:r>
        <w:t>synthesis and provides a universal principle for designing robust acidic electrocatalysts.</w:t>
      </w:r>
    </w:p>
    <w:p>
      <w:pPr>
        <w:spacing w:before="120" w:after="120"/>
      </w:pPr>
      <w:r>
        <w:rPr>
          <w:sz w:val="18"/>
        </w:rPr>
        <w:t>——————————————————————————————————————————————————————————————————————</w:t>
      </w:r>
    </w:p>
    <w:p>
      <w:pPr>
        <w:spacing w:before="160" w:after="40" w:line="240" w:lineRule="auto"/>
      </w:pPr>
      <w:r>
        <w:rPr>
          <w:b/>
        </w:rPr>
        <w:t xml:space="preserve">[34] </w:t>
      </w:r>
      <w:hyperlink r:id="rId435">
        <w:r>
          <w:rPr>
            <w:color w:val="1155CC"/>
            <w:u w:val="single"/>
          </w:rPr>
          <w:t>光激活的双位点途径能够从十二氢-N-乙基咔唑中有效释放氢</w:t>
        </w:r>
      </w:hyperlink>
    </w:p>
    <w:p>
      <w:pPr>
        <w:spacing w:before="0" w:after="80"/>
      </w:pPr>
      <w:r>
        <w:rPr>
          <w:i/>
          <w:sz w:val="20"/>
        </w:rPr>
        <w:t>EN: Light‐Activated Dual‐Site Pathway Enables Efficient Hydrogen Release From Dodecahydro‐N‐ethylcarbazole</w:t>
      </w:r>
    </w:p>
    <w:p>
      <w:pPr>
        <w:spacing w:before="0" w:after="120"/>
      </w:pPr>
      <w:r>
        <w:rPr>
          <w:b/>
        </w:rPr>
        <w:t xml:space="preserve">Source: </w:t>
      </w:r>
      <w:r>
        <w:t>Wiley: Angewandte Chemie International Edition: Table of Contents</w:t>
      </w:r>
      <w:r>
        <w:t xml:space="preserve">    </w:t>
      </w:r>
      <w:r>
        <w:rPr>
          <w:b/>
        </w:rPr>
        <w:t xml:space="preserve">Pub date: </w:t>
      </w:r>
      <w:r>
        <w:t>2026-08-26 07:26:18+00:00</w:t>
      </w:r>
      <w:r>
        <w:t xml:space="preserve">    </w:t>
      </w:r>
      <w:r>
        <w:rPr>
          <w:b/>
        </w:rPr>
        <w:t xml:space="preserve">DOI: </w:t>
      </w:r>
      <w:hyperlink r:id="rId436">
        <w:r>
          <w:rPr>
            <w:color w:val="1155CC"/>
            <w:u w:val="single"/>
          </w:rPr>
          <w:t>10.1002/anie.1230832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十二氢-N-乙基咔唑（12H-NEC）是一种有前途的液态有机氢载体（LOHC），但即使与最有效的钯基催化剂相比，其实际应用仍然受到缓慢的脱氢动力学和对外部加热的极度依赖的限制。在这里，我们确定高势垒的脱氢步骤是 12H-NEC 脱氢的精确动力学瓶颈，这一点仍未得到充分探索。为了有效克服这一限制，我们报告了一种光激活双位点除氢途径，该途径使用有缺陷的氮掺杂二氧化钛负载的钯纳米颗粒</w:t>
      </w:r>
      <w:r>
        <w:rPr>
          <w:vertAlign w:val="subscript"/>
        </w:rPr>
        <w:t>2</w:t>
      </w:r>
      <w:r>
        <w:t>。在辐照下，电荷从载体转移到 Pd 削弱了 Pd-H 相互作用，而载体上积累的空穴促进氢溢出到 Ti 缺陷位点，与 Pd-H 一起产生减弱的 Ti-H 物种。由此，通过将 Pd-H 和 Ti-H 结合起来，启动了新的氢形成双位点途径，总体脱氢势垒仅为 0.46 eV，比传统的热 Pd 局域途径低 0.74 eV，从而产生了 42 倍高的 H</w:t>
      </w:r>
      <w:r>
        <w:rPr>
          <w:vertAlign w:val="subscript"/>
        </w:rPr>
        <w:t>2</w:t>
      </w:r>
      <w:r>
        <w:t>相对于 140°C 黑暗条件的释放速率。即使在没有外部加热的集中自然阳光下，也能接近完全脱氢，脱氢能力为 5.65 wt.% H</w:t>
      </w:r>
      <w:r>
        <w:rPr>
          <w:vertAlign w:val="subscript"/>
        </w:rPr>
        <w:t>2</w:t>
      </w:r>
      <w:r>
        <w:t>12H-NEC 可以在 1 小时内实现。这项工作为无需二次能量输入的 LOHC 实际储氢应用描绘了一条有前途的路线。</w:t>
      </w:r>
    </w:p>
    <w:p>
      <w:pPr>
        <w:spacing w:before="0" w:after="200" w:lineRule="auto" w:line="276"/>
      </w:pPr>
      <w:r>
        <w:rPr>
          <w:b/>
        </w:rPr>
        <w:t xml:space="preserve">Abstract (EN): </w:t>
      </w:r>
      <w:r>
        <w:t>Dodecahydro‐N‐ethylcarbazole (12H‐NEC) is a promising liquid organic hydrogen carrier (LOHC), yet its practical application is still constrained by slow dehydrogenation kinetics and extreme reliance on external heating even over most effective Pd‐based catalysts. Here we identify that the hydrogen removal step with a high barrier is the precise kinetic bottleneck of 12H‐NEC dehydrogenation, which remains underexplored. To effectively overcome this limitation, we report a light‐activated dual‐site hydrogen removal pathway using Pd nanoparticles supported on defective N‐doped TiO</w:t>
      </w:r>
      <w:r>
        <w:rPr>
          <w:vertAlign w:val="subscript"/>
        </w:rPr>
        <w:t>2</w:t>
      </w:r>
      <w:r>
        <w:t>. Under irradiation, charge transfer from the support to Pd weakens Pd‐H interactions, while accumulated holes on the support promote hydrogen spillover to Ti defect sites, generating weakened Ti‐H species alongside Pd‐H. This thereby initiates a new hydrogen formation dual‐site pathway by combining Pd‐H and Ti‐H with an overall dehydrogenation barrier of 0.46 eV only, 0.74 eV lower than the conventional thermal Pd‐localized pathway, resulting in a 42‐fold higher H</w:t>
      </w:r>
      <w:r>
        <w:rPr>
          <w:vertAlign w:val="subscript"/>
        </w:rPr>
        <w:t>2</w:t>
      </w:r>
      <w:r>
        <w:t>release rate relative to dark conditions at 140°C. Even under concentrated natural sunlight without external heating, near‐complete dehydrogenation with a capacity of 5.65 wt.% H</w:t>
      </w:r>
      <w:r>
        <w:rPr>
          <w:vertAlign w:val="subscript"/>
        </w:rPr>
        <w:t>2</w:t>
      </w:r>
      <w:r>
        <w:t>within 1 h is achieved from 12H‐NEC. This work charts a promising course for practical hydrogen storage applications of LOHCs without secondary energy input.</w:t>
      </w:r>
    </w:p>
    <w:p>
      <w:pPr>
        <w:spacing w:before="120" w:after="120"/>
      </w:pPr>
      <w:r>
        <w:rPr>
          <w:sz w:val="18"/>
        </w:rPr>
        <w:t>——————————————————————————————————————————————————————————————————————</w:t>
      </w:r>
    </w:p>
    <w:p>
      <w:pPr>
        <w:spacing w:before="160" w:after="40" w:line="240" w:lineRule="auto"/>
      </w:pPr>
      <w:r>
        <w:rPr>
          <w:b/>
        </w:rPr>
        <w:t xml:space="preserve">[35] </w:t>
      </w:r>
      <w:hyperlink r:id="rId437">
        <w:r>
          <w:rPr>
            <w:color w:val="1155CC"/>
            <w:u w:val="single"/>
          </w:rPr>
          <w:t>用于高效光催化 N2 还原的手性介观结构的不对称偶极子场工程</w:t>
        </w:r>
      </w:hyperlink>
    </w:p>
    <w:p>
      <w:pPr>
        <w:spacing w:before="0" w:after="80"/>
      </w:pPr>
      <w:r>
        <w:rPr>
          <w:i/>
          <w:sz w:val="20"/>
        </w:rPr>
        <w:t>EN: Asymmetric Dipole‐Field Engineering in Chiral Mesostructures for Efficient Photocatalytic N2 Reduction</w:t>
      </w:r>
    </w:p>
    <w:p>
      <w:pPr>
        <w:spacing w:before="0" w:after="120"/>
      </w:pPr>
      <w:r>
        <w:rPr>
          <w:b/>
        </w:rPr>
        <w:t xml:space="preserve">Source: </w:t>
      </w:r>
      <w:r>
        <w:t>Wiley: Angewandte Chemie International Edition: Table of Contents</w:t>
      </w:r>
      <w:r>
        <w:t xml:space="preserve">    </w:t>
      </w:r>
      <w:r>
        <w:rPr>
          <w:b/>
        </w:rPr>
        <w:t xml:space="preserve">Pub date: </w:t>
      </w:r>
      <w:r>
        <w:t>2026-08-27 04:24:24+00:00</w:t>
      </w:r>
      <w:r>
        <w:t xml:space="preserve">    </w:t>
      </w:r>
      <w:r>
        <w:rPr>
          <w:b/>
        </w:rPr>
        <w:t xml:space="preserve">DOI: </w:t>
      </w:r>
      <w:hyperlink r:id="rId438">
        <w:r>
          <w:rPr>
            <w:color w:val="1155CC"/>
            <w:u w:val="single"/>
          </w:rPr>
          <w:t>10.1002/anie.9685756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具有螺旋表面的手性介观结构作为太阳能驱动氮（N</w:t>
      </w:r>
      <w:r>
        <w:rPr>
          <w:vertAlign w:val="subscript"/>
        </w:rPr>
        <w:t>2</w:t>
      </w:r>
      <w:r>
        <w:t>）光转换。尽管如此，同时增强极化电荷分离，提高 N</w:t>
      </w:r>
      <w:r>
        <w:rPr>
          <w:vertAlign w:val="subscript"/>
        </w:rPr>
        <w:t>2</w:t>
      </w:r>
      <w:r>
        <w:t>捕获和优化催化效率仍然是提高此类纳米反应器性能的关键挑战。在此，我们通过设计酸碱路易斯配位来实现Bi之间的多齿配位，成功构建了空间受限的Fe掺杂BiOBr手性介观结构。</w:t>
      </w:r>
      <w:r>
        <w:t xml:space="preserve"> </w:t>
      </w:r>
      <w:r>
        <w:t>3+</w:t>
      </w:r>
      <w:r>
        <w:t xml:space="preserve"> </w:t>
      </w:r>
      <w:r>
        <w:t>和山梨糖醇。这种精确设计的螺旋表面受限结构不仅阐明了受限表面几何形状对 N 的影响</w:t>
      </w:r>
      <w:r>
        <w:rPr>
          <w:vertAlign w:val="subscript"/>
        </w:rPr>
        <w:t>2</w:t>
      </w:r>
      <w:r>
        <w:t>吸附行为还表明，不对称偶极场增强了光催化过程中的各向异性电荷分离，从而显着改善了光催化 NH</w:t>
      </w:r>
      <w:r>
        <w:rPr>
          <w:vertAlign w:val="subscript"/>
        </w:rPr>
        <w:t>3</w:t>
      </w:r>
      <w:r>
        <w:t>生产性能。值得注意的是，在模拟太阳辐射下，优化的手性 Fe-BiOBr 约束反应器的光活性比原始 BiOBr 提高了约 8 倍。这项工作为手性介观结构光催化剂的设计建立了一个范例，其中螺旋表面结构作为受限反应器的固有组成部分，能够有效解耦不对称偶极子场效应</w:t>
      </w:r>
    </w:p>
    <w:p>
      <w:pPr>
        <w:spacing w:before="0" w:after="200" w:lineRule="auto" w:line="276"/>
      </w:pPr>
      <w:r>
        <w:rPr>
          <w:b/>
        </w:rPr>
        <w:t xml:space="preserve">Abstract (EN): </w:t>
      </w:r>
      <w:r>
        <w:t>Chiral mesostructures with helical surfaces hold significant potential as spatially confined nanoreactors for solar‐driven nitrogen (N</w:t>
      </w:r>
      <w:r>
        <w:rPr>
          <w:vertAlign w:val="subscript"/>
        </w:rPr>
        <w:t>2</w:t>
      </w:r>
      <w:r>
        <w:t>) photoconversion. Nevertheless, simultaneously enhancing polarized charge separation, improving N</w:t>
      </w:r>
      <w:r>
        <w:rPr>
          <w:vertAlign w:val="subscript"/>
        </w:rPr>
        <w:t>2</w:t>
      </w:r>
      <w:r>
        <w:t>capture, and optimizing catalytic efficiency remains a critical challenge in advancing the performance of such nanoreactors. Herein, we successfully constructed a spatially confined Fe‐doped BiOBr chiral mesostructure by designing acid–base Lewis coordination to enable multidentate coordination between Bi</w:t>
      </w:r>
      <w:r>
        <w:t xml:space="preserve"> </w:t>
      </w:r>
      <w:r>
        <w:t>3+</w:t>
      </w:r>
      <w:r>
        <w:t xml:space="preserve"> </w:t>
      </w:r>
      <w:r>
        <w:t>and sorbitol. This precisely engineered helical surface‐confined architecture not only elucidates the influence of confined surface geometry on N</w:t>
      </w:r>
      <w:r>
        <w:rPr>
          <w:vertAlign w:val="subscript"/>
        </w:rPr>
        <w:t>2</w:t>
      </w:r>
      <w:r>
        <w:t>adsorption behavior but also demonstrates that the asymmetric dipole field enhances anisotropic charge separation during photocatalysis, leading to a significantly improved photocatalytic NH</w:t>
      </w:r>
      <w:r>
        <w:rPr>
          <w:vertAlign w:val="subscript"/>
        </w:rPr>
        <w:t>3</w:t>
      </w:r>
      <w:r>
        <w:t>production performance. Notably, the optimized chiral Fe‐BiOBr confined reactor exhibits an approximately 8‐fold enhancement in photoactivity compared to pristine BiOBr under simulated solar irradiation. This work establishes a paradigm for the design of chiral mesostructured photocatalysts, wherein the helical surface architecture serves as an intrinsic component of the confined reactor, enabling effective decoupling of the asymmetric dipole field effect from confinement catalysis. This strategy provides a scalable pathway toward the development of efficient solar‐to‐chemical conversion systems.</w:t>
      </w:r>
    </w:p>
    <w:p>
      <w:pPr>
        <w:spacing w:before="120" w:after="120"/>
      </w:pPr>
      <w:r>
        <w:rPr>
          <w:sz w:val="18"/>
        </w:rPr>
        <w:t>——————————————————————————————————————————————————————————————————————</w:t>
      </w:r>
    </w:p>
    <w:p>
      <w:pPr>
        <w:spacing w:before="160" w:after="40" w:line="240" w:lineRule="auto"/>
      </w:pPr>
      <w:r>
        <w:rPr>
          <w:b/>
        </w:rPr>
        <w:t xml:space="preserve">[36] </w:t>
      </w:r>
      <w:hyperlink r:id="rId439">
        <w:r>
          <w:rPr>
            <w:color w:val="1155CC"/>
            <w:u w:val="single"/>
          </w:rPr>
          <w:t>机器学习揭示了铁基双原子催化剂中的角色不对称电子合作</w:t>
        </w:r>
      </w:hyperlink>
    </w:p>
    <w:p>
      <w:pPr>
        <w:spacing w:before="0" w:after="80"/>
      </w:pPr>
      <w:r>
        <w:rPr>
          <w:i/>
          <w:sz w:val="20"/>
        </w:rPr>
        <w:t>EN: Machine Learning Reveals Role‐Asymmetric Electronic Cooperation in Fe‐Based Dual‐Atom Catalysts</w:t>
      </w:r>
    </w:p>
    <w:p>
      <w:pPr>
        <w:spacing w:before="0" w:after="120"/>
      </w:pPr>
      <w:r>
        <w:rPr>
          <w:b/>
        </w:rPr>
        <w:t xml:space="preserve">Source: </w:t>
      </w:r>
      <w:r>
        <w:t>Wiley: Advanced Materials: Table of Contents</w:t>
      </w:r>
      <w:r>
        <w:t xml:space="preserve">    </w:t>
      </w:r>
      <w:r>
        <w:rPr>
          <w:b/>
        </w:rPr>
        <w:t xml:space="preserve">Pub date: </w:t>
      </w:r>
      <w:r>
        <w:t>2026-08-27 05:44:44+00:00</w:t>
      </w:r>
      <w:r>
        <w:t xml:space="preserve">    </w:t>
      </w:r>
      <w:r>
        <w:rPr>
          <w:b/>
        </w:rPr>
        <w:t xml:space="preserve">DOI: </w:t>
      </w:r>
      <w:hyperlink r:id="rId440">
        <w:r>
          <w:rPr>
            <w:color w:val="1155CC"/>
            <w:u w:val="single"/>
          </w:rPr>
          <w:t>10.1002/adma.74833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双原子催化剂（DAC）为氧电催化提供了强大的平台，但由于缺乏可转移的机械原理，合理的设计仍然受到限制。机器学习 (ML) 有潜力弥补这一差距，但尽管其在催化剂筛选中得到广泛应用，但其在机械发现中的作用在很大程度上仍未得到充分探索。在这里，使用扩展的酞菁（M</w:t>
      </w:r>
      <w:r>
        <w:rPr>
          <w:vertAlign w:val="subscript"/>
        </w:rPr>
        <w:t>1</w:t>
      </w:r>
      <w:r>
        <w:t>中号</w:t>
      </w:r>
      <w:r>
        <w:rPr>
          <w:vertAlign w:val="subscript"/>
        </w:rPr>
        <w:t>2</w:t>
      </w:r>
      <w:r>
        <w:t>‐ePc），我们建立了一个集成的 DFT-ML 实验框架，将催化性能映射到可解释的电子景观上。筛选 81 个 DFT 计算金属对和 360 个 ML 预测金属对，确定 FeM-ePc 是一种有前途的双功能催化剂家族。值得注意的是，SHApley Additive exPlanations (SHAP) 分析强调了电子背景的重要性以及第二金属在调节催化活性中的关键作用。第一原理计算进一步揭示了一种协作双描述符机制，其中 d 带中心和电荷转移共同控制双功能活动。将 LASSO 与 SISSO 相结合可生成可定量重现的紧凑分析公式</w:t>
      </w:r>
      <w:r>
        <w:t xml:space="preserve"> </w:t>
      </w:r>
      <w:r>
        <w:t>η</w:t>
      </w:r>
      <w:r>
        <w:t xml:space="preserve"> </w:t>
      </w:r>
      <w:r>
        <w:t>ORR</w:t>
      </w:r>
      <w:r>
        <w:t xml:space="preserve"> </w:t>
      </w:r>
      <w:r>
        <w:t>和</w:t>
      </w:r>
      <w:r>
        <w:t xml:space="preserve"> </w:t>
      </w:r>
      <w:r>
        <w:t>η</w:t>
      </w:r>
      <w:r>
        <w:t xml:space="preserve"> </w:t>
      </w:r>
      <w:r>
        <w:t>开放教育资源</w:t>
      </w:r>
      <w:r>
        <w:t xml:space="preserve"> </w:t>
      </w:r>
      <w:r>
        <w:t>，为 DAC 提供可解释的描述符。在这些发现的指导下，合成了具有原子分散的 Fe-Co 位点的 FeCo-ePc-L，以通过实验检验机器学习引导的预测。这项工作凸显了可解释机器学习的实用性</w:t>
      </w:r>
    </w:p>
    <w:p>
      <w:pPr>
        <w:spacing w:before="0" w:after="200" w:lineRule="auto" w:line="276"/>
      </w:pPr>
      <w:r>
        <w:rPr>
          <w:b/>
        </w:rPr>
        <w:t xml:space="preserve">Abstract (EN): </w:t>
      </w:r>
      <w:r>
        <w:t>Dual‐atom catalysts (DACs) provide a powerful platform for oxygen electrocatalysis, yet rational design remains limited by the lack of transferable mechanistic principles. Machine learning (ML) has the potential to address this gap, yet its role in mechanistic discovery remains largely underexplored despite its wide use in catalyst screening. Here, using extended phthalocyanines (M</w:t>
      </w:r>
      <w:r>
        <w:rPr>
          <w:vertAlign w:val="subscript"/>
        </w:rPr>
        <w:t>1</w:t>
      </w:r>
      <w:r>
        <w:t>M</w:t>
      </w:r>
      <w:r>
        <w:rPr>
          <w:vertAlign w:val="subscript"/>
        </w:rPr>
        <w:t>2</w:t>
      </w:r>
      <w:r>
        <w:t>‐ePc), we establish an integrated DFT‐ML‐experiment framework that maps catalytic performance onto an interpretable electronic landscape. Screening 81 DFT‐computed and 360 ML‐predicted metal pairs identifies FeM‐ePc as a promising bifunctional catalyst family. Notably, SHapley Additive exPlanations (SHAP) analysis highlights the importance of electronic background and the key role of the secondary metal in regulating catalytic activity. First‐principles calculations further uncover a cooperative dual‐descriptor mechanism, in which d‐band center and charge transfer jointly govern bifunctional activity. Combining LASSO with SISSO yields compact analytical formulas that quantitatively reproduce</w:t>
      </w:r>
      <w:r>
        <w:t xml:space="preserve"> </w:t>
      </w:r>
      <w:r>
        <w:t>η</w:t>
      </w:r>
      <w:r>
        <w:t xml:space="preserve"> </w:t>
      </w:r>
      <w:r>
        <w:t>ORR</w:t>
      </w:r>
      <w:r>
        <w:t xml:space="preserve"> </w:t>
      </w:r>
      <w:r>
        <w:t>and</w:t>
      </w:r>
      <w:r>
        <w:t xml:space="preserve"> </w:t>
      </w:r>
      <w:r>
        <w:t>η</w:t>
      </w:r>
      <w:r>
        <w:t xml:space="preserve"> </w:t>
      </w:r>
      <w:r>
        <w:t>OER</w:t>
      </w:r>
      <w:r>
        <w:t xml:space="preserve"> </w:t>
      </w:r>
      <w:r>
        <w:t>, providing interpretable descriptors for DACs. Guided by these findings, FeCo‐ePc‐L with atomically dispersed Fe‐Co sites was synthesized to experimentally examine the ML‐guided prediction. This work highlights the utility of interpretable ML for mechanistic discovery in DACs by revealing role‐asymmetric electronic cooperation between paired metal centers.</w:t>
      </w:r>
    </w:p>
    <w:p>
      <w:pPr>
        <w:spacing w:before="120" w:after="120"/>
      </w:pPr>
      <w:r>
        <w:rPr>
          <w:sz w:val="18"/>
        </w:rPr>
        <w:t>——————————————————————————————————————————————————————————————————————</w:t>
      </w:r>
    </w:p>
    <w:p>
      <w:pPr>
        <w:spacing w:before="160" w:after="40" w:line="240" w:lineRule="auto"/>
      </w:pPr>
      <w:r>
        <w:rPr>
          <w:b/>
        </w:rPr>
        <w:t xml:space="preserve">[37] </w:t>
      </w:r>
      <w:hyperlink r:id="rId441">
        <w:r>
          <w:rPr>
            <w:color w:val="1155CC"/>
            <w:u w:val="single"/>
          </w:rPr>
          <w:t>通过界面碳酸盐化学改变近中性海水电解中的氧气释放</w:t>
        </w:r>
      </w:hyperlink>
    </w:p>
    <w:p>
      <w:pPr>
        <w:spacing w:before="0" w:after="80"/>
      </w:pPr>
      <w:r>
        <w:rPr>
          <w:i/>
          <w:sz w:val="20"/>
        </w:rPr>
        <w:t>EN: Rerouting Oxygen Evolution Through Interfacial Carbonate Chemistry in Near‐Neutral Seawater Electrolysis</w:t>
      </w:r>
    </w:p>
    <w:p>
      <w:pPr>
        <w:spacing w:before="0" w:after="120"/>
      </w:pPr>
      <w:r>
        <w:rPr>
          <w:b/>
        </w:rPr>
        <w:t xml:space="preserve">Source: </w:t>
      </w:r>
      <w:r>
        <w:t>Wiley: Angewandte Chemie International Edition: Table of Contents</w:t>
      </w:r>
      <w:r>
        <w:t xml:space="preserve">    </w:t>
      </w:r>
      <w:r>
        <w:rPr>
          <w:b/>
        </w:rPr>
        <w:t xml:space="preserve">Pub date: </w:t>
      </w:r>
      <w:r>
        <w:t>2026-08-27 06:25:59+00:00</w:t>
      </w:r>
      <w:r>
        <w:t xml:space="preserve">    </w:t>
      </w:r>
      <w:r>
        <w:rPr>
          <w:b/>
        </w:rPr>
        <w:t xml:space="preserve">DOI: </w:t>
      </w:r>
      <w:hyperlink r:id="rId442">
        <w:r>
          <w:rPr>
            <w:color w:val="1155CC"/>
            <w:u w:val="single"/>
          </w:rPr>
          <w:t>10.1002/anie.9159016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中性海水电解为绿色氢气生产提供了一条可持续且安全的途径，但其发展受到对各种反应路径的基本反应过程缺乏基本了解的限制。本研究采用电化学流体动力学和介观模拟的集成框架，结合多组分质量传递、均相反应动力学和电子转移，来破译碳酸盐物质在析氧反应（OER）中向近中性海水电解的可能作用。我们的结果表明反应范式发生了合理的转变：界面碳酸盐物质可以充当关键的质子受体，而水分子则可以充当氧供体。这表明了一种独特的、有利的碳酸盐介导的路径，该路径不同于传统的、缓慢的 H</w:t>
      </w:r>
      <w:r>
        <w:rPr>
          <w:vertAlign w:val="subscript"/>
        </w:rPr>
        <w:t>2</w:t>
      </w:r>
      <w:r>
        <w:t>OER 的路径。此外，基于使用模型海水电解质的模拟，与质量传输限制的 OH 相比</w:t>
      </w:r>
      <w:r>
        <w:t xml:space="preserve"> </w:t>
      </w:r>
      <w:r>
        <w:t>-</w:t>
      </w:r>
      <w:r>
        <w:t>路径，这种看似合理的碳酸盐介导路径可以将氧气生产能力提高一个数量级，即使在天然海水中通常遇到的碳酸盐浓度较低的情况下也是如此。我们的研究结果表明了通过多种途径进行 OER 的机制框架，并为界面化学场调节提供了理论探索，激发了克服复杂电化学系统中的动力学障碍的有前途的策略</w:t>
      </w:r>
    </w:p>
    <w:p>
      <w:pPr>
        <w:spacing w:before="0" w:after="200" w:lineRule="auto" w:line="276"/>
      </w:pPr>
      <w:r>
        <w:rPr>
          <w:b/>
        </w:rPr>
        <w:t xml:space="preserve">Abstract (EN): </w:t>
      </w:r>
      <w:r>
        <w:t>Near‐neutral seawater electrolysis offers a sustainable and safe route for green hydrogen production, yet its development is constrained by a lack of fundamental understanding of the underlying reaction processes through various reaction paths. This study employs an integrated framework of electrochemical hydrodynamics and mesoscopic simulations, incorporating multicomponent mass transport, homogeneous reaction kinetics, and electron transfer, to decipher a possible role of carbonate species in the oxygen evolution reaction (OER) towards near‐neutral seawater electrolysis. Our results suggest a plausible shift in the reaction paradigm: interfacial carbonate species could act as pivotal proton acceptors, while water molecules as oxygen donors. This suggests a distinct, favourable carbonate‐mediated path that diverges from the conventional, sluggish H</w:t>
      </w:r>
      <w:r>
        <w:rPr>
          <w:vertAlign w:val="subscript"/>
        </w:rPr>
        <w:t>2</w:t>
      </w:r>
      <w:r>
        <w:t>O path for the OER. In addition, based on simulations using model seawater electrolytes, as compared to the mass‐transport‐limited OH</w:t>
      </w:r>
      <w:r>
        <w:t xml:space="preserve"> </w:t>
      </w:r>
      <w:r>
        <w:t>−</w:t>
      </w:r>
      <w:r>
        <w:t>path, this plausible carbonate‐mediated path can be predicted to enhance oxygen production capability by up to an order of magnitude, even at the low concentration of carbonate typically encountered in natural seawater. Our findings indicate a mechanistic framework of OER via multiple routes and provide a theoretical exploration for interfacial chemical‐field regulation, inspiring promising strategies to overcome kinetic barriers in complex electrochemical systems for sustainable hydrogen generation.</w:t>
      </w:r>
    </w:p>
    <w:p>
      <w:pPr>
        <w:spacing w:before="120" w:after="120"/>
      </w:pPr>
      <w:r>
        <w:rPr>
          <w:sz w:val="18"/>
        </w:rPr>
        <w:t>——————————————————————————————————————————————————————————————————————</w:t>
      </w:r>
    </w:p>
    <w:p>
      <w:pPr>
        <w:spacing w:before="160" w:after="40" w:line="240" w:lineRule="auto"/>
      </w:pPr>
      <w:r>
        <w:rPr>
          <w:b/>
        </w:rPr>
        <w:t xml:space="preserve">[38] </w:t>
      </w:r>
      <w:hyperlink r:id="rId443">
        <w:r>
          <w:rPr>
            <w:color w:val="1155CC"/>
            <w:u w:val="single"/>
          </w:rPr>
          <w:t>从头设计蛋白质结合剂来探测气体通道并增强[NiFe]-氢化酶的耐氧性</w:t>
        </w:r>
      </w:hyperlink>
    </w:p>
    <w:p>
      <w:pPr>
        <w:spacing w:before="0" w:after="80"/>
      </w:pPr>
      <w:r>
        <w:rPr>
          <w:i/>
          <w:sz w:val="20"/>
        </w:rPr>
        <w:t>EN: De Novo Design of a Protein Binder to Probe Gas Channel and Enhance the Oxygen Tolerance of [NiFe]‐Hydrogenase</w:t>
      </w:r>
    </w:p>
    <w:p>
      <w:pPr>
        <w:spacing w:before="0" w:after="120"/>
      </w:pPr>
      <w:r>
        <w:rPr>
          <w:b/>
        </w:rPr>
        <w:t xml:space="preserve">Source: </w:t>
      </w:r>
      <w:r>
        <w:t>Wiley: Angewandte Chemie International Edition: Table of Contents</w:t>
      </w:r>
      <w:r>
        <w:t xml:space="preserve">    </w:t>
      </w:r>
      <w:r>
        <w:rPr>
          <w:b/>
        </w:rPr>
        <w:t xml:space="preserve">Pub date: </w:t>
      </w:r>
      <w:r>
        <w:t>2026-08-27 06:34:38+00:00</w:t>
      </w:r>
      <w:r>
        <w:t xml:space="preserve">    </w:t>
      </w:r>
      <w:r>
        <w:rPr>
          <w:b/>
        </w:rPr>
        <w:t xml:space="preserve">DOI: </w:t>
      </w:r>
      <w:hyperlink r:id="rId444">
        <w:r>
          <w:rPr>
            <w:color w:val="1155CC"/>
            <w:u w:val="single"/>
          </w:rPr>
          <w:t>10.1002/anie.6395554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[NiFe]-氢化酶对 H2 表现出显着的催化效率</w:t>
      </w:r>
      <w:r>
        <w:rPr>
          <w:vertAlign w:val="subscript"/>
        </w:rPr>
        <w:t>2</w:t>
      </w:r>
      <w:r>
        <w:t>产生和氧化，但对 O 敏感</w:t>
      </w:r>
      <w:r>
        <w:rPr>
          <w:vertAlign w:val="subscript"/>
        </w:rPr>
        <w:t>2</w:t>
      </w:r>
      <w:r>
        <w:t>，这严重限制了它们的生物技术应用。通向埋藏的[NiFe]活性位点的气体通道的身份和功能相关性仍然难以捉摸，阻碍了合理的酶工程。在这里，我们介绍一种人工智能引导的</w:t>
      </w:r>
      <w:r>
        <w:t xml:space="preserve"> </w:t>
      </w:r>
      <w:r>
        <w:t>从头</w:t>
      </w:r>
      <w:r>
        <w:t xml:space="preserve"> </w:t>
      </w:r>
      <w:r>
        <w:t>绘制疏水性 O 的蛋白质结合剂设计策略</w:t>
      </w:r>
      <w:r>
        <w:rPr>
          <w:vertAlign w:val="subscript"/>
        </w:rPr>
        <w:t>2</w:t>
      </w:r>
      <w:r>
        <w:t>扩散途径</w:t>
      </w:r>
      <w:r>
        <w:t xml:space="preserve"> </w:t>
      </w:r>
      <w:r>
        <w:t>大肠杆菌</w:t>
      </w:r>
      <w:r>
        <w:t xml:space="preserve"> </w:t>
      </w:r>
      <w:r>
        <w:t>氢化酶-2 (Hyd-2)。通过集成 RFdiffusion、ProteinMPNN 和 AlphaFold，通过计算筛选了约 100,000 个候选结合物，产生了两种高亲和力结合物 L1 和 L2。生物物理和电化学分析表明，L1 选择性地封闭初级 O</w:t>
      </w:r>
      <w:r>
        <w:rPr>
          <w:vertAlign w:val="subscript"/>
        </w:rPr>
        <w:t>2</w:t>
      </w:r>
      <w:r>
        <w:t>入口通道，将酶的氧耐受性提高三倍以上，而针对另一个假定通道的 L2 的影响可以忽略不计，表明该途径对 O2 的贡献微乎其微。</w:t>
      </w:r>
      <w:r>
        <w:rPr>
          <w:vertAlign w:val="subscript"/>
        </w:rPr>
        <w:t>2</w:t>
      </w:r>
      <w:r>
        <w:t>在测试条件下进入。此外，我们通过冷冻电子显微镜确定了 L1-Hyd-2 复合物结构，并揭示了关键的相互作用残基和界面构象。集成的结构和计算分析提供了对系统氧气的机械见解</w:t>
      </w:r>
    </w:p>
    <w:p>
      <w:pPr>
        <w:spacing w:before="0" w:after="200" w:lineRule="auto" w:line="276"/>
      </w:pPr>
      <w:r>
        <w:rPr>
          <w:b/>
        </w:rPr>
        <w:t xml:space="preserve">Abstract (EN): </w:t>
      </w:r>
      <w:r>
        <w:t>[NiFe]‐Hydrogenases display remarkable catalytic efficiency for H</w:t>
      </w:r>
      <w:r>
        <w:rPr>
          <w:vertAlign w:val="subscript"/>
        </w:rPr>
        <w:t>2</w:t>
      </w:r>
      <w:r>
        <w:t>production and oxidation but are sensitive to O</w:t>
      </w:r>
      <w:r>
        <w:rPr>
          <w:vertAlign w:val="subscript"/>
        </w:rPr>
        <w:t>2</w:t>
      </w:r>
      <w:r>
        <w:t>, which severely restricts their biotechnological applications. The identities and functional relevance of gas channels leading to the buried [NiFe] active site remain elusive, hindering rational enzyme engineering. Here, we introduce an artificial intelligence–guided</w:t>
      </w:r>
      <w:r>
        <w:t xml:space="preserve"> </w:t>
      </w:r>
      <w:r>
        <w:t>de novo</w:t>
      </w:r>
      <w:r>
        <w:t xml:space="preserve"> </w:t>
      </w:r>
      <w:r>
        <w:t>protein binder design strategy to map hydrophobic O</w:t>
      </w:r>
      <w:r>
        <w:rPr>
          <w:vertAlign w:val="subscript"/>
        </w:rPr>
        <w:t>2</w:t>
      </w:r>
      <w:r>
        <w:t>diffusion pathways in</w:t>
      </w:r>
      <w:r>
        <w:t xml:space="preserve"> </w:t>
      </w:r>
      <w:r>
        <w:t>Escherichia coli</w:t>
      </w:r>
      <w:r>
        <w:t xml:space="preserve"> </w:t>
      </w:r>
      <w:r>
        <w:t>hydrogenase‐2 (Hyd‐2). By integrating RFdiffusion, ProteinMPNN, and AlphaFold, ∼100,000 candidate binders were computationally screened, yielding two high‐affinity binders, L1 and L2. Biophysical and electrochemical analyses show that L1 selectively occludes the primary O</w:t>
      </w:r>
      <w:r>
        <w:rPr>
          <w:vertAlign w:val="subscript"/>
        </w:rPr>
        <w:t>2</w:t>
      </w:r>
      <w:r>
        <w:t>ingress channel, enhancing the enzyme's oxygen tolerance by more than threefold, whereas L2, which targets another putative channel, has a negligible effect, indicating that this pathway contributes minimally to O</w:t>
      </w:r>
      <w:r>
        <w:rPr>
          <w:vertAlign w:val="subscript"/>
        </w:rPr>
        <w:t>2</w:t>
      </w:r>
      <w:r>
        <w:t>ingress under the tested conditions. Furthermore, we determined the L1‐Hyd‐2 complex structure by cryo‐electron microscopy and revealed the key interaction residues and interface conformation. Integrated structural and computational analyses provide mechanistic insights into the system's oxygen tolerance and high‐affinity L1‐Hyd‐2 interaction. All findings provide the first direct experimental evidence for hierarchical O</w:t>
      </w:r>
      <w:r>
        <w:rPr>
          <w:vertAlign w:val="subscript"/>
        </w:rPr>
        <w:t>2</w:t>
      </w:r>
      <w:r>
        <w:t>diffusion channels in [NiFe]‐hydrogenases and establish binder‐mediated channel occlusion as a generalizable, mutation‐free strategy for elucidating and modulating gas transport in metalloenzymes.</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445">
        <w:r>
          <w:rPr>
            <w:color w:val="1155CC"/>
            <w:u w:val="single"/>
          </w:rPr>
          <w:t>互联欧洲电力市场碳边界政策评估的机制引导图学习</w:t>
        </w:r>
      </w:hyperlink>
    </w:p>
    <w:p>
      <w:pPr>
        <w:spacing w:before="0" w:after="80"/>
      </w:pPr>
      <w:r>
        <w:rPr>
          <w:i/>
          <w:sz w:val="20"/>
        </w:rPr>
        <w:t>EN: Mechanism-guided graph learning for carbon border policy evaluation in interconnected european electricity markets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446">
        <w:r>
          <w:rPr>
            <w:color w:val="1155CC"/>
            <w:u w:val="single"/>
          </w:rPr>
          <w:t>10.1016/j.apenergy.2026.128683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447">
        <w:r>
          <w:rPr>
            <w:color w:val="1155CC"/>
            <w:u w:val="single"/>
          </w:rPr>
          <w:t>用于湿度管理和节能的智能湿度控制窗：热带地区的系统设计、建模和验证</w:t>
        </w:r>
      </w:hyperlink>
    </w:p>
    <w:p>
      <w:pPr>
        <w:spacing w:before="0" w:after="80"/>
      </w:pPr>
      <w:r>
        <w:rPr>
          <w:i/>
          <w:sz w:val="20"/>
        </w:rPr>
        <w:t>EN: A smart humidity-control window for moisture management and energy saving: System design, modeling and validation in tropical regions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448">
        <w:r>
          <w:rPr>
            <w:color w:val="1155CC"/>
            <w:u w:val="single"/>
          </w:rPr>
          <w:t>10.1016/j.apenergy.2026.128704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49">
        <w:r>
          <w:rPr>
            <w:color w:val="1155CC"/>
            <w:u w:val="single"/>
          </w:rPr>
          <w:t>碳核算和适应气候的电气化调度，以实现碳中和下需求响应型交通</w:t>
        </w:r>
      </w:hyperlink>
    </w:p>
    <w:p>
      <w:pPr>
        <w:spacing w:before="0" w:after="80"/>
      </w:pPr>
      <w:r>
        <w:rPr>
          <w:i/>
          <w:sz w:val="20"/>
        </w:rPr>
        <w:t>EN: Carbon accounting and weather-adaptive electrification dispatch for demand-responsive transit under carbon neutrality</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450">
        <w:r>
          <w:rPr>
            <w:color w:val="1155CC"/>
            <w:u w:val="single"/>
          </w:rPr>
          <w:t>10.1016/j.apenergy.2026.128694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51">
        <w:r>
          <w:rPr>
            <w:color w:val="1155CC"/>
            <w:u w:val="single"/>
          </w:rPr>
          <w:t>通过气候知情的腐蚀模型重新思考低碳混凝土的耐久性</w:t>
        </w:r>
      </w:hyperlink>
    </w:p>
    <w:p>
      <w:pPr>
        <w:spacing w:before="0" w:after="80"/>
      </w:pPr>
      <w:r>
        <w:rPr>
          <w:i/>
          <w:sz w:val="20"/>
        </w:rPr>
        <w:t>EN: Rethinking concrete durability for low-carbon concretes through climate-informed corrosion modelling</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混凝土脱碳对于实现全球气候目标至关重要。许多减少温室气体排放的有效策略会导致混凝土碱度降低，传统上这被视为耐久性问题，即促进混凝土中的钢材腐蚀。这种普遍存在的耐久性范式——牢固地嵌入工程思维和行业标准中——阻碍了低碳混凝土的实际实施，从而阻碍了其全部潜力的实现。为了解决这种情况，我们提出了一个概念框架，该框架提供了确保钢筋混凝土的耐久性，同时容忍混凝土碱度降低的观点。我们的方法受到经验观察和最新科学见解的启发，这些见解始终指出水分在混凝土耐久性中的决定性作用。我们利用多孔介质和腐蚀科学中水分传输模型的进步来预测钢-混凝土界面处微气候和腐蚀动力学的时间演变。通过利用来自欧洲、亚洲和南美洲四个例子的时间分辨气象数据，我们展示了该方法，强调了当地气候在预测混凝土耐久性能方面的关键作用。这项工作为开发测试方法、标准和预测工具奠定了基础，以推广生态友好型混凝土并评估气候变化如何影响其子孙后代的耐久性。</w:t>
      </w:r>
    </w:p>
    <w:p>
      <w:pPr>
        <w:spacing w:before="0" w:after="200" w:lineRule="auto" w:line="276"/>
      </w:pPr>
      <w:r>
        <w:rPr>
          <w:b/>
        </w:rPr>
        <w:t xml:space="preserve">Abstract (EN): </w:t>
      </w:r>
      <w:r>
        <w:t>Decarbonizing concrete is essential for meeting global climate targets. Many effective strategies to reduce greenhouse gas emissions result in lower concrete alkalinity, which has traditionally been viewed as a durability concern, namely promoting steel corrosion in concrete. This prevailing durability paradigm – firmly embedded in engineering mindsets and industry standards – hinders the practical implementation and thus the realization of the full potential of low-carbon concretes. To resolve this situation, we propose a conceptual framework that offers a perspective on ensuring the durability of reinforced concrete, while tolerating reduced concrete alkalinity. Our approach is inspired by empirical observations and recent scientific insights that consistently pinpointed the decisive role of moisture in concrete durability. We leverage advancements in moisture transport modeling in porous media and corrosion science to predict the time-evolution of the microclimate and corrosion kinetics at the steel-concrete interface. By drawing on time-resolved meteorological data from four examples in Europe, Asia and South America, we showcase the approach, underlining the critical role of local climate for predicting the durability performance of concrete. This work establishes the basis for developing test methods, standards, and predictive tools to promote eco-friendly concrete and evaluate how climate change impacts their durability for generations to come.</w:t>
      </w:r>
    </w:p>
    <w:p>
      <w:pPr>
        <w:spacing w:before="120" w:after="120"/>
      </w:pPr>
      <w:r>
        <w:rPr>
          <w:sz w:val="18"/>
        </w:rPr>
        <w:t>——————————————————————————————————————————————————————————————————————</w:t>
      </w:r>
    </w:p>
    <w:p>
      <w:pPr>
        <w:spacing w:before="160" w:after="40" w:line="240" w:lineRule="auto"/>
      </w:pPr>
      <w:r>
        <w:rPr>
          <w:b/>
        </w:rPr>
        <w:t xml:space="preserve">[5] </w:t>
      </w:r>
      <w:hyperlink r:id="rId298">
        <w:r>
          <w:rPr>
            <w:color w:val="1155CC"/>
            <w:u w:val="single"/>
          </w:rPr>
          <w:t>为网格交互操作提供建筑需求灵活性：从感知和认知到决策、执行和验证</w:t>
        </w:r>
      </w:hyperlink>
    </w:p>
    <w:p>
      <w:pPr>
        <w:spacing w:before="0" w:after="80"/>
      </w:pPr>
      <w:r>
        <w:rPr>
          <w:i/>
          <w:sz w:val="20"/>
        </w:rPr>
        <w:t>EN: Delivering building demand flexibility for grid-interactive operation: from perception and cognition to decision, execution, and verification</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299">
        <w:r>
          <w:rPr>
            <w:color w:val="1155CC"/>
            <w:u w:val="single"/>
          </w:rPr>
          <w:t>10.1016/j.apenergy.2026.128668</w:t>
        </w:r>
      </w:hyperlink>
    </w:p>
    <w:p>
      <w:pPr>
        <w:spacing w:before="0" w:after="120"/>
      </w:pPr>
      <w:r>
        <w:rPr>
          <w:b/>
        </w:rPr>
        <w:t xml:space="preserve">Notes: </w:t>
      </w:r>
      <w:r>
        <w:t>abstract_source=openalex</w:t>
      </w:r>
    </w:p>
    <w:p>
      <w:pPr>
        <w:spacing w:before="0" w:after="80" w:lineRule="auto" w:line="276"/>
      </w:pPr>
      <w:r>
        <w:rPr>
          <w:b/>
        </w:rPr>
        <w:t xml:space="preserve">摘要（ZH）: </w:t>
      </w:r>
      <w:r>
        <w:t>随着建筑和电力系统快速脱碳，建筑的需求灵活性（DF）已成为可再生能源整合、电网可靠性、能源弹性以及高效低碳运营的关键推动因素。通过根据电网要求动态调整建筑能源使用，DF 可以帮助降低建筑运营成本、应对可再生能源的变化、减少峰值需求、缓解网络拥塞并增强整体系统稳定性。因此，大量的研究工作从多个角度审视了构建 DF，包括灵活性定义、资源、表征、评估、优化和应用场景。然而，在建筑物中有效交付 DF 需要一种涵盖感知、认知、决策、执行和验证的集成的端到端方法，这仍然是现有文献中的一个关键差距。本综述通过提出一种分层架构来解决这一差距，该架构将这些阶段集成到一个连贯的框架中，并提供了该领域现有研究的见解。它综合了支持方法，阐明了跨层交互，并检查了数据、模型、控制策略、实施机制和评估方法如何共同支持 DF 交付。确定了关键的跨层挑战，并概述了稳健且值得信赖的 DF 交付的未来研究重点。这项工作为在建筑物中推进可互操作、网格响应和实际可部署的 DF 解决方案奠定了概念基础，支持</w:t>
      </w:r>
    </w:p>
    <w:p>
      <w:pPr>
        <w:spacing w:before="0" w:after="200" w:lineRule="auto" w:line="276"/>
      </w:pPr>
      <w:r>
        <w:rPr>
          <w:b/>
        </w:rPr>
        <w:t xml:space="preserve">Abstract (EN): </w:t>
      </w:r>
      <w:r>
        <w:t>As both buildings and power systems undergo rapid decarbonization, demand flexibility (DF) in buildings has emerged as a key enabler for renewable energy integration, grid reliability, energy resilience, and efficient and low carbon operation. By dynamically adjusting building energy use in response to grid requirements, DF can help reduce building operational costs, respond to renewable variability, reduce peak demand, alleviate network congestion, and enhance overall system stability. Consequently, significant research efforts have examined building DF from multiple perspectives, including flexibility definitions, resources, characterization, assessment, optimization, and application scenarios. However, the effective delivery of DF in buildings requires an integrated, end-to-end approach spanning perception, cognition, decision, execution, and verification, which remains a critical gap in the existing literature. This review addresses this gap by proposing a layered architecture that integrates these stages into a coherent framework and provides insights from existing studies in this field. It synthesizes enabling methods, clarifies cross-layer interactions, and examines how data, models, control strategies, implementation mechanisms, and evaluation approaches collectively support DF delivery. Critical cross-layer challenges are identified, and future research priorities for robust and trustworthy DF delivery are outlined. This work establishes a conceptual foundation for advancing interoperable, grid-responsive, and practically deployable DF solutions in buildings, supporting both building decarbonization and more efficient, resilient grid operation</w:t>
      </w:r>
    </w:p>
    <w:p>
      <w:pPr>
        <w:spacing w:before="120" w:after="120"/>
      </w:pPr>
      <w:r>
        <w:rPr>
          <w:sz w:val="18"/>
        </w:rPr>
        <w:t>——————————————————————————————————————————————————————————————————————</w:t>
      </w:r>
    </w:p>
    <w:p>
      <w:pPr>
        <w:spacing w:before="160" w:after="40" w:line="240" w:lineRule="auto"/>
      </w:pPr>
      <w:r>
        <w:rPr>
          <w:b/>
        </w:rPr>
        <w:t xml:space="preserve">[6] </w:t>
      </w:r>
      <w:hyperlink r:id="rId452">
        <w:r>
          <w:rPr>
            <w:color w:val="1155CC"/>
            <w:u w:val="single"/>
          </w:rPr>
          <w:t>使用工程金属硫化物光催化剂将木质素光催化裂解和升级为高价值产品的最新进展</w:t>
        </w:r>
      </w:hyperlink>
    </w:p>
    <w:p>
      <w:pPr>
        <w:spacing w:before="0" w:after="80"/>
      </w:pPr>
      <w:r>
        <w:rPr>
          <w:i/>
          <w:sz w:val="20"/>
        </w:rPr>
        <w:t>EN: Recent advances in photocatalytic fragmentation and upgradation of lignin to high-value products using engineered metal sulphide photocatalysts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453">
        <w:r>
          <w:rPr>
            <w:color w:val="1155CC"/>
            <w:u w:val="single"/>
          </w:rPr>
          <w:t>10.1016/j.apenergy.2026.128519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384">
        <w:r>
          <w:rPr>
            <w:color w:val="1155CC"/>
            <w:u w:val="single"/>
          </w:rPr>
          <w:t>通过调整空间资源约束与设施异质性，探索中国区域零碳钢路径</w:t>
        </w:r>
      </w:hyperlink>
    </w:p>
    <w:p>
      <w:pPr>
        <w:spacing w:before="0" w:after="80"/>
      </w:pPr>
      <w:r>
        <w:rPr>
          <w:i/>
          <w:sz w:val="20"/>
        </w:rPr>
        <w:t>EN: Navigating regional zero-carbon steel pathways in China by aligning spatial resource constraints with facility heterogeneity</w:t>
      </w:r>
    </w:p>
    <w:p>
      <w:pPr>
        <w:spacing w:before="0" w:after="120"/>
      </w:pPr>
      <w:r>
        <w:rPr>
          <w:b/>
        </w:rPr>
        <w:t xml:space="preserve">Source: </w:t>
      </w:r>
      <w:r>
        <w:t>Earth and environmental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中国钢铁行业对于全球工业脱碳至关重要，但在异质的区域资源禀赋下，近零转型路径仍知之甚少。在这里，我们开发了一个工厂解决的、空间明确的框架，该框架集成了设施级排放数据库、成本最小化技术模型和地理空间资源匹配。我们发现，高炉-碱性氧气转炉生产占行业排放量的 83%，而 35% 的高炉已有 10-15 年的使用年限，创造了改造机会和碳锁定风险。到2060年实现减排97%需要在2040年之前加速改造，淘汰140个小型设施，将氢冶金扩大到34.6%，并将碳捕获和封存的作用限制在12.1%。相对于一切照旧，到 2060 年，尽管有 4,360 亿美元的搁浅资产，但接近于零的路径将累计系统成本削减 21,840 亿美元 (USD)。北方和沿海地区青睐氢冶金，而内陆省份则集中了全国46%的碳捕集能力。本研究强调了在技术锁定和资源禀赋不均的情况下，难以减排行业脱碳的差异化区域路径。</w:t>
      </w:r>
    </w:p>
    <w:p>
      <w:pPr>
        <w:spacing w:before="0" w:after="200" w:lineRule="auto" w:line="276"/>
      </w:pPr>
      <w:r>
        <w:rPr>
          <w:b/>
        </w:rPr>
        <w:t xml:space="preserve">Abstract (EN): </w:t>
      </w:r>
      <w:r>
        <w:t>China’s iron and steel sector is pivotal to global industrial decarbonization, yet near-zero transition pathways under heterogeneous regional resource endowments remain poorly understood. Here we develop a plant-resolved, spatially explicit framework that integrates a facility-level emission database, a cost-minimizing technology model and geospatial resource matching. We find that blast furnace-basic oxygen furnace production accounts for 83% of sectoral emissions, while 35% of blast furnaces are 10–15 years old, creating retrofit opportunities and carbon lock-in risks. Achieving a 97% emissions reduction by 2060 requires accelerated retrofits before 2040, retirement of 140 small facilities, expansion of hydrogen metallurgy to 34.6%, and a limited role for carbon capture and storage at 12.1%. Relative to business as usual, the near-zero pathway cuts cumulative system costs by 2,184 billion United States dollars (USD) by 2060 despite USD 436 billion in stranded assets. Northern and coastal regions favour hydrogen metallurgy, whereas inland provinces concentrate 46% of national carbon capture capacity. This study highlights differentiated regional pathway for decarbonizing hard-to-abate sectors under technological lock-in and uneven resource endowments.</w:t>
      </w:r>
    </w:p>
    <w:p>
      <w:pPr>
        <w:spacing w:before="120" w:after="120"/>
      </w:pPr>
      <w:r>
        <w:rPr>
          <w:sz w:val="18"/>
        </w:rPr>
        <w:t>——————————————————————————————————————————————————————————————————————</w:t>
      </w:r>
    </w:p>
    <w:p>
      <w:pPr>
        <w:spacing w:before="160" w:after="40" w:line="240" w:lineRule="auto"/>
      </w:pPr>
      <w:r>
        <w:rPr>
          <w:b/>
        </w:rPr>
        <w:t xml:space="preserve">[8] </w:t>
      </w:r>
      <w:hyperlink r:id="rId454">
        <w:r>
          <w:rPr>
            <w:color w:val="1155CC"/>
            <w:u w:val="single"/>
          </w:rPr>
          <w:t>基于多智能体强化学习的微电网低碳P2P市场与竞价策略联合设计</w:t>
        </w:r>
      </w:hyperlink>
    </w:p>
    <w:p>
      <w:pPr>
        <w:spacing w:before="0" w:after="80"/>
      </w:pPr>
      <w:r>
        <w:rPr>
          <w:i/>
          <w:sz w:val="20"/>
        </w:rPr>
        <w:t>EN: Multi-agent reinforcement learning-based joint design of low-carbon P2P market and bidding strategy in microgrids</w:t>
      </w:r>
    </w:p>
    <w:p>
      <w:pPr>
        <w:spacing w:before="0" w:after="120"/>
      </w:pPr>
      <w:r>
        <w:rPr>
          <w:b/>
        </w:rPr>
        <w:t xml:space="preserve">Source: </w:t>
      </w:r>
      <w:r>
        <w:t>ScienceDirect Publication: Applied Energy</w:t>
      </w:r>
      <w:r>
        <w:t xml:space="preserve">    </w:t>
      </w:r>
      <w:r>
        <w:rPr>
          <w:b/>
        </w:rPr>
        <w:t xml:space="preserve">Pub date: </w:t>
      </w:r>
      <w:r>
        <w:t>2026-08-22 00:00:00+00:00</w:t>
      </w:r>
      <w:r>
        <w:t xml:space="preserve">    </w:t>
      </w:r>
      <w:r>
        <w:rPr>
          <w:b/>
        </w:rPr>
        <w:t xml:space="preserve">DOI: </w:t>
      </w:r>
      <w:hyperlink r:id="rId455">
        <w:r>
          <w:rPr>
            <w:color w:val="1155CC"/>
            <w:u w:val="single"/>
          </w:rPr>
          <w:t>10.1016/j.apenergy.2026.128693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93">
        <w:r>
          <w:rPr>
            <w:color w:val="1155CC"/>
            <w:u w:val="single"/>
          </w:rPr>
          <w:t>用于服务作业船舶的氢和甲醇混合动力系统的多目标优化：技术经济和环境分析</w:t>
        </w:r>
      </w:hyperlink>
    </w:p>
    <w:p>
      <w:pPr>
        <w:spacing w:before="0" w:after="80"/>
      </w:pPr>
      <w:r>
        <w:rPr>
          <w:i/>
          <w:sz w:val="20"/>
        </w:rPr>
        <w:t>EN: Multi-objective optimisation of hydrogen and methanol-based hybrid power systems for service operation vessels: A techno-economic and environmental analysis</w:t>
      </w:r>
    </w:p>
    <w:p>
      <w:pPr>
        <w:spacing w:before="0" w:after="120"/>
      </w:pPr>
      <w:r>
        <w:rPr>
          <w:b/>
        </w:rPr>
        <w:t xml:space="preserve">Source: </w:t>
      </w:r>
      <w:r>
        <w:t>ScienceDirect Publication: Applied Energy</w:t>
      </w:r>
      <w:r>
        <w:t xml:space="preserve">    </w:t>
      </w:r>
      <w:r>
        <w:rPr>
          <w:b/>
        </w:rPr>
        <w:t xml:space="preserve">Pub date: </w:t>
      </w:r>
      <w:r>
        <w:t>2026-08-22 00:00:00+00:00</w:t>
      </w:r>
      <w:r>
        <w:t xml:space="preserve">    </w:t>
      </w:r>
      <w:r>
        <w:rPr>
          <w:b/>
        </w:rPr>
        <w:t xml:space="preserve">DOI: </w:t>
      </w:r>
      <w:hyperlink r:id="rId394">
        <w:r>
          <w:rPr>
            <w:color w:val="1155CC"/>
            <w:u w:val="single"/>
          </w:rPr>
          <w:t>10.1016/j.apenergy.2026.128679</w:t>
        </w:r>
      </w:hyperlink>
    </w:p>
    <w:p>
      <w:pPr>
        <w:spacing w:before="0" w:after="120"/>
      </w:pPr>
      <w:r>
        <w:rPr>
          <w:b/>
        </w:rPr>
        <w:t xml:space="preserve">Notes: </w:t>
      </w:r>
      <w:r>
        <w:t>abstract_source=openalex</w:t>
      </w:r>
    </w:p>
    <w:p>
      <w:pPr>
        <w:spacing w:before="0" w:after="80" w:lineRule="auto" w:line="276"/>
      </w:pPr>
      <w:r>
        <w:rPr>
          <w:b/>
        </w:rPr>
        <w:t xml:space="preserve">摘要（ZH）: </w:t>
      </w:r>
      <w:r>
        <w:t>海上风电服务运营船（SOV）脱碳需要选择平衡成本、排放和船上集成的燃料路径。本研究为 5 000 GT 海上风电场 SOV 开发了双层技术经济和环境优化框架，将 NSGA-II 架构规模调整与逐秒基于规则的能源管理相结合。比较的三种替代途径是双燃料甲醇发动机（DFME）、液氢质子交换膜燃料电池（PEMFC）和甲醇重整燃料电池（MRFC）。该框架在具有代表性的 14 天任务概况中最大限度地减少了资本支出、生命周期运营支出和苏醒碳强度，并使用 TOPSIS 从每个帕累托前沿选择一个平衡的决策案例。引入统一的 β * / γ * 度量来量化与每个路径相关的重量重新分配或甲板体积膨胀。相对于柴油基线，TOPSIS 设计将 DFME 的油井至尾流碳强度降低了 68.7%，将 MRFC 降低了 83.3%，将 PEMFC 降低了 93.6%，同时将生命周期成本从 29.14 MUSD 增加到 96.89-110.72 MUSD。没有一条路径在成本、排放和一体化相关指标上普遍占主导地位。 DFME 提供最低的生命周期成本和最高的技术准备度。 MRFC 在深度脱碳选项中提供了最有利的重量和体积配合。仅当绿色氢生产排放因子保持低于约2.1 kgCO 2 e/kgH 2 时，PEMFC 才能实现最大的碳减排。</w:t>
      </w:r>
    </w:p>
    <w:p>
      <w:pPr>
        <w:spacing w:before="0" w:after="200" w:lineRule="auto" w:line="276"/>
      </w:pPr>
      <w:r>
        <w:rPr>
          <w:b/>
        </w:rPr>
        <w:t xml:space="preserve">Abstract (EN): </w:t>
      </w:r>
      <w:r>
        <w:t>Decarbonising offshore-wind service operation vessels (SOVs) requires fuel-pathway choices that balance cost, emissions, and onboard integration. This study develops a bi-level techno-economic and environmental optimisation framework for a 5 000 GT offshore wind farm SOV, coupling NSGA-II architecture sizing with second-by-second rule-based energy management. The three alternative pathways compared are dual-fuel methanol engines (DFME), liquid-hydrogen proton-exchange membrane fuel cells (PEMFC), and methanol-reforming fuel cells (MRFC). The framework minimises capital expenditure, lifecycle operating expenditure, and well-to-wake carbon intensity over a representative 14-day mission profile, with TOPSIS used to select one balanced decision case from each Pareto front. A unified β ∗ / Γ ∗ metric is introduced to quantify the weight reallocation or deck-volume expansion associated with each pathway. Relative to the diesel baseline, the TOPSIS designs reduce well-to-wake carbon intensity by 68.7% for DFME, 83.3% for MRFC, and 93.6% for PEMFC, while increasing lifecycle cost from 29.14 MUSD to 96.89–110.72 MUSD. No pathway is universally dominant across cost, emissions, and integration-related indicators. DFME provides the lowest lifecycle cost and highest technology readiness. MRFC offers the most favourable weight-and-volume fit among the deep-decarbonisation options. PEMFC achieves the largest carbon reduction only when the green-hydrogen production emission factor remains below approximately 2.1 kgCO 2 e/kgH 2 .</w:t>
      </w:r>
    </w:p>
    <w:p>
      <w:pPr>
        <w:spacing w:before="120" w:after="120"/>
      </w:pPr>
      <w:r>
        <w:rPr>
          <w:sz w:val="18"/>
        </w:rPr>
        <w:t>——————————————————————————————————————————————————————————————————————</w:t>
      </w:r>
    </w:p>
    <w:p>
      <w:pPr>
        <w:spacing w:before="160" w:after="40" w:line="240" w:lineRule="auto"/>
      </w:pPr>
      <w:r>
        <w:rPr>
          <w:b/>
        </w:rPr>
        <w:t xml:space="preserve">[10] </w:t>
      </w:r>
      <w:hyperlink r:id="rId456">
        <w:r>
          <w:rPr>
            <w:color w:val="1155CC"/>
            <w:u w:val="single"/>
          </w:rPr>
          <w:t>通过氢转移碳酸盐分解和丙烷脱氢的共热耦合</w:t>
        </w:r>
      </w:hyperlink>
    </w:p>
    <w:p>
      <w:pPr>
        <w:spacing w:before="0" w:after="80"/>
      </w:pPr>
      <w:r>
        <w:rPr>
          <w:i/>
          <w:sz w:val="20"/>
        </w:rPr>
        <w:t>EN: Co-thermal coupling of carbonate decomposition and propane dehydrogenation via hydrogen transfer</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强吸热反应总是受到热力学平衡的限制，需要高温操作。本文描述了一种共热耦合策略，该策略通过氢转移将两个热力学平衡限制过程集成到单个反应环境中。在该系统中，吸热丙烷脱氢原位产生的氢气被同时碳酸盐分解不断消耗，从而实现双向反应强化。结果，与惰性条件相比，碳酸钙的分解温度降低了约75℃，而在连续再生循环过程中，丙烷脱氢转化率达到热力学平衡值的约120%，丙烯选择性为97.8%。原位光谱和动力学分析证明了耦合反应网络，其中氢转移通过碳酸氢盐相关的表面中间体促进碳酸盐转化，然后遵循反向水煤气变换路径。技术环境分析表明，在基本情况工业模拟中，该集成工艺可将每吨丙烯的能耗降低 9.8%，二氧化碳净排放量降低 18.1%，同时联产丙烯和含 CaO 固体。这些发现将氢介导的共热耦合确立为克服平衡约束和强化能源和碳密集型化学过程的一般策略。</w:t>
      </w:r>
    </w:p>
    <w:p>
      <w:pPr>
        <w:spacing w:before="0" w:after="200" w:lineRule="auto" w:line="276"/>
      </w:pPr>
      <w:r>
        <w:rPr>
          <w:b/>
        </w:rPr>
        <w:t xml:space="preserve">Abstract (EN): </w:t>
      </w:r>
      <w:r>
        <w:t>Strongly endothermic reactions are always constrained by thermodynamic equilibrium that necessitates high-temperature operation. This paper describes a co-thermal coupling strategy that integrates two thermodynamic equilibrium-limited processes into a single reaction environment via hydrogen transfer. In this system, the hydrogen generated in situ from endothermic propane dehydrogenation is continuously consumed by simultaneous carbonate decomposition, thereby achieving bidirectional reaction intensification. As a result, the decomposition temperature of calcium carbonate is reduced by approximately 75 °C compared to inert conditions, while the propane dehydrogenation conversion reaches ~120% of the thermodynamic equilibrium value with a propylene selectivity of 97.8% during the continuous regeneration cycles. In situ spectroscopic and kinetic analyses demonstrate a coupled reaction network, where hydrogen transfer promotes carbonate transformation via bicarbonate-related surface intermediates and then follows the reverse water-gas shift pathway. Techno-environmental analysis indicates that this integrated process lowers the energy consumption per ton of propylene by 9.8% and reduces net CO2 emissions by 18.1% in the base-case industrial simulation, while co-producing propylene and a CaO-containing solid. These findings establish hydrogen-mediated co-thermal coupling as a general strategy for surmounting equilibrium constraints and intensifying energy- and carbon-intensive chemical processes.</w:t>
      </w:r>
    </w:p>
    <w:p>
      <w:pPr>
        <w:spacing w:before="120" w:after="120"/>
      </w:pPr>
      <w:r>
        <w:rPr>
          <w:sz w:val="18"/>
        </w:rPr>
        <w:t>——————————————————————————————————————————————————————————————————————</w:t>
      </w:r>
    </w:p>
    <w:p>
      <w:pPr>
        <w:spacing w:before="160" w:after="40" w:line="240" w:lineRule="auto"/>
      </w:pPr>
      <w:r>
        <w:rPr>
          <w:b/>
        </w:rPr>
        <w:t xml:space="preserve">[11] </w:t>
      </w:r>
      <w:hyperlink r:id="rId457">
        <w:r>
          <w:rPr>
            <w:color w:val="1155CC"/>
            <w:u w:val="single"/>
          </w:rPr>
          <w:t>不对称双位点实现空间分辨双自由基介导的 C-N 耦合，用于 N,N-二甲基甲酰胺光电合成</w:t>
        </w:r>
      </w:hyperlink>
    </w:p>
    <w:p>
      <w:pPr>
        <w:spacing w:before="0" w:after="80"/>
      </w:pPr>
      <w:r>
        <w:rPr>
          <w:i/>
          <w:sz w:val="20"/>
        </w:rPr>
        <w:t>EN: Asymmetric Dual Sites Enable Spatially Resolved Biradical‐Mediated C–N Coupling for N,N‐Dimethylformamide Photoelectrosynthesis</w:t>
      </w:r>
    </w:p>
    <w:p>
      <w:pPr>
        <w:spacing w:before="0" w:after="120"/>
      </w:pPr>
      <w:r>
        <w:rPr>
          <w:b/>
        </w:rPr>
        <w:t xml:space="preserve">Source: </w:t>
      </w:r>
      <w:r>
        <w:t>Wiley: Angewandte Chemie International Edition: Table of Contents</w:t>
      </w:r>
      <w:r>
        <w:t xml:space="preserve">    </w:t>
      </w:r>
      <w:r>
        <w:rPr>
          <w:b/>
        </w:rPr>
        <w:t xml:space="preserve">Pub date: </w:t>
      </w:r>
      <w:r>
        <w:t>2026-08-22 09:46:21+00:00</w:t>
      </w:r>
      <w:r>
        <w:t xml:space="preserve">    </w:t>
      </w:r>
      <w:r>
        <w:rPr>
          <w:b/>
        </w:rPr>
        <w:t xml:space="preserve">DOI: </w:t>
      </w:r>
      <w:hyperlink r:id="rId458">
        <w:r>
          <w:rPr>
            <w:color w:val="1155CC"/>
            <w:u w:val="single"/>
          </w:rPr>
          <w:t>10.1002/anie.9125401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N,N-二甲基甲酰胺 (DMF) 是一种典型的工业溶剂和前体，其能源密集型、高温常规合成需要开发温和、可持续的生物质衍生替代品。光电催化（PEC）提供了一条有前景的绿色路线；然而，其性能受到竞争吸附和对反应选择性控制不足的限制。在此，我们设计了一种不对称双位点地球丰富的半导体来实现双自由基介导的 C-N 耦合，法拉第效率为 86.6%，选择性为 90.1%，DMF 产率为 145.5 mmol m</w:t>
      </w:r>
      <w:r>
        <w:t xml:space="preserve"> </w:t>
      </w:r>
      <w:r>
        <w:t>−2</w:t>
      </w:r>
      <w:r>
        <w:t xml:space="preserve"> </w:t>
      </w:r>
      <w:r>
        <w:t>小时</w:t>
      </w:r>
      <w:r>
        <w:t xml:space="preserve"> </w:t>
      </w:r>
      <w:r>
        <w:t>−1</w:t>
      </w:r>
      <w:r>
        <w:t xml:space="preserve"> </w:t>
      </w:r>
      <w:r>
        <w:t>。对于实际实施，并联堆叠 PEC 装置，面积为 175 cm</w:t>
      </w:r>
      <w:r>
        <w:rPr>
          <w:vertAlign w:val="subscript"/>
        </w:rPr>
        <w:t>2</w:t>
      </w:r>
      <w:r>
        <w:t>，被记录为最先进的 DMF 光电合成 PEC 系统。机理研究表明，铋空位具有高p带中心，优先激活甲醇生成*CHO自由基，而Bi2O</w:t>
      </w:r>
      <w:r>
        <w:t xml:space="preserve"> </w:t>
      </w:r>
      <w:r>
        <w:t>x</w:t>
      </w:r>
      <w:r>
        <w:t xml:space="preserve"> </w:t>
      </w:r>
      <w:r>
        <w:t>以中等电子环境为特征的位点，选择性催化二甲胺形成 *N(CH</w:t>
      </w:r>
      <w:r>
        <w:rPr>
          <w:vertAlign w:val="subscript"/>
        </w:rPr>
        <w:t>3</w:t>
      </w:r>
      <w:r>
        <w:t>）</w:t>
      </w:r>
      <w:r>
        <w:rPr>
          <w:vertAlign w:val="subscript"/>
        </w:rPr>
        <w:t>2</w:t>
      </w:r>
      <w:r>
        <w:t>部首。这种双位点结构有效地解耦了醇和胺底物的竞争吸附，实现空间分离并实现双自由基介导的C-N偶联。重要的是，系统演示</w:t>
      </w:r>
    </w:p>
    <w:p>
      <w:pPr>
        <w:spacing w:before="0" w:after="200" w:lineRule="auto" w:line="276"/>
      </w:pPr>
      <w:r>
        <w:rPr>
          <w:b/>
        </w:rPr>
        <w:t xml:space="preserve">Abstract (EN): </w:t>
      </w:r>
      <w:r>
        <w:t>N,N‐dimethylformamide (DMF) is a quintessential industrial solvent and precursor, and its energy‐intensive, high‐temperature conventional synthesis necessitates the development of mild, sustainable biomass‐derived alternatives. Photoelectrocatalysis (PEC) offers a promising green route; however, its performance is limited by competitive adsorption and inadequate control over reaction selectivity. Herein, we engineered an asymmetric dual‐site earth‐abundant semiconductor to achieve biradical‐mediated C–N coupling, attaining a Faradaic efficiency of 86.6%, a selectivity of 90.1%, and a DMF yield of 145.5 mmol m</w:t>
      </w:r>
      <w:r>
        <w:t xml:space="preserve"> </w:t>
      </w:r>
      <w:r>
        <w:t>−2</w:t>
      </w:r>
      <w:r>
        <w:t xml:space="preserve"> </w:t>
      </w:r>
      <w:r>
        <w:t>h</w:t>
      </w:r>
      <w:r>
        <w:t xml:space="preserve"> </w:t>
      </w:r>
      <w:r>
        <w:t>−1</w:t>
      </w:r>
      <w:r>
        <w:t xml:space="preserve"> </w:t>
      </w:r>
      <w:r>
        <w:t>. For practical implementation, the parallel‐connect stacked PEC device, with an area of 175 cm</w:t>
      </w:r>
      <w:r>
        <w:rPr>
          <w:vertAlign w:val="subscript"/>
        </w:rPr>
        <w:t>2</w:t>
      </w:r>
      <w:r>
        <w:t>, was recorded as the state‐of‐the‐art PEC system for DMF photoelectrosynthesis. Mechanistic investigations revealed that bismuth vacancies, possessing a high p‐band center, preferentially activated methanol to generate *CHO radicals, whereas BiO</w:t>
      </w:r>
      <w:r>
        <w:t xml:space="preserve"> </w:t>
      </w:r>
      <w:r>
        <w:t>x</w:t>
      </w:r>
      <w:r>
        <w:t xml:space="preserve"> </w:t>
      </w:r>
      <w:r>
        <w:t>sites, characterized by a moderate electronic environment, selectively catalyzed dimethylamine to form *N(CH</w:t>
      </w:r>
      <w:r>
        <w:rPr>
          <w:vertAlign w:val="subscript"/>
        </w:rPr>
        <w:t>3</w:t>
      </w:r>
      <w:r>
        <w:t>)</w:t>
      </w:r>
      <w:r>
        <w:rPr>
          <w:vertAlign w:val="subscript"/>
        </w:rPr>
        <w:t>2</w:t>
      </w:r>
      <w:r>
        <w:t>radicals. This dual‐site architecture effectively decouples the competitive adsorption of alcohol and amine substrates, enabling spatial segregation and achieving biradical‐mediated C–N coupling. Importantly, the system demonstrated broad substrate adaptability, including cyclic secondary amines, highlighting its potential for constructing valuable amide derivatives. Our work provides a practical strategy for the mild valorization of biomass feedstocks and establishes an electronic structure‐guided paradigm for selectivity control and kinetic optimization in biradical‐mediated C–N coupling.</w:t>
      </w:r>
    </w:p>
    <w:p>
      <w:pPr>
        <w:spacing w:before="120" w:after="120"/>
      </w:pPr>
      <w:r>
        <w:rPr>
          <w:sz w:val="18"/>
        </w:rPr>
        <w:t>——————————————————————————————————————————————————————————————————————</w:t>
      </w:r>
    </w:p>
    <w:p>
      <w:pPr>
        <w:spacing w:before="160" w:after="40" w:line="240" w:lineRule="auto"/>
      </w:pPr>
      <w:r>
        <w:rPr>
          <w:b/>
        </w:rPr>
        <w:t xml:space="preserve">[12] </w:t>
      </w:r>
      <w:hyperlink r:id="rId459">
        <w:r>
          <w:rPr>
            <w:color w:val="1155CC"/>
            <w:u w:val="single"/>
          </w:rPr>
          <w:t>新型全薄膜电致变色器件：高性能智能可见光-红外多波段调制的分功能设计</w:t>
        </w:r>
      </w:hyperlink>
    </w:p>
    <w:p>
      <w:pPr>
        <w:spacing w:before="0" w:after="80"/>
      </w:pPr>
      <w:r>
        <w:rPr>
          <w:i/>
          <w:sz w:val="20"/>
        </w:rPr>
        <w:t>EN: The New Type All‐Thin‐Film Electrochromic Devices: Separated‐Function Design for High‐Performance Intelligent VIS‐IR Multi‐Band Modulation</w:t>
      </w:r>
    </w:p>
    <w:p>
      <w:pPr>
        <w:spacing w:before="0" w:after="120"/>
      </w:pPr>
      <w:r>
        <w:rPr>
          <w:b/>
        </w:rPr>
        <w:t xml:space="preserve">Source: </w:t>
      </w:r>
      <w:r>
        <w:t>Wiley: Advanced Energy Materials: Table of Contents</w:t>
      </w:r>
      <w:r>
        <w:t xml:space="preserve">    </w:t>
      </w:r>
      <w:r>
        <w:rPr>
          <w:b/>
        </w:rPr>
        <w:t xml:space="preserve">Pub date: </w:t>
      </w:r>
      <w:r>
        <w:t>2026-08-22 09:52:06+00:00</w:t>
      </w:r>
      <w:r>
        <w:t xml:space="preserve">    </w:t>
      </w:r>
      <w:r>
        <w:rPr>
          <w:b/>
        </w:rPr>
        <w:t xml:space="preserve">DOI: </w:t>
      </w:r>
      <w:hyperlink r:id="rId460">
        <w:r>
          <w:rPr>
            <w:color w:val="1155CC"/>
            <w:u w:val="single"/>
          </w:rPr>
          <w:t>10.1002/aenm.71448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基于具有协调可见光 (VIS) 和红外 (IR) 调制的全薄膜电致变色器件 (ECD) 的智能窗户为节能建筑提供了有前景的解决方案。然而，传统的单层 ECD 通常存在红外调制有限、动力学缓慢、耐用性差和光谱控制受限的问题。在这里，我们开发了一种功能分离的电致变色器件（SF-ECD），它将可见光和红外调节分离成独立的功能层。 ENZ-ITO 通过载流子介导的局域表面等离子体共振 (LSPR) 实现电驱动红外调制，而 NiO</w:t>
      </w:r>
      <w:r>
        <w:t xml:space="preserve"> </w:t>
      </w:r>
      <w:r>
        <w:t>x</w:t>
      </w:r>
      <w:r>
        <w:t xml:space="preserve"> </w:t>
      </w:r>
      <w:r>
        <w:t>通过基于极化子的电致变色提供 VIS 调制。该架构实现了协同多波段光学控制，在3-5、8-14、16-25和2.5-25 µm波段上分别提供0.76、0.68、0.75和0.68的平均发射率调制，最大可见光透射率调制为52.1%，发射率调制为0.83。 SF-ECD 表现出快速的 IR 切换（&lt;5.0 s）、出色的循环稳定性（&gt;5 × 10</w:t>
      </w:r>
      <w:r>
        <w:rPr>
          <w:vertAlign w:val="subscript"/>
        </w:rPr>
        <w:t>4</w:t>
      </w:r>
      <w:r>
        <w:t>周期），以及存储一年后的持续性能。室外测试表明，在太阳照射下温度可降低 5°C–6°C，凸显了其在智能建筑中先进热管理的潜力。</w:t>
      </w:r>
    </w:p>
    <w:p>
      <w:pPr>
        <w:spacing w:before="0" w:after="200" w:lineRule="auto" w:line="276"/>
      </w:pPr>
      <w:r>
        <w:rPr>
          <w:b/>
        </w:rPr>
        <w:t xml:space="preserve">Abstract (EN): </w:t>
      </w:r>
      <w:r>
        <w:t>Smart windows based on all‐thin‐film electrochromic devices (ECDs) with coordinated visible (VIS) and infrared (IR) modulation offer promising solutions for energy‐efficient buildings. However, conventional single‐layer ECDs often suffer from limited IR modulation, sluggish kinetics, poor durability, and restricted spectral control. Here, we develop a separated‐function electrochromic device (SF‐ECD) that decouples VIS and IR regulation into independent functional layers. ENZ‐ITO enables electrically driven IR modulation through carrier‐mediated localized surface plasmon resonance (LSPR), while NiO</w:t>
      </w:r>
      <w:r>
        <w:t xml:space="preserve"> </w:t>
      </w:r>
      <w:r>
        <w:t>x</w:t>
      </w:r>
      <w:r>
        <w:t xml:space="preserve"> </w:t>
      </w:r>
      <w:r>
        <w:t>provides VIS modulation via polaron‐based electrochromism. This architecture achieves synergistic multi‐band optical control, delivering average emissivity modulations of 0.76, 0.68, 0.75, and 0.68 across the 3–5, 8–14, 16–25, and 2.5–25 µm bands, respectively, with a maximum visible transmittance modulation of 52.1% and emissivity modulation of 0.83. The SF‐ECD exhibits rapid IR switching (&amp;lt;5.0 s), excellent cycling stability (&amp;gt;5 × 10</w:t>
      </w:r>
      <w:r>
        <w:rPr>
          <w:vertAlign w:val="subscript"/>
        </w:rPr>
        <w:t>4</w:t>
      </w:r>
      <w:r>
        <w:t>cycles), and sustained performance after 1‐year storage. Outdoor tests demonstrate a temperature reduction of 5°C–6°C under solar irradiation, highlighting its potential for advanced thermal management in intelligent buildings.</w:t>
      </w:r>
    </w:p>
    <w:p>
      <w:pPr>
        <w:spacing w:before="120" w:after="120"/>
      </w:pPr>
      <w:r>
        <w:rPr>
          <w:sz w:val="18"/>
        </w:rPr>
        <w:t>——————————————————————————————————————————————————————————————————————</w:t>
      </w:r>
    </w:p>
    <w:p>
      <w:pPr>
        <w:spacing w:before="160" w:after="40" w:line="240" w:lineRule="auto"/>
      </w:pPr>
      <w:r>
        <w:rPr>
          <w:b/>
        </w:rPr>
        <w:t xml:space="preserve">[13] </w:t>
      </w:r>
      <w:hyperlink r:id="rId461">
        <w:r>
          <w:rPr>
            <w:color w:val="1155CC"/>
            <w:u w:val="single"/>
          </w:rPr>
          <w:t>在沸石晶体内挖掘高速分级孔进行深度脱硫</w:t>
        </w:r>
      </w:hyperlink>
    </w:p>
    <w:p>
      <w:pPr>
        <w:spacing w:before="0" w:after="80"/>
      </w:pPr>
      <w:r>
        <w:rPr>
          <w:i/>
          <w:sz w:val="20"/>
        </w:rPr>
        <w:t>EN: Digging high-speed hierarchical pores within zeolite crystals for deep desulfurization</w:t>
      </w:r>
    </w:p>
    <w:p>
      <w:pPr>
        <w:spacing w:before="0" w:after="120"/>
      </w:pPr>
      <w:r>
        <w:rPr>
          <w:b/>
        </w:rPr>
        <w:t xml:space="preserve">Source: </w:t>
      </w:r>
      <w:r>
        <w:t>National Science Review Advance Access</w:t>
      </w:r>
      <w:r>
        <w:t xml:space="preserve">    </w:t>
      </w:r>
      <w:r>
        <w:rPr>
          <w:b/>
        </w:rPr>
        <w:t xml:space="preserve">Pub date: </w:t>
      </w:r>
      <w:r>
        <w:t>2026-08-25 00:00:00+00:00</w:t>
      </w:r>
      <w:r>
        <w:t xml:space="preserve">    </w:t>
      </w:r>
      <w:r>
        <w:rPr>
          <w:b/>
        </w:rPr>
        <w:t xml:space="preserve">DOI: </w:t>
      </w:r>
      <w:hyperlink r:id="rId462">
        <w:r>
          <w:rPr>
            <w:color w:val="1155CC"/>
            <w:u w:val="single"/>
          </w:rPr>
          <w:t>10.1093/nsr/nwag536</w:t>
        </w:r>
      </w:hyperlink>
    </w:p>
    <w:p>
      <w:pPr>
        <w:spacing w:before="0" w:after="120"/>
      </w:pPr>
      <w:r>
        <w:rPr>
          <w:b/>
        </w:rPr>
        <w:t xml:space="preserve">Notes: </w:t>
      </w:r>
      <w:r>
        <w:t>abstract_source=rss_oup</w:t>
      </w:r>
    </w:p>
    <w:p>
      <w:pPr>
        <w:spacing w:before="0" w:after="80" w:lineRule="auto" w:line="276"/>
      </w:pPr>
      <w:r>
        <w:rPr>
          <w:b/>
        </w:rPr>
        <w:t xml:space="preserve">摘要（ZH）: </w:t>
      </w:r>
      <w:r>
        <w:t>环境可持续性面临着燃料中难熔硫污染物（特别是位阻苯并噻吩）的严重损害。目前的技术远远不够，传统的钛硅沸石-1（C-TS-1）微孔催化剂由于分子扩散受限而快速堵塞和失活，使得深度脱硫成为尚未解决的技术瓶颈。我们通过在 TS-1 沸石单晶 (OMMS-TS-1s) 内创建分层有序的大介孔，开创了分子高速通道的概念，其中战略性定位的活性 Ti 位点驱动前所未有的超深度氧化脱硫 (ODS)。这一突破性设计可实现完全分子渗透，表面渗透性比传统 TS-1 沸石提高 10 倍，有效消除扩散限制。这种显着的高速分层通道有效地减少了扩散势垒，使大分子 ODS 具有出色的催化性能，4,6-二甲基二苯并噻吩 (4,6-DMDBT) 氧化的表观速率常数比 OMMS-TS-1 提高了 16 倍，比 C-TS-1 提高了 16 倍，并且在 1.5 小时内完成 4,6-DMDBT 转化，比 C-TS-1 快 8.3 倍。</w:t>
      </w:r>
    </w:p>
    <w:p>
      <w:pPr>
        <w:spacing w:before="0" w:after="200" w:lineRule="auto" w:line="276"/>
      </w:pPr>
      <w:r>
        <w:rPr>
          <w:b/>
        </w:rPr>
        <w:t xml:space="preserve">Abstract (EN): </w:t>
      </w:r>
      <w:r>
        <w:t>Environmental sustainability faces critical compromise from refractory sulfur pollutants in fuels, particularly sterically hindered benzothiophenes. Current technologies prove profoundly inadequate as conventional titanium silicalite-1 (C-TS-1) microporous catalysts suffer rapid pore-blocking and deactivation due to restricted molecular diffusion-rendering deep desulfurization an unresolved technological bottleneck. We pioneer a concept of molecular high-speed channels by creating hierarchically ordered macro-mesopores within TS-1 zeolite single crystals (OMMS-TS-1s), where strategically positioned active Ti sites drive unprecedented ultra-deep oxidative desulfurization (ODS). This breakthrough design enables complete molecular permeation with 10-fold enhanced surface permeability versus conventional TS-1 zeolite, effectively eliminating diffusion constraints. Such significant high-speed hierarchical channels effectively reduce diffusion barriers, enabling exceptional catalytic performance for bulky molecule ODS with an apparent rate constant of 4,6-dimethyldibenzothiophene (4,6-DMDBT) oxidation over OMMS-TS-1 being 16 times increase over C-TS-1, and a complete 4,6-DMDBT conversion in 1.5 hours being 8.3 times faster than C-TS-1.</w:t>
      </w:r>
    </w:p>
    <w:p>
      <w:pPr>
        <w:spacing w:before="120" w:after="120"/>
      </w:pPr>
      <w:r>
        <w:rPr>
          <w:sz w:val="18"/>
        </w:rPr>
        <w:t>——————————————————————————————————————————————————————————————————————</w:t>
      </w:r>
    </w:p>
    <w:p>
      <w:pPr>
        <w:spacing w:before="160" w:after="40" w:line="240" w:lineRule="auto"/>
      </w:pPr>
      <w:r>
        <w:rPr>
          <w:b/>
        </w:rPr>
        <w:t xml:space="preserve">[14] </w:t>
      </w:r>
      <w:hyperlink r:id="rId463">
        <w:r>
          <w:rPr>
            <w:color w:val="1155CC"/>
            <w:u w:val="single"/>
          </w:rPr>
          <w:t>塑料、合成燃料和化学品脱碳的环境和技术经济评估综述</w:t>
        </w:r>
      </w:hyperlink>
    </w:p>
    <w:p>
      <w:pPr>
        <w:spacing w:before="0" w:after="80"/>
      </w:pPr>
      <w:r>
        <w:rPr>
          <w:i/>
          <w:sz w:val="20"/>
        </w:rPr>
        <w:t>EN: A review of environmental and techno-economic assessments of plastics to synthetic fuels and chemicals towards decarbonization</w:t>
      </w:r>
    </w:p>
    <w:p>
      <w:pPr>
        <w:spacing w:before="0" w:after="120"/>
      </w:pPr>
      <w:r>
        <w:rPr>
          <w:b/>
        </w:rPr>
        <w:t xml:space="preserve">Source: </w:t>
      </w:r>
      <w:r>
        <w:t>ScienceDirect Publication: Applied Energy</w:t>
      </w:r>
      <w:r>
        <w:t xml:space="preserve">    </w:t>
      </w:r>
      <w:r>
        <w:rPr>
          <w:b/>
        </w:rPr>
        <w:t xml:space="preserve">Pub date: </w:t>
      </w:r>
      <w:r>
        <w:t>2026-08-26 00:00:00+00:00</w:t>
      </w:r>
      <w:r>
        <w:t xml:space="preserve">    </w:t>
      </w:r>
      <w:r>
        <w:rPr>
          <w:b/>
        </w:rPr>
        <w:t xml:space="preserve">DOI: </w:t>
      </w:r>
      <w:hyperlink r:id="rId464">
        <w:r>
          <w:rPr>
            <w:color w:val="1155CC"/>
            <w:u w:val="single"/>
          </w:rPr>
          <w:t>10.1016/j.apenergy.2026.128711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465">
        <w:r>
          <w:rPr>
            <w:color w:val="1155CC"/>
            <w:u w:val="single"/>
          </w:rPr>
          <w:t>海藻能否在全球范围内减少奶牛产生的甲烷？</w:t>
        </w:r>
      </w:hyperlink>
    </w:p>
    <w:p>
      <w:pPr>
        <w:spacing w:before="0" w:after="80"/>
      </w:pPr>
      <w:r>
        <w:rPr>
          <w:i/>
          <w:sz w:val="20"/>
        </w:rPr>
        <w:t>EN: Can seaweed mitigate methane from cows on a global scale?</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466">
        <w:r>
          <w:rPr>
            <w:color w:val="1155CC"/>
            <w:u w:val="single"/>
          </w:rPr>
          <w:t>10.1073/pnas.2626533123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467">
        <w:r>
          <w:rPr>
            <w:color w:val="1155CC"/>
            <w:u w:val="single"/>
          </w:rPr>
          <w:t>同步路易斯酸 C─O 键活化和 RuO2/ZnO 碳气凝胶上乙醇衍生的氢转移，用于技术木质素解聚</w:t>
        </w:r>
      </w:hyperlink>
    </w:p>
    <w:p>
      <w:pPr>
        <w:spacing w:before="0" w:after="80"/>
      </w:pPr>
      <w:r>
        <w:rPr>
          <w:i/>
          <w:sz w:val="20"/>
        </w:rPr>
        <w:t>EN: Synchronizing Lewis‐Acid C─O Bond Activation and Ethanol‐Derived Hydrogen Transfer Over RuO2/ZnO Carbon Aerogels for Technical Lignin Depolymerization</w:t>
      </w:r>
    </w:p>
    <w:p>
      <w:pPr>
        <w:spacing w:before="0" w:after="120"/>
      </w:pPr>
      <w:r>
        <w:rPr>
          <w:b/>
        </w:rPr>
        <w:t xml:space="preserve">Source: </w:t>
      </w:r>
      <w:r>
        <w:t>Wiley: Advanced Materials: Table of Contents</w:t>
      </w:r>
      <w:r>
        <w:t xml:space="preserve">    </w:t>
      </w:r>
      <w:r>
        <w:rPr>
          <w:b/>
        </w:rPr>
        <w:t xml:space="preserve">Pub date: </w:t>
      </w:r>
      <w:r>
        <w:t>2026-08-26 07:41:09+00:00</w:t>
      </w:r>
      <w:r>
        <w:t xml:space="preserve">    </w:t>
      </w:r>
      <w:r>
        <w:rPr>
          <w:b/>
        </w:rPr>
        <w:t xml:space="preserve">DOI: </w:t>
      </w:r>
      <w:hyperlink r:id="rId468">
        <w:r>
          <w:rPr>
            <w:color w:val="1155CC"/>
            <w:u w:val="single"/>
          </w:rPr>
          <w:t>10.1002/adma.74805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技术上的木质素解聚受到残留芳基醚键的断裂和所产生的高反应性片段的稳定之间的动力学不匹配的限制。这种不平衡促进了 C─C 的快速缩合，从而限制了芳香族单体的形成。在此，木质素磺酸盐衍生的 RuO</w:t>
      </w:r>
      <w:r>
        <w:rPr>
          <w:vertAlign w:val="subscript"/>
        </w:rPr>
        <w:t>2</w:t>
      </w:r>
      <w:r>
        <w:t>/ZnO碳气凝胶的构建是为了将路易斯酸位点的C─O键活化与N2下酶解木质素的乙醇介导的氢转移解聚同步化</w:t>
      </w:r>
      <w:r>
        <w:rPr>
          <w:vertAlign w:val="subscript"/>
        </w:rPr>
        <w:t>2</w:t>
      </w:r>
      <w:r>
        <w:t>。一种金属引导的凝胶煅烧路线，将 Ru 和 Zn 物质组织在聚丙烯酰胺-木质素磺酸盐网络中。该过程产生了具有紧密连接和电子耦合的 RuO 的分层多孔、N 掺杂碳框架</w:t>
      </w:r>
      <w:r>
        <w:rPr>
          <w:vertAlign w:val="subscript"/>
        </w:rPr>
        <w:t>2</w:t>
      </w:r>
      <w:r>
        <w:t>/ZnO 域，这种结构创建了一个耦合的催化微环境。含锌的路易斯酸性位点使含氧键极化，而钌位点则激活乙醇以传递可转移的氢物质。氯化锌</w:t>
      </w:r>
      <w:r>
        <w:rPr>
          <w:vertAlign w:val="subscript"/>
        </w:rPr>
        <w:t>2</w:t>
      </w:r>
      <w:r>
        <w:t>作为移动路易斯酸助催化剂，进一步促进芳基醚和</w:t>
      </w:r>
      <w:r>
        <w:t xml:space="preserve"> </w:t>
      </w:r>
      <w:r>
        <w:t>β–</w:t>
      </w:r>
      <w:r>
        <w:t xml:space="preserve"> </w:t>
      </w:r>
      <w:r>
        <w:t>O-4 激活。在优化条件下，无需外部 H 即可生产苯酚、愈创木酚和丁香酚型单体</w:t>
      </w:r>
      <w:r>
        <w:rPr>
          <w:vertAlign w:val="subscript"/>
        </w:rPr>
        <w:t>2</w:t>
      </w:r>
      <w:r>
        <w:t>，将芳香族单体收率从16.5%提高到21.2%。机理研究和计算揭示</w:t>
      </w:r>
    </w:p>
    <w:p>
      <w:pPr>
        <w:spacing w:before="0" w:after="200" w:lineRule="auto" w:line="276"/>
      </w:pPr>
      <w:r>
        <w:rPr>
          <w:b/>
        </w:rPr>
        <w:t xml:space="preserve">Abstract (EN): </w:t>
      </w:r>
      <w:r>
        <w:t>Technical lignin depolymerization is constrained by a kinetic mismatch between the cleavage of residual aryl ether bonds and the stabilization of the resulting highly reactive fragments that are generated. This imbalance promotes rapid C─C condensation, and thereby limits aromatic monomers formation. Herein, a lignosulfonate‐derived RuO</w:t>
      </w:r>
      <w:r>
        <w:rPr>
          <w:vertAlign w:val="subscript"/>
        </w:rPr>
        <w:t>2</w:t>
      </w:r>
      <w:r>
        <w:t>/ZnO carbon aerogel is constructed to synchronize C─O bond activation by Lewis acid sites with ethanol‐mediated hydrogen transfer depolymerization of enzymatic hydrolysis lignin under N</w:t>
      </w:r>
      <w:r>
        <w:rPr>
          <w:vertAlign w:val="subscript"/>
        </w:rPr>
        <w:t>2</w:t>
      </w:r>
      <w:r>
        <w:t>. A metal‐directed gelation calcination route that organized Ru and Zn species within a polyacrylamide‐lignosulfonate network. This process yields a hierarchically porous, N‐doped carbon framework with closely connected and electronically coupled RuO</w:t>
      </w:r>
      <w:r>
        <w:rPr>
          <w:vertAlign w:val="subscript"/>
        </w:rPr>
        <w:t>2</w:t>
      </w:r>
      <w:r>
        <w:t>/ZnO domains, this architecture creates a coupled catalytic microenvironment. Zn‐containing Lewis acidic sites polarize oxygenated linkages, whereas Ru sites activate ethanol to deliver transferable hydrogen species. ZnCl</w:t>
      </w:r>
      <w:r>
        <w:rPr>
          <w:vertAlign w:val="subscript"/>
        </w:rPr>
        <w:t>2</w:t>
      </w:r>
      <w:r>
        <w:t>serves as a mobile Lewis acid cocatalyst to further promote aryl ether and</w:t>
      </w:r>
      <w:r>
        <w:t xml:space="preserve"> </w:t>
      </w:r>
      <w:r>
        <w:t>β–</w:t>
      </w:r>
      <w:r>
        <w:t xml:space="preserve"> </w:t>
      </w:r>
      <w:r>
        <w:t>O–4 activation. Under optimized conditions, phenol, guaiacol, and syringol type monomers are produced without external H</w:t>
      </w:r>
      <w:r>
        <w:rPr>
          <w:vertAlign w:val="subscript"/>
        </w:rPr>
        <w:t>2</w:t>
      </w:r>
      <w:r>
        <w:t>, increasing the aromatic monomer yield from 16.5% to 21.2%. Mechanistic studies and calculations reveal that ZnCl</w:t>
      </w:r>
      <w:r>
        <w:rPr>
          <w:vertAlign w:val="subscript"/>
        </w:rPr>
        <w:t>2</w:t>
      </w:r>
      <w:r>
        <w:t>accelerates C─O bond activation, while the RuZn interface stabilizes quinone methide‐like intermediates through ethanol‐derived hydrogen transfer.</w:t>
      </w:r>
    </w:p>
    <w:p>
      <w:pPr>
        <w:spacing w:before="120" w:after="120"/>
      </w:pPr>
      <w:r>
        <w:rPr>
          <w:sz w:val="18"/>
        </w:rPr>
        <w:t>——————————————————————————————————————————————————————————————————————</w:t>
      </w:r>
    </w:p>
    <w:p>
      <w:pPr>
        <w:spacing w:before="160" w:after="40" w:line="240" w:lineRule="auto"/>
      </w:pPr>
      <w:r>
        <w:rPr>
          <w:b/>
        </w:rPr>
        <w:t xml:space="preserve">[17] </w:t>
      </w:r>
      <w:hyperlink r:id="rId469">
        <w:r>
          <w:rPr>
            <w:color w:val="1155CC"/>
            <w:u w:val="single"/>
          </w:rPr>
          <w:t>蛋黄壳沸石纳米反应器具有多重抗毒作用，可减少氮氧化物</w:t>
        </w:r>
      </w:hyperlink>
    </w:p>
    <w:p>
      <w:pPr>
        <w:spacing w:before="0" w:after="80"/>
      </w:pPr>
      <w:r>
        <w:rPr>
          <w:i/>
          <w:sz w:val="20"/>
        </w:rPr>
        <w:t>EN: Yolk-shell zeolite nanoreactors enable multi-poison resistance for NOx reduction</w:t>
      </w:r>
    </w:p>
    <w:p>
      <w:pPr>
        <w:spacing w:before="0" w:after="120"/>
      </w:pPr>
      <w:r>
        <w:rPr>
          <w:b/>
        </w:rPr>
        <w:t xml:space="preserve">Source: </w:t>
      </w:r>
      <w:r>
        <w:t>Earth and environmental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氨选择性催化还原（NH3-SCR）用于固定源NOx减排的实际应用受到烟气中SO2和碱金属毒物引起的催化剂失活的严重限制。尽管人们广泛寻求将过渡金属氧化物与沸石结合以增强催化剂中毒耐受性，但大多数报道的策略都具有固有的局限性。传统的负载方法提供高活性相负载，但使活性位点直接暴露于毒物，而限制策略提供屏蔽保护，但通常受到活性相含量有限的影响。在此，我们通过构建蛋黄壳结构催化剂展示了沸石限制纳米反应器的概念，其中高含量（&gt; 10 wt.%）MnFeOx纳米颗粒被封装在中空的ZSM-5沸石壳内。原位扩展X射线吸收精细结构光谱（EXAFS）和漫反射红外傅里叶变换光谱（DRIFTS），结合密度泛函理论（DFT）计算，揭示了一种协同的双重屏蔽机制：ZSM-5沸石壳在物理上阻碍SO2进入并毒害内部活性氧化物核，而其内在框架布朗斯台德酸位点在化学上抑制SO2吸附并捕获碱金属物种。因此，在 SO2 和钾共中毒的情况下，该催化剂在 250 °C 下仍能保持 95% 以上的 NOx 转化率。这项工作将空心沸石限制纳米反应器建立为开发耐用的氮氧化物排放控制催化剂的有效且多功能的平台</w:t>
      </w:r>
    </w:p>
    <w:p>
      <w:pPr>
        <w:spacing w:before="0" w:after="200" w:lineRule="auto" w:line="276"/>
      </w:pPr>
      <w:r>
        <w:rPr>
          <w:b/>
        </w:rPr>
        <w:t xml:space="preserve">Abstract (EN): </w:t>
      </w:r>
      <w:r>
        <w:t>The practical application of selective catalytic reduction with ammonia (NH3-SCR) for NOx abatement from stationary sources is severely restricted by catalyst deactivation induced by SO2 and alkali metal poisons in flue gas. Although integrating transition metal oxides with zeolites is widely pursued to enhance catalyst poisoning tolerance, most reported strategies have inherent limitations. Conventional loading approaches deliver high active phase loading but leave active sites directly exposed to poisons, whereas confinement strategies offer shielding protection but typically suffer from limited active phase content. Herein, we demonstrate the concept of a zeolite-confined nanoreactor by constructing a yolk-shell structured catalyst, in which high-content (&gt; 10 wt.%) MnFeOx nanoparticles are encapsulated within a hollow ZSM-5 zeolite shell. In situ extended X-ray absorption fine structure spectroscopy (EXAFS) and diffuse reflectance infrared Fourier-transform spectroscopy (DRIFTS), combined with density functional theory (DFT) calculations, reveal a synergistic dual-shielding mechanism: the ZSM-5 zeolite shell physically hinders SO2 from accessing and poisoning the inner active oxides core, while its intrinsic framework Brønsted acid sites chemically suppress SO2 adsorption and trap alkali metal species. Consequently, the catalyst maintains over 95% NOx conversion at 250 °C under co-poisoning by SO2 and potassium. This work establishes hollow zeolite-confined nanoreactors as an effective and versatile platform for developing durable NOx emission control catalysts applicable to industrially relevant multi-poisoning conditions.</w:t>
      </w:r>
    </w:p>
    <w:p>
      <w:pPr>
        <w:spacing w:before="120" w:after="120"/>
      </w:pPr>
      <w:r>
        <w:rPr>
          <w:sz w:val="18"/>
        </w:rPr>
        <w:t>——————————————————————————————————————————————————————————————————————</w:t>
      </w:r>
    </w:p>
    <w:p>
      <w:pPr>
        <w:spacing w:before="160" w:after="40" w:line="240" w:lineRule="auto"/>
      </w:pPr>
      <w:r>
        <w:rPr>
          <w:b/>
        </w:rPr>
        <w:t xml:space="preserve">[18] </w:t>
      </w:r>
      <w:hyperlink r:id="rId470">
        <w:r>
          <w:rPr>
            <w:color w:val="1155CC"/>
            <w:u w:val="single"/>
          </w:rPr>
          <w:t>来自一种原料的共价连接的木质素和纤维素的复合材料</w:t>
        </w:r>
      </w:hyperlink>
    </w:p>
    <w:p>
      <w:pPr>
        <w:spacing w:before="0" w:after="80"/>
      </w:pPr>
      <w:r>
        <w:rPr>
          <w:i/>
          <w:sz w:val="20"/>
        </w:rPr>
        <w:t>EN: Composites of covalently linked lignin and cellulose from one feedstock</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未来的生物精炼厂必须将木质纤维素原料的所有成分升级为高价值产品。为了遏制土地使用压力，迫切需要将现有林业和农业副产品升级为高影响力化石衍生材料的替代品的技术。普遍的生物质增值通常优先考虑纤维素纸浆或木质素；真正的共同增值仍然不常见。在此，我们报告了一种无金属、常压反应分馏，可同时产生高质量的纤维素和功能化木质素。分离出的木质素被醚化，随后通过环氧化物开环与纤维素共价偶联，产生复合材料。该材料表现出与普通包装材料相当的机械性能，在潮湿条件下具有保留性，克服了氢键纤维素网络的固有局限性。通过将温和分馏与化学升级相结合，该策略简化了加工，扩大了可从残余生物质侧流中获得的产品种类，并促进了有问题的包装材料的替代。这些发现建立了一条可扩展的路线，用于从残余流中进行全生物质共价和耐湿生物基包装。</w:t>
      </w:r>
    </w:p>
    <w:p>
      <w:pPr>
        <w:spacing w:before="0" w:after="200" w:lineRule="auto" w:line="276"/>
      </w:pPr>
      <w:r>
        <w:rPr>
          <w:b/>
        </w:rPr>
        <w:t xml:space="preserve">Abstract (EN): </w:t>
      </w:r>
      <w:r>
        <w:t>Future biorefineries must upgrade all constituents of lignocellulosic feedstocks to high-value products. To curb land-use pressure, technologies that upgrade existing side-streams from forestry and agriculture into substitutes for high-impact, fossil-derived materials are urgently needed. Prevailing biomass valorization typically prioritizes either cellulose pulp or lignin; true co-valorization remains uncommon. Here we report a metal-free, ambient-pressure reactive fractionation that concurrently yields high-quality cellulose and a functionalized lignin. The isolated lignin is etherified and subsequently covalently coupled to cellulose via epoxide ring-opening, producing a composite. The materials display mechanical performance equivalent to common packaging materials, with retention under wet conditions, overcoming the intrinsic limitations of hydrogen-bonded cellulose networks. By integrating mild fractionation with chemical upgrading, this strategy simplifies processing, broadens the product slate accessible from residual biomass side streams and advances the substitution of problematic packaging materials. These findings establish a scalable route to whole-biomass co-valorization and wet-tolerant bio-based packaging from residual streams.</w:t>
      </w:r>
    </w:p>
    <w:p>
      <w:pPr>
        <w:spacing w:before="120" w:after="120"/>
      </w:pPr>
      <w:r>
        <w:rPr>
          <w:sz w:val="18"/>
        </w:rPr>
        <w:t>——————————————————————————————————————————————————————————————————————</w:t>
      </w:r>
    </w:p>
    <w:p>
      <w:pPr>
        <w:spacing w:before="160" w:after="40" w:line="240" w:lineRule="auto"/>
      </w:pPr>
      <w:r>
        <w:rPr>
          <w:b/>
        </w:rPr>
        <w:t xml:space="preserve">[19] </w:t>
      </w:r>
      <w:hyperlink r:id="rId318">
        <w:r>
          <w:rPr>
            <w:color w:val="1155CC"/>
            <w:u w:val="single"/>
          </w:rPr>
          <w:t>坚韧、隔热且可扩展的受酥皮启发的建筑水泥材料，通过简单的滚动折叠</w:t>
        </w:r>
      </w:hyperlink>
    </w:p>
    <w:p>
      <w:pPr>
        <w:spacing w:before="0" w:after="80"/>
      </w:pPr>
      <w:r>
        <w:rPr>
          <w:i/>
          <w:sz w:val="20"/>
        </w:rPr>
        <w:t>EN: Tough, thermal insulating and scalable puff pastry-inspired architected cementitious material via simple rolling-folding</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建筑材料设计使水泥材料能够实现下一代基础设施非常理想的机械和功能性能。然而，当前设计的水泥材料需要复杂且能源密集型的制造，限制了其可扩展性和大规模实施。受酥皮糕点制备的启发，我们提出了一种在环境条件下通过简单的滚压折叠工艺制造的层状水泥建筑材料。这种材料具有高度有序的层状结构，由交替的平行水泥层和离散的板状空腔组成。这种结构具有延性断裂行为、高断裂韧性和有效的隔热性能。该材料的比断裂韧度高达91 MPa·mm0.5/g·cm3，比铸造材料高约20倍，超过了传统的增强水泥基复合材料，接近某些聚合物的水平。同时，其导热系数降低至0.38 W/m·K，相对于铸造材料降低了68.3%，优于同等密度的轻质水泥材料。此外，该材料表现出良好的制造效率、可扩展性和几何适应性，克服了现有建筑水泥材料的应用限制。这项研究有助于推进下一代基础设施材料的开发。</w:t>
      </w:r>
    </w:p>
    <w:p>
      <w:pPr>
        <w:spacing w:before="0" w:after="200" w:lineRule="auto" w:line="276"/>
      </w:pPr>
      <w:r>
        <w:rPr>
          <w:b/>
        </w:rPr>
        <w:t xml:space="preserve">Abstract (EN): </w:t>
      </w:r>
      <w:r>
        <w:t>Architected material design enables cementitious materials to achieve highly desirable mechanical and functional performance for next-generation infrastructure. However, current architected cementitious materials require complex and energy-intensive fabrication, limiting their scalability and large-scale implementation. Inspired by the preparation of puff pastry, we propose a lamellar cementitious architected material fabricated by a simple rolling-folding process under ambient conditions. This material features a highly ordered lamellar architecture, consisting of alternating parallel cement lamellae and discrete plate-like cavities. This structure enables ductile fracture behavior, high fracture toughness, and effective thermal insulation. The specific fracture toughness of this material reaches up to 91 MPa·mm0.5/g·cm3, approximately 20 times higher than that of the cast counterpart, surpassing conventional reinforced cementitious composites and approaching the level of certain polymers. Meanwhile, its thermal conductivity decreases to 0.38 W/m·K, representing a 68.3% reduction relative to the cast counterpart, and outperforming lightweight cementitious materials with comparable densities. Furthermore, this material demonstrates good manufacturing efficiency, scalability, and geometric adaptability, overcoming the application limitations of existing architected cementitious materials. This study can help advance the development of next-generation infrastructure materials.</w:t>
      </w:r>
    </w:p>
    <w:p>
      <w:pPr>
        <w:spacing w:before="120" w:after="120"/>
      </w:pPr>
      <w:r>
        <w:rPr>
          <w:sz w:val="18"/>
        </w:rPr>
        <w:t>——————————————————————————————————————————————————————————————————————</w:t>
      </w:r>
    </w:p>
    <w:p>
      <w:pPr>
        <w:spacing w:before="160" w:after="40" w:line="240" w:lineRule="auto"/>
      </w:pPr>
      <w:r>
        <w:rPr>
          <w:b/>
        </w:rPr>
        <w:t xml:space="preserve">[20] </w:t>
      </w:r>
      <w:hyperlink r:id="rId471">
        <w:r>
          <w:rPr>
            <w:color w:val="1155CC"/>
            <w:u w:val="single"/>
          </w:rPr>
          <w:t>纠正2026年美国汽车排放标准回滚背后的逻辑</w:t>
        </w:r>
      </w:hyperlink>
    </w:p>
    <w:p>
      <w:pPr>
        <w:spacing w:before="0" w:after="80"/>
      </w:pPr>
      <w:r>
        <w:rPr>
          <w:i/>
          <w:sz w:val="20"/>
        </w:rPr>
        <w:t>EN: Correcting the logic behind the 2026 US vehicle emissions standard rollback</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472">
        <w:r>
          <w:rPr>
            <w:color w:val="1155CC"/>
            <w:u w:val="single"/>
          </w:rPr>
          <w:t>10.1126/science.aef0464</w:t>
        </w:r>
      </w:hyperlink>
    </w:p>
    <w:p>
      <w:pPr>
        <w:spacing w:before="0" w:after="120"/>
      </w:pPr>
      <w:r>
        <w:rPr>
          <w:b/>
        </w:rPr>
        <w:t xml:space="preserve">Notes: </w:t>
      </w:r>
      <w:r>
        <w:t>abstract_source=crossref</w:t>
      </w:r>
    </w:p>
    <w:p>
      <w:pPr>
        <w:spacing w:before="0" w:after="80" w:lineRule="auto" w:line="276"/>
      </w:pPr>
      <w:r>
        <w:rPr>
          <w:b/>
        </w:rPr>
        <w:t xml:space="preserve">摘要（ZH）: </w:t>
      </w:r>
      <w:r>
        <w:t>纠正选择性假设和不一致的证据解释将推翻政策的合理性</w:t>
      </w:r>
    </w:p>
    <w:p>
      <w:pPr>
        <w:spacing w:before="0" w:after="200" w:lineRule="auto" w:line="276"/>
      </w:pPr>
      <w:r>
        <w:rPr>
          <w:b/>
        </w:rPr>
        <w:t xml:space="preserve">Abstract (EN): </w:t>
      </w:r>
      <w:r>
        <w:t>Correction of selective assumptions and inconsistent interpretations of evidence would overturn policy justification</w:t>
      </w:r>
    </w:p>
    <w:p>
      <w:pPr>
        <w:spacing w:before="120" w:after="120"/>
      </w:pPr>
      <w:r>
        <w:rPr>
          <w:sz w:val="18"/>
        </w:rPr>
        <w:t>——————————————————————————————————————————————————————————————————————</w:t>
      </w:r>
    </w:p>
    <w:p>
      <w:pPr>
        <w:spacing w:before="160" w:after="40" w:line="240" w:lineRule="auto"/>
      </w:pPr>
      <w:r>
        <w:rPr>
          <w:b/>
        </w:rPr>
        <w:t xml:space="preserve">[21] </w:t>
      </w:r>
      <w:hyperlink r:id="rId473">
        <w:r>
          <w:rPr>
            <w:color w:val="1155CC"/>
            <w:u w:val="single"/>
          </w:rPr>
          <w:t>世界上最糟糕的能源政策</w:t>
        </w:r>
      </w:hyperlink>
    </w:p>
    <w:p>
      <w:pPr>
        <w:spacing w:before="0" w:after="80"/>
      </w:pPr>
      <w:r>
        <w:rPr>
          <w:i/>
          <w:sz w:val="20"/>
        </w:rPr>
        <w:t>EN: The worst energy policy in the world</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474">
        <w:r>
          <w:rPr>
            <w:color w:val="1155CC"/>
            <w:u w:val="single"/>
          </w:rPr>
          <w:t>10.1126/science.aej2018</w:t>
        </w:r>
      </w:hyperlink>
    </w:p>
    <w:p>
      <w:pPr>
        <w:spacing w:before="0" w:after="120"/>
      </w:pPr>
      <w:r>
        <w:rPr>
          <w:b/>
        </w:rPr>
        <w:t xml:space="preserve">Notes: </w:t>
      </w:r>
      <w:r>
        <w:t>abstract_source=crossref</w:t>
      </w:r>
    </w:p>
    <w:p>
      <w:pPr>
        <w:spacing w:before="0" w:after="80" w:lineRule="auto" w:line="276"/>
      </w:pPr>
      <w:r>
        <w:rPr>
          <w:b/>
        </w:rPr>
        <w:t xml:space="preserve">摘要（ZH）: </w:t>
      </w:r>
      <w:r>
        <w:t>伊朗战争可能成为加速全球摆脱化石燃料转型的转折点：石油和天然气价格每高一天，未来供应不确定，风能和太阳能——比以往任何时候都更便宜、更容易扩展——就变得更有吸引力。但世界上近一半的国家已经采取了紧急补贴，研究表明，这将使这一转变变得更慢、更昂贵、更不公平。</w:t>
      </w:r>
    </w:p>
    <w:p>
      <w:pPr>
        <w:spacing w:before="0" w:after="200" w:lineRule="auto" w:line="276"/>
      </w:pPr>
      <w:r>
        <w:rPr>
          <w:b/>
        </w:rPr>
        <w:t xml:space="preserve">Abstract (EN): </w:t>
      </w:r>
      <w:r>
        <w:t>The Iran war could serve as a turning point in accelerating the global transition away from fossil fuels: Every additional day that oil and gas prices are high and future supplies are uncertain, wind and solar power—cheaper and more scalable than ever before—grow all the more appealing. But nearly half of the world’s countries have adopted emergency subsidies that research shows will make this transition slower, more expensive, and less equitable.</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475">
        <w:r>
          <w:rPr>
            <w:color w:val="1155CC"/>
            <w:u w:val="single"/>
          </w:rPr>
          <w:t>将远程可再生能源中心与 CCUS 链整合以构建未来能源系统：比利时案例</w:t>
        </w:r>
      </w:hyperlink>
    </w:p>
    <w:p>
      <w:pPr>
        <w:spacing w:before="0" w:after="80"/>
      </w:pPr>
      <w:r>
        <w:rPr>
          <w:i/>
          <w:sz w:val="20"/>
        </w:rPr>
        <w:t>EN: Towards the integration of remote renewable energy hubs with CCUS chain for a future energy system: the Belgian case</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476">
        <w:r>
          <w:rPr>
            <w:color w:val="1155CC"/>
            <w:u w:val="single"/>
          </w:rPr>
          <w:t>10.1016/j.apenergy.2026.128428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477">
        <w:r>
          <w:rPr>
            <w:color w:val="1155CC"/>
            <w:u w:val="single"/>
          </w:rPr>
          <w:t>低配位CuNi双原子催化剂用于高效烟气CO2光还原为C2H6</w:t>
        </w:r>
      </w:hyperlink>
    </w:p>
    <w:p>
      <w:pPr>
        <w:spacing w:before="0" w:after="80"/>
      </w:pPr>
      <w:r>
        <w:rPr>
          <w:i/>
          <w:sz w:val="20"/>
        </w:rPr>
        <w:t>EN: Low-coordinated CuNi dual-atom catalyst for efficient flue gas CO2-to-C2H6 photoreduction</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由于二氧化碳浓度低、动力学缓慢且容易导致催化剂中毒，将烟气二氧化碳有效光还原为高价值的碳产品具有挑战性。为了解决这个问题，通过原位热聚合方法合成了具有低配位N3-Ni-Cu-N2双原子活性位点的CuNi/PCN光催化剂。优化的催化剂驱动 CO2 光还原，C2H6 作为主要产物，与 CO 和 CH4 一起以 254.3 μmol h−1 g−1 的速率形成。值得注意的是，它在 15% 稀释的 CO2 下保留了约 50% 的产率和约 63% 的 C2H6 电子选择性，并在复杂烟气中表现出强大的抗中毒能力和稳定性。综合研究表明，低配位的 CuNi 双原子位点协同调节活性位点电子，增强 CO2 吸附并降低 C-C 耦合形成 C2H6 的障碍。形成的Cu-Ni键进一步增强了催化剂的结构和光催化稳定性。总体而言，这项工作为利用工业废气高效太阳能生产 C2 提供了一种有前景的策略。</w:t>
      </w:r>
    </w:p>
    <w:p>
      <w:pPr>
        <w:spacing w:before="0" w:after="200" w:lineRule="auto" w:line="276"/>
      </w:pPr>
      <w:r>
        <w:rPr>
          <w:b/>
        </w:rPr>
        <w:t xml:space="preserve">Abstract (EN): </w:t>
      </w:r>
      <w:r>
        <w:t>Efficient photoreduction of flue gas CO2 to high-value C2 products is challenging due to low CO2 concentrations, sluggish kinetics, and susceptibility to catalyst poisoning. To tackle this, CuNi/PCN photocatalysts with low-coordinated N3-Ni-Cu-N2 dual-atom active sites were synthesized by in-situ thermal polymerization method. The optimized catalyst drives CO2 photoreduction, with C2H6 formed as the major product at a rate of 254.3 μmol h−1 g−1 alongside CO and CH4. Notably, it retains ~50% yield with ~63% electron selectivity of C2H6 under 15% diluted CO2 and exhibits robust anti-poisoning capability and stability in complex flue gas. Integrated studies reveal that low coordinated CuNi dual-atom sites synergistically modulates active site electronics, enhancing CO2 adsorption and lowering barriers for C-C coupling to form C2H6. The formed Cu-Ni bonds further reinforce the catalyst’s structural and photocatalytic stability. Overall, this work offers a promising strategy for efficient solar C2 production from industrial exhaust gases.</w:t>
      </w:r>
    </w:p>
    <w:p>
      <w:pPr>
        <w:spacing w:before="120" w:after="120"/>
      </w:pPr>
      <w:r>
        <w:rPr>
          <w:sz w:val="18"/>
        </w:rPr>
        <w:t>——————————————————————————————————————————————————————————————————————</w:t>
      </w:r>
    </w:p>
    <w:p>
      <w:pPr>
        <w:spacing w:before="160" w:after="40" w:line="240" w:lineRule="auto"/>
      </w:pPr>
      <w:r>
        <w:rPr>
          <w:b/>
        </w:rPr>
        <w:t xml:space="preserve">[3] </w:t>
      </w:r>
      <w:hyperlink r:id="rId478">
        <w:r>
          <w:rPr>
            <w:color w:val="1155CC"/>
            <w:u w:val="single"/>
          </w:rPr>
          <w:t>第二配位层具有疏水空腔的铁络合物在稀二氧化碳气氛下高效光催化二氧化碳还原</w:t>
        </w:r>
      </w:hyperlink>
    </w:p>
    <w:p>
      <w:pPr>
        <w:spacing w:before="0" w:after="80"/>
      </w:pPr>
      <w:r>
        <w:rPr>
          <w:i/>
          <w:sz w:val="20"/>
        </w:rPr>
        <w:t>EN: Efficient Photocatalytic CO2 Reduction under a Dilute CO2 Atmosphere by Iron Complexes with Hydrophobic Cavity in the Second Coordination Sphere</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479">
        <w:r>
          <w:rPr>
            <w:color w:val="1155CC"/>
            <w:u w:val="single"/>
          </w:rPr>
          <w:t>10.1021/jacs.6c11709</w:t>
        </w:r>
      </w:hyperlink>
    </w:p>
    <w:p>
      <w:pPr>
        <w:spacing w:before="0" w:after="120"/>
      </w:pPr>
      <w:r>
        <w:rPr>
          <w:b/>
        </w:rPr>
        <w:t xml:space="preserve">Notes: </w:t>
      </w:r>
      <w:r>
        <w:t>abstract_source=crossref</w:t>
      </w:r>
    </w:p>
    <w:p>
      <w:pPr>
        <w:spacing w:before="0" w:after="80" w:lineRule="auto" w:line="276"/>
      </w:pPr>
      <w:r>
        <w:rPr>
          <w:b/>
        </w:rPr>
        <w:t xml:space="preserve">摘要（ZH）: </w:t>
      </w:r>
      <w:r>
        <w:t>摘要 直接利用二氧化碳稀释的工业烟气流进行太阳能驱动的燃料合成需要能够在低二氧化碳浓度下有效捕获和转化二氧化碳的催化剂。我们报道，在第二配位层（SCS）中具有疏水袋的 FeII 配合物可以进行光催化 CO2 还原，从而高效、高选择性地提供 CO。在 CH3CN/H2O (4:1, v/v) 中使用基于 Ir 的光敏剂和牺牲还原剂，SCS 中带有异丙酮基或蒽基取代基的 FeII 配合物在纯 CO2 气氛下表现出比未取代的配合物高约 2 倍的光催化 CO2 转化为 CO 的转换数，同时保持 CO 选择性高于 90%。值得注意的是，即使在高度稀释的 CO2 条件下，蒽基取代的络合物仍保持高催化活性和选择性，能够在浓度低至 5000 ppm（0.5% CO2）时将 CO2 有效转化为 CO。机理研究表明，在双还原 Fe0 物种的疏水性 SCS 中捕获非极性 CO2 分子可能是控制 CO2 稀释条件下催化活性的关键步骤，并且疏水相互作用通过增加催化中心附近 CO2 的局部浓度来促进这一过程。这些发现证明了疏水性 SCS 工程在开发能够有效利用低浓度二氧化碳的分子催化剂方面的潜力。</w:t>
      </w:r>
    </w:p>
    <w:p>
      <w:pPr>
        <w:spacing w:before="0" w:after="200" w:lineRule="auto" w:line="276"/>
      </w:pPr>
      <w:r>
        <w:rPr>
          <w:b/>
        </w:rPr>
        <w:t xml:space="preserve">Abstract (EN): </w:t>
      </w:r>
      <w:r>
        <w:t>The direct utilization of CO2-diluted industrial flue gas streams for solar-driven fuel synthesis requires catalysts capable of efficient CO2 capture and conversion under low CO2 concentrations. We report that FeII complexes having hydrophobic pockets in the second coordination sphere (SCS) perform photocatalytic CO2 reduction to afford CO in high efficiency and selectivity. Using an Ir-based photosensitizer and a sacrificial reductant in CH3CN/H2O (4:1, v/v), FeII complexes bearing mesityl or anthracenyl substituents in the SCSs exhibited approximately 2-fold higher turnover numbers for photocatalytic CO2-to-CO conversion under a pure CO2 atmosphere compared to the unsubstituted complex while maintaining CO selectivity above 90%. Remarkably, the anthracenyl-substituted complex maintained high catalytic activity and selectivity even under highly diluted CO2 conditions, enabling efficient conversion of CO2 to CO at concentrations as low as 5000 ppm (0.5% CO2). Mechanistic investigations indicated that capturing a nonpolar CO2 molecule in the hydrophobic SCS of the doubly reduced Fe0 species may serve as a key step governing the catalytic activity under CO2-diluted conditions and that hydrophobic interactions facilitate this process by increasing the local concentration of CO2 near the catalytic center. These findings demonstrate the potential of the engineering of hydrophobic SCS for the development of molecular catalysts capable of efficient low-concentration CO2 utilization.</w:t>
      </w:r>
    </w:p>
    <w:p>
      <w:pPr>
        <w:spacing w:before="120" w:after="120"/>
      </w:pPr>
      <w:r>
        <w:rPr>
          <w:sz w:val="18"/>
        </w:rPr>
        <w:t>——————————————————————————————————————————————————————————————————————</w:t>
      </w:r>
    </w:p>
    <w:p>
      <w:pPr>
        <w:spacing w:before="160" w:after="40" w:line="240" w:lineRule="auto"/>
      </w:pPr>
      <w:r>
        <w:rPr>
          <w:b/>
        </w:rPr>
        <w:t xml:space="preserve">[4] </w:t>
      </w:r>
      <w:hyperlink r:id="rId480">
        <w:r>
          <w:rPr>
            <w:color w:val="1155CC"/>
            <w:u w:val="single"/>
          </w:rPr>
          <w:t>自持氢继电器能够通过串联催化剂将环己烷-CO2 热力学耦合转化为芳烃</w:t>
        </w:r>
      </w:hyperlink>
    </w:p>
    <w:p>
      <w:pPr>
        <w:spacing w:before="0" w:after="80"/>
      </w:pPr>
      <w:r>
        <w:rPr>
          <w:i/>
          <w:sz w:val="20"/>
        </w:rPr>
        <w:t>EN: Self-Sustained Hydrogen Relay Enables Thermodynamically Coupled Cyclohexane-CO2 Conversion to Aromatics over Tandem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481">
        <w:r>
          <w:rPr>
            <w:color w:val="1155CC"/>
            <w:u w:val="single"/>
          </w:rPr>
          <w:t>10.1021/jacs.6c13315</w:t>
        </w:r>
      </w:hyperlink>
    </w:p>
    <w:p>
      <w:pPr>
        <w:spacing w:before="0" w:after="120"/>
      </w:pPr>
      <w:r>
        <w:rPr>
          <w:b/>
        </w:rPr>
        <w:t xml:space="preserve">Notes: </w:t>
      </w:r>
      <w:r>
        <w:t>abstract_source=crossref</w:t>
      </w:r>
    </w:p>
    <w:p>
      <w:pPr>
        <w:spacing w:before="0" w:after="80" w:lineRule="auto" w:line="276"/>
      </w:pPr>
      <w:r>
        <w:rPr>
          <w:b/>
        </w:rPr>
        <w:t xml:space="preserve">摘要（ZH）: </w:t>
      </w:r>
      <w:r>
        <w:t>摘要 环烷烃是石脑油的主要成分，但它们通过脱氢转化为芳烃的过程仍然受到热力学限制并且是能源密集型的。在这里，我们报告了一种热力学耦合策略，该策略将吸热环己烷脱氢与放热二氧化碳氢化相结合，从而在温和条件下实现热力学补偿芳构化。使用串联 Pd@S-1 和 ZnZrOx/ZSM-5 催化剂，环己烷脱氢、CO2 活化和甲醇介导的烷基化在氢穿梭网络内协同耦合。在连续流动条件下（370℃，3MPa），该系统实现了99%的环己烷转化率和99%的芳烃选择性，以及38%的CO2转化率。 Operando X射线吸收光谱（XAS）揭示了动态的Pd0/PdO相互转化，而Zn-O-Zr位点保持结构稳定以促进CO2活化。 13CO2 同位素示踪证实了源自 CO2 的碳直接掺入芳香族产品中。这项工作建立了一种氢穿梭热化学范例，用于耦合吸热和放热反应，为环烷烃升级和二氧化碳增值提供了一条节能途径。</w:t>
      </w:r>
    </w:p>
    <w:p>
      <w:pPr>
        <w:spacing w:before="0" w:after="200" w:lineRule="auto" w:line="276"/>
      </w:pPr>
      <w:r>
        <w:rPr>
          <w:b/>
        </w:rPr>
        <w:t xml:space="preserve">Abstract (EN): </w:t>
      </w:r>
      <w:r>
        <w:t>Naphthenes constitute major components of naphtha, yet their conversion to aromatics via dehydrogenation remains thermodynamically constrained and energy-intensive. Here we report a thermodynamically coupled strategy that integrates endothermic cyclohexane dehydrogenation with exothermic CO2 hydrogenation, enabling thermodynamically compensated aromatization under mild conditions. Using a tandem Pd@S-1 and ZnZrOx/ZSM-5 catalyst, cyclohexane dehydrogenation, CO2 activation, and methanol-mediated alkylation are synergistically coupled within a hydrogen-shuttling network. Under continuous-flow conditions (370 °C, 3 MPa), the system achieves 99% cyclohexane conversion and 99% aromatics selectivity with 38% CO2 conversion. Operando X-ray absorption spectroscopy (XAS) reveals dynamic Pd0/PdO interconversion, while Zn–O–Zr sites remain structurally stable to facilitate CO2 activation. 13CO2 isotopic tracing confirms direct incorporation of CO2-derived carbon into aromatic products. This work establishes a hydrogen shuttle-enabled thermochemical paradigm for coupling endothermic and exothermic reactions, offering an energy-efficient route for naphthene upgrading and CO2 valorization.</w:t>
      </w:r>
    </w:p>
    <w:p>
      <w:pPr>
        <w:spacing w:before="120" w:after="120"/>
      </w:pPr>
      <w:r>
        <w:rPr>
          <w:sz w:val="18"/>
        </w:rPr>
        <w:t>——————————————————————————————————————————————————————————————————————</w:t>
      </w:r>
    </w:p>
    <w:p>
      <w:pPr>
        <w:spacing w:before="160" w:after="40" w:line="240" w:lineRule="auto"/>
      </w:pPr>
      <w:r>
        <w:rPr>
          <w:b/>
        </w:rPr>
        <w:t xml:space="preserve">[5] </w:t>
      </w:r>
      <w:hyperlink r:id="rId384">
        <w:r>
          <w:rPr>
            <w:color w:val="1155CC"/>
            <w:u w:val="single"/>
          </w:rPr>
          <w:t>通过调整空间资源约束与设施异质性，探索中国区域零碳钢路径</w:t>
        </w:r>
      </w:hyperlink>
    </w:p>
    <w:p>
      <w:pPr>
        <w:spacing w:before="0" w:after="80"/>
      </w:pPr>
      <w:r>
        <w:rPr>
          <w:i/>
          <w:sz w:val="20"/>
        </w:rPr>
        <w:t>EN: Navigating regional zero-carbon steel pathways in China by aligning spatial resource constraints with facility heterogeneity</w:t>
      </w:r>
    </w:p>
    <w:p>
      <w:pPr>
        <w:spacing w:before="0" w:after="120"/>
      </w:pPr>
      <w:r>
        <w:rPr>
          <w:b/>
        </w:rPr>
        <w:t xml:space="preserve">Source: </w:t>
      </w:r>
      <w:r>
        <w:t>Earth and environmental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中国钢铁行业对于全球工业脱碳至关重要，但在异质的区域资源禀赋下，近零转型路径仍知之甚少。在这里，我们开发了一个工厂解决的、空间明确的框架，该框架集成了设施级排放数据库、成本最小化技术模型和地理空间资源匹配。我们发现，高炉-碱性氧气转炉生产占行业排放量的 83%，而 35% 的高炉已有 10-15 年的使用年限，创造了改造机会和碳锁定风险。到2060年实现减排97%需要在2040年之前加速改造，淘汰140个小型设施，将氢冶金扩大到34.6%，并将碳捕获和封存的作用限制在12.1%。相对于一切照旧，到 2060 年，尽管有 4,360 亿美元的搁浅资产，但接近于零的路径将累计系统成本削减 21,840 亿美元 (USD)。北方和沿海地区青睐氢冶金，而内陆省份则集中了全国46%的碳捕集能力。本研究强调了在技术锁定和资源禀赋不均的情况下，难以减排行业脱碳的差异化区域路径。</w:t>
      </w:r>
    </w:p>
    <w:p>
      <w:pPr>
        <w:spacing w:before="0" w:after="200" w:lineRule="auto" w:line="276"/>
      </w:pPr>
      <w:r>
        <w:rPr>
          <w:b/>
        </w:rPr>
        <w:t xml:space="preserve">Abstract (EN): </w:t>
      </w:r>
      <w:r>
        <w:t>China’s iron and steel sector is pivotal to global industrial decarbonization, yet near-zero transition pathways under heterogeneous regional resource endowments remain poorly understood. Here we develop a plant-resolved, spatially explicit framework that integrates a facility-level emission database, a cost-minimizing technology model and geospatial resource matching. We find that blast furnace-basic oxygen furnace production accounts for 83% of sectoral emissions, while 35% of blast furnaces are 10–15 years old, creating retrofit opportunities and carbon lock-in risks. Achieving a 97% emissions reduction by 2060 requires accelerated retrofits before 2040, retirement of 140 small facilities, expansion of hydrogen metallurgy to 34.6%, and a limited role for carbon capture and storage at 12.1%. Relative to business as usual, the near-zero pathway cuts cumulative system costs by 2,184 billion United States dollars (USD) by 2060 despite USD 436 billion in stranded assets. Northern and coastal regions favour hydrogen metallurgy, whereas inland provinces concentrate 46% of national carbon capture capacity. This study highlights differentiated regional pathway for decarbonizing hard-to-abate sectors under technological lock-in and uneven resource endowments.</w:t>
      </w:r>
    </w:p>
    <w:p>
      <w:pPr>
        <w:spacing w:before="120" w:after="120"/>
      </w:pPr>
      <w:r>
        <w:rPr>
          <w:sz w:val="18"/>
        </w:rPr>
        <w:t>——————————————————————————————————————————————————————————————————————</w:t>
      </w:r>
    </w:p>
    <w:p>
      <w:pPr>
        <w:spacing w:before="160" w:after="40" w:line="240" w:lineRule="auto"/>
      </w:pPr>
      <w:r>
        <w:rPr>
          <w:b/>
        </w:rPr>
        <w:t xml:space="preserve">[6] </w:t>
      </w:r>
      <w:hyperlink r:id="rId482">
        <w:r>
          <w:rPr>
            <w:color w:val="1155CC"/>
            <w:u w:val="single"/>
          </w:rPr>
          <w:t>界面动态氧交换保留了 C─O 键，用于选择性 CO2 至乙醇电合成</w:t>
        </w:r>
      </w:hyperlink>
    </w:p>
    <w:p>
      <w:pPr>
        <w:spacing w:before="0" w:after="80"/>
      </w:pPr>
      <w:r>
        <w:rPr>
          <w:i/>
          <w:sz w:val="20"/>
        </w:rPr>
        <w:t>EN: Interfacial Dynamic Oxygen Exchange Preserves C─O Bonds for Selective CO2‐to‐Ethanol Electrosynthesis</w:t>
      </w:r>
    </w:p>
    <w:p>
      <w:pPr>
        <w:spacing w:before="0" w:after="120"/>
      </w:pPr>
      <w:r>
        <w:rPr>
          <w:b/>
        </w:rPr>
        <w:t xml:space="preserve">Source: </w:t>
      </w:r>
      <w:r>
        <w:t>Wiley: Advanced Materials: Table of Contents</w:t>
      </w:r>
      <w:r>
        <w:t xml:space="preserve">    </w:t>
      </w:r>
      <w:r>
        <w:rPr>
          <w:b/>
        </w:rPr>
        <w:t xml:space="preserve">Pub date: </w:t>
      </w:r>
      <w:r>
        <w:t>2026-08-22 09:14:57+00:00</w:t>
      </w:r>
      <w:r>
        <w:t xml:space="preserve">    </w:t>
      </w:r>
      <w:r>
        <w:rPr>
          <w:b/>
        </w:rPr>
        <w:t xml:space="preserve">DOI: </w:t>
      </w:r>
      <w:hyperlink r:id="rId483">
        <w:r>
          <w:rPr>
            <w:color w:val="1155CC"/>
            <w:u w:val="single"/>
          </w:rPr>
          <w:t>10.1002/adma.74746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中间价铜（Cu</w:t>
      </w:r>
      <w:r>
        <w:t xml:space="preserve"> </w:t>
      </w:r>
      <w:r>
        <w:t>+</w:t>
      </w:r>
      <w:r>
        <w:t xml:space="preserve"> </w:t>
      </w:r>
      <w:r>
        <w:t>）对于 CO 电化学还原过程中保留 C─O 键至关重要</w:t>
      </w:r>
      <w:r>
        <w:rPr>
          <w:vertAlign w:val="subscript"/>
        </w:rPr>
        <w:t>2</w:t>
      </w:r>
      <w:r>
        <w:t>乙醇，但其逐渐过度还原为铜</w:t>
      </w:r>
      <w:r>
        <w:rPr>
          <w:vertAlign w:val="subscript"/>
        </w:rPr>
        <w:t>0</w:t>
      </w:r>
      <w:r>
        <w:t>在操作电位下，不可避免地会导致 C─O 键断裂，并使选择性转向乙烯。在这里，我们提出了一种界面动态氧交换策略来稳定 Cu</w:t>
      </w:r>
      <w:r>
        <w:t xml:space="preserve"> </w:t>
      </w:r>
      <w:r>
        <w:t>+</w:t>
      </w:r>
      <w:r>
        <w:t xml:space="preserve"> </w:t>
      </w:r>
      <w:r>
        <w:t>位点并引导乙醇反应途径。我们通过设计几层二氧化铈涂层的氧化亚铜（Cu</w:t>
      </w:r>
      <w:r>
        <w:rPr>
          <w:vertAlign w:val="subscript"/>
        </w:rPr>
        <w:t>2</w:t>
      </w:r>
      <w:r>
        <w:t>氧@CeO</w:t>
      </w:r>
      <w:r>
        <w:rPr>
          <w:vertAlign w:val="subscript"/>
        </w:rPr>
        <w:t>2</w:t>
      </w:r>
      <w:r>
        <w:t>）具有富氧空位异质界面（Ce−O</w:t>
      </w:r>
      <w:r>
        <w:t xml:space="preserve"> </w:t>
      </w:r>
      <w:r>
        <w:t>V</w:t>
      </w:r>
      <w:r>
        <w:t xml:space="preserve"> </w:t>
      </w:r>
      <w:r>
        <w:t>-铜）。</w:t>
      </w:r>
      <w:r>
        <w:t xml:space="preserve"> </w:t>
      </w:r>
      <w:r>
        <w:t>操作</w:t>
      </w:r>
      <w:r>
        <w:t xml:space="preserve"> </w:t>
      </w:r>
      <w:r>
        <w:t>光谱测量和密度泛函理论计算表明这些界面氧空位充当核心介体；通过不断捕获和迁移源自 CO 的氧物质</w:t>
      </w:r>
      <w:r>
        <w:rPr>
          <w:vertAlign w:val="subscript"/>
        </w:rPr>
        <w:t>2</w:t>
      </w:r>
      <w:r>
        <w:t>，它们有效地阻止了相邻 Cu 的还原</w:t>
      </w:r>
      <w:r>
        <w:t xml:space="preserve"> </w:t>
      </w:r>
      <w:r>
        <w:t>+</w:t>
      </w:r>
      <w:r>
        <w:t xml:space="preserve"> </w:t>
      </w:r>
      <w:r>
        <w:t>站点对战。至关重要的是，这种动态界面决定了 *CH 的不对称 C─C 耦合</w:t>
      </w:r>
      <w:r>
        <w:rPr>
          <w:vertAlign w:val="subscript"/>
        </w:rPr>
        <w:t>2</w:t>
      </w:r>
      <w:r>
        <w:t>和*CHO，在*CH随后的质子化过程中成功保留了C−O键</w:t>
      </w:r>
      <w:r>
        <w:rPr>
          <w:vertAlign w:val="subscript"/>
        </w:rPr>
        <w:t>2</w:t>
      </w:r>
      <w:r>
        <w:t>CHO 至 *CH</w:t>
      </w:r>
      <w:r>
        <w:rPr>
          <w:vertAlign w:val="subscript"/>
        </w:rPr>
        <w:t>3</w:t>
      </w:r>
    </w:p>
    <w:p>
      <w:pPr>
        <w:spacing w:before="0" w:after="200" w:lineRule="auto" w:line="276"/>
      </w:pPr>
      <w:r>
        <w:rPr>
          <w:b/>
        </w:rPr>
        <w:t xml:space="preserve">Abstract (EN): </w:t>
      </w:r>
      <w:r>
        <w:t>Intermediate‐valence copper (Cu</w:t>
      </w:r>
      <w:r>
        <w:t xml:space="preserve"> </w:t>
      </w:r>
      <w:r>
        <w:t>+</w:t>
      </w:r>
      <w:r>
        <w:t xml:space="preserve"> </w:t>
      </w:r>
      <w:r>
        <w:t>) is essential for preserving C─O bonds during the electrochemical reduction of CO</w:t>
      </w:r>
      <w:r>
        <w:rPr>
          <w:vertAlign w:val="subscript"/>
        </w:rPr>
        <w:t>2</w:t>
      </w:r>
      <w:r>
        <w:t>to ethanol, yet its progressive over‐reduction to Cu</w:t>
      </w:r>
      <w:r>
        <w:rPr>
          <w:vertAlign w:val="subscript"/>
        </w:rPr>
        <w:t>0</w:t>
      </w:r>
      <w:r>
        <w:t>under operating potentials inevitably dictates C─O bond cleavage and shifts selectivity toward ethylene. Herein, we propose an interfacial dynamic oxygen exchange strategy to stabilize Cu</w:t>
      </w:r>
      <w:r>
        <w:t xml:space="preserve"> </w:t>
      </w:r>
      <w:r>
        <w:t>+</w:t>
      </w:r>
      <w:r>
        <w:t xml:space="preserve"> </w:t>
      </w:r>
      <w:r>
        <w:t>sites and steer the ethanol reaction pathway. We realize this mechanism by engineering a few‐layer ceria‐coated cuprous oxide (Cu</w:t>
      </w:r>
      <w:r>
        <w:rPr>
          <w:vertAlign w:val="subscript"/>
        </w:rPr>
        <w:t>2</w:t>
      </w:r>
      <w:r>
        <w:t>O@CeO</w:t>
      </w:r>
      <w:r>
        <w:rPr>
          <w:vertAlign w:val="subscript"/>
        </w:rPr>
        <w:t>2</w:t>
      </w:r>
      <w:r>
        <w:t>) catalyst featuring an oxygen vacancy‐rich heterointerface (Ce−O</w:t>
      </w:r>
      <w:r>
        <w:t xml:space="preserve"> </w:t>
      </w:r>
      <w:r>
        <w:t>V</w:t>
      </w:r>
      <w:r>
        <w:t xml:space="preserve"> </w:t>
      </w:r>
      <w:r>
        <w:t>−Cu).</w:t>
      </w:r>
      <w:r>
        <w:t xml:space="preserve"> </w:t>
      </w:r>
      <w:r>
        <w:t>Operando</w:t>
      </w:r>
      <w:r>
        <w:t xml:space="preserve"> </w:t>
      </w:r>
      <w:r>
        <w:t>spectroscopic measurements and density functional theory calculations reveal that these interfacial oxygen vacancies act as core mediators; by continuously capturing and migrating oxygen species derived from CO</w:t>
      </w:r>
      <w:r>
        <w:rPr>
          <w:vertAlign w:val="subscript"/>
        </w:rPr>
        <w:t>2</w:t>
      </w:r>
      <w:r>
        <w:t>, they effectively arrest the reduction of adjacent Cu</w:t>
      </w:r>
      <w:r>
        <w:t xml:space="preserve"> </w:t>
      </w:r>
      <w:r>
        <w:t>+</w:t>
      </w:r>
      <w:r>
        <w:t xml:space="preserve"> </w:t>
      </w:r>
      <w:r>
        <w:t>siteversuss. Crucially, this dynamic interface dictates the asymmetric C─C coupling of *CH</w:t>
      </w:r>
      <w:r>
        <w:rPr>
          <w:vertAlign w:val="subscript"/>
        </w:rPr>
        <w:t>2</w:t>
      </w:r>
      <w:r>
        <w:t>and *CHO, successfully preserving the C−O bond during the subsequent protonation of *CH</w:t>
      </w:r>
      <w:r>
        <w:rPr>
          <w:vertAlign w:val="subscript"/>
        </w:rPr>
        <w:t>2</w:t>
      </w:r>
      <w:r>
        <w:t>CHO to *CH</w:t>
      </w:r>
      <w:r>
        <w:rPr>
          <w:vertAlign w:val="subscript"/>
        </w:rPr>
        <w:t>3</w:t>
      </w:r>
      <w:r>
        <w:t>CHO. Consequently, the optimized catalyst delivers an outstanding ethanol Faradaic efficiency of 68.5% at −1.1 V versus RHE and exhibits robust operational stability exceeding 150 h, substantially outperforming pristine Cu</w:t>
      </w:r>
      <w:r>
        <w:rPr>
          <w:vertAlign w:val="subscript"/>
        </w:rPr>
        <w:t>2</w:t>
      </w:r>
      <w:r>
        <w:t>O. This study establishes vacancy‐mediated dynamic oxygen exchange as a robust strategy for preserving key oxygen‐containing functional groups in highly selective CO</w:t>
      </w:r>
      <w:r>
        <w:rPr>
          <w:vertAlign w:val="subscript"/>
        </w:rPr>
        <w:t>2</w:t>
      </w:r>
      <w:r>
        <w:t>‐to‐ethanol electrosynthesis.</w:t>
      </w:r>
    </w:p>
    <w:p>
      <w:pPr>
        <w:spacing w:before="120" w:after="120"/>
      </w:pPr>
      <w:r>
        <w:rPr>
          <w:sz w:val="18"/>
        </w:rPr>
        <w:t>——————————————————————————————————————————————————————————————————————</w:t>
      </w:r>
    </w:p>
    <w:p>
      <w:pPr>
        <w:spacing w:before="160" w:after="40" w:line="240" w:lineRule="auto"/>
      </w:pPr>
      <w:r>
        <w:rPr>
          <w:b/>
        </w:rPr>
        <w:t xml:space="preserve">[7] </w:t>
      </w:r>
      <w:hyperlink r:id="rId484">
        <w:r>
          <w:rPr>
            <w:color w:val="1155CC"/>
            <w:u w:val="single"/>
          </w:rPr>
          <w:t>锚定在联吡啶自由基功能化共价三嗪框架上的银纳米颗粒光热促进二氧化碳转化</w:t>
        </w:r>
      </w:hyperlink>
    </w:p>
    <w:p>
      <w:pPr>
        <w:spacing w:before="0" w:after="80"/>
      </w:pPr>
      <w:r>
        <w:rPr>
          <w:i/>
          <w:sz w:val="20"/>
        </w:rPr>
        <w:t>EN: Photothermally Boosted CO2 Conversion by Silver Nanoparticles Anchored on a Bipyridinium Radical‐Functionalized Covalent Triazine Framework</w:t>
      </w:r>
    </w:p>
    <w:p>
      <w:pPr>
        <w:spacing w:before="0" w:after="120"/>
      </w:pPr>
      <w:r>
        <w:rPr>
          <w:b/>
        </w:rPr>
        <w:t xml:space="preserve">Source: </w:t>
      </w:r>
      <w:r>
        <w:t>Wiley: Angewandte Chemie International Edition: Table of Contents</w:t>
      </w:r>
      <w:r>
        <w:t xml:space="preserve">    </w:t>
      </w:r>
      <w:r>
        <w:rPr>
          <w:b/>
        </w:rPr>
        <w:t xml:space="preserve">Pub date: </w:t>
      </w:r>
      <w:r>
        <w:t>2026-08-22 09:23:38+00:00</w:t>
      </w:r>
      <w:r>
        <w:t xml:space="preserve">    </w:t>
      </w:r>
      <w:r>
        <w:rPr>
          <w:b/>
        </w:rPr>
        <w:t xml:space="preserve">DOI: </w:t>
      </w:r>
      <w:hyperlink r:id="rId485">
        <w:r>
          <w:rPr>
            <w:color w:val="1155CC"/>
            <w:u w:val="single"/>
          </w:rPr>
          <w:t>10.1002/anie.3026199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开发可持续且节能的二氧化碳催化系统</w:t>
      </w:r>
      <w:r>
        <w:rPr>
          <w:vertAlign w:val="subscript"/>
        </w:rPr>
        <w:t>2</w:t>
      </w:r>
      <w:r>
        <w:t>转化对于推进碳循环管理至关重要，但仍然极具挑战性。在这里，我们报告了一种新型近红外（NIR）光热催化平台，通过将银纳米粒子沉积到联吡啶自由基功能化的共价三嗪框架（CTF）上，用于炔丙胺与CO的羧化环化</w:t>
      </w:r>
      <w:r>
        <w:rPr>
          <w:vertAlign w:val="subscript"/>
        </w:rPr>
        <w:t>2</w:t>
      </w:r>
      <w:r>
        <w:t>无需外部加热。研究发现，在 808 nm 激光照射下，该催化剂的光热催化活性相对于不含联吡啶的类似物提高了 6.9 倍。由于近红外光的卓越穿透深度，该光热催化系统实现了 2952.1 小时的创纪录周转频率</w:t>
      </w:r>
      <w:r>
        <w:t xml:space="preserve"> </w:t>
      </w:r>
      <w:r>
        <w:t>−1</w:t>
      </w:r>
      <w:r>
        <w:t xml:space="preserve"> </w:t>
      </w:r>
      <w:r>
        <w:t>即使存在半透明障碍物。 CTF 基质内扩展的 π 共轭对联吡啶自由基的稳定作用在 10 个连续循环中保持了高光热催化活性。此外，这种光热催化系统表现出实用的可扩展性，允许在自然阳光下进行克级（∼10 g）一锅法合成恶唑烷酮产品。这项工作不仅为促进二氧化碳增值提供了一种新方法</w:t>
      </w:r>
      <w:r>
        <w:rPr>
          <w:vertAlign w:val="subscript"/>
        </w:rPr>
        <w:t>2</w:t>
      </w:r>
      <w:r>
        <w:t>温和条件下的转化，同时也证明了联吡啶自由基在设计高性能方面的变革潜力</w:t>
      </w:r>
    </w:p>
    <w:p>
      <w:pPr>
        <w:spacing w:before="0" w:after="200" w:lineRule="auto" w:line="276"/>
      </w:pPr>
      <w:r>
        <w:rPr>
          <w:b/>
        </w:rPr>
        <w:t xml:space="preserve">Abstract (EN): </w:t>
      </w:r>
      <w:r>
        <w:t>Developing sustainable and energy‐efficient catalytic systems for CO</w:t>
      </w:r>
      <w:r>
        <w:rPr>
          <w:vertAlign w:val="subscript"/>
        </w:rPr>
        <w:t>2</w:t>
      </w:r>
      <w:r>
        <w:t>conversion is pivotal for advancing carbon cycle management, yet remains highly challenging. Here, we report a novel near‐infrared (NIR) photothermal catalytic platform by depositing silver nanoparticles onto a bipyridinium radical‐functionalized covalent triazine framework (CTF) for the carboxylative cyclization of propargylic amines with CO</w:t>
      </w:r>
      <w:r>
        <w:rPr>
          <w:vertAlign w:val="subscript"/>
        </w:rPr>
        <w:t>2</w:t>
      </w:r>
      <w:r>
        <w:t>without external heating. It is found that, under 808 nm laser irradiation, the catalyst delivers a 6.9‐fold enhancement in photothermal catalytic activity relative to its bipyridinium‐free analogue. Due to the exceptional penetration depth of near‐infrared light, this photothermal catalytic system achieves a record turnover frequency of 2952.1 h</w:t>
      </w:r>
      <w:r>
        <w:t xml:space="preserve"> </w:t>
      </w:r>
      <w:r>
        <w:t>−1</w:t>
      </w:r>
      <w:r>
        <w:t xml:space="preserve"> </w:t>
      </w:r>
      <w:r>
        <w:t>even in the presence of translucent barriers. The stabilizing effect of extended π‐conjugation within the CTF matrix on bipyridinium radicals maintains the high photothermal catalytic activity over 10 consecutive cycles. Furthermore, this photothermal catalytic system demonstrates practical scalability, allowing for gram‐scale (∼10 g) one‐pot synthesis of an oxazolidinone product under natural sunlight. This work not only provides a novel approach for promoting value‐added CO</w:t>
      </w:r>
      <w:r>
        <w:rPr>
          <w:vertAlign w:val="subscript"/>
        </w:rPr>
        <w:t>2</w:t>
      </w:r>
      <w:r>
        <w:t>conversion under mild conditions, but also demonstrates the transformative potential of bipyridinium radicals in designing high‐performance NIR photothermal catalytic systems.</w:t>
      </w:r>
    </w:p>
    <w:p>
      <w:pPr>
        <w:spacing w:before="120" w:after="120"/>
      </w:pPr>
      <w:r>
        <w:rPr>
          <w:sz w:val="18"/>
        </w:rPr>
        <w:t>——————————————————————————————————————————————————————————————————————</w:t>
      </w:r>
    </w:p>
    <w:p>
      <w:pPr>
        <w:spacing w:before="160" w:after="40" w:line="240" w:lineRule="auto"/>
      </w:pPr>
      <w:r>
        <w:rPr>
          <w:b/>
        </w:rPr>
        <w:t xml:space="preserve">[8] </w:t>
      </w:r>
      <w:hyperlink r:id="rId486">
        <w:r>
          <w:rPr>
            <w:color w:val="1155CC"/>
            <w:u w:val="single"/>
          </w:rPr>
          <w:t>评估氧化物衍生的 Cu─Sn 催化剂在零间隙电解槽中还原 CO2 的稳定性</w:t>
        </w:r>
      </w:hyperlink>
    </w:p>
    <w:p>
      <w:pPr>
        <w:spacing w:before="0" w:after="80"/>
      </w:pPr>
      <w:r>
        <w:rPr>
          <w:i/>
          <w:sz w:val="20"/>
        </w:rPr>
        <w:t>EN: Evaluating the Stability of Oxide‐Derived Cu─Sn Catalysts for CO2 Reduction in Zero‐Gap Electrolyzers</w:t>
      </w:r>
    </w:p>
    <w:p>
      <w:pPr>
        <w:spacing w:before="0" w:after="120"/>
      </w:pPr>
      <w:r>
        <w:rPr>
          <w:b/>
        </w:rPr>
        <w:t xml:space="preserve">Source: </w:t>
      </w:r>
      <w:r>
        <w:t>Wiley: Angewandte Chemie International Edition: Table of Contents</w:t>
      </w:r>
      <w:r>
        <w:t xml:space="preserve">    </w:t>
      </w:r>
      <w:r>
        <w:rPr>
          <w:b/>
        </w:rPr>
        <w:t xml:space="preserve">Pub date: </w:t>
      </w:r>
      <w:r>
        <w:t>2026-08-22 09:43:41+00:00</w:t>
      </w:r>
      <w:r>
        <w:t xml:space="preserve">    </w:t>
      </w:r>
      <w:r>
        <w:rPr>
          <w:b/>
        </w:rPr>
        <w:t xml:space="preserve">DOI: </w:t>
      </w:r>
      <w:hyperlink r:id="rId487">
        <w:r>
          <w:rPr>
            <w:color w:val="1155CC"/>
            <w:u w:val="single"/>
          </w:rPr>
          <w:t>10.1002/anie.6182003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双金属电催化剂在扩大二氧化碳规模方面具有巨大潜力</w:t>
      </w:r>
      <w:r>
        <w:rPr>
          <w:vertAlign w:val="subscript"/>
        </w:rPr>
        <w:t>2</w:t>
      </w:r>
      <w:r>
        <w:t>电解还原，但它们的实际部署受到传统三电极测试与工业相关电解槽条件之间持续差距的阻碍。在本研究中，我们采用氧化物衍生的 Cu─Sn 催化剂作为模型催化剂，其 CO 法拉第效率 (FE) 高达 92.4%，以评估实际零间隙 CO 下的电化学稳定性</w:t>
      </w:r>
      <w:r>
        <w:rPr>
          <w:vertAlign w:val="subscript"/>
        </w:rPr>
        <w:t>2</w:t>
      </w:r>
      <w:r>
        <w:t>电解槽。在长时间运行期间，CO 的 FE 逐渐下降，大约 48 小时后稳定下来，达到接近 1:1 的 CO 与甲酸盐比率。原位和准原位光谱分析表明，选择性的这种变化与催化剂部分转化为 Cu 相关。</w:t>
      </w:r>
      <w:r>
        <w:rPr>
          <w:vertAlign w:val="subscript"/>
        </w:rPr>
        <w:t>6</w:t>
      </w:r>
      <w:r>
        <w:t>锡</w:t>
      </w:r>
      <w:r>
        <w:rPr>
          <w:vertAlign w:val="subscript"/>
        </w:rPr>
        <w:t>5</w:t>
      </w:r>
      <w:r>
        <w:t>合金。为了弥补这种性能损失并恢复活性状态，采用原位循环伏安法（CV）方案重新氧化金属成分，有效逆转合金化过程并恢复高CO选择性。这项工作将 Cu─Sn 的氧化态与其在零间隙电解槽中的催化行为相关联，并展示了一种实用的回收方案来增强操作稳定性，突出了工业 CO 动态催化剂管理的潜力</w:t>
      </w:r>
      <w:r>
        <w:rPr>
          <w:vertAlign w:val="subscript"/>
        </w:rPr>
        <w:t>2</w:t>
      </w:r>
      <w:r>
        <w:t>电解。</w:t>
      </w:r>
    </w:p>
    <w:p>
      <w:pPr>
        <w:spacing w:before="0" w:after="200" w:lineRule="auto" w:line="276"/>
      </w:pPr>
      <w:r>
        <w:rPr>
          <w:b/>
        </w:rPr>
        <w:t xml:space="preserve">Abstract (EN): </w:t>
      </w:r>
      <w:r>
        <w:t>Bimetallic electrocatalysts hold substantial potential for scaling up CO</w:t>
      </w:r>
      <w:r>
        <w:rPr>
          <w:vertAlign w:val="subscript"/>
        </w:rPr>
        <w:t>2</w:t>
      </w:r>
      <w:r>
        <w:t>electroreduction, yet their practical deployment is hindered by a persistent gap between conventional three‐electrode testing and industrially relevant electrolyzer conditions. In this study, we employed an oxide‐derived Cu─Sn catalyst with a high CO Faradaic efficiency (FE) of 92.4% as a model catalyst to evaluate the electrochemical stability under realistic zero‐gap CO</w:t>
      </w:r>
      <w:r>
        <w:rPr>
          <w:vertAlign w:val="subscript"/>
        </w:rPr>
        <w:t>2</w:t>
      </w:r>
      <w:r>
        <w:t>electrolyzers. During extended operation, the FE of CO gradually decreased before stabilizing after approximately 48 h, reaching a CO‐to‐formate ratio close to 1:1. In‐situ and quasi‐in‐situ spectroscopic analyses revealed that this shift in selectivity correlates with the partial transformation of the catalyst into a Cu</w:t>
      </w:r>
      <w:r>
        <w:rPr>
          <w:vertAlign w:val="subscript"/>
        </w:rPr>
        <w:t>6</w:t>
      </w:r>
      <w:r>
        <w:t>Sn</w:t>
      </w:r>
      <w:r>
        <w:rPr>
          <w:vertAlign w:val="subscript"/>
        </w:rPr>
        <w:t>5</w:t>
      </w:r>
      <w:r>
        <w:t>alloy. To remediate this performance loss and regenerate the active state, an in‐situ cyclic voltammetry (CV) protocol was applied to re‐oxidize the metallic components, effectively reversing the alloying process and restoring the high CO selectivity. This work correlates the oxidation state of Cu─Sn with its catalytic behavior in zero‐gap electrolyzers, and demonstrates a practical recovery protocol to enhance operational stability, highlighting the potential of dynamic catalyst management for industrial CO</w:t>
      </w:r>
      <w:r>
        <w:rPr>
          <w:vertAlign w:val="subscript"/>
        </w:rPr>
        <w:t>2</w:t>
      </w:r>
      <w:r>
        <w:t>electrolysis.</w:t>
      </w:r>
    </w:p>
    <w:p>
      <w:pPr>
        <w:spacing w:before="120" w:after="120"/>
      </w:pPr>
      <w:r>
        <w:rPr>
          <w:sz w:val="18"/>
        </w:rPr>
        <w:t>——————————————————————————————————————————————————————————————————————</w:t>
      </w:r>
    </w:p>
    <w:p>
      <w:pPr>
        <w:spacing w:before="160" w:after="40" w:line="240" w:lineRule="auto"/>
      </w:pPr>
      <w:r>
        <w:rPr>
          <w:b/>
        </w:rPr>
        <w:t xml:space="preserve">[9] </w:t>
      </w:r>
      <w:hyperlink r:id="rId488">
        <w:r>
          <w:rPr>
            <w:color w:val="1155CC"/>
            <w:u w:val="single"/>
          </w:rPr>
          <w:t>解耦溶解钙钛矿中 B 位阳离子缺陷和氧空位的作用，以实现固态电池中稳健的 CO2 电解</w:t>
        </w:r>
      </w:hyperlink>
    </w:p>
    <w:p>
      <w:pPr>
        <w:spacing w:before="0" w:after="80"/>
      </w:pPr>
      <w:r>
        <w:rPr>
          <w:i/>
          <w:sz w:val="20"/>
        </w:rPr>
        <w:t>EN: Decoupling the Roles of B‐Site Cation Defects and Oxygen Vacancies in Exsolved Perovskites for Robust CO2 Electrolysis in Solid‐State Cells</w:t>
      </w:r>
    </w:p>
    <w:p>
      <w:pPr>
        <w:spacing w:before="0" w:after="120"/>
      </w:pPr>
      <w:r>
        <w:rPr>
          <w:b/>
        </w:rPr>
        <w:t xml:space="preserve">Source: </w:t>
      </w:r>
      <w:r>
        <w:t>Wiley: Advanced Energy Materials: Table of Contents</w:t>
      </w:r>
      <w:r>
        <w:t xml:space="preserve">    </w:t>
      </w:r>
      <w:r>
        <w:rPr>
          <w:b/>
        </w:rPr>
        <w:t xml:space="preserve">Pub date: </w:t>
      </w:r>
      <w:r>
        <w:t>2026-08-22 09:51:20+00:00</w:t>
      </w:r>
      <w:r>
        <w:t xml:space="preserve">    </w:t>
      </w:r>
      <w:r>
        <w:rPr>
          <w:b/>
        </w:rPr>
        <w:t xml:space="preserve">DOI: </w:t>
      </w:r>
      <w:hyperlink r:id="rId489">
        <w:r>
          <w:rPr>
            <w:color w:val="1155CC"/>
            <w:u w:val="single"/>
          </w:rPr>
          <w:t>10.1002/aenm.71509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通过钙钛矿原位脱溶构建强金属氧化物异质界面同时产生氧空位（Vö）和B位阳离子缺陷。然而，他们的个人贡献常常被混合在一起，并被对二氧化碳的整体高绩效所掩盖。</w:t>
      </w:r>
      <w:r>
        <w:rPr>
          <w:vertAlign w:val="subscript"/>
        </w:rPr>
        <w:t>2</w:t>
      </w:r>
      <w:r>
        <w:t>固态电解槽中的电解，模糊了它们在调节钙钛矿性质中的特定作用。这里我们设计了一系列Sr</w:t>
      </w:r>
      <w:r>
        <w:rPr>
          <w:vertAlign w:val="subscript"/>
        </w:rPr>
        <w:t>2</w:t>
      </w:r>
      <w:r>
        <w:t>铁</w:t>
      </w:r>
      <w:r>
        <w:t xml:space="preserve"> </w:t>
      </w:r>
      <w:r>
        <w:t>1.35</w:t>
      </w:r>
      <w:r>
        <w:t xml:space="preserve"> </w:t>
      </w:r>
      <w:r>
        <w:t>莫</w:t>
      </w:r>
      <w:r>
        <w:t xml:space="preserve"> </w:t>
      </w:r>
      <w:r>
        <w:t>0.45</w:t>
      </w:r>
      <w:r>
        <w:t xml:space="preserve"> </w:t>
      </w:r>
      <w:r>
        <w:t>镍</w:t>
      </w:r>
      <w:r>
        <w:t xml:space="preserve"> </w:t>
      </w:r>
      <w:r>
        <w:t>0.2</w:t>
      </w:r>
      <w:r>
        <w:t xml:space="preserve"> </w:t>
      </w:r>
      <w:r>
        <w:t>氧</w:t>
      </w:r>
      <w:r>
        <w:t xml:space="preserve"> </w:t>
      </w:r>
      <w:r>
        <w:t>6−δ</w:t>
      </w:r>
      <w:r>
        <w:t xml:space="preserve"> </w:t>
      </w:r>
      <w:r>
        <w:t>（SFMN）具有不同水平的 B 位 Fe/Ni 缺陷和 Vö。跨尺度实验和理论结果表明，B位Fe/Ni缺陷和Vö的增加增强了Fe 3d−O 2p轨道杂化，从而增强了电导率，但这种趋势在超过一定阈值后发生逆转。然后，对 SFMN 进行原位拓扑外溶以重新填充 B 位阳离子缺陷，同时保持 Vö 浓度不变。与传统的具有丰富 B 位缺陷的溶出的 SFMN 相比，所得到的没有 B 位阳离子缺陷的样品表现出更快的氧离子传输能力，实现了 2.40 A cm 的高电流密度</w:t>
      </w:r>
      <w:r>
        <w:t xml:space="preserve"> </w:t>
      </w:r>
      <w:r>
        <w:t>−2</w:t>
      </w:r>
      <w:r>
        <w:t xml:space="preserve"> </w:t>
      </w:r>
      <w:r>
        <w:t>在 1.5 V 和 850°C 下，同时避免 SrCO</w:t>
      </w:r>
      <w:r>
        <w:rPr>
          <w:vertAlign w:val="subscript"/>
        </w:rPr>
        <w:t>3</w:t>
      </w:r>
      <w:r>
        <w:t>形成。理论计算表明，重新填充 B 位阳离子缺陷</w:t>
      </w:r>
    </w:p>
    <w:p>
      <w:pPr>
        <w:spacing w:before="0" w:after="200" w:lineRule="auto" w:line="276"/>
      </w:pPr>
      <w:r>
        <w:rPr>
          <w:b/>
        </w:rPr>
        <w:t xml:space="preserve">Abstract (EN): </w:t>
      </w:r>
      <w:r>
        <w:t>Construction of a strong metal‐oxide heterointerface via perovskite in situ exsolution synchronously generates oxygen vacancies (Vö) and B‐site cation defects. However, their individual contributions are often conflated and overshadowed by the overall high performance toward CO</w:t>
      </w:r>
      <w:r>
        <w:rPr>
          <w:vertAlign w:val="subscript"/>
        </w:rPr>
        <w:t>2</w:t>
      </w:r>
      <w:r>
        <w:t>electrolysis in solid‐state electrolyzers, obscuring their specific roles in modulating perovskite properties. Here we designed a series of Sr</w:t>
      </w:r>
      <w:r>
        <w:rPr>
          <w:vertAlign w:val="subscript"/>
        </w:rPr>
        <w:t>2</w:t>
      </w:r>
      <w:r>
        <w:t>Fe</w:t>
      </w:r>
      <w:r>
        <w:t xml:space="preserve"> </w:t>
      </w:r>
      <w:r>
        <w:t>1.35</w:t>
      </w:r>
      <w:r>
        <w:t xml:space="preserve"> </w:t>
      </w:r>
      <w:r>
        <w:t>Mo</w:t>
      </w:r>
      <w:r>
        <w:t xml:space="preserve"> </w:t>
      </w:r>
      <w:r>
        <w:t>0.45</w:t>
      </w:r>
      <w:r>
        <w:t xml:space="preserve"> </w:t>
      </w:r>
      <w:r>
        <w:t>Ni</w:t>
      </w:r>
      <w:r>
        <w:t xml:space="preserve"> </w:t>
      </w:r>
      <w:r>
        <w:t>0.2</w:t>
      </w:r>
      <w:r>
        <w:t xml:space="preserve"> </w:t>
      </w:r>
      <w:r>
        <w:t>O</w:t>
      </w:r>
      <w:r>
        <w:t xml:space="preserve"> </w:t>
      </w:r>
      <w:r>
        <w:t>6−δ</w:t>
      </w:r>
      <w:r>
        <w:t xml:space="preserve"> </w:t>
      </w:r>
      <w:r>
        <w:t>(SFMN) with different levels of B‐site Fe/Ni defects and Vö. Cross‐scale experimental and theoretical results revealed that increased B‐site Fe/Ni defects and Vö strengthened Fe 3d−O 2p orbital hybridization, thereby enhancing electrical conductivity, but this trend reversed beyond a certain threshold. Then, in situ topotactic exsolution was performed for SFMN to refill B‐site cation defects while maintaining Vö concentration intact. The resulting sample without B‐site cation defects exhibited a faster oxygen‐ion transport capability than conventionally exsolved SFMN with rich B‐site defects, achieving a high current density of 2.40 A cm</w:t>
      </w:r>
      <w:r>
        <w:t xml:space="preserve"> </w:t>
      </w:r>
      <w:r>
        <w:t>−2</w:t>
      </w:r>
      <w:r>
        <w:t xml:space="preserve"> </w:t>
      </w:r>
      <w:r>
        <w:t>at 1.5 V and 850°C, while avoiding SrCO</w:t>
      </w:r>
      <w:r>
        <w:rPr>
          <w:vertAlign w:val="subscript"/>
        </w:rPr>
        <w:t>3</w:t>
      </w:r>
      <w:r>
        <w:t>formation. Theoretical calculations demonstrated that refilling B‐site cation defects in exsolved SFMN thermodynamically accelerated CO</w:t>
      </w:r>
      <w:r>
        <w:rPr>
          <w:vertAlign w:val="subscript"/>
        </w:rPr>
        <w:t>2</w:t>
      </w:r>
      <w:r>
        <w:t>adsorption and activation, as well as suppressed Sr segregation. This study unravels the crucial impact of B‐site defects on perovskite properties and provides insights for the future development of robust perovskite electrocatalysts.</w:t>
      </w:r>
    </w:p>
    <w:p>
      <w:pPr>
        <w:spacing w:before="120" w:after="120"/>
      </w:pPr>
      <w:r>
        <w:rPr>
          <w:sz w:val="18"/>
        </w:rPr>
        <w:t>——————————————————————————————————————————————————————————————————————</w:t>
      </w:r>
    </w:p>
    <w:p>
      <w:pPr>
        <w:spacing w:before="160" w:after="40" w:line="240" w:lineRule="auto"/>
      </w:pPr>
      <w:r>
        <w:rPr>
          <w:b/>
        </w:rPr>
        <w:t xml:space="preserve">[10] </w:t>
      </w:r>
      <w:hyperlink r:id="rId490">
        <w:r>
          <w:rPr>
            <w:color w:val="1155CC"/>
            <w:u w:val="single"/>
          </w:rPr>
          <w:t>金属卟啉COF中侧链诱导的层间滑移能够实现光催化CO2还原的微环境和自旋态调节</w:t>
        </w:r>
      </w:hyperlink>
    </w:p>
    <w:p>
      <w:pPr>
        <w:spacing w:before="0" w:after="80"/>
      </w:pPr>
      <w:r>
        <w:rPr>
          <w:i/>
          <w:sz w:val="20"/>
        </w:rPr>
        <w:t>EN: Side‐Chain‐Induced Interlayer Slipping in Metalloporphyrin COFs Enables Microenvironment and Spin‐State Regulation for Photocatalytic CO2 Reduction</w:t>
      </w:r>
    </w:p>
    <w:p>
      <w:pPr>
        <w:spacing w:before="0" w:after="120"/>
      </w:pPr>
      <w:r>
        <w:rPr>
          <w:b/>
        </w:rPr>
        <w:t xml:space="preserve">Source: </w:t>
      </w:r>
      <w:r>
        <w:t>Wiley: Advanced Materials: Table of Contents</w:t>
      </w:r>
      <w:r>
        <w:t xml:space="preserve">    </w:t>
      </w:r>
      <w:r>
        <w:rPr>
          <w:b/>
        </w:rPr>
        <w:t xml:space="preserve">Pub date: </w:t>
      </w:r>
      <w:r>
        <w:t>2026-08-22 11:07:36+00:00</w:t>
      </w:r>
      <w:r>
        <w:t xml:space="preserve">    </w:t>
      </w:r>
      <w:r>
        <w:rPr>
          <w:b/>
        </w:rPr>
        <w:t xml:space="preserve">DOI: </w:t>
      </w:r>
      <w:hyperlink r:id="rId491">
        <w:r>
          <w:rPr>
            <w:color w:val="1155CC"/>
            <w:u w:val="single"/>
          </w:rPr>
          <w:t>10.1002/adma.74747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光催化CO</w:t>
      </w:r>
      <w:r>
        <w:rPr>
          <w:vertAlign w:val="subscript"/>
        </w:rPr>
        <w:t>2</w:t>
      </w:r>
      <w:r>
        <w:t>减少量（二氧化碳</w:t>
      </w:r>
      <w:r>
        <w:rPr>
          <w:vertAlign w:val="subscript"/>
        </w:rPr>
        <w:t>2</w:t>
      </w:r>
      <w:r>
        <w:t>RR）涉及一系列内在耦合过程，使得催化动力学和热力学的独立优化具有挑战性。在本研究中，我们通过金属卟啉基共价有机框架（COF）的空间驱动层间滑移工程引入了一种结构调控策略，以解耦并同时优化催化微环境和活性金属中心的自旋状态。通过调节烷氧基侧链的长度，传统的AA堆积转变为中等锯齿状滑移构型（AA*）。从动力学上讲，由此产生的滑动纳米通道增强了局部疏水性和空间限制，从而极大地富集了通道内的CO</w:t>
      </w:r>
      <w:r>
        <w:rPr>
          <w:vertAlign w:val="subscript"/>
        </w:rPr>
        <w:t>2</w:t>
      </w:r>
      <w:r>
        <w:t>浓度并抑制氢气的析出。从热力学和电子角度来看，这种层间滑移重建了催化 Co 位点的配体场，并使垂直 π-d 交换相互作用最大化。结果，这触发了从孤立的低自旋到集体自旋的转变（</w:t>
      </w:r>
      <w:r>
        <w:t xml:space="preserve"> </w:t>
      </w:r>
      <w:r>
        <w:t>S</w:t>
      </w:r>
      <w:r>
        <w:t xml:space="preserve"> </w:t>
      </w:r>
      <w:r>
        <w:t>= 1/2) 单体到高自旋 (</w:t>
      </w:r>
      <w:r>
        <w:t xml:space="preserve"> </w:t>
      </w:r>
      <w:r>
        <w:t>S</w:t>
      </w:r>
      <w:r>
        <w:t xml:space="preserve"> </w:t>
      </w:r>
      <w:r>
        <w:t>= 3/2) 状态，显着延长载流子寿命并优化 *COOH 中间体的吸附和活化。因此，优化后的 CoP-COF 产生了创纪录的 71.4 mmol g 的 CO 生产率</w:t>
      </w:r>
      <w:r>
        <w:t xml:space="preserve"> </w:t>
      </w:r>
      <w:r>
        <w:t>-</w:t>
      </w:r>
    </w:p>
    <w:p>
      <w:pPr>
        <w:spacing w:before="0" w:after="200" w:lineRule="auto" w:line="276"/>
      </w:pPr>
      <w:r>
        <w:rPr>
          <w:b/>
        </w:rPr>
        <w:t xml:space="preserve">Abstract (EN): </w:t>
      </w:r>
      <w:r>
        <w:t>Photocatalytic CO</w:t>
      </w:r>
      <w:r>
        <w:rPr>
          <w:vertAlign w:val="subscript"/>
        </w:rPr>
        <w:t>2</w:t>
      </w:r>
      <w:r>
        <w:t>reduction (CO</w:t>
      </w:r>
      <w:r>
        <w:rPr>
          <w:vertAlign w:val="subscript"/>
        </w:rPr>
        <w:t>2</w:t>
      </w:r>
      <w:r>
        <w:t>RR) involves a cascade of intrinsically coupled processes, rendering the independent optimization of catalytic kinetics and thermodynamics challenging. In this study, we introduce a structural regulation strategy via steric‐driven interlayer slipping engineering of metalloporphyrin‐based covalent organic frameworks (COFs) to decouple and simultaneously optimize the catalytic microenvironment and the spin state of the active metal center. Through regulating the length of alkoxy side‐chains, conventional AA stacking is transformed into a moderately serrated slipped configuration (AA*). Kinetically, the resulting slipped nanochannels enhance local hydrophobicity and spatial confinement, thereby greatly enriching in‐channel CO</w:t>
      </w:r>
      <w:r>
        <w:rPr>
          <w:vertAlign w:val="subscript"/>
        </w:rPr>
        <w:t>2</w:t>
      </w:r>
      <w:r>
        <w:t>concentration and suppressing hydrogen evolution. Thermodynamically and electronically, this interlayer slipping reconstructs the ligand field of catalytic Co sites and maximizes vertical π–d exchange interactions. As a result, this triggers a collective spin transition from isolated low‐spin (</w:t>
      </w:r>
      <w:r>
        <w:t xml:space="preserve"> </w:t>
      </w:r>
      <w:r>
        <w:t>S</w:t>
      </w:r>
      <w:r>
        <w:t xml:space="preserve"> </w:t>
      </w:r>
      <w:r>
        <w:t>= 1/2) monomers to a high‐spin (</w:t>
      </w:r>
      <w:r>
        <w:t xml:space="preserve"> </w:t>
      </w:r>
      <w:r>
        <w:t>S</w:t>
      </w:r>
      <w:r>
        <w:t xml:space="preserve"> </w:t>
      </w:r>
      <w:r>
        <w:t>= 3/2) state, which significantly prolongs charge carrier lifetimes and optimizes the adsorption and activation of the *COOH intermediate. Consequently, the optimized CoP‐COFs deliver a record CO production rate of 71.4 mmol g</w:t>
      </w:r>
      <w:r>
        <w:t xml:space="preserve"> </w:t>
      </w:r>
      <w:r>
        <w:t>−1</w:t>
      </w:r>
      <w:r>
        <w:t xml:space="preserve"> </w:t>
      </w:r>
      <w:r>
        <w:t>h</w:t>
      </w:r>
      <w:r>
        <w:t xml:space="preserve"> </w:t>
      </w:r>
      <w:r>
        <w:t>−1</w:t>
      </w:r>
      <w:r>
        <w:t xml:space="preserve"> </w:t>
      </w:r>
      <w:r>
        <w:t>with 90% selectivity among porphyrin‐based COF photocatalysts. This work establishes stacking engineering as a versatile strategy for decoupling entangled reaction steps to enable efficient solar fuel production.</w:t>
      </w:r>
    </w:p>
    <w:p>
      <w:pPr>
        <w:spacing w:before="120" w:after="120"/>
      </w:pPr>
      <w:r>
        <w:rPr>
          <w:sz w:val="18"/>
        </w:rPr>
        <w:t>——————————————————————————————————————————————————————————————————————</w:t>
      </w:r>
    </w:p>
    <w:p>
      <w:pPr>
        <w:spacing w:before="160" w:after="40" w:line="240" w:lineRule="auto"/>
      </w:pPr>
      <w:r>
        <w:rPr>
          <w:b/>
        </w:rPr>
        <w:t xml:space="preserve">[11] </w:t>
      </w:r>
      <w:hyperlink r:id="rId492">
        <w:r>
          <w:rPr>
            <w:color w:val="1155CC"/>
            <w:u w:val="single"/>
          </w:rPr>
          <w:t>通过镍单原子催化剂的局部应变工程有效还原酸性二氧化碳</w:t>
        </w:r>
      </w:hyperlink>
    </w:p>
    <w:p>
      <w:pPr>
        <w:spacing w:before="0" w:after="80"/>
      </w:pPr>
      <w:r>
        <w:rPr>
          <w:i/>
          <w:sz w:val="20"/>
        </w:rPr>
        <w:t>EN: Efficient Acidic CO2 Reduction via Local Strain Engineering of Nickel Single‐Atom Catalysts</w:t>
      </w:r>
    </w:p>
    <w:p>
      <w:pPr>
        <w:spacing w:before="0" w:after="120"/>
      </w:pPr>
      <w:r>
        <w:rPr>
          <w:b/>
        </w:rPr>
        <w:t xml:space="preserve">Source: </w:t>
      </w:r>
      <w:r>
        <w:t>Wiley: Advanced Materials: Table of Contents</w:t>
      </w:r>
      <w:r>
        <w:t xml:space="preserve">    </w:t>
      </w:r>
      <w:r>
        <w:rPr>
          <w:b/>
        </w:rPr>
        <w:t xml:space="preserve">Pub date: </w:t>
      </w:r>
      <w:r>
        <w:t>2026-08-22 16:00:36+00:00</w:t>
      </w:r>
      <w:r>
        <w:t xml:space="preserve">    </w:t>
      </w:r>
      <w:r>
        <w:rPr>
          <w:b/>
        </w:rPr>
        <w:t xml:space="preserve">DOI: </w:t>
      </w:r>
      <w:hyperlink r:id="rId493">
        <w:r>
          <w:rPr>
            <w:color w:val="1155CC"/>
            <w:u w:val="single"/>
          </w:rPr>
          <w:t>10.1002/adma.74773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酸性一氧化碳</w:t>
      </w:r>
      <w:r>
        <w:rPr>
          <w:vertAlign w:val="subscript"/>
        </w:rPr>
        <w:t>2</w:t>
      </w:r>
      <w:r>
        <w:t>还原反应（CO</w:t>
      </w:r>
      <w:r>
        <w:rPr>
          <w:vertAlign w:val="subscript"/>
        </w:rPr>
        <w:t>2</w:t>
      </w:r>
      <w:r>
        <w:t>RR) 提高碳效率和电解槽稳定性。尽管镍单原子催化剂（Ni-SAC）可以有效转化CO</w:t>
      </w:r>
      <w:r>
        <w:rPr>
          <w:vertAlign w:val="subscript"/>
        </w:rPr>
        <w:t>2</w:t>
      </w:r>
      <w:r>
        <w:t>在中性/碱性条件下转化为 CO，其在酸性条件下的性能受到竞争性析氢反应 (HER) 的阻碍。在这里，我们表明，定制 Ni-SAC 的局部菌株可以在广泛的潜在范围内增强 HER 抑制。密度泛函理论计算表明，具有较陡局部曲率的 Ni-SAC 将 *COOH 吸附减少 0.23 eV，同时将 *H 吸附增加 0.55 eV。为了验证我们的预测，我们利用不同直径的碳纳米管 (CNT) 对 Ni-SAC 施加受控的局部应变。在 Ar 饱和的 0.05 M H 中</w:t>
      </w:r>
      <w:r>
        <w:rPr>
          <w:vertAlign w:val="subscript"/>
        </w:rPr>
        <w:t>2</w:t>
      </w:r>
      <w:r>
        <w:t>SO</w:t>
      </w:r>
      <w:r>
        <w:rPr>
          <w:vertAlign w:val="subscript"/>
        </w:rPr>
        <w:t>4</w:t>
      </w:r>
      <w:r>
        <w:t>, 5 nm CNT (Ni-CNT5) 上的 Ni-SAC 在所有类型的 CNT 载体中表现出最低的水合氢和水还原电流密度。在 pH 为 1 阴极电解液的流通池中，Ni-CNT5 在 -1.0 至 -2.4 V 范围内保持 &gt;95% CO 法拉第效率 (FE)，而 Ni-CNT50 的 FE(H) 约为 70%</w:t>
      </w:r>
      <w:r>
        <w:rPr>
          <w:vertAlign w:val="subscript"/>
        </w:rPr>
        <w:t>2</w:t>
      </w:r>
      <w:r>
        <w:t>）在-2.4 V。由于其有效的 HER 抑制作用，Ni-CNT5 实现了 80% 单程 CO</w:t>
      </w:r>
      <w:r>
        <w:rPr>
          <w:vertAlign w:val="subscript"/>
        </w:rPr>
        <w:t>2</w:t>
      </w:r>
      <w:r>
        <w:t>转换效率高，在酸性电解质中稳定运行，电流或选择性损失可以忽略不计。我们的发现扩展了工具箱</w:t>
      </w:r>
    </w:p>
    <w:p>
      <w:pPr>
        <w:spacing w:before="0" w:after="200" w:lineRule="auto" w:line="276"/>
      </w:pPr>
      <w:r>
        <w:rPr>
          <w:b/>
        </w:rPr>
        <w:t xml:space="preserve">Abstract (EN): </w:t>
      </w:r>
      <w:r>
        <w:t>Acidic CO</w:t>
      </w:r>
      <w:r>
        <w:rPr>
          <w:vertAlign w:val="subscript"/>
        </w:rPr>
        <w:t>2</w:t>
      </w:r>
      <w:r>
        <w:t>reduction reaction (CO</w:t>
      </w:r>
      <w:r>
        <w:rPr>
          <w:vertAlign w:val="subscript"/>
        </w:rPr>
        <w:t>2</w:t>
      </w:r>
      <w:r>
        <w:t>RR) enhances carbon efficiency and electrolyzer stability. Although nickel single‐atom catalysts (Ni‐SACs) effectively convert CO</w:t>
      </w:r>
      <w:r>
        <w:rPr>
          <w:vertAlign w:val="subscript"/>
        </w:rPr>
        <w:t>2</w:t>
      </w:r>
      <w:r>
        <w:t>into CO in neutral/alkaline conditions, their performance in acid is hindered by the competing hydrogen evolution reaction (HER). Here we show that tailoring the local strain of Ni‐SACs can enhance HER suppression across a broad potential range. Density functional theory calculations indicate that Ni‐SACs with steeper local curvature reduce *COOH adsorption by 0.23 eV while increasing *H adsorption by 0.55 eV. To validate our predictions, we leveraged carbon nanotubes (CNTs) with different diameters to impose controlled local strain on Ni‐SACs. In Ar‐saturated 0.05 M H</w:t>
      </w:r>
      <w:r>
        <w:rPr>
          <w:vertAlign w:val="subscript"/>
        </w:rPr>
        <w:t>2</w:t>
      </w:r>
      <w:r>
        <w:t>SO</w:t>
      </w:r>
      <w:r>
        <w:rPr>
          <w:vertAlign w:val="subscript"/>
        </w:rPr>
        <w:t>4</w:t>
      </w:r>
      <w:r>
        <w:t>, Ni‐SACs on 5‐nm CNTs (Ni‐CNT5) demonstrate the lowest hydronium and water reduction current density among all types of CNT support. In a flow cell with pH 1 catholyte, Ni‐CNT5 maintains &amp;gt;95% CO Faradaic efficiency (FE) from −1.0 to −2.4 V, in contrast to Ni‐CNT50 with ∼70% FE(H</w:t>
      </w:r>
      <w:r>
        <w:rPr>
          <w:vertAlign w:val="subscript"/>
        </w:rPr>
        <w:t>2</w:t>
      </w:r>
      <w:r>
        <w:t>) at −2.4 V. Owing to its effective HER inhibition, Ni‐CNT5 achieves 80% single‐pass CO</w:t>
      </w:r>
      <w:r>
        <w:rPr>
          <w:vertAlign w:val="subscript"/>
        </w:rPr>
        <w:t>2</w:t>
      </w:r>
      <w:r>
        <w:t>conversion efficiency and operates stably in acidic electrolyte with negligible loss in current or selectivity. Our findings expand the toolbox for SACs engineering, highlighting the critical role of local stress for controlled activity.</w:t>
      </w:r>
    </w:p>
    <w:p>
      <w:pPr>
        <w:spacing w:before="120" w:after="120"/>
      </w:pPr>
      <w:r>
        <w:rPr>
          <w:sz w:val="18"/>
        </w:rPr>
        <w:t>——————————————————————————————————————————————————————————————————————</w:t>
      </w:r>
    </w:p>
    <w:p>
      <w:pPr>
        <w:spacing w:before="160" w:after="40" w:line="240" w:lineRule="auto"/>
      </w:pPr>
      <w:r>
        <w:rPr>
          <w:b/>
        </w:rPr>
        <w:t xml:space="preserve">[12] </w:t>
      </w:r>
      <w:hyperlink r:id="rId494">
        <w:r>
          <w:rPr>
            <w:color w:val="1155CC"/>
            <w:u w:val="single"/>
          </w:rPr>
          <w:t>氮自由基光催化还原一氧化二氮</w:t>
        </w:r>
      </w:hyperlink>
    </w:p>
    <w:p>
      <w:pPr>
        <w:spacing w:before="0" w:after="80"/>
      </w:pPr>
      <w:r>
        <w:rPr>
          <w:i/>
          <w:sz w:val="20"/>
        </w:rPr>
        <w:t>EN: Nitrogen Radical Photocatalysed Reduction of Nitrous Oxide</w:t>
      </w:r>
    </w:p>
    <w:p>
      <w:pPr>
        <w:spacing w:before="0" w:after="120"/>
      </w:pPr>
      <w:r>
        <w:rPr>
          <w:b/>
        </w:rPr>
        <w:t xml:space="preserve">Source: </w:t>
      </w:r>
      <w:r>
        <w:t>Wiley: Angewandte Chemie International Edition: Table of Contents</w:t>
      </w:r>
      <w:r>
        <w:t xml:space="preserve">    </w:t>
      </w:r>
      <w:r>
        <w:rPr>
          <w:b/>
        </w:rPr>
        <w:t xml:space="preserve">Pub date: </w:t>
      </w:r>
      <w:r>
        <w:t>2026-08-23 17:56:31+00:00</w:t>
      </w:r>
      <w:r>
        <w:t xml:space="preserve">    </w:t>
      </w:r>
      <w:r>
        <w:rPr>
          <w:b/>
        </w:rPr>
        <w:t xml:space="preserve">DOI: </w:t>
      </w:r>
      <w:hyperlink r:id="rId495">
        <w:r>
          <w:rPr>
            <w:color w:val="1155CC"/>
            <w:u w:val="single"/>
          </w:rPr>
          <w:t>10.1002/anie.9521232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一氧化二氮（N</w:t>
      </w:r>
      <w:r>
        <w:rPr>
          <w:vertAlign w:val="subscript"/>
        </w:rPr>
        <w:t>2</w:t>
      </w:r>
      <w:r>
        <w:t>O) 是最有效的温室气体之一，其全球变暖潜力约为 CO 的 300 倍</w:t>
      </w:r>
      <w:r>
        <w:rPr>
          <w:vertAlign w:val="subscript"/>
        </w:rPr>
        <w:t>2</w:t>
      </w:r>
      <w:r>
        <w:t>。然而，将其还原为良性产物（例如二氮（N</w:t>
      </w:r>
      <w:r>
        <w:rPr>
          <w:vertAlign w:val="subscript"/>
        </w:rPr>
        <w:t>2</w:t>
      </w:r>
      <w:r>
        <w:t>）仍然相对较少。在这项研究中，我们报道了一种氮基催化剂，可以光化学还原氮</w:t>
      </w:r>
      <w:r>
        <w:rPr>
          <w:vertAlign w:val="subscript"/>
        </w:rPr>
        <w:t>2</w:t>
      </w:r>
      <w:r>
        <w:t>从O到N</w:t>
      </w:r>
      <w:r>
        <w:rPr>
          <w:vertAlign w:val="subscript"/>
        </w:rPr>
        <w:t>2</w:t>
      </w:r>
      <w:r>
        <w:t>使用频哪醇硼烷作为还原剂。机理研究表明，活性催化物质通过前所未有的 N(0)/N(–1) 氧化还原循环发挥作用。这项工作代表了此类过程的第一个无金属均相光催化方案。</w:t>
      </w:r>
    </w:p>
    <w:p>
      <w:pPr>
        <w:spacing w:before="0" w:after="200" w:lineRule="auto" w:line="276"/>
      </w:pPr>
      <w:r>
        <w:rPr>
          <w:b/>
        </w:rPr>
        <w:t xml:space="preserve">Abstract (EN): </w:t>
      </w:r>
      <w:r>
        <w:t>Nitrous oxide (N</w:t>
      </w:r>
      <w:r>
        <w:rPr>
          <w:vertAlign w:val="subscript"/>
        </w:rPr>
        <w:t>2</w:t>
      </w:r>
      <w:r>
        <w:t>O) represents one of the most potent greenhouse gases, with a global warming potential of approximately 300× that of CO</w:t>
      </w:r>
      <w:r>
        <w:rPr>
          <w:vertAlign w:val="subscript"/>
        </w:rPr>
        <w:t>2</w:t>
      </w:r>
      <w:r>
        <w:t>. Yet protocols for its reduction to benign products such as dinitrogen (N</w:t>
      </w:r>
      <w:r>
        <w:rPr>
          <w:vertAlign w:val="subscript"/>
        </w:rPr>
        <w:t>2</w:t>
      </w:r>
      <w:r>
        <w:t>) remain comparatively rare. In this study, we report a nitrogen‐based catalyst that enables the photochemical reduction of N</w:t>
      </w:r>
      <w:r>
        <w:rPr>
          <w:vertAlign w:val="subscript"/>
        </w:rPr>
        <w:t>2</w:t>
      </w:r>
      <w:r>
        <w:t>O to N</w:t>
      </w:r>
      <w:r>
        <w:rPr>
          <w:vertAlign w:val="subscript"/>
        </w:rPr>
        <w:t>2</w:t>
      </w:r>
      <w:r>
        <w:t>using pinacol borane as the reductant. Mechanistic investigations indicate that the active catalytic species operates via an unprecedented N(0)/N(–1) redox cycle. This work represents the first metal‐free homogeneous photocatalytic protocol for such a process.</w:t>
      </w:r>
    </w:p>
    <w:p>
      <w:pPr>
        <w:spacing w:before="120" w:after="120"/>
      </w:pPr>
      <w:r>
        <w:rPr>
          <w:sz w:val="18"/>
        </w:rPr>
        <w:t>——————————————————————————————————————————————————————————————————————</w:t>
      </w:r>
    </w:p>
    <w:p>
      <w:pPr>
        <w:spacing w:before="160" w:after="40" w:line="240" w:lineRule="auto"/>
      </w:pPr>
      <w:r>
        <w:rPr>
          <w:b/>
        </w:rPr>
        <w:t xml:space="preserve">[13] </w:t>
      </w:r>
      <w:hyperlink r:id="rId496">
        <w:r>
          <w:rPr>
            <w:color w:val="1155CC"/>
            <w:u w:val="single"/>
          </w:rPr>
          <w:t>CoAlOx 工程金属-金属氧化物界面制备的高稳定性 CO2 甲烷化催化剂</w:t>
        </w:r>
      </w:hyperlink>
    </w:p>
    <w:p>
      <w:pPr>
        <w:spacing w:before="0" w:after="80"/>
      </w:pPr>
      <w:r>
        <w:rPr>
          <w:i/>
          <w:sz w:val="20"/>
        </w:rPr>
        <w:t>EN: Highly Stable CO2 Methanation Catalyst Fabricated by Engineering Metal–Metal Oxide Interfaces of CoAlOx</w:t>
      </w:r>
    </w:p>
    <w:p>
      <w:pPr>
        <w:spacing w:before="0" w:after="120"/>
      </w:pPr>
      <w:r>
        <w:rPr>
          <w:b/>
        </w:rPr>
        <w:t xml:space="preserve">Source: </w:t>
      </w:r>
      <w:r>
        <w:t>Wiley: Angewandte Chemie International Edition: Table of Contents</w:t>
      </w:r>
      <w:r>
        <w:t xml:space="preserve">    </w:t>
      </w:r>
      <w:r>
        <w:rPr>
          <w:b/>
        </w:rPr>
        <w:t xml:space="preserve">Pub date: </w:t>
      </w:r>
      <w:r>
        <w:t>2026-08-23 17:58:56+00:00</w:t>
      </w:r>
      <w:r>
        <w:t xml:space="preserve">    </w:t>
      </w:r>
      <w:r>
        <w:rPr>
          <w:b/>
        </w:rPr>
        <w:t xml:space="preserve">DOI: </w:t>
      </w:r>
      <w:hyperlink r:id="rId497">
        <w:r>
          <w:rPr>
            <w:color w:val="1155CC"/>
            <w:u w:val="single"/>
          </w:rPr>
          <w:t>10.1002/anie.2887110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制备具有超高催化稳定性和近热力学平衡转化率&gt; 99%目标产物选择性的多相催化剂是催化领域追求的最终目标。这里，CoAl2O</w:t>
      </w:r>
      <w:r>
        <w:t xml:space="preserve"> </w:t>
      </w:r>
      <w:r>
        <w:t>x</w:t>
      </w:r>
      <w:r>
        <w:t xml:space="preserve"> </w:t>
      </w:r>
      <w:r>
        <w:t>为 CO 构建催化剂</w:t>
      </w:r>
      <w:r>
        <w:rPr>
          <w:vertAlign w:val="subscript"/>
        </w:rPr>
        <w:t>2</w:t>
      </w:r>
      <w:r>
        <w:t>通过精确设计金属-金属氧化物界面进行甲烷化。显示CO</w:t>
      </w:r>
      <w:r>
        <w:rPr>
          <w:vertAlign w:val="subscript"/>
        </w:rPr>
        <w:t>2</w:t>
      </w:r>
      <w:r>
        <w:t>CH 转化率 &gt; 87%</w:t>
      </w:r>
      <w:r>
        <w:rPr>
          <w:vertAlign w:val="subscript"/>
        </w:rPr>
        <w:t>4</w:t>
      </w:r>
      <w:r>
        <w:t>在 350°C、1 MPa 和 GHSV 为 12 000 mL g 的条件下，3000 小时内选择性 &gt; 99%</w:t>
      </w:r>
      <w:r>
        <w:t xml:space="preserve"> </w:t>
      </w:r>
      <w:r>
        <w:t>−1</w:t>
      </w:r>
      <w:r>
        <w:t xml:space="preserve"> </w:t>
      </w:r>
      <w:r>
        <w:t>小时</w:t>
      </w:r>
      <w:r>
        <w:t xml:space="preserve"> </w:t>
      </w:r>
      <w:r>
        <w:t>−1</w:t>
      </w:r>
      <w:r>
        <w:t xml:space="preserve"> </w:t>
      </w:r>
      <w:r>
        <w:t>。进一步延长反应时间至 5000 小时仅略微降低 CO</w:t>
      </w:r>
      <w:r>
        <w:rPr>
          <w:vertAlign w:val="subscript"/>
        </w:rPr>
        <w:t>2</w:t>
      </w:r>
      <w:r>
        <w:t>转化率达到 77.5%，且不会严重影响 CH</w:t>
      </w:r>
      <w:r>
        <w:rPr>
          <w:vertAlign w:val="subscript"/>
        </w:rPr>
        <w:t>4</w:t>
      </w:r>
      <w:r>
        <w:t>选择性。 CH</w:t>
      </w:r>
      <w:r>
        <w:rPr>
          <w:vertAlign w:val="subscript"/>
        </w:rPr>
        <w:t>4</w:t>
      </w:r>
      <w:r>
        <w:t>生产率接近 2463.6 mmol g</w:t>
      </w:r>
      <w:r>
        <w:t xml:space="preserve"> </w:t>
      </w:r>
      <w:r>
        <w:t>−1</w:t>
      </w:r>
      <w:r>
        <w:t xml:space="preserve"> </w:t>
      </w:r>
      <w:r>
        <w:t>小时</w:t>
      </w:r>
      <w:r>
        <w:t xml:space="preserve"> </w:t>
      </w:r>
      <w:r>
        <w:t>−1</w:t>
      </w:r>
      <w:r>
        <w:t xml:space="preserve"> </w:t>
      </w:r>
      <w:r>
        <w:t>GHSV 为 375 000 mL g</w:t>
      </w:r>
      <w:r>
        <w:t xml:space="preserve"> </w:t>
      </w:r>
      <w:r>
        <w:t>−1</w:t>
      </w:r>
      <w:r>
        <w:t xml:space="preserve"> </w:t>
      </w:r>
      <w:r>
        <w:t>小时</w:t>
      </w:r>
      <w:r>
        <w:t xml:space="preserve"> </w:t>
      </w:r>
      <w:r>
        <w:t>−1</w:t>
      </w:r>
      <w:r>
        <w:t xml:space="preserve"> </w:t>
      </w:r>
      <w:r>
        <w:t>，优于报道的贵金属和过渡金属基催化剂。这种催化性能源于Co的形成</w:t>
      </w:r>
      <w:r>
        <w:rPr>
          <w:vertAlign w:val="subscript"/>
        </w:rPr>
        <w:t>0</w:t>
      </w:r>
      <w:r>
        <w:t>‐CoO-Al</w:t>
      </w:r>
      <w:r>
        <w:rPr>
          <w:vertAlign w:val="subscript"/>
        </w:rPr>
        <w:t>2</w:t>
      </w:r>
      <w:r>
        <w:t>氧</w:t>
      </w:r>
      <w:r>
        <w:rPr>
          <w:vertAlign w:val="subscript"/>
        </w:rPr>
        <w:t>3</w:t>
      </w:r>
      <w:r>
        <w:t>微观结构</w:t>
      </w:r>
    </w:p>
    <w:p>
      <w:pPr>
        <w:spacing w:before="0" w:after="200" w:lineRule="auto" w:line="276"/>
      </w:pPr>
      <w:r>
        <w:rPr>
          <w:b/>
        </w:rPr>
        <w:t xml:space="preserve">Abstract (EN): </w:t>
      </w:r>
      <w:r>
        <w:t>Preparation of a heterogeneous catalyst with ultra‐high catalytic stability and target product selectivity of &amp;gt; 99% at near thermodynamic equilibrium conversion is the ultimate goal to pursue in the catalysis field. Here, a CoAlO</w:t>
      </w:r>
      <w:r>
        <w:t xml:space="preserve"> </w:t>
      </w:r>
      <w:r>
        <w:t>x</w:t>
      </w:r>
      <w:r>
        <w:t xml:space="preserve"> </w:t>
      </w:r>
      <w:r>
        <w:t>catalyst is constructed for CO</w:t>
      </w:r>
      <w:r>
        <w:rPr>
          <w:vertAlign w:val="subscript"/>
        </w:rPr>
        <w:t>2</w:t>
      </w:r>
      <w:r>
        <w:t>methanation by precisely engineering metal–metal oxide interfaces. It shows CO</w:t>
      </w:r>
      <w:r>
        <w:rPr>
          <w:vertAlign w:val="subscript"/>
        </w:rPr>
        <w:t>2</w:t>
      </w:r>
      <w:r>
        <w:t>conversion of &amp;gt; 87% and CH</w:t>
      </w:r>
      <w:r>
        <w:rPr>
          <w:vertAlign w:val="subscript"/>
        </w:rPr>
        <w:t>4</w:t>
      </w:r>
      <w:r>
        <w:t>selectivity of &amp;gt; 99% within 3000 h at 350°C, 1 MPa and GHSV of 12 000 mL g</w:t>
      </w:r>
      <w:r>
        <w:t xml:space="preserve"> </w:t>
      </w:r>
      <w:r>
        <w:t>−1</w:t>
      </w:r>
      <w:r>
        <w:t xml:space="preserve"> </w:t>
      </w:r>
      <w:r>
        <w:t>h</w:t>
      </w:r>
      <w:r>
        <w:t xml:space="preserve"> </w:t>
      </w:r>
      <w:r>
        <w:t>−1</w:t>
      </w:r>
      <w:r>
        <w:t xml:space="preserve"> </w:t>
      </w:r>
      <w:r>
        <w:t>. Further prolonging of reaction time to 5000 h just slightly decreases CO</w:t>
      </w:r>
      <w:r>
        <w:rPr>
          <w:vertAlign w:val="subscript"/>
        </w:rPr>
        <w:t>2</w:t>
      </w:r>
      <w:r>
        <w:t>conversion to 77.5% without seriously affecting CH</w:t>
      </w:r>
      <w:r>
        <w:rPr>
          <w:vertAlign w:val="subscript"/>
        </w:rPr>
        <w:t>4</w:t>
      </w:r>
      <w:r>
        <w:t>selectivity. The CH</w:t>
      </w:r>
      <w:r>
        <w:rPr>
          <w:vertAlign w:val="subscript"/>
        </w:rPr>
        <w:t>4</w:t>
      </w:r>
      <w:r>
        <w:t>productivity approaches to 2463.6 mmol g</w:t>
      </w:r>
      <w:r>
        <w:t xml:space="preserve"> </w:t>
      </w:r>
      <w:r>
        <w:t>−1</w:t>
      </w:r>
      <w:r>
        <w:t xml:space="preserve"> </w:t>
      </w:r>
      <w:r>
        <w:t>h</w:t>
      </w:r>
      <w:r>
        <w:t xml:space="preserve"> </w:t>
      </w:r>
      <w:r>
        <w:t>−1</w:t>
      </w:r>
      <w:r>
        <w:t xml:space="preserve"> </w:t>
      </w:r>
      <w:r>
        <w:t>at GHSV of 375 000 mL g</w:t>
      </w:r>
      <w:r>
        <w:t xml:space="preserve"> </w:t>
      </w:r>
      <w:r>
        <w:t>−1</w:t>
      </w:r>
      <w:r>
        <w:t xml:space="preserve"> </w:t>
      </w:r>
      <w:r>
        <w:t>h</w:t>
      </w:r>
      <w:r>
        <w:t xml:space="preserve"> </w:t>
      </w:r>
      <w:r>
        <w:t>−1</w:t>
      </w:r>
      <w:r>
        <w:t xml:space="preserve"> </w:t>
      </w:r>
      <w:r>
        <w:t>, being superior to reported noble metal‐ and transition metal‐based catalysts. Such a catalytic performance stems from formation of Co</w:t>
      </w:r>
      <w:r>
        <w:rPr>
          <w:vertAlign w:val="subscript"/>
        </w:rPr>
        <w:t>0</w:t>
      </w:r>
      <w:r>
        <w:t>‐CoO‐Al</w:t>
      </w:r>
      <w:r>
        <w:rPr>
          <w:vertAlign w:val="subscript"/>
        </w:rPr>
        <w:t>2</w:t>
      </w:r>
      <w:r>
        <w:t>O</w:t>
      </w:r>
      <w:r>
        <w:rPr>
          <w:vertAlign w:val="subscript"/>
        </w:rPr>
        <w:t>3</w:t>
      </w:r>
      <w:r>
        <w:t>microstructures with metallic Co</w:t>
      </w:r>
      <w:r>
        <w:rPr>
          <w:vertAlign w:val="subscript"/>
        </w:rPr>
        <w:t>0</w:t>
      </w:r>
      <w:r>
        <w:t>nanoparticles stably trapped in atomically intimate CoO‐Al</w:t>
      </w:r>
      <w:r>
        <w:rPr>
          <w:vertAlign w:val="subscript"/>
        </w:rPr>
        <w:t>2</w:t>
      </w:r>
      <w:r>
        <w:t>O</w:t>
      </w:r>
      <w:r>
        <w:rPr>
          <w:vertAlign w:val="subscript"/>
        </w:rPr>
        <w:t>3</w:t>
      </w:r>
      <w:r>
        <w:t>material. The CoO‐Al</w:t>
      </w:r>
      <w:r>
        <w:rPr>
          <w:vertAlign w:val="subscript"/>
        </w:rPr>
        <w:t>2</w:t>
      </w:r>
      <w:r>
        <w:t>O</w:t>
      </w:r>
      <w:r>
        <w:rPr>
          <w:vertAlign w:val="subscript"/>
        </w:rPr>
        <w:t>3</w:t>
      </w:r>
      <w:r>
        <w:t>interfaces enhance CO</w:t>
      </w:r>
      <w:r>
        <w:rPr>
          <w:vertAlign w:val="subscript"/>
        </w:rPr>
        <w:t>2</w:t>
      </w:r>
      <w:r>
        <w:t>adsorption and transformation into carbonates and/or bicarbonates, whereas metallic Co</w:t>
      </w:r>
      <w:r>
        <w:rPr>
          <w:vertAlign w:val="subscript"/>
        </w:rPr>
        <w:t>0</w:t>
      </w:r>
      <w:r>
        <w:t>promote H</w:t>
      </w:r>
      <w:r>
        <w:rPr>
          <w:vertAlign w:val="subscript"/>
        </w:rPr>
        <w:t>2</w:t>
      </w:r>
      <w:r>
        <w:t>dissociation and CO</w:t>
      </w:r>
      <w:r>
        <w:rPr>
          <w:vertAlign w:val="subscript"/>
        </w:rPr>
        <w:t>2</w:t>
      </w:r>
      <w:r>
        <w:t>hydrogenation. Technical and economic analyses show that CO</w:t>
      </w:r>
      <w:r>
        <w:rPr>
          <w:vertAlign w:val="subscript"/>
        </w:rPr>
        <w:t>2</w:t>
      </w:r>
      <w:r>
        <w:t>methanation could be profitable in places with abundant wind, photovoltaic, and other off‐grid powers, or when the green hydrogen price is &amp;lt; 1103.40 US$/t, which could help build sustainable energy system in the future.</w:t>
      </w:r>
    </w:p>
    <w:p>
      <w:pPr>
        <w:spacing w:before="120" w:after="120"/>
      </w:pPr>
      <w:r>
        <w:rPr>
          <w:sz w:val="18"/>
        </w:rPr>
        <w:t>——————————————————————————————————————————————————————————————————————</w:t>
      </w:r>
    </w:p>
    <w:p>
      <w:pPr>
        <w:spacing w:before="160" w:after="40" w:line="240" w:lineRule="auto"/>
      </w:pPr>
      <w:r>
        <w:rPr>
          <w:b/>
        </w:rPr>
        <w:t xml:space="preserve">[14] </w:t>
      </w:r>
      <w:hyperlink r:id="rId498">
        <w:r>
          <w:rPr>
            <w:color w:val="1155CC"/>
            <w:u w:val="single"/>
          </w:rPr>
          <w:t>通过分离的 Cr 物质稳定富含空位的 In2O3，以实现持久的 CO2 加氢</w:t>
        </w:r>
      </w:hyperlink>
    </w:p>
    <w:p>
      <w:pPr>
        <w:spacing w:before="0" w:after="80"/>
      </w:pPr>
      <w:r>
        <w:rPr>
          <w:i/>
          <w:sz w:val="20"/>
        </w:rPr>
        <w:t>EN: Stabilizing vacancy-rich In2O3 by isolated Cr species for durable CO2 hydrogenation</w:t>
      </w:r>
    </w:p>
    <w:p>
      <w:pPr>
        <w:spacing w:before="0" w:after="120"/>
      </w:pPr>
      <w:r>
        <w:rPr>
          <w:b/>
        </w:rPr>
        <w:t xml:space="preserve">Source: </w:t>
      </w:r>
      <w:r>
        <w:t>National Science Review Advance Access</w:t>
      </w:r>
      <w:r>
        <w:t xml:space="preserve">    </w:t>
      </w:r>
      <w:r>
        <w:rPr>
          <w:b/>
        </w:rPr>
        <w:t xml:space="preserve">Pub date: </w:t>
      </w:r>
      <w:r>
        <w:t>2026-08-24 00:00:00+00:00</w:t>
      </w:r>
      <w:r>
        <w:t xml:space="preserve">    </w:t>
      </w:r>
      <w:r>
        <w:rPr>
          <w:b/>
        </w:rPr>
        <w:t xml:space="preserve">DOI: </w:t>
      </w:r>
      <w:hyperlink r:id="rId499">
        <w:r>
          <w:rPr>
            <w:color w:val="1155CC"/>
            <w:u w:val="single"/>
          </w:rPr>
          <w:t>10.1093/nsr/nwag532</w:t>
        </w:r>
      </w:hyperlink>
    </w:p>
    <w:p>
      <w:pPr>
        <w:spacing w:before="0" w:after="120"/>
      </w:pPr>
      <w:r>
        <w:rPr>
          <w:b/>
        </w:rPr>
        <w:t xml:space="preserve">Notes: </w:t>
      </w:r>
      <w:r>
        <w:t>abstract_source=rss_oup</w:t>
      </w:r>
    </w:p>
    <w:p>
      <w:pPr>
        <w:spacing w:before="0" w:after="80" w:lineRule="auto" w:line="276"/>
      </w:pPr>
      <w:r>
        <w:rPr>
          <w:b/>
        </w:rPr>
        <w:t xml:space="preserve">摘要（ZH）: </w:t>
      </w:r>
      <w:r>
        <w:t>富空位 In2O3 相的过度还原仍然是 In2O3 基催化剂上 CO2 加氢的关键挑战。在这里，我们证明了由嵌入 In2O3 晶格中的孤立 Cr 原子组成的空位稳定系综可以在 CO2 加氢条件下同时提供丰富的表面 Ov 位点、优异的催化活性和出色的结构稳定性。通过实验和DFT研究，我们确定活性位点为Cr3+-[Ov]2-Inδ</w:t>
      </w:r>
    </w:p>
    <w:p>
      <w:pPr>
        <w:spacing w:before="0" w:after="200" w:lineRule="auto" w:line="276"/>
      </w:pPr>
      <w:r>
        <w:rPr>
          <w:b/>
        </w:rPr>
        <w:t xml:space="preserve">Abstract (EN): </w:t>
      </w:r>
      <w:r>
        <w:t>The over-reduction of the vacancy-rich In2O3 phase remains a critical challenge in CO2 hydrogenation over In2O3-based catalysts. Here, we demonstrate that a vacancy-stabilizing ensemble consisting of isolated Cr atoms embedded in the In2O3 lattice can simultaneously provide abundant surface Ov sites, excellent catalytic activity and outstanding structural stability under CO2 hydrogenation conditions. Through experimental and DFT investigations, we identify the active site to be Cr3+-[Ov]2-Inδ</w:t>
      </w:r>
    </w:p>
    <w:p>
      <w:pPr>
        <w:spacing w:before="120" w:after="120"/>
      </w:pPr>
      <w:r>
        <w:rPr>
          <w:sz w:val="18"/>
        </w:rPr>
        <w:t>——————————————————————————————————————————————————————————————————————</w:t>
      </w:r>
    </w:p>
    <w:p>
      <w:pPr>
        <w:spacing w:before="160" w:after="40" w:line="240" w:lineRule="auto"/>
      </w:pPr>
      <w:r>
        <w:rPr>
          <w:b/>
        </w:rPr>
        <w:t xml:space="preserve">[15] </w:t>
      </w:r>
      <w:hyperlink r:id="rId500">
        <w:r>
          <w:rPr>
            <w:color w:val="1155CC"/>
            <w:u w:val="single"/>
          </w:rPr>
          <w:t>π孔功能化Zn(II)配位片层间自适应晶体的低压CO2和芳香族识别</w:t>
        </w:r>
      </w:hyperlink>
    </w:p>
    <w:p>
      <w:pPr>
        <w:spacing w:before="0" w:after="80"/>
      </w:pPr>
      <w:r>
        <w:rPr>
          <w:i/>
          <w:sz w:val="20"/>
        </w:rPr>
        <w:t>EN: Low‐Pressure CO2 and Aromatic Recognition by Interlayer Adaptive Crystal of π‐Hole‐Functionalized Zn(II) Coordination Sheets</w:t>
      </w:r>
    </w:p>
    <w:p>
      <w:pPr>
        <w:spacing w:before="0" w:after="120"/>
      </w:pPr>
      <w:r>
        <w:rPr>
          <w:b/>
        </w:rPr>
        <w:t xml:space="preserve">Source: </w:t>
      </w:r>
      <w:r>
        <w:t>Wiley: Angewandte Chemie International Edition: Table of Contents</w:t>
      </w:r>
      <w:r>
        <w:t xml:space="preserve">    </w:t>
      </w:r>
      <w:r>
        <w:rPr>
          <w:b/>
        </w:rPr>
        <w:t xml:space="preserve">Pub date: </w:t>
      </w:r>
      <w:r>
        <w:t>2026-08-24 07:00:00+00:00</w:t>
      </w:r>
      <w:r>
        <w:t xml:space="preserve">    </w:t>
      </w:r>
      <w:r>
        <w:rPr>
          <w:b/>
        </w:rPr>
        <w:t xml:space="preserve">DOI: </w:t>
      </w:r>
      <w:hyperlink r:id="rId501">
        <w:r>
          <w:rPr>
            <w:color w:val="1155CC"/>
            <w:u w:val="single"/>
          </w:rPr>
          <w:t>10.1002/anie.4090353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层型主体，由桨轮 Zn(II) 节点构建的层间自适应晶体 (LAC)、四氟间苯二甲酸酯 (</w:t>
      </w:r>
      <w:r>
        <w:t xml:space="preserve"> </w:t>
      </w:r>
      <w:r>
        <w:t>L</w:t>
      </w:r>
      <w:r>
        <w:t xml:space="preserve"> </w:t>
      </w:r>
      <w:r>
        <w:t>) 连接体和吡啶 (Py) 轴向配体，[Zn(</w:t>
      </w:r>
      <w:r>
        <w:t xml:space="preserve"> </w:t>
      </w:r>
      <w:r>
        <w:t>L</w:t>
      </w:r>
      <w:r>
        <w:t xml:space="preserve"> </w:t>
      </w:r>
      <w:r>
        <w:t>)Py]</w:t>
      </w:r>
      <w:r>
        <w:t xml:space="preserve"> </w:t>
      </w:r>
      <w:r>
        <w:t>2n</w:t>
      </w:r>
      <w:r>
        <w:t xml:space="preserve"> </w:t>
      </w:r>
      <w:r>
        <w:t>，表现出访客诱导的、静电驱动的呼吸。该晶体包含 2.6 Å π 孔定义的超微孔，这些孔不充当经典通道，而是充当客体诱导的单晶到单晶膨胀的静电触发器。层间间距和表面接触的动态调节产生了卓越的灵活性和分子选择性。四氟苯基π孔产生正四极场，通过主体-主体排斥和对具有负四极矩的客体的强烈识别来驱动吸附。单轴空隙占体积的 12%，允许吸收比超微孔更大的分子。氮</w:t>
      </w:r>
      <w:r>
        <w:rPr>
          <w:vertAlign w:val="subscript"/>
        </w:rPr>
        <w:t>2</w:t>
      </w:r>
      <w:r>
        <w:t>,一氧化碳</w:t>
      </w:r>
      <w:r>
        <w:rPr>
          <w:vertAlign w:val="subscript"/>
        </w:rPr>
        <w:t>2</w:t>
      </w:r>
      <w:r>
        <w:t>,CH</w:t>
      </w:r>
      <w:r>
        <w:rPr>
          <w:vertAlign w:val="subscript"/>
        </w:rPr>
        <w:t>4</w:t>
      </w:r>
      <w:r>
        <w:t>和苯在非常低的压力下表现出 I 型吸附，每个 [Zn(</w:t>
      </w:r>
      <w:r>
        <w:t xml:space="preserve"> </w:t>
      </w:r>
      <w:r>
        <w:t>L</w:t>
      </w:r>
      <w:r>
        <w:t xml:space="preserve"> </w:t>
      </w:r>
      <w:r>
        <w:t>)Py]</w:t>
      </w:r>
      <w:r>
        <w:rPr>
          <w:vertAlign w:val="subscript"/>
        </w:rPr>
        <w:t>2</w:t>
      </w:r>
      <w:r>
        <w:t>单位。一氧化碳</w:t>
      </w:r>
      <w:r>
        <w:rPr>
          <w:vertAlign w:val="subscript"/>
        </w:rPr>
        <w:t>2</w:t>
      </w:r>
      <w:r>
        <w:t>吸收伴随着完全可逆的层间膨胀，而苯夹杂物将空隙空间扩大到无客体晶体的 186%。一氧化碳</w:t>
      </w:r>
      <w:r>
        <w:rPr>
          <w:vertAlign w:val="subscript"/>
        </w:rPr>
        <w:t>2</w:t>
      </w:r>
      <w:r>
        <w:t>是</w:t>
      </w:r>
    </w:p>
    <w:p>
      <w:pPr>
        <w:spacing w:before="0" w:after="200" w:lineRule="auto" w:line="276"/>
      </w:pPr>
      <w:r>
        <w:rPr>
          <w:b/>
        </w:rPr>
        <w:t xml:space="preserve">Abstract (EN): </w:t>
      </w:r>
      <w:r>
        <w:t>A layer‐type host, an interlayer adaptive crystal (LAC) constructed from paddle‐wheel Zn(II) nodes, tetrafluoroisophthalate (</w:t>
      </w:r>
      <w:r>
        <w:t xml:space="preserve"> </w:t>
      </w:r>
      <w:r>
        <w:t>L</w:t>
      </w:r>
      <w:r>
        <w:t xml:space="preserve"> </w:t>
      </w:r>
      <w:r>
        <w:t>) linkers, and pyridine (Py) axial ligands, [Zn(</w:t>
      </w:r>
      <w:r>
        <w:t xml:space="preserve"> </w:t>
      </w:r>
      <w:r>
        <w:t>L</w:t>
      </w:r>
      <w:r>
        <w:t xml:space="preserve"> </w:t>
      </w:r>
      <w:r>
        <w:t>)Py]</w:t>
      </w:r>
      <w:r>
        <w:t xml:space="preserve"> </w:t>
      </w:r>
      <w:r>
        <w:t>2n</w:t>
      </w:r>
      <w:r>
        <w:t xml:space="preserve"> </w:t>
      </w:r>
      <w:r>
        <w:t>, exhibits guest‐induced, electrostatically driven breathing. The crystal contains 2.6 Å π‐hole‐defined ultramicropores that act not as classical channels but as electrostatic triggers for guest‐induced single‐crystal‐to‐single‐crystal expansion. Dynamic modulation of interlayer spacing and surface contacts yields exceptional flexibility and molecular selectivity. Tetrafluorophenyl π‐holes generate positive quadrupole fields that drive adsorption through host–host repulsion and strong recognition of guests with negative quadrupole moments. Uniaxial voids occupy 12% of the volume, allowing uptake of molecules larger than the ultramicropore. N</w:t>
      </w:r>
      <w:r>
        <w:rPr>
          <w:vertAlign w:val="subscript"/>
        </w:rPr>
        <w:t>2</w:t>
      </w:r>
      <w:r>
        <w:t>, CO</w:t>
      </w:r>
      <w:r>
        <w:rPr>
          <w:vertAlign w:val="subscript"/>
        </w:rPr>
        <w:t>2</w:t>
      </w:r>
      <w:r>
        <w:t>, CH</w:t>
      </w:r>
      <w:r>
        <w:rPr>
          <w:vertAlign w:val="subscript"/>
        </w:rPr>
        <w:t>4</w:t>
      </w:r>
      <w:r>
        <w:t>, and benzene show type‐I adsorption from very low pressure, incorporating 1.2, 2.0, 1.5, and 1.0 molecules per [Zn(</w:t>
      </w:r>
      <w:r>
        <w:t xml:space="preserve"> </w:t>
      </w:r>
      <w:r>
        <w:t>L</w:t>
      </w:r>
      <w:r>
        <w:t xml:space="preserve"> </w:t>
      </w:r>
      <w:r>
        <w:t>)Py]</w:t>
      </w:r>
      <w:r>
        <w:rPr>
          <w:vertAlign w:val="subscript"/>
        </w:rPr>
        <w:t>2</w:t>
      </w:r>
      <w:r>
        <w:t>unit. CO</w:t>
      </w:r>
      <w:r>
        <w:rPr>
          <w:vertAlign w:val="subscript"/>
        </w:rPr>
        <w:t>2</w:t>
      </w:r>
      <w:r>
        <w:t>uptake is accompanied by fully reversible interlayer expansion, while benzene inclusion expands the void space to 186% of that of the guest‐free crystal. CO</w:t>
      </w:r>
      <w:r>
        <w:rPr>
          <w:vertAlign w:val="subscript"/>
        </w:rPr>
        <w:t>2</w:t>
      </w:r>
      <w:r>
        <w:t>is preferentially adsorbed over N</w:t>
      </w:r>
      <w:r>
        <w:rPr>
          <w:vertAlign w:val="subscript"/>
        </w:rPr>
        <w:t>2</w:t>
      </w:r>
      <w:r>
        <w:t>and CH</w:t>
      </w:r>
      <w:r>
        <w:rPr>
          <w:vertAlign w:val="subscript"/>
        </w:rPr>
        <w:t>4</w:t>
      </w:r>
      <w:r>
        <w:t>, corroborated by recognition trends among benzene, trifluorobenzene, and hexafluorobenzene. Guest molecules form one‐dimensional arrays within the expanded lattice, and the breathing two‐dimensional sheet combines the uptake capability of metal‐organic frameworks (MOFs) with the molecular precision of nonporous adaptive crystals (NACs), demonstrating an interaction‐programmed mode of selective molecular inclusion.</w:t>
      </w:r>
    </w:p>
    <w:p>
      <w:pPr>
        <w:spacing w:before="120" w:after="120"/>
      </w:pPr>
      <w:r>
        <w:rPr>
          <w:sz w:val="18"/>
        </w:rPr>
        <w:t>——————————————————————————————————————————————————————————————————————</w:t>
      </w:r>
    </w:p>
    <w:p>
      <w:pPr>
        <w:spacing w:before="160" w:after="40" w:line="240" w:lineRule="auto"/>
      </w:pPr>
      <w:r>
        <w:rPr>
          <w:b/>
        </w:rPr>
        <w:t xml:space="preserve">[16] </w:t>
      </w:r>
      <w:hyperlink r:id="rId502">
        <w:r>
          <w:rPr>
            <w:color w:val="1155CC"/>
            <w:u w:val="single"/>
          </w:rPr>
          <w:t>最大限度地电化学还原二氧化碳以实现闭环反应捕获</w:t>
        </w:r>
      </w:hyperlink>
    </w:p>
    <w:p>
      <w:pPr>
        <w:spacing w:before="0" w:after="80"/>
      </w:pPr>
      <w:r>
        <w:rPr>
          <w:i/>
          <w:sz w:val="20"/>
        </w:rPr>
        <w:t>EN: Maximizing electrochemical carbon dioxide reduction to achieve closed-loop reactive capture</w:t>
      </w:r>
    </w:p>
    <w:p>
      <w:pPr>
        <w:spacing w:before="0" w:after="120"/>
      </w:pPr>
      <w:r>
        <w:rPr>
          <w:b/>
        </w:rPr>
        <w:t xml:space="preserve">Source: </w:t>
      </w:r>
      <w:r>
        <w:t>Nature Sustainability</w:t>
      </w:r>
      <w:r>
        <w:t xml:space="preserve">    </w:t>
      </w:r>
      <w:r>
        <w:rPr>
          <w:b/>
        </w:rPr>
        <w:t xml:space="preserve">Pub date: </w:t>
      </w:r>
      <w:r>
        <w:t>2026-08-25 00:00:00+00:00</w:t>
      </w:r>
      <w:r>
        <w:t xml:space="preserve">    </w:t>
      </w:r>
      <w:r>
        <w:rPr>
          <w:b/>
        </w:rPr>
        <w:t xml:space="preserve">DOI: </w:t>
      </w:r>
      <w:hyperlink r:id="rId503">
        <w:r>
          <w:rPr>
            <w:color w:val="1155CC"/>
            <w:u w:val="single"/>
          </w:rPr>
          <w:t>10.1038/s41893-026-01922-8</w:t>
        </w:r>
      </w:hyperlink>
    </w:p>
    <w:p>
      <w:pPr>
        <w:spacing w:before="0" w:after="120"/>
      </w:pPr>
      <w:r>
        <w:rPr>
          <w:b/>
        </w:rPr>
        <w:t xml:space="preserve">Notes: </w:t>
      </w:r>
      <w:r>
        <w:t>abstract_source=rss_nature</w:t>
      </w:r>
    </w:p>
    <w:p>
      <w:pPr>
        <w:spacing w:before="0" w:after="80" w:lineRule="auto" w:line="276"/>
      </w:pPr>
      <w:r>
        <w:rPr>
          <w:b/>
        </w:rPr>
        <w:t xml:space="preserve">摘要（ZH）: </w:t>
      </w:r>
      <w:r>
        <w:t>直接将捕获的二氧化碳转化为燃料和化学品可以通过避免能源密集型溶剂再生来提高碳捕获效率。本综述讨论了实现高碳转化的反应途径、主要挑战和策略。</w:t>
      </w:r>
    </w:p>
    <w:p>
      <w:pPr>
        <w:spacing w:before="0" w:after="200" w:lineRule="auto" w:line="276"/>
      </w:pPr>
      <w:r>
        <w:rPr>
          <w:b/>
        </w:rPr>
        <w:t xml:space="preserve">Abstract (EN): </w:t>
      </w:r>
      <w:r>
        <w:t>Directly converting captured carbon dioxide into fuels and chemicals could make carbon capture more efficient by avoiding energy-intensive solvent regeneration. This Review discusses the reaction pathways, key challenges and strategies for achieving high carbon conversion.</w:t>
      </w:r>
    </w:p>
    <w:p>
      <w:pPr>
        <w:spacing w:before="120" w:after="120"/>
      </w:pPr>
      <w:r>
        <w:rPr>
          <w:sz w:val="18"/>
        </w:rPr>
        <w:t>——————————————————————————————————————————————————————————————————————</w:t>
      </w:r>
    </w:p>
    <w:p>
      <w:pPr>
        <w:spacing w:before="160" w:after="40" w:line="240" w:lineRule="auto"/>
      </w:pPr>
      <w:r>
        <w:rPr>
          <w:b/>
        </w:rPr>
        <w:t xml:space="preserve">[17] </w:t>
      </w:r>
      <w:hyperlink r:id="rId504">
        <w:r>
          <w:rPr>
            <w:color w:val="1155CC"/>
            <w:u w:val="single"/>
          </w:rPr>
          <w:t>在多孔铜基纳米线电极上将基于碳酸氢盐的 CO2 捕获溶液电化学转化为乙烯</w:t>
        </w:r>
      </w:hyperlink>
    </w:p>
    <w:p>
      <w:pPr>
        <w:spacing w:before="0" w:after="80"/>
      </w:pPr>
      <w:r>
        <w:rPr>
          <w:i/>
          <w:sz w:val="20"/>
        </w:rPr>
        <w:t>EN: Electrochemical conversion of (bi)carbonate-based CO2 capture solutions to ethylene on porous copper-based nanowire electrodes</w:t>
      </w:r>
    </w:p>
    <w:p>
      <w:pPr>
        <w:spacing w:before="0" w:after="120"/>
      </w:pPr>
      <w:r>
        <w:rPr>
          <w:b/>
        </w:rPr>
        <w:t xml:space="preserve">Source: </w:t>
      </w:r>
      <w:r>
        <w:t>Joule</w:t>
      </w:r>
      <w:r>
        <w:t xml:space="preserve">    </w:t>
      </w:r>
      <w:r>
        <w:rPr>
          <w:b/>
        </w:rPr>
        <w:t xml:space="preserve">Pub date: </w:t>
      </w:r>
      <w:r>
        <w:t>2026-08-25 00:00:00+00:00</w:t>
      </w:r>
      <w:r>
        <w:t xml:space="preserve">    </w:t>
      </w:r>
      <w:r>
        <w:rPr>
          <w:b/>
        </w:rPr>
        <w:t xml:space="preserve">DOI: </w:t>
      </w:r>
      <w:hyperlink r:id="rId505">
        <w:r>
          <w:rPr>
            <w:color w:val="1155CC"/>
            <w:u w:val="single"/>
          </w:rPr>
          <w:t>10.1016/j.joule.2026.102640</w:t>
        </w:r>
      </w:hyperlink>
    </w:p>
    <w:p>
      <w:pPr>
        <w:spacing w:before="0" w:after="120"/>
      </w:pPr>
      <w:r>
        <w:rPr>
          <w:b/>
        </w:rPr>
        <w:t xml:space="preserve">Notes: </w:t>
      </w:r>
      <w:r>
        <w:t>abstract_source=rss_cell</w:t>
      </w:r>
    </w:p>
    <w:p>
      <w:pPr>
        <w:spacing w:before="0" w:after="80" w:lineRule="auto" w:line="276"/>
      </w:pPr>
      <w:r>
        <w:rPr>
          <w:b/>
        </w:rPr>
        <w:t xml:space="preserve">摘要（ZH）: </w:t>
      </w:r>
      <w:r>
        <w:t>利用捕获的大气二氧化碳是实现循环碳经济的一条有前途的途径。这项工作研究将碳捕获溶液直接送入电解槽来制造乙烯（塑料工业的关键原料），从而证明铜纳米线改性的多孔电极促进反应物/中间体的传质，从而提高乙烯选择性。</w:t>
      </w:r>
    </w:p>
    <w:p>
      <w:pPr>
        <w:spacing w:before="0" w:after="200" w:lineRule="auto" w:line="276"/>
      </w:pPr>
      <w:r>
        <w:rPr>
          <w:b/>
        </w:rPr>
        <w:t xml:space="preserve">Abstract (EN): </w:t>
      </w:r>
      <w:r>
        <w:t>Utilizing captured atmospheric CO2 is a promising route toward a circular carbon economy. This work studies feeding carbon capture solutions directly into electrolyzers to make ethylene, a key feedstock for the plastics industry, thus demonstrating that copper nanowire-modified porous electrodes promote the mass transport of reactants/intermediates, leading to improved ethylene selectivity.</w:t>
      </w:r>
    </w:p>
    <w:p>
      <w:pPr>
        <w:spacing w:before="120" w:after="120"/>
      </w:pPr>
      <w:r>
        <w:rPr>
          <w:sz w:val="18"/>
        </w:rPr>
        <w:t>——————————————————————————————————————————————————————————————————————</w:t>
      </w:r>
    </w:p>
    <w:p>
      <w:pPr>
        <w:spacing w:before="160" w:after="40" w:line="240" w:lineRule="auto"/>
      </w:pPr>
      <w:r>
        <w:rPr>
          <w:b/>
        </w:rPr>
        <w:t xml:space="preserve">[18] </w:t>
      </w:r>
      <w:hyperlink r:id="rId506">
        <w:r>
          <w:rPr>
            <w:color w:val="1155CC"/>
            <w:u w:val="single"/>
          </w:rPr>
          <w:t>关键区域过程限制了天然玄武岩系统的碱度输出</w:t>
        </w:r>
      </w:hyperlink>
    </w:p>
    <w:p>
      <w:pPr>
        <w:spacing w:before="0" w:after="80"/>
      </w:pPr>
      <w:r>
        <w:rPr>
          <w:i/>
          <w:sz w:val="20"/>
        </w:rPr>
        <w:t>EN: Critical zone processes limit alkalinity export from natural basaltic systems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507">
        <w:r>
          <w:rPr>
            <w:color w:val="1155CC"/>
            <w:u w:val="single"/>
          </w:rPr>
          <w:t>10.1038/s41586-026-10936-3</w:t>
        </w:r>
      </w:hyperlink>
    </w:p>
    <w:p>
      <w:pPr>
        <w:spacing w:before="0" w:after="120"/>
      </w:pPr>
      <w:r>
        <w:rPr>
          <w:b/>
        </w:rPr>
        <w:t xml:space="preserve">Notes: </w:t>
      </w:r>
      <w:r>
        <w:t>abstract_source=pubmed</w:t>
      </w:r>
    </w:p>
    <w:p>
      <w:pPr>
        <w:spacing w:before="0" w:after="80" w:lineRule="auto" w:line="276"/>
      </w:pPr>
      <w:r>
        <w:rPr>
          <w:b/>
        </w:rPr>
        <w:t xml:space="preserve">摘要（ZH）: </w:t>
      </w:r>
      <w:r>
        <w:t>岩石的强化风化 (EW) 是一种拟议的二氧化碳去除 (CDR) 策略，该策略依赖于应用于土壤的硅酸盐矿物（通常是玄武岩）的溶解1。在全球范围内，通过 EW 进行的大规模 CDR 需要在土壤中的矿物溶解过程中产生碱度，并通过地下水和河流保存和运输该碱度到达海洋2,3。尽管现场试验和模型的重点是添加碎石后近地表碱度的产生4,5，但这种碱度的传输受到跨流域6-8展开的水文和地球化学过程的调节。在这里，我们综合了天然火山流域的观测结果，以评估从土壤到河流的完整反应路径的碱度输出。来自玄武岩流域的数据表明碱度通量衰减，导致出口碱度减少。这种衰减可能是次生粘土和碳酸盐矿物沿着​​地下流动路径和河流运输过程中沉淀的结果。尽管自然风化系统与工程电子战部署不同，但这些观测结果提供了流域规模碱度输出的经验基线。我们的结果表明，关键区域过程影响风化产生的碱度输出的效率，这意味着需要将流域过程纳入未来的 EW CDR 评估中。</w:t>
      </w:r>
    </w:p>
    <w:p>
      <w:pPr>
        <w:spacing w:before="0" w:after="200" w:lineRule="auto" w:line="276"/>
      </w:pPr>
      <w:r>
        <w:rPr>
          <w:b/>
        </w:rPr>
        <w:t xml:space="preserve">Abstract (EN): </w:t>
      </w:r>
      <w:r>
        <w:t>Enhanced weathering (EW) of rocks is a proposed strategy for carbon dioxide removal (CDR) that relies on the dissolution of silicate minerals, typically basalt, applied to soils1. Globally, large-scale CDR by means of EW requires the generation of alkalinity during mineral dissolution in soils and preservation and transport of that alkalinity through groundwater and rivers to reach the ocean2,3. Although field trials and models have focused on near-surface alkalinity generation after addition of crushed rock4,5, the transmission of this alkalinity is modulated by hydrological and geochemical processes that unfold across watersheds6-8. Here we synthesize observations from natural volcanic watersheds to evaluate alkalinity export along the complete reactive pathways from soil to river. Data from basaltic catchments demonstrate attenuation of alkalinity fluxes, leading to reductions in exported alkalinity. This attenuation is probably the result of precipitation of secondary clay and carbonate minerals along subsurface flow paths and during river transport. Although natural weathering systems differ from engineered EW deployments, these observations provide an empirical baseline on watershed-scale alkalinity export. Our results indicate that critical zone processes influence the efficiency with which weathering-derived alkalinity is exported, implying the need to incorporate watershed processes into future assessments of EW CDR.</w:t>
      </w:r>
    </w:p>
    <w:p>
      <w:pPr>
        <w:spacing w:before="120" w:after="120"/>
      </w:pPr>
      <w:r>
        <w:rPr>
          <w:sz w:val="18"/>
        </w:rPr>
        <w:t>——————————————————————————————————————————————————————————————————————</w:t>
      </w:r>
    </w:p>
    <w:p>
      <w:pPr>
        <w:spacing w:before="160" w:after="40" w:line="240" w:lineRule="auto"/>
      </w:pPr>
      <w:r>
        <w:rPr>
          <w:b/>
        </w:rPr>
        <w:t xml:space="preserve">[19] </w:t>
      </w:r>
      <w:hyperlink r:id="rId508">
        <w:r>
          <w:rPr>
            <w:color w:val="1155CC"/>
            <w:u w:val="single"/>
          </w:rPr>
          <w:t>生物质碳储存应对野火和气候危机的近期地理空间机会</w:t>
        </w:r>
      </w:hyperlink>
    </w:p>
    <w:p>
      <w:pPr>
        <w:spacing w:before="0" w:after="80"/>
      </w:pPr>
      <w:r>
        <w:rPr>
          <w:i/>
          <w:sz w:val="20"/>
        </w:rPr>
        <w:t>EN: Near-term, geospatial opportunity for biomass carbon storage to address the wildfire and climate crises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509">
        <w:r>
          <w:rPr>
            <w:color w:val="1155CC"/>
            <w:u w:val="single"/>
          </w:rPr>
          <w:t>10.1126/sciadv.aee6185</w:t>
        </w:r>
      </w:hyperlink>
    </w:p>
    <w:p>
      <w:pPr>
        <w:spacing w:before="0" w:after="120"/>
      </w:pPr>
      <w:r>
        <w:rPr>
          <w:b/>
        </w:rPr>
        <w:t xml:space="preserve">Notes: </w:t>
      </w:r>
      <w:r>
        <w:t>abstract_source=crossref</w:t>
      </w:r>
    </w:p>
    <w:p>
      <w:pPr>
        <w:spacing w:before="0" w:after="80" w:lineRule="auto" w:line="276"/>
      </w:pPr>
      <w:r>
        <w:rPr>
          <w:b/>
        </w:rPr>
        <w:t xml:space="preserve">摘要（ZH）: </w:t>
      </w:r>
      <w:r>
        <w:t>气候变化和灭火正在加剧野火，促使人们采取减少燃料的处理措施，这将在短期内产生数十万吨的废弃生物质残留物。我们评估了缺氧生物质掩埋作为一种可扩展的方法来处理这些残留物的潜力，同时提供持久的碳储存。利用美国西部的地理空间水平衡模型，我们发现最小土壤覆盖厚度变化超过四个数量级，反映出强烈的场地依赖性。生命周期排放模型表明，掩埋比分解、堆烧或生物炭生产更具碳效率。尽管具有碳捕获和储存的生物能源最终会产生更大的碳效益，但基础设施要求和经济分析表明掩埋是一种更直接、更具成本效益的选择。因此，埋葬可以提供一个可扩展的、碳效率高的桥梁，有待对腐烂和储存控制的进一步研究。将生物质碳清除和储存与野火缓解林业相结合，说明了利用共同的基本目标来实现净气候和经济效益的机会。</w:t>
      </w:r>
    </w:p>
    <w:p>
      <w:pPr>
        <w:spacing w:before="0" w:after="200" w:lineRule="auto" w:line="276"/>
      </w:pPr>
      <w:r>
        <w:rPr>
          <w:b/>
        </w:rPr>
        <w:t xml:space="preserve">Abstract (EN): </w:t>
      </w:r>
      <w:r>
        <w:t>Climate change and fire suppression are intensifying wildfires, prompting fuel reduction treatments that will generate gigatonnes of waste biomass residues in the near term. We evaluate the potential for anoxic biomass burial to serve as a scalable approach to offtake these residues while simultaneously providing durable carbon storage. Using geospatial water balance modeling across the western United States, we find that minimum soil cover thickness varies over four orders of magnitude, reflecting strong site dependence. Life cycle emissions modeling indicates that burial is more carbon efficient than decomposition, pile burning, or biochar production. Although bioenergy with carbon capture and storage ultimately yields greater carbon benefits, infrastructure requirements and economic analysis indicate that burial is a more immediate, cost-effective option. Burial could thus provide a scalable, carbon-efficient bridge, pending further study of decay and storage controls. Combining biomass carbon removal and storage with wildfire mitigation forestry illustrates the opportunity to leverage shared underlying goals for net climate and economic benefit.</w:t>
      </w:r>
    </w:p>
    <w:p>
      <w:pPr>
        <w:spacing w:before="120" w:after="120"/>
      </w:pPr>
      <w:r>
        <w:rPr>
          <w:sz w:val="18"/>
        </w:rPr>
        <w:t>——————————————————————————————————————————————————————————————————————</w:t>
      </w:r>
    </w:p>
    <w:p>
      <w:pPr>
        <w:spacing w:before="160" w:after="40" w:line="240" w:lineRule="auto"/>
      </w:pPr>
      <w:r>
        <w:rPr>
          <w:b/>
        </w:rPr>
        <w:t xml:space="preserve">[20] </w:t>
      </w:r>
      <w:hyperlink r:id="rId510">
        <w:r>
          <w:rPr>
            <w:color w:val="1155CC"/>
            <w:u w:val="single"/>
          </w:rPr>
          <w:t>氢键重组激活水自由基化学，在地质相关压力下将二氧化碳转化为甲烷</w:t>
        </w:r>
      </w:hyperlink>
    </w:p>
    <w:p>
      <w:pPr>
        <w:spacing w:before="0" w:after="80"/>
      </w:pPr>
      <w:r>
        <w:rPr>
          <w:i/>
          <w:sz w:val="20"/>
        </w:rPr>
        <w:t>EN: Hydrogen bond reorganization activates water radical chemistry for CO2-to-methane conversion under geologically relevant pressures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511">
        <w:r>
          <w:rPr>
            <w:color w:val="1155CC"/>
            <w:u w:val="single"/>
          </w:rPr>
          <w:t>10.1126/sciadv.aee6105</w:t>
        </w:r>
      </w:hyperlink>
    </w:p>
    <w:p>
      <w:pPr>
        <w:spacing w:before="0" w:after="120"/>
      </w:pPr>
      <w:r>
        <w:rPr>
          <w:b/>
        </w:rPr>
        <w:t xml:space="preserve">Notes: </w:t>
      </w:r>
      <w:r>
        <w:t>abstract_source=crossref</w:t>
      </w:r>
    </w:p>
    <w:p>
      <w:pPr>
        <w:spacing w:before="0" w:after="80" w:lineRule="auto" w:line="276"/>
      </w:pPr>
      <w:r>
        <w:rPr>
          <w:b/>
        </w:rPr>
        <w:t xml:space="preserve">摘要（ZH）: </w:t>
      </w:r>
      <w:r>
        <w:t>地球浅层非生物甲烷的起源仍未解决，因为现有理论需要极端条件或催化表面。在这里，我们展示了加压碳酸氢盐水溶液（3 MPa，25°C）中的氢键重组激活了 CO 的自由基化学</w:t>
      </w:r>
      <w:r>
        <w:rPr>
          <w:vertAlign w:val="subscript"/>
        </w:rPr>
        <w:t>2</w:t>
      </w:r>
      <w:r>
        <w:t>转化为甲烷（0.6 μM，14 天）。通过电子顺磁共振（EPR）和原位拉曼光谱，我们证明压力诱导的水氢键（HB）网络重组会产生水合电子（e</w:t>
      </w:r>
      <w:r>
        <w:t xml:space="preserve"> </w:t>
      </w:r>
      <w:r>
        <w:t>-</w:t>
      </w:r>
      <w:r>
        <w:t>水</w:t>
      </w:r>
      <w:r>
        <w:t xml:space="preserve"> </w:t>
      </w:r>
      <w:r>
        <w:t>）和氢自由基（</w:t>
      </w:r>
      <w:r>
        <w:t xml:space="preserve"> </w:t>
      </w:r>
      <w:r>
        <w:t>•</w:t>
      </w:r>
      <w:r>
        <w:t xml:space="preserve"> </w:t>
      </w:r>
      <w:r>
        <w:t>H)，驱动CO</w:t>
      </w:r>
      <w:r>
        <w:rPr>
          <w:vertAlign w:val="subscript"/>
        </w:rPr>
        <w:t>2</w:t>
      </w:r>
      <w:r>
        <w:t>通过独立于矿物催化剂的溶液化学机制进行还原。这种水介导的自由基过程为地质相关条件下的非生物产甲烷提供了实验证据，从根本上重新定义了水在地下碳循环中从溶剂到氧化还原活性参与者的角色。这些发现为了解天然碳氢化合物储层和工程碳封存开辟了替代途径。</w:t>
      </w:r>
    </w:p>
    <w:p>
      <w:pPr>
        <w:spacing w:before="0" w:after="200" w:lineRule="auto" w:line="276"/>
      </w:pPr>
      <w:r>
        <w:rPr>
          <w:b/>
        </w:rPr>
        <w:t xml:space="preserve">Abstract (EN): </w:t>
      </w:r>
      <w:r>
        <w:t>The origin of abiotic methane in Earth’s shallow crust remains unresolved, as existing theories require extreme conditions or catalytic surfaces. Here we show that hydrogen bond reorganization in pressurized bicarbonate aqueous solution (3 MPa, 25°C) activates radical chemistry for CO</w:t>
      </w:r>
      <w:r>
        <w:rPr>
          <w:vertAlign w:val="subscript"/>
        </w:rPr>
        <w:t>2</w:t>
      </w:r>
      <w:r>
        <w:t>-to-methane conversion (0.6 μM for 14 days). Through electron paramagnetic resonance (EPR) and in situ Raman spectroscopy, we demonstrate that pressure-induced restructuring of water’s hydrogen bond (HB) network generates hydrated electrons (e</w:t>
      </w:r>
      <w:r>
        <w:t xml:space="preserve"> </w:t>
      </w:r>
      <w:r>
        <w:t>−</w:t>
      </w:r>
      <w:r>
        <w:t>aq</w:t>
      </w:r>
      <w:r>
        <w:t xml:space="preserve"> </w:t>
      </w:r>
      <w:r>
        <w:t>) and hydrogen radicals (</w:t>
      </w:r>
      <w:r>
        <w:t xml:space="preserve"> </w:t>
      </w:r>
      <w:r>
        <w:t>•</w:t>
      </w:r>
      <w:r>
        <w:t xml:space="preserve"> </w:t>
      </w:r>
      <w:r>
        <w:t>H), which drive CO</w:t>
      </w:r>
      <w:r>
        <w:rPr>
          <w:vertAlign w:val="subscript"/>
        </w:rPr>
        <w:t>2</w:t>
      </w:r>
      <w:r>
        <w:t>reduction via a solution-chemistry mechanism independent of mineral catalysts. This water-mediated radical process provides experimental evidence for abiotic methanogenesis under geologically relevant conditions, fundamentally redefining water’s role from solvent to redox-active participant in subsurface carbon cycling. The findings open alternative avenues for understanding natural hydrocarbon reservoirs and engineered carbon sequestration.</w:t>
      </w:r>
    </w:p>
    <w:p>
      <w:pPr>
        <w:spacing w:before="120" w:after="120"/>
      </w:pPr>
      <w:r>
        <w:rPr>
          <w:sz w:val="18"/>
        </w:rPr>
        <w:t>——————————————————————————————————————————————————————————————————————</w:t>
      </w:r>
    </w:p>
    <w:p>
      <w:pPr>
        <w:spacing w:before="160" w:after="40" w:line="240" w:lineRule="auto"/>
      </w:pPr>
      <w:r>
        <w:rPr>
          <w:b/>
        </w:rPr>
        <w:t xml:space="preserve">[21] </w:t>
      </w:r>
      <w:hyperlink r:id="rId512">
        <w:r>
          <w:rPr>
            <w:color w:val="1155CC"/>
            <w:u w:val="single"/>
          </w:rPr>
          <w:t>用于调节 CO2 电还原的同结构金属纳米团簇的掺杂工程</w:t>
        </w:r>
      </w:hyperlink>
    </w:p>
    <w:p>
      <w:pPr>
        <w:spacing w:before="0" w:after="80"/>
      </w:pPr>
      <w:r>
        <w:rPr>
          <w:i/>
          <w:sz w:val="20"/>
        </w:rPr>
        <w:t>EN: Dopant Engineering of Isostructural Metal Nanoclusters for Modulating CO2 Electroreduction</w:t>
      </w:r>
    </w:p>
    <w:p>
      <w:pPr>
        <w:spacing w:before="0" w:after="120"/>
      </w:pPr>
      <w:r>
        <w:rPr>
          <w:b/>
        </w:rPr>
        <w:t xml:space="preserve">Source: </w:t>
      </w:r>
      <w:r>
        <w:t>Wiley: Angewandte Chemie International Edition: Table of Contents</w:t>
      </w:r>
      <w:r>
        <w:t xml:space="preserve">    </w:t>
      </w:r>
      <w:r>
        <w:rPr>
          <w:b/>
        </w:rPr>
        <w:t xml:space="preserve">Pub date: </w:t>
      </w:r>
      <w:r>
        <w:t>2026-08-26 07:38:18+00:00</w:t>
      </w:r>
      <w:r>
        <w:t xml:space="preserve">    </w:t>
      </w:r>
      <w:r>
        <w:rPr>
          <w:b/>
        </w:rPr>
        <w:t xml:space="preserve">DOI: </w:t>
      </w:r>
      <w:hyperlink r:id="rId513">
        <w:r>
          <w:rPr>
            <w:color w:val="1155CC"/>
            <w:u w:val="single"/>
          </w:rPr>
          <w:t>10.1002/anie.7864662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实现对掺杂剂如何调节电催化 CO 的原子级洞察</w:t>
      </w:r>
      <w:r>
        <w:rPr>
          <w:vertAlign w:val="subscript"/>
        </w:rPr>
        <w:t>2</w:t>
      </w:r>
      <w:r>
        <w:t>还原反应（eCO</w:t>
      </w:r>
      <w:r>
        <w:rPr>
          <w:vertAlign w:val="subscript"/>
        </w:rPr>
        <w:t>2</w:t>
      </w:r>
      <w:r>
        <w:t>由于缺乏定义明确、成分可调且结构相同的模型系统，金属纳米粒子的 RR） 具有挑战性。在这里，我们报告了两种同构纳米团簇：[Au</w:t>
      </w:r>
      <w:r>
        <w:rPr>
          <w:vertAlign w:val="subscript"/>
        </w:rPr>
        <w:t>10</w:t>
      </w:r>
      <w:r>
        <w:t>银</w:t>
      </w:r>
      <w:r>
        <w:rPr>
          <w:vertAlign w:val="subscript"/>
        </w:rPr>
        <w:t>4</w:t>
      </w:r>
      <w:r>
        <w:t>（民进党）</w:t>
      </w:r>
      <w:r>
        <w:rPr>
          <w:vertAlign w:val="subscript"/>
        </w:rPr>
        <w:t>5</w:t>
      </w:r>
      <w:r>
        <w:t>氯</w:t>
      </w:r>
      <w:r>
        <w:rPr>
          <w:vertAlign w:val="subscript"/>
        </w:rPr>
        <w:t>4</w:t>
      </w:r>
      <w:r>
        <w:t>]</w:t>
      </w:r>
      <w:r>
        <w:t xml:space="preserve"> </w:t>
      </w:r>
      <w:r>
        <w:t>2+</w:t>
      </w:r>
      <w:r>
        <w:t xml:space="preserve"> </w:t>
      </w:r>
      <w:r>
        <w:t>（</w:t>
      </w:r>
      <w:r>
        <w:t xml:space="preserve"> </w:t>
      </w:r>
      <w:r>
        <w:t>金</w:t>
      </w:r>
      <w:r>
        <w:rPr>
          <w:vertAlign w:val="subscript"/>
        </w:rPr>
        <w:t>10</w:t>
      </w:r>
      <w:r>
        <w:t>银</w:t>
      </w:r>
      <w:r>
        <w:rPr>
          <w:vertAlign w:val="subscript"/>
        </w:rPr>
        <w:t>4</w:t>
      </w:r>
      <w:r>
        <w:t xml:space="preserve"> </w:t>
      </w:r>
      <w:r>
        <w:t>）和[金</w:t>
      </w:r>
      <w:r>
        <w:rPr>
          <w:vertAlign w:val="subscript"/>
        </w:rPr>
        <w:t>9</w:t>
      </w:r>
      <w:r>
        <w:t>银</w:t>
      </w:r>
      <w:r>
        <w:rPr>
          <w:vertAlign w:val="subscript"/>
        </w:rPr>
        <w:t>2</w:t>
      </w:r>
      <w:r>
        <w:t>铜</w:t>
      </w:r>
      <w:r>
        <w:rPr>
          <w:vertAlign w:val="subscript"/>
        </w:rPr>
        <w:t>3</w:t>
      </w:r>
      <w:r>
        <w:t>（民进党）</w:t>
      </w:r>
      <w:r>
        <w:rPr>
          <w:vertAlign w:val="subscript"/>
        </w:rPr>
        <w:t>5</w:t>
      </w:r>
      <w:r>
        <w:t>氯</w:t>
      </w:r>
      <w:r>
        <w:rPr>
          <w:vertAlign w:val="subscript"/>
        </w:rPr>
        <w:t>4</w:t>
      </w:r>
      <w:r>
        <w:t>]</w:t>
      </w:r>
      <w:r>
        <w:t xml:space="preserve"> </w:t>
      </w:r>
      <w:r>
        <w:t>2+</w:t>
      </w:r>
      <w:r>
        <w:t xml:space="preserve"> </w:t>
      </w:r>
      <w:r>
        <w:t>（</w:t>
      </w:r>
      <w:r>
        <w:t xml:space="preserve"> </w:t>
      </w:r>
      <w:r>
        <w:t>金</w:t>
      </w:r>
      <w:r>
        <w:rPr>
          <w:vertAlign w:val="subscript"/>
        </w:rPr>
        <w:t>9</w:t>
      </w:r>
      <w:r>
        <w:t>银</w:t>
      </w:r>
      <w:r>
        <w:rPr>
          <w:vertAlign w:val="subscript"/>
        </w:rPr>
        <w:t>2</w:t>
      </w:r>
      <w:r>
        <w:t>铜</w:t>
      </w:r>
      <w:r>
        <w:rPr>
          <w:vertAlign w:val="subscript"/>
        </w:rPr>
        <w:t>3</w:t>
      </w:r>
      <w:r>
        <w:t xml:space="preserve"> </w:t>
      </w:r>
      <w:r>
        <w:t>），仅金属成分不同（Au─Ag 与 Au─Ag─Cu）。与同构单金属 [Au</w:t>
      </w:r>
      <w:r>
        <w:rPr>
          <w:vertAlign w:val="subscript"/>
        </w:rPr>
        <w:t>14</w:t>
      </w:r>
      <w:r>
        <w:t>（民进党）</w:t>
      </w:r>
      <w:r>
        <w:rPr>
          <w:vertAlign w:val="subscript"/>
        </w:rPr>
        <w:t>5</w:t>
      </w:r>
      <w:r>
        <w:t>溴</w:t>
      </w:r>
      <w:r>
        <w:rPr>
          <w:vertAlign w:val="subscript"/>
        </w:rPr>
        <w:t>4</w:t>
      </w:r>
      <w:r>
        <w:t>]</w:t>
      </w:r>
      <w:r>
        <w:t xml:space="preserve"> </w:t>
      </w:r>
      <w:r>
        <w:t>2+</w:t>
      </w:r>
    </w:p>
    <w:p>
      <w:pPr>
        <w:spacing w:before="0" w:after="200" w:lineRule="auto" w:line="276"/>
      </w:pPr>
      <w:r>
        <w:rPr>
          <w:b/>
        </w:rPr>
        <w:t xml:space="preserve">Abstract (EN): </w:t>
      </w:r>
      <w:r>
        <w:t>Achieving atomic‐level insight into how dopants regulate the electrocatalytic CO</w:t>
      </w:r>
      <w:r>
        <w:rPr>
          <w:vertAlign w:val="subscript"/>
        </w:rPr>
        <w:t>2</w:t>
      </w:r>
      <w:r>
        <w:t>reduction reaction (eCO</w:t>
      </w:r>
      <w:r>
        <w:rPr>
          <w:vertAlign w:val="subscript"/>
        </w:rPr>
        <w:t>2</w:t>
      </w:r>
      <w:r>
        <w:t>RR) of metal nanoparticles is challenging due to the lack of well‐defined, compositionally tunable, and structurally identical model systems. Herein, we report two isostructural nanoclusters: [Au</w:t>
      </w:r>
      <w:r>
        <w:rPr>
          <w:vertAlign w:val="subscript"/>
        </w:rPr>
        <w:t>10</w:t>
      </w:r>
      <w:r>
        <w:t>Ag</w:t>
      </w:r>
      <w:r>
        <w:rPr>
          <w:vertAlign w:val="subscript"/>
        </w:rPr>
        <w:t>4</w:t>
      </w:r>
      <w:r>
        <w:t>(DPPP)</w:t>
      </w:r>
      <w:r>
        <w:rPr>
          <w:vertAlign w:val="subscript"/>
        </w:rPr>
        <w:t>5</w:t>
      </w:r>
      <w:r>
        <w:t>Cl</w:t>
      </w:r>
      <w:r>
        <w:rPr>
          <w:vertAlign w:val="subscript"/>
        </w:rPr>
        <w:t>4</w:t>
      </w:r>
      <w:r>
        <w:t>]</w:t>
      </w:r>
      <w:r>
        <w:t xml:space="preserve"> </w:t>
      </w:r>
      <w:r>
        <w:t>2+</w:t>
      </w:r>
      <w:r>
        <w:t xml:space="preserve"> </w:t>
      </w:r>
      <w:r>
        <w:t>(</w:t>
      </w:r>
      <w:r>
        <w:t xml:space="preserve"> </w:t>
      </w:r>
      <w:r>
        <w:t>Au</w:t>
      </w:r>
      <w:r>
        <w:rPr>
          <w:vertAlign w:val="subscript"/>
        </w:rPr>
        <w:t>10</w:t>
      </w:r>
      <w:r>
        <w:t>Ag</w:t>
      </w:r>
      <w:r>
        <w:rPr>
          <w:vertAlign w:val="subscript"/>
        </w:rPr>
        <w:t>4</w:t>
      </w:r>
      <w:r>
        <w:t xml:space="preserve"> </w:t>
      </w:r>
      <w:r>
        <w:t>) and [Au</w:t>
      </w:r>
      <w:r>
        <w:rPr>
          <w:vertAlign w:val="subscript"/>
        </w:rPr>
        <w:t>9</w:t>
      </w:r>
      <w:r>
        <w:t>Ag</w:t>
      </w:r>
      <w:r>
        <w:rPr>
          <w:vertAlign w:val="subscript"/>
        </w:rPr>
        <w:t>2</w:t>
      </w:r>
      <w:r>
        <w:t>Cu</w:t>
      </w:r>
      <w:r>
        <w:rPr>
          <w:vertAlign w:val="subscript"/>
        </w:rPr>
        <w:t>3</w:t>
      </w:r>
      <w:r>
        <w:t>(DPPP)</w:t>
      </w:r>
      <w:r>
        <w:rPr>
          <w:vertAlign w:val="subscript"/>
        </w:rPr>
        <w:t>5</w:t>
      </w:r>
      <w:r>
        <w:t>Cl</w:t>
      </w:r>
      <w:r>
        <w:rPr>
          <w:vertAlign w:val="subscript"/>
        </w:rPr>
        <w:t>4</w:t>
      </w:r>
      <w:r>
        <w:t>]</w:t>
      </w:r>
      <w:r>
        <w:t xml:space="preserve"> </w:t>
      </w:r>
      <w:r>
        <w:t>2+</w:t>
      </w:r>
      <w:r>
        <w:t xml:space="preserve"> </w:t>
      </w:r>
      <w:r>
        <w:t>(</w:t>
      </w:r>
      <w:r>
        <w:t xml:space="preserve"> </w:t>
      </w:r>
      <w:r>
        <w:t>Au</w:t>
      </w:r>
      <w:r>
        <w:rPr>
          <w:vertAlign w:val="subscript"/>
        </w:rPr>
        <w:t>9</w:t>
      </w:r>
      <w:r>
        <w:t>Ag</w:t>
      </w:r>
      <w:r>
        <w:rPr>
          <w:vertAlign w:val="subscript"/>
        </w:rPr>
        <w:t>2</w:t>
      </w:r>
      <w:r>
        <w:t>Cu</w:t>
      </w:r>
      <w:r>
        <w:rPr>
          <w:vertAlign w:val="subscript"/>
        </w:rPr>
        <w:t>3</w:t>
      </w:r>
      <w:r>
        <w:t xml:space="preserve"> </w:t>
      </w:r>
      <w:r>
        <w:t>), which differ only in metal composition (Au─Ag vs. Au─Ag─Cu). Together with the isostructural monometallic [Au</w:t>
      </w:r>
      <w:r>
        <w:rPr>
          <w:vertAlign w:val="subscript"/>
        </w:rPr>
        <w:t>14</w:t>
      </w:r>
      <w:r>
        <w:t>(DPPP)</w:t>
      </w:r>
      <w:r>
        <w:rPr>
          <w:vertAlign w:val="subscript"/>
        </w:rPr>
        <w:t>5</w:t>
      </w:r>
      <w:r>
        <w:t>Br</w:t>
      </w:r>
      <w:r>
        <w:rPr>
          <w:vertAlign w:val="subscript"/>
        </w:rPr>
        <w:t>4</w:t>
      </w:r>
      <w:r>
        <w:t>]</w:t>
      </w:r>
      <w:r>
        <w:t xml:space="preserve"> </w:t>
      </w:r>
      <w:r>
        <w:t>2+</w:t>
      </w:r>
      <w:r>
        <w:t xml:space="preserve"> </w:t>
      </w:r>
      <w:r>
        <w:t>(</w:t>
      </w:r>
      <w:r>
        <w:t xml:space="preserve"> </w:t>
      </w:r>
      <w:r>
        <w:t>Au</w:t>
      </w:r>
      <w:r>
        <w:rPr>
          <w:vertAlign w:val="subscript"/>
        </w:rPr>
        <w:t>14</w:t>
      </w:r>
      <w:r>
        <w:t xml:space="preserve"> </w:t>
      </w:r>
      <w:r>
        <w:t>), they serve as ideal platforms to elucidate dopant effects on eCO</w:t>
      </w:r>
      <w:r>
        <w:rPr>
          <w:vertAlign w:val="subscript"/>
        </w:rPr>
        <w:t>2</w:t>
      </w:r>
      <w:r>
        <w:t>RR. Electrochemical studies reveal that Ag doping (</w:t>
      </w:r>
      <w:r>
        <w:t xml:space="preserve"> </w:t>
      </w:r>
      <w:r>
        <w:t>Au</w:t>
      </w:r>
      <w:r>
        <w:rPr>
          <w:vertAlign w:val="subscript"/>
        </w:rPr>
        <w:t>10</w:t>
      </w:r>
      <w:r>
        <w:t>Ag</w:t>
      </w:r>
      <w:r>
        <w:rPr>
          <w:vertAlign w:val="subscript"/>
        </w:rPr>
        <w:t>4</w:t>
      </w:r>
      <w:r>
        <w:t xml:space="preserve"> </w:t>
      </w:r>
      <w:r>
        <w:t>) suppresses both CO selectivity and activity of</w:t>
      </w:r>
      <w:r>
        <w:t xml:space="preserve"> </w:t>
      </w:r>
      <w:r>
        <w:t>Au</w:t>
      </w:r>
      <w:r>
        <w:rPr>
          <w:vertAlign w:val="subscript"/>
        </w:rPr>
        <w:t>14</w:t>
      </w:r>
      <w:r>
        <w:t xml:space="preserve"> </w:t>
      </w:r>
      <w:r>
        <w:t>, whereas further Cu incorporation (</w:t>
      </w:r>
      <w:r>
        <w:t xml:space="preserve"> </w:t>
      </w:r>
      <w:r>
        <w:t>Au</w:t>
      </w:r>
      <w:r>
        <w:rPr>
          <w:vertAlign w:val="subscript"/>
        </w:rPr>
        <w:t>9</w:t>
      </w:r>
      <w:r>
        <w:t>Ag</w:t>
      </w:r>
      <w:r>
        <w:rPr>
          <w:vertAlign w:val="subscript"/>
        </w:rPr>
        <w:t>2</w:t>
      </w:r>
      <w:r>
        <w:t>Cu</w:t>
      </w:r>
      <w:r>
        <w:rPr>
          <w:vertAlign w:val="subscript"/>
        </w:rPr>
        <w:t>3</w:t>
      </w:r>
      <w:r>
        <w:t xml:space="preserve"> </w:t>
      </w:r>
      <w:r>
        <w:t>) not only enhances these metrics relative to</w:t>
      </w:r>
      <w:r>
        <w:t xml:space="preserve"> </w:t>
      </w:r>
      <w:r>
        <w:t>Au</w:t>
      </w:r>
      <w:r>
        <w:rPr>
          <w:vertAlign w:val="subscript"/>
        </w:rPr>
        <w:t>10</w:t>
      </w:r>
      <w:r>
        <w:t>Ag</w:t>
      </w:r>
      <w:r>
        <w:rPr>
          <w:vertAlign w:val="subscript"/>
        </w:rPr>
        <w:t>4</w:t>
      </w:r>
      <w:r>
        <w:t xml:space="preserve"> </w:t>
      </w:r>
      <w:r>
        <w:t>but also surpasses</w:t>
      </w:r>
      <w:r>
        <w:t xml:space="preserve"> </w:t>
      </w:r>
      <w:r>
        <w:t>Au</w:t>
      </w:r>
      <w:r>
        <w:rPr>
          <w:vertAlign w:val="subscript"/>
        </w:rPr>
        <w:t>14</w:t>
      </w:r>
      <w:r>
        <w:t xml:space="preserve"> </w:t>
      </w:r>
      <w:r>
        <w:t>. Specifically,</w:t>
      </w:r>
      <w:r>
        <w:t xml:space="preserve"> </w:t>
      </w:r>
      <w:r>
        <w:t>Au</w:t>
      </w:r>
      <w:r>
        <w:rPr>
          <w:vertAlign w:val="subscript"/>
        </w:rPr>
        <w:t>9</w:t>
      </w:r>
      <w:r>
        <w:t>Ag</w:t>
      </w:r>
      <w:r>
        <w:rPr>
          <w:vertAlign w:val="subscript"/>
        </w:rPr>
        <w:t>2</w:t>
      </w:r>
      <w:r>
        <w:t>Cu</w:t>
      </w:r>
      <w:r>
        <w:rPr>
          <w:vertAlign w:val="subscript"/>
        </w:rPr>
        <w:t>3</w:t>
      </w:r>
      <w:r>
        <w:t xml:space="preserve"> </w:t>
      </w:r>
      <w:r>
        <w:t>exhibits an enhanced CO Faradaic efficiency (FE</w:t>
      </w:r>
      <w:r>
        <w:t xml:space="preserve"> </w:t>
      </w:r>
      <w:r>
        <w:t>CO</w:t>
      </w:r>
      <w:r>
        <w:t xml:space="preserve"> </w:t>
      </w:r>
      <w:r>
        <w:t>, 73.7%−95.5%), exceeding that of</w:t>
      </w:r>
      <w:r>
        <w:t xml:space="preserve"> </w:t>
      </w:r>
      <w:r>
        <w:t>Au</w:t>
      </w:r>
      <w:r>
        <w:rPr>
          <w:vertAlign w:val="subscript"/>
        </w:rPr>
        <w:t>14</w:t>
      </w:r>
      <w:r>
        <w:t xml:space="preserve"> </w:t>
      </w:r>
      <w:r>
        <w:t>(63.6%−95.0%) and</w:t>
      </w:r>
      <w:r>
        <w:t xml:space="preserve"> </w:t>
      </w:r>
      <w:r>
        <w:t>Au</w:t>
      </w:r>
      <w:r>
        <w:rPr>
          <w:vertAlign w:val="subscript"/>
        </w:rPr>
        <w:t>10</w:t>
      </w:r>
      <w:r>
        <w:t>Ag</w:t>
      </w:r>
      <w:r>
        <w:rPr>
          <w:vertAlign w:val="subscript"/>
        </w:rPr>
        <w:t>4</w:t>
      </w:r>
      <w:r>
        <w:t xml:space="preserve"> </w:t>
      </w:r>
      <w:r>
        <w:t>(66.2%−79.5%), and its CO partial current densities were improved by 1.5‐ and 2.6‐fold compared to those of</w:t>
      </w:r>
      <w:r>
        <w:t xml:space="preserve"> </w:t>
      </w:r>
      <w:r>
        <w:t>Au</w:t>
      </w:r>
      <w:r>
        <w:rPr>
          <w:vertAlign w:val="subscript"/>
        </w:rPr>
        <w:t>14</w:t>
      </w:r>
      <w:r>
        <w:t xml:space="preserve"> </w:t>
      </w:r>
      <w:r>
        <w:t>and</w:t>
      </w:r>
      <w:r>
        <w:t xml:space="preserve"> </w:t>
      </w:r>
      <w:r>
        <w:t>Au</w:t>
      </w:r>
      <w:r>
        <w:rPr>
          <w:vertAlign w:val="subscript"/>
        </w:rPr>
        <w:t>10</w:t>
      </w:r>
      <w:r>
        <w:t>Ag</w:t>
      </w:r>
      <w:r>
        <w:rPr>
          <w:vertAlign w:val="subscript"/>
        </w:rPr>
        <w:t>4</w:t>
      </w:r>
      <w:r>
        <w:t xml:space="preserve"> </w:t>
      </w:r>
      <w:r>
        <w:t>, respectively. Theoretical calculations and in situ experiments reveal that Ag─Cu co‐doping lowers the energy barrier for</w:t>
      </w:r>
      <w:r>
        <w:t xml:space="preserve"> </w:t>
      </w:r>
      <w:r>
        <w:t>*</w:t>
      </w:r>
      <w:r>
        <w:t xml:space="preserve"> </w:t>
      </w:r>
      <w:r>
        <w:t>COOH formation and weakens CO binding, promoting CO</w:t>
      </w:r>
      <w:r>
        <w:rPr>
          <w:vertAlign w:val="subscript"/>
        </w:rPr>
        <w:t>2</w:t>
      </w:r>
      <w:r>
        <w:t>‐to‐CO conversion. In contrast, Ag doping alone raises the energy barrier for</w:t>
      </w:r>
      <w:r>
        <w:t xml:space="preserve"> </w:t>
      </w:r>
      <w:r>
        <w:t>*</w:t>
      </w:r>
      <w:r>
        <w:t xml:space="preserve"> </w:t>
      </w:r>
      <w:r>
        <w:t>COOH formation and impedes CO desorption, diminishing catalytic activity. These findings provide atomistic insights into dopant‐regulated eCO</w:t>
      </w:r>
      <w:r>
        <w:rPr>
          <w:vertAlign w:val="subscript"/>
        </w:rPr>
        <w:t>2</w:t>
      </w:r>
      <w:r>
        <w:t>RR and inspire the rational design of advanced alloy electrocatalysts.</w:t>
      </w:r>
    </w:p>
    <w:p>
      <w:pPr>
        <w:spacing w:before="120" w:after="120"/>
      </w:pPr>
      <w:r>
        <w:rPr>
          <w:sz w:val="18"/>
        </w:rPr>
        <w:t>——————————————————————————————————————————————————————————————————————</w:t>
      </w:r>
    </w:p>
    <w:p>
      <w:pPr>
        <w:spacing w:before="160" w:after="120"/>
      </w:pPr>
      <w:r>
        <w:rPr>
          <w:b/>
          <w:sz w:val="28"/>
        </w:rPr>
        <w:t>【海底采矿】</w:t>
      </w:r>
    </w:p>
    <w:p>
      <w:pPr>
        <w:spacing w:before="160" w:after="40" w:line="240" w:lineRule="auto"/>
      </w:pPr>
      <w:r>
        <w:rPr>
          <w:b/>
        </w:rPr>
        <w:t xml:space="preserve">[1] </w:t>
      </w:r>
      <w:hyperlink r:id="rId514">
        <w:r>
          <w:rPr>
            <w:color w:val="1155CC"/>
            <w:u w:val="single"/>
          </w:rPr>
          <w:t>深海采矿超越了科学和法律</w:t>
        </w:r>
      </w:hyperlink>
    </w:p>
    <w:p>
      <w:pPr>
        <w:spacing w:before="0" w:after="80"/>
      </w:pPr>
      <w:r>
        <w:rPr>
          <w:i/>
          <w:sz w:val="20"/>
        </w:rPr>
        <w:t>EN: Deep-sea mining outpaces both science and law</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515">
        <w:r>
          <w:rPr>
            <w:color w:val="1155CC"/>
            <w:u w:val="single"/>
          </w:rPr>
          <w:t>10.1126/science.aek5038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516">
        <w:r>
          <w:rPr>
            <w:color w:val="1155CC"/>
            <w:u w:val="single"/>
          </w:rPr>
          <w:t>使用废弃氯化溶剂进行可见光触发的聚丙烯和聚对苯二甲酸乙二醇酯的联合升级回收</w:t>
        </w:r>
      </w:hyperlink>
    </w:p>
    <w:p>
      <w:pPr>
        <w:spacing w:before="0" w:after="80"/>
      </w:pPr>
      <w:r>
        <w:rPr>
          <w:i/>
          <w:sz w:val="20"/>
        </w:rPr>
        <w:t>EN: Visible light–triggered co-upcycling of polypropylene and polyethylene terephthalate using waste chlorinated solvents</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混合塑料的化学不相容性对其循环性构成了根本障碍。聚丙烯 (PP) 和聚对苯二甲酸乙二醇酯 (PET) 属于产量最高的聚烯烃和聚酯，由于结构和稳定性不同，因此很难一起加工。在这里，我们展示了一种协同光诱导策略，通过利用废弃氯化溶剂作为可持续的氯自由基源，同时将两种聚合物转化为有价值的产品。在可见光照射下，这些废弃溶剂原位产生的氯自由基选择性地从 PP 中提取叔氢，引发氧介导的断链，产生末端甲基酮功能化的低分子量聚丙烯 (OPP)，这种材料具有很强的热熔粘合剂性能。在此过程中释放的氯化氢同时驱动 PET 与 1,2-二氯乙烷有效解聚成对苯二甲酸。这种耦合反应不仅能够实现混合塑料废物的兼容增值，而且还将危险的氯化溶剂升级为功能性试剂，建立了三重废物增值范例，具有进一步扩大规模和流程优化可持续材料管理的潜力。</w:t>
      </w:r>
    </w:p>
    <w:p>
      <w:pPr>
        <w:spacing w:before="0" w:after="200" w:lineRule="auto" w:line="276"/>
      </w:pPr>
      <w:r>
        <w:rPr>
          <w:b/>
        </w:rPr>
        <w:t xml:space="preserve">Abstract (EN): </w:t>
      </w:r>
      <w:r>
        <w:t>The chemical incompatibility of mixed plastics poses a fundamental barrier to their circularity. Polypropylene (PP) and polyethylene terephthalate (PET), among the highest-volume manufactured polyolefin and polyester, are particularly difficult to process together due to their divergent structures and stabilities. Here, we demonstrate a synergistic photo-induced strategy that concurrently converts both polymers into valuable products by employing waste chlorinated solvents as a sustainable chlorine radical source. Under visible-light irradiation, chlorine radicals generated in situ from these discarded solvents selectively abstract tertiary hydrogens from PP, triggering an oxygen-mediated chain scission that produces terminal methyl ketone-functionalized polypropylene with lower-molecular-weight (OPP)—a material exhibiting strong performance as a hot-melt adhesive. The hydrogen chloride released during this process simultaneously drives efficient PET depolymerization into terephthalic acid with 1,2-dichloroethane. This coupled reaction not only enables compatible valorization of mixed plastic waste but also upgrades hazardous chlorinated solvents into functional reagents, establishing a triple-waste valorization paradigm with potential for further scale-up and process optimization for sustainable materials management.</w:t>
      </w:r>
    </w:p>
    <w:p>
      <w:pPr>
        <w:spacing w:before="120" w:after="120"/>
      </w:pPr>
      <w:r>
        <w:rPr>
          <w:sz w:val="18"/>
        </w:rPr>
        <w:t>——————————————————————————————————————————————————————————————————————</w:t>
      </w:r>
    </w:p>
    <w:p>
      <w:pPr>
        <w:spacing w:before="160" w:after="40" w:line="240" w:lineRule="auto"/>
      </w:pPr>
      <w:r>
        <w:rPr>
          <w:b/>
        </w:rPr>
        <w:t xml:space="preserve">[2] </w:t>
      </w:r>
      <w:hyperlink r:id="rId517">
        <w:r>
          <w:rPr>
            <w:color w:val="1155CC"/>
            <w:u w:val="single"/>
          </w:rPr>
          <w:t>三官能动态交联剂增强聚合物混合物的机械回收</w:t>
        </w:r>
      </w:hyperlink>
    </w:p>
    <w:p>
      <w:pPr>
        <w:spacing w:before="0" w:after="80"/>
      </w:pPr>
      <w:r>
        <w:rPr>
          <w:i/>
          <w:sz w:val="20"/>
        </w:rPr>
        <w:t>EN: Enhanced Mechanical Recycling of Polymer Mixtures by a Trifunctional Dynamic Crosslinker</w:t>
      </w:r>
    </w:p>
    <w:p>
      <w:pPr>
        <w:spacing w:before="0" w:after="120"/>
      </w:pPr>
      <w:r>
        <w:rPr>
          <w:b/>
        </w:rPr>
        <w:t xml:space="preserve">Source: </w:t>
      </w:r>
      <w:r>
        <w:t>Wiley: Advanced Materials: Table of Contents</w:t>
      </w:r>
      <w:r>
        <w:t xml:space="preserve">    </w:t>
      </w:r>
      <w:r>
        <w:rPr>
          <w:b/>
        </w:rPr>
        <w:t xml:space="preserve">Pub date: </w:t>
      </w:r>
      <w:r>
        <w:t>2026-08-22 16:16:01+00:00</w:t>
      </w:r>
      <w:r>
        <w:t xml:space="preserve">    </w:t>
      </w:r>
      <w:r>
        <w:rPr>
          <w:b/>
        </w:rPr>
        <w:t xml:space="preserve">DOI: </w:t>
      </w:r>
      <w:hyperlink r:id="rId518">
        <w:r>
          <w:rPr>
            <w:color w:val="1155CC"/>
            <w:u w:val="single"/>
          </w:rPr>
          <w:t>10.1002/adma.74752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混合的消费后非极性/极性聚合物的极性不匹配和固有的不混溶性，机械回收通常是产生脆性材料的降级回收过程。动态交联剂（DC）平台是一种新兴方法，可以增强将此类混合物回收为动态交联的高性能热固性材料的能力；然而，当前的 DC 通常需要外部催化剂，并且由于其峰值活化温度不够高（</w:t>
      </w:r>
      <w:r>
        <w:t xml:space="preserve"> </w:t>
      </w:r>
      <w:r>
        <w:t>时间</w:t>
      </w:r>
      <w:r>
        <w:t xml:space="preserve"> </w:t>
      </w:r>
      <w:r>
        <w:t>一个</w:t>
      </w:r>
      <w:r>
        <w:t xml:space="preserve"> </w:t>
      </w:r>
      <w:r>
        <w:t>&lt;190°C），仅限于适用聚合物的子集，不适合高熔融温度的工业熔融挤出加工（</w:t>
      </w:r>
      <w:r>
        <w:t xml:space="preserve"> </w:t>
      </w:r>
      <w:r>
        <w:t>时间</w:t>
      </w:r>
      <w:r>
        <w:t xml:space="preserve"> </w:t>
      </w:r>
      <w:r>
        <w:t>米</w:t>
      </w:r>
      <w:r>
        <w:t xml:space="preserve"> </w:t>
      </w:r>
      <w:r>
        <w:t>）聚合物。在此，我们报告了一种三功能 DC，它具有三种广受追捧的特性：耐热吡啶并三唑核心作为高</w:t>
      </w:r>
      <w:r>
        <w:t xml:space="preserve"> </w:t>
      </w:r>
      <w:r>
        <w:t>时间</w:t>
      </w:r>
      <w:r>
        <w:t xml:space="preserve"> </w:t>
      </w:r>
      <w:r>
        <w:t>一个</w:t>
      </w:r>
      <w:r>
        <w:t xml:space="preserve"> </w:t>
      </w:r>
      <w:r>
        <w:t>(245°C) 交联位点与高达 270°C 的反应挤出兼容；动态硅氧烷键作为坚固且可交换的键；和吡啶/酯官能团作为内部催化位点，无需外部催化剂。总的来说，这种自催化的、高</w:t>
      </w:r>
      <w:r>
        <w:t xml:space="preserve"> </w:t>
      </w:r>
      <w:r>
        <w:t>时间</w:t>
      </w:r>
      <w:r>
        <w:t xml:space="preserve"> </w:t>
      </w:r>
      <w:r>
        <w:t>一个</w:t>
      </w:r>
      <w:r>
        <w:t xml:space="preserve"> </w:t>
      </w:r>
      <w:r>
        <w:t>DC可以增容含有高含量的废塑料混合物</w:t>
      </w:r>
      <w:r>
        <w:t xml:space="preserve"> </w:t>
      </w:r>
      <w:r>
        <w:t>时间</w:t>
      </w:r>
      <w:r>
        <w:t xml:space="preserve"> </w:t>
      </w:r>
      <w:r>
        <w:t>米</w:t>
      </w:r>
      <w:r>
        <w:t xml:space="preserve"> </w:t>
      </w:r>
      <w:r>
        <w:t>聚合物并赋予回收混合物优异的热固性性能，例如增强的抗蠕变性和热机械性能</w:t>
      </w:r>
    </w:p>
    <w:p>
      <w:pPr>
        <w:spacing w:before="0" w:after="200" w:lineRule="auto" w:line="276"/>
      </w:pPr>
      <w:r>
        <w:rPr>
          <w:b/>
        </w:rPr>
        <w:t xml:space="preserve">Abstract (EN): </w:t>
      </w:r>
      <w:r>
        <w:t>Mechanical recycling of mixed post‐consumer apolar/polar polymers, due to their mis‐matched polarity and inherent immiscibility, is typically a downcycling process yielding brittle materials. An emerging method that can enhance recycling of such mixtures into dynamically crosslinked, high‐performance thermosets is a dynamic crosslinker (DC) platform; however, current DCs typically require an external catalyst and, due to their insufficiently high peak activation temperature (</w:t>
      </w:r>
      <w:r>
        <w:t xml:space="preserve"> </w:t>
      </w:r>
      <w:r>
        <w:t>T</w:t>
      </w:r>
      <w:r>
        <w:t xml:space="preserve"> </w:t>
      </w:r>
      <w:r>
        <w:t>a</w:t>
      </w:r>
      <w:r>
        <w:t xml:space="preserve"> </w:t>
      </w:r>
      <w:r>
        <w:t>&amp;lt;190°C), are limited to a subset of applicable polymers and unsuitable for industrial melt‐extrusion processing of high melting temperature (</w:t>
      </w:r>
      <w:r>
        <w:t xml:space="preserve"> </w:t>
      </w:r>
      <w:r>
        <w:t>T</w:t>
      </w:r>
      <w:r>
        <w:t xml:space="preserve"> </w:t>
      </w:r>
      <w:r>
        <w:t>m</w:t>
      </w:r>
      <w:r>
        <w:t xml:space="preserve"> </w:t>
      </w:r>
      <w:r>
        <w:t>) polymers. Herein, we report a trifunctional DC incorporating three sought‐after properties: thermally robust pyridotriazole cores as the high‐</w:t>
      </w:r>
      <w:r>
        <w:t xml:space="preserve"> </w:t>
      </w:r>
      <w:r>
        <w:t>T</w:t>
      </w:r>
      <w:r>
        <w:t xml:space="preserve"> </w:t>
      </w:r>
      <w:r>
        <w:t>a</w:t>
      </w:r>
      <w:r>
        <w:t xml:space="preserve"> </w:t>
      </w:r>
      <w:r>
        <w:t>(245°C) crosslinking sites compatible with reactive extrusion up to 270°C; dynamic siloxane linkages as the robust yet exchangeable bonds; and pyridine/ester functionalities as the internal catalysis sites devoid of external catalysts. Overall, this self‐catalyzed, high‐</w:t>
      </w:r>
      <w:r>
        <w:t xml:space="preserve"> </w:t>
      </w:r>
      <w:r>
        <w:t>T</w:t>
      </w:r>
      <w:r>
        <w:t xml:space="preserve"> </w:t>
      </w:r>
      <w:r>
        <w:t>a</w:t>
      </w:r>
      <w:r>
        <w:t xml:space="preserve"> </w:t>
      </w:r>
      <w:r>
        <w:t>DC can compatibilize waste plastic mixtures containing high</w:t>
      </w:r>
      <w:r>
        <w:t xml:space="preserve"> </w:t>
      </w:r>
      <w:r>
        <w:t>T</w:t>
      </w:r>
      <w:r>
        <w:t xml:space="preserve"> </w:t>
      </w:r>
      <w:r>
        <w:t>m</w:t>
      </w:r>
      <w:r>
        <w:t xml:space="preserve"> </w:t>
      </w:r>
      <w:r>
        <w:t>polymers and impart the recycled mixtures with superior thermoset properties such as enhanced creep resistance and thermomechanical stability while being melt‐(re)processable.</w:t>
      </w:r>
    </w:p>
    <w:p>
      <w:pPr>
        <w:spacing w:before="120" w:after="120"/>
      </w:pPr>
      <w:r>
        <w:rPr>
          <w:sz w:val="18"/>
        </w:rPr>
        <w:t>——————————————————————————————————————————————————————————————————————</w:t>
      </w:r>
    </w:p>
    <w:p>
      <w:pPr>
        <w:spacing w:before="160" w:after="40" w:line="240" w:lineRule="auto"/>
      </w:pPr>
      <w:r>
        <w:rPr>
          <w:b/>
        </w:rPr>
        <w:t xml:space="preserve">[3] </w:t>
      </w:r>
      <w:hyperlink r:id="rId519">
        <w:r>
          <w:rPr>
            <w:color w:val="1155CC"/>
            <w:u w:val="single"/>
          </w:rPr>
          <w:t>弗里德尔-克拉夫茨条件下钛催化聚氟乙烯和聚偏二氟乙烯脱氟</w:t>
        </w:r>
      </w:hyperlink>
    </w:p>
    <w:p>
      <w:pPr>
        <w:spacing w:before="0" w:after="80"/>
      </w:pPr>
      <w:r>
        <w:rPr>
          <w:i/>
          <w:sz w:val="20"/>
        </w:rPr>
        <w:t>EN: Titanium‐Catalyzed Defluorination of Poly(Vinyl Fluoride) and Poly(Vinylidene Fluoride) Under Friedel–Crafts Conditions</w:t>
      </w:r>
    </w:p>
    <w:p>
      <w:pPr>
        <w:spacing w:before="0" w:after="120"/>
      </w:pPr>
      <w:r>
        <w:rPr>
          <w:b/>
        </w:rPr>
        <w:t xml:space="preserve">Source: </w:t>
      </w:r>
      <w:r>
        <w:t>Wiley: Angewandte Chemie International Edition: Table of Contents</w:t>
      </w:r>
      <w:r>
        <w:t xml:space="preserve">    </w:t>
      </w:r>
      <w:r>
        <w:rPr>
          <w:b/>
        </w:rPr>
        <w:t xml:space="preserve">Pub date: </w:t>
      </w:r>
      <w:r>
        <w:t>2026-08-23 17:46:50+00:00</w:t>
      </w:r>
      <w:r>
        <w:t xml:space="preserve">    </w:t>
      </w:r>
      <w:r>
        <w:rPr>
          <w:b/>
        </w:rPr>
        <w:t xml:space="preserve">DOI: </w:t>
      </w:r>
      <w:hyperlink r:id="rId520">
        <w:r>
          <w:rPr>
            <w:color w:val="1155CC"/>
            <w:u w:val="single"/>
          </w:rPr>
          <w:t>10.1002/anie.4183926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三乙基硅烷 (Et) 存在下钛物质催化聚氟乙烯 (PVF) 和聚偏二氟乙烯 (PVDF) 含氟聚合物的脱氟</w:t>
      </w:r>
      <w:r>
        <w:rPr>
          <w:vertAlign w:val="subscript"/>
        </w:rPr>
        <w:t>3</w:t>
      </w:r>
      <w:r>
        <w:t>据报道，SiH)和芳香族溶剂。市售钛配合物（例如，[Cp</w:t>
      </w:r>
      <w:r>
        <w:rPr>
          <w:vertAlign w:val="subscript"/>
        </w:rPr>
        <w:t>2</w:t>
      </w:r>
      <w:r>
        <w:t>氯化钛</w:t>
      </w:r>
      <w:r>
        <w:rPr>
          <w:vertAlign w:val="subscript"/>
        </w:rPr>
        <w:t>2</w:t>
      </w:r>
      <w:r>
        <w:t>](</w:t>
      </w:r>
      <w:r>
        <w:t xml:space="preserve"> </w:t>
      </w:r>
      <w:r>
        <w:t>钛</w:t>
      </w:r>
      <w:r>
        <w:t xml:space="preserve"> </w:t>
      </w:r>
      <w:r>
        <w:t>) 或 [CpTiCl</w:t>
      </w:r>
      <w:r>
        <w:rPr>
          <w:vertAlign w:val="subscript"/>
        </w:rPr>
        <w:t>3</w:t>
      </w:r>
      <w:r>
        <w:t>](</w:t>
      </w:r>
      <w:r>
        <w:t xml:space="preserve"> </w:t>
      </w:r>
      <w:r>
        <w:t>钛5</w:t>
      </w:r>
      <w:r>
        <w:t xml:space="preserve"> </w:t>
      </w:r>
      <w:r>
        <w:t>）； Cp = η</w:t>
      </w:r>
      <w:r>
        <w:rPr>
          <w:vertAlign w:val="subscript"/>
        </w:rPr>
        <w:t>5</w:t>
      </w:r>
      <w:r>
        <w:t>‐C</w:t>
      </w:r>
      <w:r>
        <w:rPr>
          <w:vertAlign w:val="subscript"/>
        </w:rPr>
        <w:t>5</w:t>
      </w:r>
      <w:r>
        <w:t>H</w:t>
      </w:r>
      <w:r>
        <w:rPr>
          <w:vertAlign w:val="subscript"/>
        </w:rPr>
        <w:t>5</w:t>
      </w:r>
      <w:r>
        <w:t>) 被硅试剂激活 [(Et</w:t>
      </w:r>
      <w:r>
        <w:rPr>
          <w:vertAlign w:val="subscript"/>
        </w:rPr>
        <w:t>3</w:t>
      </w:r>
      <w:r>
        <w:t>硅）</w:t>
      </w:r>
      <w:r>
        <w:rPr>
          <w:vertAlign w:val="subscript"/>
        </w:rPr>
        <w:t>2</w:t>
      </w:r>
      <w:r>
        <w:t>H](B(C</w:t>
      </w:r>
      <w:r>
        <w:rPr>
          <w:vertAlign w:val="subscript"/>
        </w:rPr>
        <w:t>6</w:t>
      </w:r>
      <w:r>
        <w:t>F</w:t>
      </w:r>
      <w:r>
        <w:rPr>
          <w:vertAlign w:val="subscript"/>
        </w:rPr>
        <w:t>5</w:t>
      </w:r>
      <w:r>
        <w:t>）</w:t>
      </w:r>
      <w:r>
        <w:rPr>
          <w:vertAlign w:val="subscript"/>
        </w:rPr>
        <w:t>4</w:t>
      </w:r>
      <w:r>
        <w:t>) (</w:t>
      </w:r>
      <w:r>
        <w:t xml:space="preserve"> </w:t>
      </w:r>
      <w:r>
        <w:t>硅</w:t>
      </w:r>
      <w:r>
        <w:t xml:space="preserve"> </w:t>
      </w:r>
      <w:r>
        <w:t>+</w:t>
      </w:r>
      <w:r>
        <w:t xml:space="preserve"> </w:t>
      </w:r>
      <w:r>
        <w:t>) 对 PVF 和 PVDF 进行脱氟，周转频率 (TOF) 高达 3.7 小时</w:t>
      </w:r>
      <w:r>
        <w:t xml:space="preserve"> </w:t>
      </w:r>
      <w:r>
        <w:t>−1</w:t>
      </w:r>
      <w:r>
        <w:t xml:space="preserve"> </w:t>
      </w:r>
      <w:r>
        <w:t>，提供残留氟含量低（低至 0.8%）的共聚物。所获得的聚合物通过多种技术进行表征，包括固态核磁共振（NMR）和傅里叶变换红外（FTIR）光谱、燃烧离子色谱（CIC）、差示扫描量热法（DSC）和凝胶渗透色谱（GPC）。密度f</w:t>
      </w:r>
    </w:p>
    <w:p>
      <w:pPr>
        <w:spacing w:before="0" w:after="200" w:lineRule="auto" w:line="276"/>
      </w:pPr>
      <w:r>
        <w:rPr>
          <w:b/>
        </w:rPr>
        <w:t xml:space="preserve">Abstract (EN): </w:t>
      </w:r>
      <w:r>
        <w:t>The defluorination of poly(vinyl fluoride) (PVF) and poly(vinylidene fluoride) (PVDF) fluoropolymers catalyzed by titanium species in the presence of triethylsilane (Et</w:t>
      </w:r>
      <w:r>
        <w:rPr>
          <w:vertAlign w:val="subscript"/>
        </w:rPr>
        <w:t>3</w:t>
      </w:r>
      <w:r>
        <w:t>SiH) and aromatic solvents is reported. Commercially available Ti complexes (e.g., [Cp</w:t>
      </w:r>
      <w:r>
        <w:rPr>
          <w:vertAlign w:val="subscript"/>
        </w:rPr>
        <w:t>2</w:t>
      </w:r>
      <w:r>
        <w:t>TiCl</w:t>
      </w:r>
      <w:r>
        <w:rPr>
          <w:vertAlign w:val="subscript"/>
        </w:rPr>
        <w:t>2</w:t>
      </w:r>
      <w:r>
        <w:t>] (</w:t>
      </w:r>
      <w:r>
        <w:t xml:space="preserve"> </w:t>
      </w:r>
      <w:r>
        <w:t>Ti3</w:t>
      </w:r>
      <w:r>
        <w:t xml:space="preserve"> </w:t>
      </w:r>
      <w:r>
        <w:t>) or [CpTiCl</w:t>
      </w:r>
      <w:r>
        <w:rPr>
          <w:vertAlign w:val="subscript"/>
        </w:rPr>
        <w:t>3</w:t>
      </w:r>
      <w:r>
        <w:t>] (</w:t>
      </w:r>
      <w:r>
        <w:t xml:space="preserve"> </w:t>
      </w:r>
      <w:r>
        <w:t>Ti5</w:t>
      </w:r>
      <w:r>
        <w:t xml:space="preserve"> </w:t>
      </w:r>
      <w:r>
        <w:t>); Cp = η</w:t>
      </w:r>
      <w:r>
        <w:rPr>
          <w:vertAlign w:val="subscript"/>
        </w:rPr>
        <w:t>5</w:t>
      </w:r>
      <w:r>
        <w:t>‐C</w:t>
      </w:r>
      <w:r>
        <w:rPr>
          <w:vertAlign w:val="subscript"/>
        </w:rPr>
        <w:t>5</w:t>
      </w:r>
      <w:r>
        <w:t>H</w:t>
      </w:r>
      <w:r>
        <w:rPr>
          <w:vertAlign w:val="subscript"/>
        </w:rPr>
        <w:t>5</w:t>
      </w:r>
      <w:r>
        <w:t>) activated by the silylium reagent [(Et</w:t>
      </w:r>
      <w:r>
        <w:rPr>
          <w:vertAlign w:val="subscript"/>
        </w:rPr>
        <w:t>3</w:t>
      </w:r>
      <w:r>
        <w:t>Si)</w:t>
      </w:r>
      <w:r>
        <w:rPr>
          <w:vertAlign w:val="subscript"/>
        </w:rPr>
        <w:t>2</w:t>
      </w:r>
      <w:r>
        <w:t>H](B(C</w:t>
      </w:r>
      <w:r>
        <w:rPr>
          <w:vertAlign w:val="subscript"/>
        </w:rPr>
        <w:t>6</w:t>
      </w:r>
      <w:r>
        <w:t>F</w:t>
      </w:r>
      <w:r>
        <w:rPr>
          <w:vertAlign w:val="subscript"/>
        </w:rPr>
        <w:t>5</w:t>
      </w:r>
      <w:r>
        <w:t>)</w:t>
      </w:r>
      <w:r>
        <w:rPr>
          <w:vertAlign w:val="subscript"/>
        </w:rPr>
        <w:t>4</w:t>
      </w:r>
      <w:r>
        <w:t>) (</w:t>
      </w:r>
      <w:r>
        <w:t xml:space="preserve"> </w:t>
      </w:r>
      <w:r>
        <w:t>Si</w:t>
      </w:r>
      <w:r>
        <w:t xml:space="preserve"> </w:t>
      </w:r>
      <w:r>
        <w:t>+</w:t>
      </w:r>
      <w:r>
        <w:t xml:space="preserve"> </w:t>
      </w:r>
      <w:r>
        <w:t>) defluorinate PVF and PVDF with turnover frequencies (TOF) of up to 3.7 h</w:t>
      </w:r>
      <w:r>
        <w:t xml:space="preserve"> </w:t>
      </w:r>
      <w:r>
        <w:t>−1</w:t>
      </w:r>
      <w:r>
        <w:t xml:space="preserve"> </w:t>
      </w:r>
      <w:r>
        <w:t>, affording copolymers with low residual fluorine content (down to 0.8%). The obtained polymers were characterized by multiple techniques including solid‐state nuclear magnetic resonance (NMR) and Fourier‐transform Infrared (FTIR) spectroscopies, combustion ion chromatography (CIC), differential scanning calorimetry (DSC) and gel permeation chromatography (GPC). Density functional theory (DFT) calculations conducted in bromobenzene on 2‐fluoropropane as a model indicate that the turnover‐limiting step is the concerted fluoride abstraction (by Ti)/hydride transfer (by Et</w:t>
      </w:r>
      <w:r>
        <w:rPr>
          <w:vertAlign w:val="subscript"/>
        </w:rPr>
        <w:t>3</w:t>
      </w:r>
      <w:r>
        <w:t>SiH).</w:t>
      </w:r>
    </w:p>
    <w:p>
      <w:pPr>
        <w:spacing w:before="120" w:after="120"/>
      </w:pPr>
      <w:r>
        <w:rPr>
          <w:sz w:val="18"/>
        </w:rPr>
        <w:t>——————————————————————————————————————————————————————————————————————</w:t>
      </w:r>
    </w:p>
    <w:p>
      <w:pPr>
        <w:spacing w:before="160" w:after="40" w:line="240" w:lineRule="auto"/>
      </w:pPr>
      <w:r>
        <w:rPr>
          <w:b/>
        </w:rPr>
        <w:t xml:space="preserve">[4] </w:t>
      </w:r>
      <w:hyperlink r:id="rId521">
        <w:r>
          <w:rPr>
            <w:color w:val="1155CC"/>
            <w:u w:val="single"/>
          </w:rPr>
          <w:t>常压下非热等离子体增强催化原位氢解升级聚己内酯</w:t>
        </w:r>
      </w:hyperlink>
    </w:p>
    <w:p>
      <w:pPr>
        <w:spacing w:before="0" w:after="80"/>
      </w:pPr>
      <w:r>
        <w:rPr>
          <w:i/>
          <w:sz w:val="20"/>
        </w:rPr>
        <w:t>EN: Upcycling of Polycaprolactone via Nonthermal Plasma‐Enhanced Catalytic In Situ Hydrogenolysis at Ambient Pressure</w:t>
      </w:r>
    </w:p>
    <w:p>
      <w:pPr>
        <w:spacing w:before="0" w:after="120"/>
      </w:pPr>
      <w:r>
        <w:rPr>
          <w:b/>
        </w:rPr>
        <w:t xml:space="preserve">Source: </w:t>
      </w:r>
      <w:r>
        <w:t>Wiley: Angewandte Chemie International Edition: Table of Contents</w:t>
      </w:r>
      <w:r>
        <w:t xml:space="preserve">    </w:t>
      </w:r>
      <w:r>
        <w:rPr>
          <w:b/>
        </w:rPr>
        <w:t xml:space="preserve">Pub date: </w:t>
      </w:r>
      <w:r>
        <w:t>2026-08-23 18:12:55+00:00</w:t>
      </w:r>
      <w:r>
        <w:t xml:space="preserve">    </w:t>
      </w:r>
      <w:r>
        <w:rPr>
          <w:b/>
        </w:rPr>
        <w:t xml:space="preserve">DOI: </w:t>
      </w:r>
      <w:hyperlink r:id="rId522">
        <w:r>
          <w:rPr>
            <w:color w:val="1155CC"/>
            <w:u w:val="single"/>
          </w:rPr>
          <w:t>10.1002/anie.6101292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塑料的化学回收通常受到需要恶劣条件的能源密集型工艺的阻碍。在这里，我们报告了一种带电非热等离子体（NTP）催化策略，用于在环境压力和无溶剂的情况下将聚己内酯（PCL）选择性氢解成有价值的己内酯。通过更换高压H</w:t>
      </w:r>
      <w:r>
        <w:rPr>
          <w:vertAlign w:val="subscript"/>
        </w:rPr>
        <w:t>2</w:t>
      </w:r>
      <w:r>
        <w:t>以及在 Ni/HY 催化剂上使用大气甲烷等离子体的贵金属催化剂，该方法仅利用等离子体产生的热量即可在 150°C 下实现 PCL 完全转化，并实现高达 93.1% 的己内酯产率。等离子体和 Ni 位点提供的原位氢自由基再生布朗斯台德酸位点，驱动 PCL 烷氧基键的选择性解离，并在低温下在动力学和热力学上优先形成 γ-己内酯 (γ-CL)。同时，等离子体极化促进了HY和PCL之间的电子重新分布，显着降低了PCL的解离能垒。与 200°C 的热催化相比，协同等离子体催化将 PCL 活化能垒从 2.29 eV 降低至 1.71 eV，并将 PCL 转化率提高 8.77 倍。我们通过运行由光伏供电的 100 克批量系统进一步证明了该过程的可扩展性。这项工作建立了一条将甲烷裂解与废塑料升级回收相结合的协同途径，为闭环聚合物升级回收提供了一条实用途径。</w:t>
      </w:r>
    </w:p>
    <w:p>
      <w:pPr>
        <w:spacing w:before="0" w:after="200" w:lineRule="auto" w:line="276"/>
      </w:pPr>
      <w:r>
        <w:rPr>
          <w:b/>
        </w:rPr>
        <w:t xml:space="preserve">Abstract (EN): </w:t>
      </w:r>
      <w:r>
        <w:t>Chemical recycling of plastics is typically hampered by energy‐intensive processes requiring harsh conditions. Here, we report an electrified non‐thermal plasma (NTP) catalysis strategy for the selective hydrogenolysis of polycaprolactone (PCL) into valuable caprolactones at ambient pressure and without solvents. By replacing high‐pressure H</w:t>
      </w:r>
      <w:r>
        <w:rPr>
          <w:vertAlign w:val="subscript"/>
        </w:rPr>
        <w:t>2</w:t>
      </w:r>
      <w:r>
        <w:t>and noble‐metal catalysts with an atmospheric methane plasma over a Ni/HY catalyst, this approach achieves complete PCL conversion and a remarkable 93.1% yield of caprolactones at 150°C utilizing solely plasma‐generated heat. In situ hydrogen radicals provided by the plasma and Ni sites regenerate Brønsted acid sites, driving the selective dissociation of the PCL alkoxy bond and enabling the preferential formation of γ‐caprolactone (γ‐CL) both kinetically and thermodynamically at low temperatures. Simultaneously, plasma polarization promotes electron redistribution between HY and PCL, significantly lowering the dissociation energy barrier of PCL. Compared with thermal catalysis at 200°C, synergistic plasma catalysis reduces the PCL activation energy barrier from 2.29 to 1.71 eV and increases the PCL conversion by 8.77‐fold. We further demonstrate the scalability of this process by operating a 100 g batch system powered by photovoltaics. This work establishes a synergistic pathway integrating methane cracking with waste plastic upcycling, offering a practical route for closed‐loop polymer upcycling.</w:t>
      </w:r>
    </w:p>
    <w:p>
      <w:pPr>
        <w:spacing w:before="120" w:after="120"/>
      </w:pPr>
      <w:r>
        <w:rPr>
          <w:sz w:val="18"/>
        </w:rPr>
        <w:t>——————————————————————————————————————————————————————————————————————</w:t>
      </w:r>
    </w:p>
    <w:p>
      <w:pPr>
        <w:spacing w:before="160" w:after="40" w:line="240" w:lineRule="auto"/>
      </w:pPr>
      <w:r>
        <w:rPr>
          <w:b/>
        </w:rPr>
        <w:t xml:space="preserve">[5] </w:t>
      </w:r>
      <w:hyperlink r:id="rId463">
        <w:r>
          <w:rPr>
            <w:color w:val="1155CC"/>
            <w:u w:val="single"/>
          </w:rPr>
          <w:t>塑料、合成燃料和化学品脱碳的环境和技术经济评估综述</w:t>
        </w:r>
      </w:hyperlink>
    </w:p>
    <w:p>
      <w:pPr>
        <w:spacing w:before="0" w:after="80"/>
      </w:pPr>
      <w:r>
        <w:rPr>
          <w:i/>
          <w:sz w:val="20"/>
        </w:rPr>
        <w:t>EN: A review of environmental and techno-economic assessments of plastics to synthetic fuels and chemicals towards decarbonization</w:t>
      </w:r>
    </w:p>
    <w:p>
      <w:pPr>
        <w:spacing w:before="0" w:after="120"/>
      </w:pPr>
      <w:r>
        <w:rPr>
          <w:b/>
        </w:rPr>
        <w:t xml:space="preserve">Source: </w:t>
      </w:r>
      <w:r>
        <w:t>ScienceDirect Publication: Applied Energy</w:t>
      </w:r>
      <w:r>
        <w:t xml:space="preserve">    </w:t>
      </w:r>
      <w:r>
        <w:rPr>
          <w:b/>
        </w:rPr>
        <w:t xml:space="preserve">Pub date: </w:t>
      </w:r>
      <w:r>
        <w:t>2026-08-26 00:00:00+00:00</w:t>
      </w:r>
      <w:r>
        <w:t xml:space="preserve">    </w:t>
      </w:r>
      <w:r>
        <w:rPr>
          <w:b/>
        </w:rPr>
        <w:t xml:space="preserve">DOI: </w:t>
      </w:r>
      <w:hyperlink r:id="rId464">
        <w:r>
          <w:rPr>
            <w:color w:val="1155CC"/>
            <w:u w:val="single"/>
          </w:rPr>
          <w:t>10.1016/j.apenergy.2026.128711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523">
        <w:r>
          <w:rPr>
            <w:color w:val="1155CC"/>
            <w:u w:val="single"/>
          </w:rPr>
          <w:t>PET解聚中的活性位点光热能利用</w:t>
        </w:r>
      </w:hyperlink>
    </w:p>
    <w:p>
      <w:pPr>
        <w:spacing w:before="0" w:after="80"/>
      </w:pPr>
      <w:r>
        <w:rPr>
          <w:i/>
          <w:sz w:val="20"/>
        </w:rPr>
        <w:t>EN: Active‐Site Photothermal Energy Utilization in PET Depolymerization</w:t>
      </w:r>
    </w:p>
    <w:p>
      <w:pPr>
        <w:spacing w:before="0" w:after="120"/>
      </w:pPr>
      <w:r>
        <w:rPr>
          <w:b/>
        </w:rPr>
        <w:t xml:space="preserve">Source: </w:t>
      </w:r>
      <w:r>
        <w:t>Wiley: Angewandte Chemie International Edition: Table of Contents</w:t>
      </w:r>
      <w:r>
        <w:t xml:space="preserve">    </w:t>
      </w:r>
      <w:r>
        <w:rPr>
          <w:b/>
        </w:rPr>
        <w:t xml:space="preserve">Pub date: </w:t>
      </w:r>
      <w:r>
        <w:t>2026-08-26 08:42:33+00:00</w:t>
      </w:r>
      <w:r>
        <w:t xml:space="preserve">    </w:t>
      </w:r>
      <w:r>
        <w:rPr>
          <w:b/>
        </w:rPr>
        <w:t xml:space="preserve">DOI: </w:t>
      </w:r>
      <w:hyperlink r:id="rId524">
        <w:r>
          <w:rPr>
            <w:color w:val="1155CC"/>
            <w:u w:val="single"/>
          </w:rPr>
          <w:t>10.1002/anie.2844693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热催化为塑料回收提供了一种有前途的策略，但如何在催化位点传递和利用光热能仍然知之甚少。在此，我们通过调节钯基催化剂中的纳米级光热能量传递，发现了聚对苯二甲酸乙二醇酯（PET）光热解聚过程中明显的活性逆转。在热条件下，与N掺杂石墨烯上的多金属氧酸盐配位的Pd（PdPOM-CNG）比直接与N掺杂石墨烯（Pd-CNG）偶联的Pd表现出更高的催化活性。与此形成鲜明对比的是，在光热条件下，Pd-CNG 的 PET 转化率从 15% 显着提高到 88%，而 PdPOM-CNG 仅显示出适度的提高。这种逆转源于催化位点光热能利用的差异。更有效的纳米级能量传递增加了催化位点的有效局部温度并补偿了较低的固有催化活性，从而控制了光热催化行为。这些发现将活性位点光热能量利用确定为决定光热催化性能的一个先前被忽视的因素。</w:t>
      </w:r>
    </w:p>
    <w:p>
      <w:pPr>
        <w:spacing w:before="0" w:after="200" w:lineRule="auto" w:line="276"/>
      </w:pPr>
      <w:r>
        <w:rPr>
          <w:b/>
        </w:rPr>
        <w:t xml:space="preserve">Abstract (EN): </w:t>
      </w:r>
      <w:r>
        <w:t>Photothermal catalysis offers a promising strategy for plastic recycling, yet how photothermal energy is delivered and utilized at catalytic sites remains poorly understood. Herein, we uncover a pronounced activity reversal during photothermal depolymerization of polyethylene terephthalate (PET) by regulating nanoscale photothermal energy delivery in Pd‐based catalysts. Under thermal conditions, Pd coordinated to polyoxometalates on N‐doped graphene (PdPOM–CNG) exhibits higher catalytic activity than Pd directly coupled to N‐doped graphene (Pd–CNG). In sharp contrast, under photothermal conditions, Pd–CNG achieves an exceptional enhancement in PET conversion from 15% to 88%, whereas PdPOM–CNG shows only a moderate increase. This reversal originates from differences in photothermal energy utilization at catalytic sites. More efficient nanoscale energy delivery increases the effective local temperature of catalytic sites and compensates for lower intrinsic catalytic activity, thereby governing photothermal catalytic behavior. These findings identify active‐site photothermal energy utilization as a previously overlooked factor that determines photothermal catalytic performance.</w:t>
      </w:r>
    </w:p>
    <w:p>
      <w:pPr>
        <w:spacing w:before="120" w:after="120"/>
      </w:pPr>
      <w:r>
        <w:rPr>
          <w:sz w:val="18"/>
        </w:rPr>
        <w:t>——————————————————————————————————————————————————————————————————————</w:t>
      </w:r>
    </w:p>
    <w:p>
      <w:pPr>
        <w:spacing w:before="160" w:after="40" w:line="240" w:lineRule="auto"/>
      </w:pPr>
      <w:r>
        <w:rPr>
          <w:b/>
        </w:rPr>
        <w:t xml:space="preserve">[7] </w:t>
      </w:r>
      <w:hyperlink r:id="rId525">
        <w:r>
          <w:rPr>
            <w:color w:val="1155CC"/>
            <w:u w:val="single"/>
          </w:rPr>
          <w:t>大环二（酯-硫酯）熵驱动开环聚合中环链互变的热力学和动力学控制</w:t>
        </w:r>
      </w:hyperlink>
    </w:p>
    <w:p>
      <w:pPr>
        <w:spacing w:before="0" w:after="80"/>
      </w:pPr>
      <w:r>
        <w:rPr>
          <w:i/>
          <w:sz w:val="20"/>
        </w:rPr>
        <w:t>EN: Thermodynamic and Kinetic Control of Ring–Chain Interconversion in Entropy‐Driven Ring‐Opening Polymerization of a Macrocyclic Di(Ester‐thioester)</w:t>
      </w:r>
    </w:p>
    <w:p>
      <w:pPr>
        <w:spacing w:before="0" w:after="120"/>
      </w:pPr>
      <w:r>
        <w:rPr>
          <w:b/>
        </w:rPr>
        <w:t xml:space="preserve">Source: </w:t>
      </w:r>
      <w:r>
        <w:t>Wiley: Angewandte Chemie International Edition: Table of Contents</w:t>
      </w:r>
      <w:r>
        <w:t xml:space="preserve">    </w:t>
      </w:r>
      <w:r>
        <w:rPr>
          <w:b/>
        </w:rPr>
        <w:t xml:space="preserve">Pub date: </w:t>
      </w:r>
      <w:r>
        <w:t>2026-08-26 09:08:25+00:00</w:t>
      </w:r>
      <w:r>
        <w:t xml:space="preserve">    </w:t>
      </w:r>
      <w:r>
        <w:rPr>
          <w:b/>
        </w:rPr>
        <w:t xml:space="preserve">DOI: </w:t>
      </w:r>
      <w:hyperlink r:id="rId526">
        <w:r>
          <w:rPr>
            <w:color w:val="1155CC"/>
            <w:u w:val="single"/>
          </w:rPr>
          <w:t>10.1002/anie.9332776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环（硫）酯的熵驱动开环聚合（ED-ROP）通过本质上可逆的环链平衡为化学可回收聚合物提供了一个有前景的平台，但其更广泛的发展仍然受到低单体反应性、高度稀释解聚条件和回收大环低聚物（MCO）有限的再聚合性的限制。在这里，我们报道了一种14元含硫大环二（酯-硫酯），14-DET，其硫酯键增强了单体反应性并实现了可控大环介导的回收。使用高效的萨伦或萨兰基镧催化剂，14-DET 在环境温度下经历快速 ED-ROP，得到聚（酯-</w:t>
      </w:r>
      <w:r>
        <w:t>替代</w:t>
      </w:r>
      <w:r>
        <w:t xml:space="preserve"> </w:t>
      </w:r>
      <w:r>
        <w:t>‐硫酯），P(14‐DET)，数均摩尔质量（</w:t>
      </w:r>
      <w:r>
        <w:t xml:space="preserve"> </w:t>
      </w:r>
      <w:r>
        <w:t>中号</w:t>
      </w:r>
      <w:r>
        <w:t xml:space="preserve"> </w:t>
      </w:r>
      <w:r>
        <w:t>n</w:t>
      </w:r>
      <w:r>
        <w:t xml:space="preserve"> </w:t>
      </w:r>
      <w:r>
        <w:t>）高达 163 kDa 和高序列交替（</w:t>
      </w:r>
      <w:r>
        <w:t xml:space="preserve"> </w:t>
      </w:r>
      <w:r>
        <w:t>磷</w:t>
      </w:r>
      <w:r>
        <w:t xml:space="preserve"> </w:t>
      </w:r>
      <w:r>
        <w:t>AB</w:t>
      </w:r>
      <w:r>
        <w:t xml:space="preserve"> </w:t>
      </w:r>
      <w:r>
        <w:t>H</w:t>
      </w:r>
      <w:r>
        <w:t xml:space="preserve"> </w:t>
      </w:r>
      <w:r>
        <w:t>高达 0.97）。温度、浓度和时间的调节将可逆环链系统导向高摩尔质量聚合物、MCO 或 28 元环状二聚体 (14-DET)</w:t>
      </w:r>
      <w:r>
        <w:rPr>
          <w:vertAlign w:val="subscript"/>
        </w:rPr>
        <w:t>2</w:t>
      </w:r>
      <w:r>
        <w:t>，揭示了不同的热力学和动力学状态，包括在向沉淀的环状二聚体平衡之前在 0°C 下瞬态动力学控制的聚合物形成。值得注意的是，两者都恢复了 (14-DET)</w:t>
      </w:r>
      <w:r>
        <w:rPr>
          <w:vertAlign w:val="subscript"/>
        </w:rPr>
        <w:t>2</w:t>
      </w:r>
      <w:r>
        <w:t>和单体合成过程中产生的MCO c</w:t>
      </w:r>
    </w:p>
    <w:p>
      <w:pPr>
        <w:spacing w:before="0" w:after="200" w:lineRule="auto" w:line="276"/>
      </w:pPr>
      <w:r>
        <w:rPr>
          <w:b/>
        </w:rPr>
        <w:t xml:space="preserve">Abstract (EN): </w:t>
      </w:r>
      <w:r>
        <w:t>Entropy‐driven ring‐opening polymerization (ED‐ROP) of macrocyclic (thio)esters offers a promising platform for chemically recyclable polymers through intrinsically reversible ring–chain equilibria, yet its broader development remains constrained by low monomer reactivity, highly dilute depolymerization conditions, and the limited repolymerizability of recycled macrocyclic oligomers (MCOs). Here we report a 14‐membered sulfur‐containing macrocyclic di(ester‐thioester), 14‐DET, whose thioester linkages enhance monomer reactivity and enable controllable macrocycle‐mediated recycling. Using efficient salen‐ or salan‐based lanthanum catalysts, 14‐DET undergoes rapid ED‐ROP at ambient temperature to afford poly(ester‐</w:t>
      </w:r>
      <w:r>
        <w:t xml:space="preserve"> </w:t>
      </w:r>
      <w:r>
        <w:t>alt</w:t>
      </w:r>
      <w:r>
        <w:t xml:space="preserve"> </w:t>
      </w:r>
      <w:r>
        <w:t>‐thioester), P(14‐DET), with number‐average molar mass (</w:t>
      </w:r>
      <w:r>
        <w:t xml:space="preserve"> </w:t>
      </w:r>
      <w:r>
        <w:t>M</w:t>
      </w:r>
      <w:r>
        <w:t xml:space="preserve"> </w:t>
      </w:r>
      <w:r>
        <w:t>n</w:t>
      </w:r>
      <w:r>
        <w:t xml:space="preserve"> </w:t>
      </w:r>
      <w:r>
        <w:t>) up to 163 kDa and high sequence alternation (</w:t>
      </w:r>
      <w:r>
        <w:t xml:space="preserve"> </w:t>
      </w:r>
      <w:r>
        <w:t>P</w:t>
      </w:r>
      <w:r>
        <w:t xml:space="preserve"> </w:t>
      </w:r>
      <w:r>
        <w:t>AB</w:t>
      </w:r>
      <w:r>
        <w:t xml:space="preserve"> </w:t>
      </w:r>
      <w:r>
        <w:t>H</w:t>
      </w:r>
      <w:r>
        <w:t xml:space="preserve"> </w:t>
      </w:r>
      <w:r>
        <w:t>up to 0.97). Modulation of temperature, concentration, and time directs the reversible ring–chain system toward high‐molar‐mass polymer, MCOs, or the 28‐membered cyclic dimer (14‐DET)</w:t>
      </w:r>
      <w:r>
        <w:rPr>
          <w:vertAlign w:val="subscript"/>
        </w:rPr>
        <w:t>2</w:t>
      </w:r>
      <w:r>
        <w:t>, revealing distinct thermodynamic and kinetic regimes, including transient kinetically controlled polymer formation at 0°C before equilibration toward the precipitated cyclic dimer. Notably, both recovered (14‐DET)</w:t>
      </w:r>
      <w:r>
        <w:rPr>
          <w:vertAlign w:val="subscript"/>
        </w:rPr>
        <w:t>2</w:t>
      </w:r>
      <w:r>
        <w:t>and MCOs generated during monomer synthesis can be directly repolymerized to regenerate high‐molar‐mass P(14‐DET), providing feedstock flexibility and improving overall material utilization. These results establish a closed‐loop “monomer–dimer–polymer” cycle and demonstrate a macrocycle‐mediated recycling paradigm in which the cyclic dimers and MCOs serve as valuable polymerizable feedstocks.</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527">
        <w:r>
          <w:rPr>
            <w:color w:val="1155CC"/>
            <w:u w:val="single"/>
          </w:rPr>
          <w:t>地缘政治风险暴露和能源支持链贸易的弹性：多层网络诊断</w:t>
        </w:r>
      </w:hyperlink>
    </w:p>
    <w:p>
      <w:pPr>
        <w:spacing w:before="0" w:after="80"/>
      </w:pPr>
      <w:r>
        <w:rPr>
          <w:i/>
          <w:sz w:val="20"/>
        </w:rPr>
        <w:t>EN: Geopolitical risk exposure and resilience of energy support-chain trade: A multilayer network diagnosis</w:t>
      </w:r>
    </w:p>
    <w:p>
      <w:pPr>
        <w:spacing w:before="0" w:after="120"/>
      </w:pPr>
      <w:r>
        <w:rPr>
          <w:b/>
        </w:rPr>
        <w:t xml:space="preserve">Source: </w:t>
      </w:r>
      <w:r>
        <w:t>ScienceDirect Publication: Energy Policy</w:t>
      </w:r>
      <w:r>
        <w:t xml:space="preserve">    </w:t>
      </w:r>
      <w:r>
        <w:rPr>
          <w:b/>
        </w:rPr>
        <w:t xml:space="preserve">Pub date: </w:t>
      </w:r>
      <w:r>
        <w:t>2026-08-21 00:00:00+00:00</w:t>
      </w:r>
      <w:r>
        <w:t xml:space="preserve">    </w:t>
      </w:r>
      <w:r>
        <w:rPr>
          <w:b/>
        </w:rPr>
        <w:t xml:space="preserve">DOI: </w:t>
      </w:r>
      <w:hyperlink r:id="rId528">
        <w:r>
          <w:rPr>
            <w:color w:val="1155CC"/>
            <w:u w:val="single"/>
          </w:rPr>
          <w:t>10.1016/j.enpol.2026.115549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529">
        <w:r>
          <w:rPr>
            <w:color w:val="1155CC"/>
            <w:u w:val="single"/>
          </w:rPr>
          <w:t>为什么我们必须停止谈论通用人工智能，而应该构建“有利于工人”的人工智能</w:t>
        </w:r>
      </w:hyperlink>
    </w:p>
    <w:p>
      <w:pPr>
        <w:spacing w:before="0" w:after="80"/>
      </w:pPr>
      <w:r>
        <w:rPr>
          <w:i/>
          <w:sz w:val="20"/>
        </w:rPr>
        <w:t>EN: Why we must stop talking about artificial general intelligence — and instead build ‘pro-worker’ AI</w:t>
      </w:r>
    </w:p>
    <w:p>
      <w:pPr>
        <w:spacing w:before="0" w:after="120"/>
      </w:pPr>
      <w:r>
        <w:rPr>
          <w:b/>
        </w:rPr>
        <w:t xml:space="preserve">Source: </w:t>
      </w:r>
      <w:r>
        <w:t>Nature</w:t>
      </w:r>
      <w:r>
        <w:t xml:space="preserve">    </w:t>
      </w:r>
      <w:r>
        <w:rPr>
          <w:b/>
        </w:rPr>
        <w:t xml:space="preserve">Pub date: </w:t>
      </w:r>
      <w:r>
        <w:t>2026-08-21 00:00:00+00:00</w:t>
      </w:r>
      <w:r>
        <w:t xml:space="preserve">    </w:t>
      </w:r>
      <w:r>
        <w:rPr>
          <w:b/>
        </w:rPr>
        <w:t xml:space="preserve">DOI: </w:t>
      </w:r>
      <w:hyperlink r:id="rId530">
        <w:r>
          <w:rPr>
            <w:color w:val="1155CC"/>
            <w:u w:val="single"/>
          </w:rPr>
          <w:t>10.1038/d41586-026-02566-6</w:t>
        </w:r>
      </w:hyperlink>
    </w:p>
    <w:p>
      <w:pPr>
        <w:spacing w:before="0" w:after="120"/>
      </w:pPr>
      <w:r>
        <w:rPr>
          <w:b/>
        </w:rPr>
        <w:t xml:space="preserve">Notes: </w:t>
      </w:r>
      <w:r>
        <w:t>abstract_source=rss_nature</w:t>
      </w:r>
    </w:p>
    <w:p>
      <w:pPr>
        <w:spacing w:before="0" w:after="80" w:lineRule="auto" w:line="276"/>
      </w:pPr>
      <w:r>
        <w:rPr>
          <w:b/>
        </w:rPr>
        <w:t xml:space="preserve">摘要（ZH）: </w:t>
      </w:r>
      <w:r>
        <w:t>我们不应该竞相取代人类，而应该构建能够增强人类专业知识并扩大机会的人工智能工具。</w:t>
      </w:r>
    </w:p>
    <w:p>
      <w:pPr>
        <w:spacing w:before="0" w:after="200" w:lineRule="auto" w:line="276"/>
      </w:pPr>
      <w:r>
        <w:rPr>
          <w:b/>
        </w:rPr>
        <w:t xml:space="preserve">Abstract (EN): </w:t>
      </w:r>
      <w:r>
        <w:t>Rather than racing to replace people, we should build AI tools that amplify human expertise and expand opportunity.</w:t>
      </w:r>
    </w:p>
    <w:p>
      <w:pPr>
        <w:spacing w:before="120" w:after="120"/>
      </w:pPr>
      <w:r>
        <w:rPr>
          <w:sz w:val="18"/>
        </w:rPr>
        <w:t>——————————————————————————————————————————————————————————————————————</w:t>
      </w:r>
    </w:p>
    <w:p>
      <w:pPr>
        <w:spacing w:before="160" w:after="40" w:line="240" w:lineRule="auto"/>
      </w:pPr>
      <w:r>
        <w:rPr>
          <w:b/>
        </w:rPr>
        <w:t xml:space="preserve">[3] </w:t>
      </w:r>
      <w:hyperlink r:id="rId531">
        <w:r>
          <w:rPr>
            <w:color w:val="1155CC"/>
            <w:u w:val="single"/>
          </w:rPr>
          <w:t>Sleuth 发现数十项研究使用了错误的抗体</w:t>
        </w:r>
      </w:hyperlink>
    </w:p>
    <w:p>
      <w:pPr>
        <w:spacing w:before="0" w:after="80"/>
      </w:pPr>
      <w:r>
        <w:rPr>
          <w:i/>
          <w:sz w:val="20"/>
        </w:rPr>
        <w:t>EN: Sleuth identifies dozens of studies that used the wrong antibody</w:t>
      </w:r>
    </w:p>
    <w:p>
      <w:pPr>
        <w:spacing w:before="0" w:after="120"/>
      </w:pPr>
      <w:r>
        <w:rPr>
          <w:b/>
        </w:rPr>
        <w:t xml:space="preserve">Source: </w:t>
      </w:r>
      <w:r>
        <w:t>Nature</w:t>
      </w:r>
      <w:r>
        <w:t xml:space="preserve">    </w:t>
      </w:r>
      <w:r>
        <w:rPr>
          <w:b/>
        </w:rPr>
        <w:t xml:space="preserve">Pub date: </w:t>
      </w:r>
      <w:r>
        <w:t>2026-08-21 00:00:00+00:00</w:t>
      </w:r>
      <w:r>
        <w:t xml:space="preserve">    </w:t>
      </w:r>
      <w:r>
        <w:rPr>
          <w:b/>
        </w:rPr>
        <w:t xml:space="preserve">DOI: </w:t>
      </w:r>
      <w:hyperlink r:id="rId532">
        <w:r>
          <w:rPr>
            <w:color w:val="1155CC"/>
            <w:u w:val="single"/>
          </w:rPr>
          <w:t>10.1038/d41586-026-02352-4</w:t>
        </w:r>
      </w:hyperlink>
    </w:p>
    <w:p>
      <w:pPr>
        <w:spacing w:before="0" w:after="120"/>
      </w:pPr>
      <w:r>
        <w:rPr>
          <w:b/>
        </w:rPr>
        <w:t xml:space="preserve">Notes: </w:t>
      </w:r>
      <w:r>
        <w:t>abstract_source=rss_nature</w:t>
      </w:r>
    </w:p>
    <w:p>
      <w:pPr>
        <w:spacing w:before="0" w:after="80" w:lineRule="auto" w:line="276"/>
      </w:pPr>
      <w:r>
        <w:rPr>
          <w:b/>
        </w:rPr>
        <w:t xml:space="preserve">摘要（ZH）: </w:t>
      </w:r>
      <w:r>
        <w:t>此案是科学主力在实验中被滥用的最新例子。</w:t>
      </w:r>
    </w:p>
    <w:p>
      <w:pPr>
        <w:spacing w:before="0" w:after="200" w:lineRule="auto" w:line="276"/>
      </w:pPr>
      <w:r>
        <w:rPr>
          <w:b/>
        </w:rPr>
        <w:t xml:space="preserve">Abstract (EN): </w:t>
      </w:r>
      <w:r>
        <w:t>The case is the latest example of a scientific workhorse being misused in experiments.</w:t>
      </w:r>
    </w:p>
    <w:p>
      <w:pPr>
        <w:spacing w:before="120" w:after="120"/>
      </w:pPr>
      <w:r>
        <w:rPr>
          <w:sz w:val="18"/>
        </w:rPr>
        <w:t>——————————————————————————————————————————————————————————————————————</w:t>
      </w:r>
    </w:p>
    <w:p>
      <w:pPr>
        <w:spacing w:before="160" w:after="40" w:line="240" w:lineRule="auto"/>
      </w:pPr>
      <w:r>
        <w:rPr>
          <w:b/>
        </w:rPr>
        <w:t xml:space="preserve">[4] </w:t>
      </w:r>
      <w:hyperlink r:id="rId533">
        <w:r>
          <w:rPr>
            <w:color w:val="1155CC"/>
            <w:u w:val="single"/>
          </w:rPr>
          <w:t>简报：新的发作性睡病药物可以解锁一系列新型脑疗法</w:t>
        </w:r>
      </w:hyperlink>
    </w:p>
    <w:p>
      <w:pPr>
        <w:spacing w:before="0" w:after="80"/>
      </w:pPr>
      <w:r>
        <w:rPr>
          <w:i/>
          <w:sz w:val="20"/>
        </w:rPr>
        <w:t>EN: Briefing Chat: New narcolepsy drug could unlock host of novel brain therapies</w:t>
      </w:r>
    </w:p>
    <w:p>
      <w:pPr>
        <w:spacing w:before="0" w:after="120"/>
      </w:pPr>
      <w:r>
        <w:rPr>
          <w:b/>
        </w:rPr>
        <w:t xml:space="preserve">Source: </w:t>
      </w:r>
      <w:r>
        <w:t>Nature</w:t>
      </w:r>
      <w:r>
        <w:t xml:space="preserve">    </w:t>
      </w:r>
      <w:r>
        <w:rPr>
          <w:b/>
        </w:rPr>
        <w:t xml:space="preserve">Pub date: </w:t>
      </w:r>
      <w:r>
        <w:t>2026-08-21 00:00:00+00:00</w:t>
      </w:r>
      <w:r>
        <w:t xml:space="preserve">    </w:t>
      </w:r>
      <w:r>
        <w:rPr>
          <w:b/>
        </w:rPr>
        <w:t xml:space="preserve">DOI: </w:t>
      </w:r>
      <w:hyperlink r:id="rId534">
        <w:r>
          <w:rPr>
            <w:color w:val="1155CC"/>
            <w:u w:val="single"/>
          </w:rPr>
          <w:t>10.1038/d41586-026-02626-x</w:t>
        </w:r>
      </w:hyperlink>
    </w:p>
    <w:p>
      <w:pPr>
        <w:spacing w:before="0" w:after="120"/>
      </w:pPr>
      <w:r>
        <w:rPr>
          <w:b/>
        </w:rPr>
        <w:t xml:space="preserve">Notes: </w:t>
      </w:r>
      <w:r>
        <w:t>abstract_source=rss_nature</w:t>
      </w:r>
    </w:p>
    <w:p>
      <w:pPr>
        <w:spacing w:before="0" w:after="80" w:lineRule="auto" w:line="276"/>
      </w:pPr>
      <w:r>
        <w:rPr>
          <w:b/>
        </w:rPr>
        <w:t xml:space="preserve">摘要（ZH）: </w:t>
      </w:r>
      <w:r>
        <w:t>《自然》杂志的工作人员讨论了 FDA 批准的治疗发作性睡病的药物如何能够在治疗发作性睡病之外发挥作用，以及迄今为止寿命最长的人脑类器官。</w:t>
      </w:r>
    </w:p>
    <w:p>
      <w:pPr>
        <w:spacing w:before="0" w:after="200" w:lineRule="auto" w:line="276"/>
      </w:pPr>
      <w:r>
        <w:rPr>
          <w:b/>
        </w:rPr>
        <w:t xml:space="preserve">Abstract (EN): </w:t>
      </w:r>
      <w:r>
        <w:t>Nature staff discuss how an FDA-approved drug for narcolepsy could have promise beyond the condition, and the longest-lived human brain organoids yet.</w:t>
      </w:r>
    </w:p>
    <w:p>
      <w:pPr>
        <w:spacing w:before="120" w:after="120"/>
      </w:pPr>
      <w:r>
        <w:rPr>
          <w:sz w:val="18"/>
        </w:rPr>
        <w:t>——————————————————————————————————————————————————————————————————————</w:t>
      </w:r>
    </w:p>
    <w:p>
      <w:pPr>
        <w:spacing w:before="160" w:after="40" w:line="240" w:lineRule="auto"/>
      </w:pPr>
      <w:r>
        <w:rPr>
          <w:b/>
        </w:rPr>
        <w:t xml:space="preserve">[5] </w:t>
      </w:r>
      <w:hyperlink r:id="rId535">
        <w:r>
          <w:rPr>
            <w:color w:val="1155CC"/>
            <w:u w:val="single"/>
          </w:rPr>
          <w:t>惊天动地的雷声探测地下地质</w:t>
        </w:r>
      </w:hyperlink>
    </w:p>
    <w:p>
      <w:pPr>
        <w:spacing w:before="0" w:after="80"/>
      </w:pPr>
      <w:r>
        <w:rPr>
          <w:i/>
          <w:sz w:val="20"/>
        </w:rPr>
        <w:t>EN: Earth-shaking thunder probes underground geology</w:t>
      </w:r>
    </w:p>
    <w:p>
      <w:pPr>
        <w:spacing w:before="0" w:after="120"/>
      </w:pPr>
      <w:r>
        <w:rPr>
          <w:b/>
        </w:rPr>
        <w:t xml:space="preserve">Source: </w:t>
      </w:r>
      <w:r>
        <w:t>Nature</w:t>
      </w:r>
      <w:r>
        <w:t xml:space="preserve">    </w:t>
      </w:r>
      <w:r>
        <w:rPr>
          <w:b/>
        </w:rPr>
        <w:t xml:space="preserve">Pub date: </w:t>
      </w:r>
      <w:r>
        <w:t>2026-08-21 00:00:00+00:00</w:t>
      </w:r>
      <w:r>
        <w:t xml:space="preserve">    </w:t>
      </w:r>
      <w:r>
        <w:rPr>
          <w:b/>
        </w:rPr>
        <w:t xml:space="preserve">DOI: </w:t>
      </w:r>
      <w:hyperlink r:id="rId536">
        <w:r>
          <w:rPr>
            <w:color w:val="1155CC"/>
            <w:u w:val="single"/>
          </w:rPr>
          <w:t>10.1038/d41586-026-02596-0</w:t>
        </w:r>
      </w:hyperlink>
    </w:p>
    <w:p>
      <w:pPr>
        <w:spacing w:before="0" w:after="120"/>
      </w:pPr>
      <w:r>
        <w:rPr>
          <w:b/>
        </w:rPr>
        <w:t xml:space="preserve">Notes: </w:t>
      </w:r>
      <w:r>
        <w:t>abstract_source=rss_nature</w:t>
      </w:r>
    </w:p>
    <w:p>
      <w:pPr>
        <w:spacing w:before="0" w:after="80" w:lineRule="auto" w:line="276"/>
      </w:pPr>
      <w:r>
        <w:rPr>
          <w:b/>
        </w:rPr>
        <w:t xml:space="preserve">摘要（ZH）: </w:t>
      </w:r>
      <w:r>
        <w:t>地震学家测量了“雷震”的不同速度，以调查地震活动很少的地区。</w:t>
      </w:r>
    </w:p>
    <w:p>
      <w:pPr>
        <w:spacing w:before="0" w:after="200" w:lineRule="auto" w:line="276"/>
      </w:pPr>
      <w:r>
        <w:rPr>
          <w:b/>
        </w:rPr>
        <w:t xml:space="preserve">Abstract (EN): </w:t>
      </w:r>
      <w:r>
        <w:t>Seismologists measured the varying speeds of a ‘thunderquake’ to survey an area with little seismic activity.</w:t>
      </w:r>
    </w:p>
    <w:p>
      <w:pPr>
        <w:spacing w:before="120" w:after="120"/>
      </w:pPr>
      <w:r>
        <w:rPr>
          <w:sz w:val="18"/>
        </w:rPr>
        <w:t>——————————————————————————————————————————————————————————————————————</w:t>
      </w:r>
    </w:p>
    <w:p>
      <w:pPr>
        <w:spacing w:before="160" w:after="40" w:line="240" w:lineRule="auto"/>
      </w:pPr>
      <w:r>
        <w:rPr>
          <w:b/>
        </w:rPr>
        <w:t xml:space="preserve">[6] </w:t>
      </w:r>
      <w:hyperlink r:id="rId537">
        <w:r>
          <w:rPr>
            <w:color w:val="1155CC"/>
            <w:u w:val="single"/>
          </w:rPr>
          <w:t>工业嵌入式人工智能调查：从工业机器人的角度</w:t>
        </w:r>
      </w:hyperlink>
    </w:p>
    <w:p>
      <w:pPr>
        <w:spacing w:before="0" w:after="80"/>
      </w:pPr>
      <w:r>
        <w:rPr>
          <w:i/>
          <w:sz w:val="20"/>
        </w:rPr>
        <w:t>EN: Survey on Embodied AI for Industry: From the Perspective of Industrial Robots</w:t>
      </w:r>
    </w:p>
    <w:p>
      <w:pPr>
        <w:spacing w:before="0" w:after="120"/>
      </w:pPr>
      <w:r>
        <w:rPr>
          <w:b/>
        </w:rPr>
        <w:t xml:space="preserve">Source: </w:t>
      </w:r>
      <w:r>
        <w:t>National Science Review Advance Access</w:t>
      </w:r>
      <w:r>
        <w:t xml:space="preserve">    </w:t>
      </w:r>
      <w:r>
        <w:rPr>
          <w:b/>
        </w:rPr>
        <w:t xml:space="preserve">Pub date: </w:t>
      </w:r>
      <w:r>
        <w:t>2026-08-21 00:00:00+00:00</w:t>
      </w:r>
      <w:r>
        <w:t xml:space="preserve">    </w:t>
      </w:r>
      <w:r>
        <w:rPr>
          <w:b/>
        </w:rPr>
        <w:t xml:space="preserve">DOI: </w:t>
      </w:r>
      <w:hyperlink r:id="rId538">
        <w:r>
          <w:rPr>
            <w:color w:val="1155CC"/>
            <w:u w:val="single"/>
          </w:rPr>
          <w:t>10.1093/nsr/nwag505</w:t>
        </w:r>
      </w:hyperlink>
    </w:p>
    <w:p>
      <w:pPr>
        <w:spacing w:before="0" w:after="120"/>
      </w:pPr>
      <w:r>
        <w:rPr>
          <w:b/>
        </w:rPr>
        <w:t xml:space="preserve">Notes: </w:t>
      </w:r>
      <w:r>
        <w:t>abstract_source=rss_oup</w:t>
      </w:r>
    </w:p>
    <w:p>
      <w:pPr>
        <w:spacing w:before="0" w:after="80" w:lineRule="auto" w:line="276"/>
      </w:pPr>
      <w:r>
        <w:rPr>
          <w:b/>
        </w:rPr>
        <w:t xml:space="preserve">摘要（ZH）: </w:t>
      </w:r>
      <w:r>
        <w:t>工业机器人是现代制造自动化的基础，但基于固定轨迹和离线编程的传统确定性控制在高混合和柔性生产中举步维艰。具身人工智能（EAI）通过在闭环物理交互中耦合感知、推理和行动，提供了一种有前途的替代方案，使工业机器人能够在线适应行为而不是执行预定义的任务。然而，由于对精度、实时性能、可靠性和安全性的严格要求，通用EAI仍然难以在工业环境中部署。这些挑战激发了人们对工业人工智能 (EAI4I) 的兴趣日益浓厚。本文从工业机器人角度对 EAI4I 进行了系统调查。具体来说，我们首先分析EAI4I赋能的工业机器人的量化需求。随后，回顾了近期的研究进展，涵盖单机器人和多机器人系统的核心技术、专用硬件平台、高保真模拟器、特定任务数据集、代表性工业应用场景以及关键部署挑战。最后，讨论了 EAI4I 的有希望的方向。</w:t>
      </w:r>
    </w:p>
    <w:p>
      <w:pPr>
        <w:spacing w:before="0" w:after="200" w:lineRule="auto" w:line="276"/>
      </w:pPr>
      <w:r>
        <w:rPr>
          <w:b/>
        </w:rPr>
        <w:t xml:space="preserve">Abstract (EN): </w:t>
      </w:r>
      <w:r>
        <w:t>Industrial robots underlie modern manufacturing automation, yet conventional deterministic control based on fixed trajectories and offline programming struggles under high-mix and flexible production. Embodied artificial intelligence (EAI) offers a promising alternative by coupling perception, reasoning, and action within closed-loop physical interaction, enabling industrial robots to adapt behaviors online rather than execute predefined tasks. Yet, general-purpose EAI remains difficult to deploy in industrial environments due to stringent requirements on precision, real-time performance, reliability, and safety. These challenges have motivated increasing interest in embodied artificial intelligence for industry (EAI4I). This paper presents a systematic survey of EAI4I from an industrial robotics perspective. Specifically, we first analyze the quantified requirements of industrial robots enabled by EAI4I. Afterwards, recent research progress is reviewed, covering core technologies for single- and multi-robot systems, dedicated hardware platforms, high-fidelity simulators, task-specific datasets, representative industrial application scenarios, and critical deployment challenges. Finally, promising directions toward EAI4I are discussed.</w:t>
      </w:r>
    </w:p>
    <w:p>
      <w:pPr>
        <w:spacing w:before="120" w:after="120"/>
      </w:pPr>
      <w:r>
        <w:rPr>
          <w:sz w:val="18"/>
        </w:rPr>
        <w:t>——————————————————————————————————————————————————————————————————————</w:t>
      </w:r>
    </w:p>
    <w:p>
      <w:pPr>
        <w:spacing w:before="160" w:after="40" w:line="240" w:lineRule="auto"/>
      </w:pPr>
      <w:r>
        <w:rPr>
          <w:b/>
        </w:rPr>
        <w:t xml:space="preserve">[7] </w:t>
      </w:r>
      <w:hyperlink r:id="rId539">
        <w:r>
          <w:rPr>
            <w:color w:val="1155CC"/>
            <w:u w:val="single"/>
          </w:rPr>
          <w:t>蘑菇 Marasmius fiardii PR-910 中克尼佩林二萜的生物合成</w:t>
        </w:r>
      </w:hyperlink>
    </w:p>
    <w:p>
      <w:pPr>
        <w:spacing w:before="0" w:after="80"/>
      </w:pPr>
      <w:r>
        <w:rPr>
          <w:i/>
          <w:sz w:val="20"/>
        </w:rPr>
        <w:t>EN: Biosynthesis of Crinipellin Diterpenes in Mushroom Marasmius fiardii PR-910</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40">
        <w:r>
          <w:rPr>
            <w:color w:val="1155CC"/>
            <w:u w:val="single"/>
          </w:rPr>
          <w:t>10.1021/jacs.6c10016</w:t>
        </w:r>
      </w:hyperlink>
    </w:p>
    <w:p>
      <w:pPr>
        <w:spacing w:before="0" w:after="120"/>
      </w:pPr>
      <w:r>
        <w:rPr>
          <w:b/>
        </w:rPr>
        <w:t xml:space="preserve">Notes: </w:t>
      </w:r>
      <w:r>
        <w:t>abstract_source=crossref</w:t>
      </w:r>
    </w:p>
    <w:p>
      <w:pPr>
        <w:spacing w:before="0" w:after="80" w:lineRule="auto" w:line="276"/>
      </w:pPr>
      <w:r>
        <w:rPr>
          <w:b/>
        </w:rPr>
        <w:t xml:space="preserve">摘要（ZH）: </w:t>
      </w:r>
      <w:r>
        <w:t>摘要 Crinipellins 是一个独特的 5/5/5/5 四环二萜类化合物家族，此前仅报道过来自 Crinipellis 属的蘑菇。尽管进行了广泛的合成研究，但负责克尼佩林形成的生物合成机制仍然难以捉摸。在这里，我们从蘑菇Marasmius fiardii PR-910中鉴定出了crinipellin生物合成基因簇（mfd），Marasmius fiardii PR-910是Marasmiaceae科的一员，Crinipellis也属于该科，尽管M. fiardii PR-910本身尚未被报道能够产生crinipellins。通过结合由 AlphaFold3 生成的结构模型引导的定点诱变、稳定同位素标记研究、密度泛函理论 (DFT) 计算和从头算分子动力学 (AIMD) 模拟，阐明了构建融合四奎烷支架 1 和 2 的二萜合酶 MfdB 的环化机制。 MfdB 的诱变揭示了产生结构多样的二萜的神秘环化途径，包括前所未有的桥接和重排二萜骨架 (4-6)，其形成得到了计算分析的支持，并进一步揭示了一种不寻常的富含精氨酸的二磷酸结合结构。米曲霉和酿酒酵母的异源表达研究确定了细胞色素 P450 酶 MfdC、MfdD 和 MfdE 的氧化功能，导致产生 19 种以前未描述的氧化代谢物 (16-34)。值得注意的是，MfdE 是很大程度上未开发的 CYP_FUM15 样亚家族的成员，可催化一种不寻常的氧化酶</w:t>
      </w:r>
    </w:p>
    <w:p>
      <w:pPr>
        <w:spacing w:before="0" w:after="200" w:lineRule="auto" w:line="276"/>
      </w:pPr>
      <w:r>
        <w:rPr>
          <w:b/>
        </w:rPr>
        <w:t xml:space="preserve">Abstract (EN): </w:t>
      </w:r>
      <w:r>
        <w:t>Crinipellins are a distinctive family of 5/5/5/5 tetracyclic diterpenoids previously reported exclusively from mushrooms of the genus Crinipellis. Despite extensive synthetic studies, the biosynthetic machinery responsible for crinipellin formation has remained elusive. Here, we identify the crinipellin biosynthetic gene cluster (mfd) from the mushroom Marasmius fiardii PR-910, a member of the family Marasmiaceae to which Crinipellis also belongs, although M. fiardii PR-910 itself has not been previously reported to produce crinipellins. Using a combination of site-directed mutagenesis guided by an AlphaFold3-generated structural model, stable isotope-labeling studies, density functional theory (DFT) calculations, and ab initio molecular dynamics (AIMD) simulations, the cyclization mechanism of the diterpene synthase MfdB, which constructs the fused tetraquinane scaffolds 1 and 2, was elucidated. Mutagenesis of MfdB uncovered cryptic cyclization pathways that generate structurally diverse diterpenes, including unprecedented bridged and rearranged diterpene skeletons (4–6), whose formation is supported by computational analyses, and further revealed an unusual arginine-rich diphosphate-binding architecture. Heterologous expression studies in Aspergillus oryzae and Saccharomyces cerevisiae established the oxidative functions of the cytochrome P450 enzymes MfdC, MfdD, and MfdE, leading to the production of 19 previously undescribed oxidized metabolites (16–34). Notably, MfdE, a member of the largely unexplored CYP_FUM15-like subfamily, catalyzes an unusual oxidative demethylation through C–C bond cleavage, expanding the known catalytic repertoire of fungal cytochrome P450 enzymes. Collectively, this work establishes the biosynthetic logic of crinipellin formation, reveals how terpene synthase plasticity generates cryptic diterpene scaffolds, and demonstrates how oxidative tailoring by multiple cytochrome P450 enzymes drives diterpene scaffold diversification.</w:t>
      </w:r>
    </w:p>
    <w:p>
      <w:pPr>
        <w:spacing w:before="120" w:after="120"/>
      </w:pPr>
      <w:r>
        <w:rPr>
          <w:sz w:val="18"/>
        </w:rPr>
        <w:t>——————————————————————————————————————————————————————————————————————</w:t>
      </w:r>
    </w:p>
    <w:p>
      <w:pPr>
        <w:spacing w:before="160" w:after="40" w:line="240" w:lineRule="auto"/>
      </w:pPr>
      <w:r>
        <w:rPr>
          <w:b/>
        </w:rPr>
        <w:t xml:space="preserve">[8] </w:t>
      </w:r>
      <w:hyperlink r:id="rId541">
        <w:r>
          <w:rPr>
            <w:color w:val="1155CC"/>
            <w:u w:val="single"/>
          </w:rPr>
          <w:t>低压下实验实现超导氢化物 Mg2RhH6</w:t>
        </w:r>
      </w:hyperlink>
    </w:p>
    <w:p>
      <w:pPr>
        <w:spacing w:before="0" w:after="80"/>
      </w:pPr>
      <w:r>
        <w:rPr>
          <w:i/>
          <w:sz w:val="20"/>
        </w:rPr>
        <w:t>EN: Superconducting Hydride Mg2RhH6 Experimentally Achieved at Lower Pressure</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42">
        <w:r>
          <w:rPr>
            <w:color w:val="1155CC"/>
            <w:u w:val="single"/>
          </w:rPr>
          <w:t>10.1021/jacs.6c08889</w:t>
        </w:r>
      </w:hyperlink>
    </w:p>
    <w:p>
      <w:pPr>
        <w:spacing w:before="0" w:after="120"/>
      </w:pPr>
      <w:r>
        <w:rPr>
          <w:b/>
        </w:rPr>
        <w:t xml:space="preserve">Notes: </w:t>
      </w:r>
      <w:r>
        <w:t>abstract_source=crossref</w:t>
      </w:r>
    </w:p>
    <w:p>
      <w:pPr>
        <w:spacing w:before="0" w:after="80" w:lineRule="auto" w:line="276"/>
      </w:pPr>
      <w:r>
        <w:rPr>
          <w:b/>
        </w:rPr>
        <w:t xml:space="preserve">摘要（ZH）: </w:t>
      </w:r>
      <w:r>
        <w:t>摘要 尽管近年来聚氢化物超导体领域取得了巨大进展，但高临界温度（Tc）超导的实现仍然依赖于强大的高压。在较低压力下寻找超导氢化物尤为重要。在这里，我们报告了 Mg2RhH6 的首次实验合成，它在 30 GPa 的显着减压下表现出超导性。 Mg2RhH6 的合成过程分为两步：(1) 制备 Mg2RhH5 前体，其中氢原子通过共价键稳定；(2) 引入额外的氢，将电子注入到 30 GPa 以上的反键轨道，同时触发从 RhH5 方锥体到 RhH6 八面体的结构转变。超导性在~30 GPa 下出现，Tc 为 24 K，并且在 53 GPa 下合成后，Tc 进一步增强至 29 K，电阻率急剧下降至零，并且在外加磁场下 Tc 受到特征抑制。我们的结果表明，Mg2RhH6 在 30 GPa 以上具有热力学稳定性，使其成为第一个在易于接近的压力下 Tc 约为 30 K 的超导体。这项研究为在声子介导的 BCS 框架内合理设计和发现高温超导体开辟了一条非常有前途的途径。</w:t>
      </w:r>
    </w:p>
    <w:p>
      <w:pPr>
        <w:spacing w:before="0" w:after="200" w:lineRule="auto" w:line="276"/>
      </w:pPr>
      <w:r>
        <w:rPr>
          <w:b/>
        </w:rPr>
        <w:t xml:space="preserve">Abstract (EN): </w:t>
      </w:r>
      <w:r>
        <w:t>Although tremendous progress has been made in recent years in the field of polyhydride superconductors, the realization of high critical temperature (Tc) superconductivity still relies on formidable high pressures. Searching for superconducting hydrides at lower pressures is of particular importance. Here we report the first experimental synthesis of Mg2RhH6, which exhibits superconductivity under a significantly reduced pressure of 30 GPa. The synthesis of Mg2RhH6 proceeds via a two-step process: (1) preparing the Mg2RhH5 precursor, in which hydrogen atoms are stabilized by covalent bonds, and (2) introducing additional hydrogen, which injects electrons into antibonding orbitals above 30 GPa and simultaneously triggers a structural transition from RhH5 square pyramids to RhH6 octahedra. Superconductivity emerges at ∼30 GPa with a Tc of 24 K, and the Tc is further enhanced to 29 K upon synthesis at 53 GPa, as evidenced by a sharp drop to zero resistivity and the characteristic suppression of Tc under applied magnetic fields. Our results demonstrate that Mg2RhH6 is thermodynamically stable above 30 GPa, establishing it as the first superconductor with a Tc of approximately 30 K at a readily accessible pressure. This study pioneers a highly promising pathway for the rational design and discovery of high-temperature superconductors within the phonon-mediated BCS framework.</w:t>
      </w:r>
    </w:p>
    <w:p>
      <w:pPr>
        <w:spacing w:before="120" w:after="120"/>
      </w:pPr>
      <w:r>
        <w:rPr>
          <w:sz w:val="18"/>
        </w:rPr>
        <w:t>——————————————————————————————————————————————————————————————————————</w:t>
      </w:r>
    </w:p>
    <w:p>
      <w:pPr>
        <w:spacing w:before="160" w:after="40" w:line="240" w:lineRule="auto"/>
      </w:pPr>
      <w:r>
        <w:rPr>
          <w:b/>
        </w:rPr>
        <w:t xml:space="preserve">[9] </w:t>
      </w:r>
      <w:hyperlink r:id="rId543">
        <w:r>
          <w:rPr>
            <w:color w:val="1155CC"/>
            <w:u w:val="single"/>
          </w:rPr>
          <w:t>内在形态手性控制金纳米粒子的自旋选择性</w:t>
        </w:r>
      </w:hyperlink>
    </w:p>
    <w:p>
      <w:pPr>
        <w:spacing w:before="0" w:after="80"/>
      </w:pPr>
      <w:r>
        <w:rPr>
          <w:i/>
          <w:sz w:val="20"/>
        </w:rPr>
        <w:t>EN: Intrinsic Morphological Chirality Governs Spin Selectivity in Gold Nanoparticles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44">
        <w:r>
          <w:rPr>
            <w:color w:val="1155CC"/>
            <w:u w:val="single"/>
          </w:rPr>
          <w:t>10.1021/jacs.6c12135</w:t>
        </w:r>
      </w:hyperlink>
    </w:p>
    <w:p>
      <w:pPr>
        <w:spacing w:before="0" w:after="120"/>
      </w:pPr>
      <w:r>
        <w:rPr>
          <w:b/>
        </w:rPr>
        <w:t xml:space="preserve">Notes: </w:t>
      </w:r>
      <w:r>
        <w:t>abstract_source=crossref</w:t>
      </w:r>
    </w:p>
    <w:p>
      <w:pPr>
        <w:spacing w:before="0" w:after="80" w:lineRule="auto" w:line="276"/>
      </w:pPr>
      <w:r>
        <w:rPr>
          <w:b/>
        </w:rPr>
        <w:t xml:space="preserve">摘要（ZH）: </w:t>
      </w:r>
      <w:r>
        <w:t>摘要 手性诱导自旋选择性（CISS）使手性材料能够产生自旋极化电流，但本质手性无机纳米结构中自旋选择性的结构起源仍不清楚。一个主要的机械挑战是确定表面配体的分子手性和无机核的固有三维手性如何各自影响自旋极化的符号和大小。在这里，我们使用半胱氨酸定向种子介导的手性金纳米颗粒（NP）生长来解决这一挑战。值得注意的是，通过半胱氨酸浓度的简单变化，相同的半胱氨酸对映体可以引导两种不同的本质手性形态的形成，即三八面体和花瓣立方体纳米颗粒。这种形态转变反转了有效等离子体旋向性，如圆二色性响应的符号所反映的，并且同时反转了自旋极化的符号。磁导探针原子力显微镜显示，L-半胱氨酸衍生的三八面体和花瓣立方体颗粒表现出相反的自旋选择性，尽管它们具有相同的手性配体。相比之下，用L-半胱氨酸修饰的非手性Au NP仅表现出较弱的自旋极化，比本质手性粒子小约1个数量级。通过结合系综圆二色性、单粒子圆差分散射、电磁模拟和自旋相关输运测量，我们表明自旋极化遵循单个粒子的局部形态旋向性</w:t>
      </w:r>
    </w:p>
    <w:p>
      <w:pPr>
        <w:spacing w:before="0" w:after="200" w:lineRule="auto" w:line="276"/>
      </w:pPr>
      <w:r>
        <w:rPr>
          <w:b/>
        </w:rPr>
        <w:t xml:space="preserve">Abstract (EN): </w:t>
      </w:r>
      <w:r>
        <w:t>Chirality-induced spin selectivity (CISS) enables chiral materials to generate spin-polarized currents, yet the structural origin of spin selectivity in intrinsically chiral inorganic nanostructures remains unclear. A central mechanistic challenge is to determine how the molecular chirality of surface ligands and the intrinsic three-dimensional chirality of the inorganic core each contribute to the sign and magnitude of spin polarization. Here we address this challenge using cysteine-directed seed-mediated growth of chiral Au nanoparticles (NPs). Remarkably, the same cysteine enantiomer directs the formation of two distinct intrinsically chiral morphologies, trisoctahedral and petal-cube-like nanoparticles, by a simple change in cysteine concentration. This morphology transition reverses the effective plasmonic handedness, as reflected by the sign of the circular dichroism response, and simultaneously reverses the sign of spin polarization. Magnetic conductive-probe atomic force microscopy shows that l-cysteine-derived trisoctahedral and petal-cube-like particles exhibit opposite spin selectivity, although they bear the same chiral ligand. In contrast, achiral Au NPs modified with l-cysteine show only weak spin polarization, approximately 1 order of magnitude smaller than that of intrinsically chiral particles. By combining ensemble circular dichroism, single-particle circular differential scattering, electromagnetic simulations, and spin-dependent transport measurements, we show that spin polarization follows the local morphological handedness of individual particles more closely than the ensemble-averaged chiroptical response. These results establish intrinsically chiral plasmonic NPs as a robust platform for CISS and demonstrate that the three-dimensional handedness of the metallic core, rather than ligand handedness alone, can dictate spin-selective charge transport.</w:t>
      </w:r>
    </w:p>
    <w:p>
      <w:pPr>
        <w:spacing w:before="120" w:after="120"/>
      </w:pPr>
      <w:r>
        <w:rPr>
          <w:sz w:val="18"/>
        </w:rPr>
        <w:t>——————————————————————————————————————————————————————————————————————</w:t>
      </w:r>
    </w:p>
    <w:p>
      <w:pPr>
        <w:spacing w:before="160" w:after="40" w:line="240" w:lineRule="auto"/>
      </w:pPr>
      <w:r>
        <w:rPr>
          <w:b/>
        </w:rPr>
        <w:t xml:space="preserve">[10] </w:t>
      </w:r>
      <w:hyperlink r:id="rId545">
        <w:r>
          <w:rPr>
            <w:color w:val="1155CC"/>
            <w:u w:val="single"/>
          </w:rPr>
          <w:t>基态黄素依赖性酶催化烯烃的形式氢膦酰化</w:t>
        </w:r>
      </w:hyperlink>
    </w:p>
    <w:p>
      <w:pPr>
        <w:spacing w:before="0" w:after="80"/>
      </w:pPr>
      <w:r>
        <w:rPr>
          <w:i/>
          <w:sz w:val="20"/>
        </w:rPr>
        <w:t>EN: Ground-State Flavin-Dependent Enzymatic Catalysis for Formal Hydrophosphinylation of Alkenes</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46">
        <w:r>
          <w:rPr>
            <w:color w:val="1155CC"/>
            <w:u w:val="single"/>
          </w:rPr>
          <w:t>10.1021/jacs.6c08848</w:t>
        </w:r>
      </w:hyperlink>
    </w:p>
    <w:p>
      <w:pPr>
        <w:spacing w:before="0" w:after="120"/>
      </w:pPr>
      <w:r>
        <w:rPr>
          <w:b/>
        </w:rPr>
        <w:t xml:space="preserve">Notes: </w:t>
      </w:r>
      <w:r>
        <w:t>abstract_source=crossref</w:t>
      </w:r>
    </w:p>
    <w:p>
      <w:pPr>
        <w:spacing w:before="0" w:after="80" w:lineRule="auto" w:line="276"/>
      </w:pPr>
      <w:r>
        <w:rPr>
          <w:b/>
        </w:rPr>
        <w:t xml:space="preserve">摘要（ZH）: </w:t>
      </w:r>
      <w:r>
        <w:t>摘要 有机磷化合物是一类重要的功能分子，在合成、催化和药物化学领域具有广泛的相关性。尽管它们很重要，但生物催化 C-P 键形成仍然很少见，仅从天然产物生物合成中发现了有限的例子。在这里，我们报告了一个先前未开发的生物催化平台，通过涉及膦酰基自由基中间体的黄素依赖性酶催化分子间自由基偶联来构建 C-P 键。该转化由基态 FMNhq 直接驱动，蛋白质工程能够对芳基取代烯烃、丙烯酸酯衍生的缺电子烯烃和代表性未活化烯烃的形式氢膦酰化进行立体发散控制。该工作将膦酰自由基化学引入黄素依赖性自由基生物催化中，为有机磷化合物的不对称合成提供了新策略。</w:t>
      </w:r>
    </w:p>
    <w:p>
      <w:pPr>
        <w:spacing w:before="0" w:after="200" w:lineRule="auto" w:line="276"/>
      </w:pPr>
      <w:r>
        <w:rPr>
          <w:b/>
        </w:rPr>
        <w:t xml:space="preserve">Abstract (EN): </w:t>
      </w:r>
      <w:r>
        <w:t>Organophosphorus compounds constitute an important class of functional molecules with broad relevance in synthesis, catalysis, and medicinal chemistry. Despite their importance, biocatalytic C–P bond formation remains rare, with only a limited number of examples identified from natural product biosynthesis. Here we report a previously unexplored biocatalytic platform for C–P bond construction through flavin-dependent enzyme-catalyzed intermolecular radical coupling involving phosphinoyl radical intermediates. The transformation is directly driven by ground-state FMNhq, and protein engineering enables stereodivergent control over the formal hydrophosphinylation of aryl-substituted alkenes, acrylate-derived electron-deficient alkenes, and representative unactivated alkenes. This work brings phosphinoyl radical chemistry into flavin-dependent radical biocatalysis and provides a new strategy for the asymmetric synthesis of organophosphorus compounds.</w:t>
      </w:r>
    </w:p>
    <w:p>
      <w:pPr>
        <w:spacing w:before="120" w:after="120"/>
      </w:pPr>
      <w:r>
        <w:rPr>
          <w:sz w:val="18"/>
        </w:rPr>
        <w:t>——————————————————————————————————————————————————————————————————————</w:t>
      </w:r>
    </w:p>
    <w:p>
      <w:pPr>
        <w:spacing w:before="160" w:after="40" w:line="240" w:lineRule="auto"/>
      </w:pPr>
      <w:r>
        <w:rPr>
          <w:b/>
        </w:rPr>
        <w:t xml:space="preserve">[11] </w:t>
      </w:r>
      <w:hyperlink r:id="rId547">
        <w:r>
          <w:rPr>
            <w:color w:val="1155CC"/>
            <w:u w:val="single"/>
          </w:rPr>
          <w:t>重新利用的 S-腺苷-l-甲硫氨酸合成酶介导胞苷-环醇天然产物组装</w:t>
        </w:r>
      </w:hyperlink>
    </w:p>
    <w:p>
      <w:pPr>
        <w:spacing w:before="0" w:after="80"/>
      </w:pPr>
      <w:r>
        <w:rPr>
          <w:i/>
          <w:sz w:val="20"/>
        </w:rPr>
        <w:t>EN: A Repurposed S -Adenosyl- l -Methionine Synthetase Mediates Cytidyl–Cyclitol Natural Product Assembly</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48">
        <w:r>
          <w:rPr>
            <w:color w:val="1155CC"/>
            <w:u w:val="single"/>
          </w:rPr>
          <w:t>10.1021/jacs.6c11487</w:t>
        </w:r>
      </w:hyperlink>
    </w:p>
    <w:p>
      <w:pPr>
        <w:spacing w:before="0" w:after="120"/>
      </w:pPr>
      <w:r>
        <w:rPr>
          <w:b/>
        </w:rPr>
        <w:t xml:space="preserve">Notes: </w:t>
      </w:r>
      <w:r>
        <w:t>abstract_source=crossref</w:t>
      </w:r>
    </w:p>
    <w:p>
      <w:pPr>
        <w:spacing w:before="0" w:after="80" w:lineRule="auto" w:line="276"/>
      </w:pPr>
      <w:r>
        <w:rPr>
          <w:b/>
        </w:rPr>
        <w:t xml:space="preserve">摘要（ZH）: </w:t>
      </w:r>
      <w:r>
        <w:t>摘要 核苷天然产物表现出多种化学结构和有效的生物活性，但产生其结构多样性的生物合成策略仍不完全清楚。在这里，我们阐明了胞苷环醇天然产物 K-563 及其衍生物的早期生物合成途径。环醇成分由肌醇 1-磷酸合酶 (MIPS) 家族酶 KesM 生成，随后使用胞苷 5'-三磷酸 (CTP) 通过 KesL 与胞苷部分偶联，然后在磷酸酶 KesI 和独特的脱氢酶复合物 KesJ/KesK 的催化下进行进一步修饰。 X射线晶体结构和诱变分析表明，KesL采用S-腺苷-l-蛋氨酸（SAM）合成酶的经典折叠，在初级代谢中催化L-蛋氨酸与5'-三磷酸腺苷（ATP）的腺苷化，而KesL活性位点被广泛重塑以接受以CTP为非典型底物对的环醇磷酸盐，从而生成胞苷-环醇核心结构。这项工作不仅扩展了核苷生物合成的化学逻辑，而且还展示了如何重新利用 SAM 合成酶样蛋白质支架来催化特殊的次级代谢物组装的不寻常的核苷转移反应。</w:t>
      </w:r>
    </w:p>
    <w:p>
      <w:pPr>
        <w:spacing w:before="0" w:after="200" w:lineRule="auto" w:line="276"/>
      </w:pPr>
      <w:r>
        <w:rPr>
          <w:b/>
        </w:rPr>
        <w:t xml:space="preserve">Abstract (EN): </w:t>
      </w:r>
      <w:r>
        <w:t>Nucleoside natural products exhibit diverse chemical architectures and potent biological activities, yet the biosynthetic strategies that generate their structural diversity remain incompletely understood. Here, we elucidate the early stage biosynthetic pathway of the cytidyl–cyclitol natural product K-563 and its derivatives. The cyclitol component is generated by the myo-inositol-1-phosphate synthase (MIPS) family enzyme KesM and is subsequently coupled to the cytidine moiety by KesL using cytidine 5′-triphosphate (CTP), followed by further modifications catalyzed by the phosphatase KesI and the unique dehydrogenase complex KesJ/KesK. The X-ray crystal structure and mutagenesis analyses reveal that KesL adopts the canonical fold of S-adenosyl-l-methionine (SAM) synthetases, which catalyze the adenosylation of l-methionine with adenosine 5′-triphosphate (ATP) in primary metabolism, while the KesL active site is extensively remodeled to accept the cyclitol phosphate with CTP as an atypical substrate pair, thereby generating the cytidyl–cyclitol core structure. This work not only expands the chemical logic of nucleoside biosynthesis but also demonstrates how the SAM synthetase-like protein scaffold is repurposed to catalyze an unusual nucleoside transfer reaction for specialized secondary metabolite assembly.</w:t>
      </w:r>
    </w:p>
    <w:p>
      <w:pPr>
        <w:spacing w:before="120" w:after="120"/>
      </w:pPr>
      <w:r>
        <w:rPr>
          <w:sz w:val="18"/>
        </w:rPr>
        <w:t>——————————————————————————————————————————————————————————————————————</w:t>
      </w:r>
    </w:p>
    <w:p>
      <w:pPr>
        <w:spacing w:before="160" w:after="40" w:line="240" w:lineRule="auto"/>
      </w:pPr>
      <w:r>
        <w:rPr>
          <w:b/>
        </w:rPr>
        <w:t xml:space="preserve">[12] </w:t>
      </w:r>
      <w:hyperlink r:id="rId549">
        <w:r>
          <w:rPr>
            <w:color w:val="1155CC"/>
            <w:u w:val="single"/>
          </w:rPr>
          <w:t>智能电力系统控制优化中并行计算策略的分布式对抗学习</w:t>
        </w:r>
      </w:hyperlink>
    </w:p>
    <w:p>
      <w:pPr>
        <w:spacing w:before="0" w:after="80"/>
      </w:pPr>
      <w:r>
        <w:rPr>
          <w:i/>
          <w:sz w:val="20"/>
        </w:rPr>
        <w:t>EN: Distributed adversarial learning for parallel computational strategies in intelligent power system control optimization</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550">
        <w:r>
          <w:rPr>
            <w:color w:val="1155CC"/>
            <w:u w:val="single"/>
          </w:rPr>
          <w:t>10.1016/j.apenergy.2026.128670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551">
        <w:r>
          <w:rPr>
            <w:color w:val="1155CC"/>
            <w:u w:val="single"/>
          </w:rPr>
          <w:t>利用神经网络的凸性进行分布式能源动态运行包络线优化</w:t>
        </w:r>
      </w:hyperlink>
    </w:p>
    <w:p>
      <w:pPr>
        <w:spacing w:before="0" w:after="80"/>
      </w:pPr>
      <w:r>
        <w:rPr>
          <w:i/>
          <w:sz w:val="20"/>
        </w:rPr>
        <w:t>EN: Exploiting convexity of neural networks in dynamic operating envelope optimization for distributed energy resources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552">
        <w:r>
          <w:rPr>
            <w:color w:val="1155CC"/>
            <w:u w:val="single"/>
          </w:rPr>
          <w:t>10.1016/j.apenergy.2026.128579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553">
        <w:r>
          <w:rPr>
            <w:color w:val="1155CC"/>
            <w:u w:val="single"/>
          </w:rPr>
          <w:t>质子耦合电子转移：一种被忽视的以噻吨酮作为光催化剂引发化学反应的途径</w:t>
        </w:r>
      </w:hyperlink>
    </w:p>
    <w:p>
      <w:pPr>
        <w:spacing w:before="0" w:after="80"/>
      </w:pPr>
      <w:r>
        <w:rPr>
          <w:i/>
          <w:sz w:val="20"/>
        </w:rPr>
        <w:t>EN: Proton-Coupled Electron Transfer: An Overlooked Pathway for Initiating Chemical Reactivity with Thioxanthone as a Photocatalyst</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54">
        <w:r>
          <w:rPr>
            <w:color w:val="1155CC"/>
            <w:u w:val="single"/>
          </w:rPr>
          <w:t>10.1021/jacs.6c11574</w:t>
        </w:r>
      </w:hyperlink>
    </w:p>
    <w:p>
      <w:pPr>
        <w:spacing w:before="0" w:after="120"/>
      </w:pPr>
      <w:r>
        <w:rPr>
          <w:b/>
        </w:rPr>
        <w:t xml:space="preserve">Notes: </w:t>
      </w:r>
      <w:r>
        <w:t>abstract_source=crossref</w:t>
      </w:r>
    </w:p>
    <w:p>
      <w:pPr>
        <w:spacing w:before="0" w:after="80" w:lineRule="auto" w:line="276"/>
      </w:pPr>
      <w:r>
        <w:rPr>
          <w:b/>
        </w:rPr>
        <w:t xml:space="preserve">摘要（ZH）: </w:t>
      </w:r>
      <w:r>
        <w:t>摘要 噻吨酮是一种著名的光催化剂，它被证明可以参与基于光化学转化反应底物的质子耦合电子转移。可以操纵这种反应模式来克服电子转移途径的吸能性，从而通过形成硫代蒽基羰基自由基来产生化学反应性。</w:t>
      </w:r>
    </w:p>
    <w:p>
      <w:pPr>
        <w:spacing w:before="0" w:after="200" w:lineRule="auto" w:line="276"/>
      </w:pPr>
      <w:r>
        <w:rPr>
          <w:b/>
        </w:rPr>
        <w:t xml:space="preserve">Abstract (EN): </w:t>
      </w:r>
      <w:r>
        <w:t>Thioxanthone, a well-known photocatalyst, is shown to participate in proton-coupled electron transfer based on the reactive substrate employed in photochemical transformation. This mode of reactivity can be manipulated to overcome the endergonicity of electron transfer pathways, leading to chemical reactivity via the formation of a thioxanthyl ketyl radical.</w:t>
      </w:r>
    </w:p>
    <w:p>
      <w:pPr>
        <w:spacing w:before="120" w:after="120"/>
      </w:pPr>
      <w:r>
        <w:rPr>
          <w:sz w:val="18"/>
        </w:rPr>
        <w:t>——————————————————————————————————————————————————————————————————————</w:t>
      </w:r>
    </w:p>
    <w:p>
      <w:pPr>
        <w:spacing w:before="160" w:after="40" w:line="240" w:lineRule="auto"/>
      </w:pPr>
      <w:r>
        <w:rPr>
          <w:b/>
        </w:rPr>
        <w:t xml:space="preserve">[15] </w:t>
      </w:r>
      <w:hyperlink r:id="rId555">
        <w:r>
          <w:rPr>
            <w:color w:val="1155CC"/>
            <w:u w:val="single"/>
          </w:rPr>
          <w:t>由萘醌稠合 N-杂环卡宾实现的 1,2-二羰基支架中氧化还原控制的自旋态从 S = 0 到 S = 3/2</w:t>
        </w:r>
      </w:hyperlink>
    </w:p>
    <w:p>
      <w:pPr>
        <w:spacing w:before="0" w:after="80"/>
      </w:pPr>
      <w:r>
        <w:rPr>
          <w:i/>
          <w:sz w:val="20"/>
        </w:rPr>
        <w:t>EN: Redox-Controlled Access to Spin States from S = 0 to S = 3/2 in a 1,2-Dicarbonyl Scaffold Enabled by a Naphthoquinone-Fused N-Heterocyclic Carbene</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56">
        <w:r>
          <w:rPr>
            <w:color w:val="1155CC"/>
            <w:u w:val="single"/>
          </w:rPr>
          <w:t>10.1021/jacs.6c13908</w:t>
        </w:r>
      </w:hyperlink>
    </w:p>
    <w:p>
      <w:pPr>
        <w:spacing w:before="0" w:after="120"/>
      </w:pPr>
      <w:r>
        <w:rPr>
          <w:b/>
        </w:rPr>
        <w:t xml:space="preserve">Notes: </w:t>
      </w:r>
      <w:r>
        <w:t>abstract_source=crossref</w:t>
      </w:r>
    </w:p>
    <w:p>
      <w:pPr>
        <w:spacing w:before="0" w:after="80" w:lineRule="auto" w:line="276"/>
      </w:pPr>
      <w:r>
        <w:rPr>
          <w:b/>
        </w:rPr>
        <w:t xml:space="preserve">摘要（ZH）: </w:t>
      </w:r>
      <w:r>
        <w:t>摘要 单线态卡宾已成为持久性有机自由基的强大稳定配体。然而，它们在可控高自旋有机系统中的应用在很大程度上仍未得到探索。在此，我们报道了一种由氧化还原活性萘醌稠合卡宾支持的空气和热稳定的1,2-二羰基自由基阳离子，作为模块化平台，用于在单个有机支架内访问从反磁性S = 0到四重态S = 3/2状态的交换耦合自旋流形。自由基阳离子在-2至+1 V窗口内表现出三个可逆氧化还原事件，从而实现连续的单电子氧化和还原过程，从而系统地调节自旋多重性。分子轨道分析表明，吸电子萘醌取代基稳定了 LUMO 和 LUMO+1，导致 SUMO–LUMO 和 SUMO–LUMO+1 能量顺序反转。这种不寻常的轨道排列有助于逐步将电子吸收到空间上不同的自由基位点，并能够系统地获得多种自旋态。所有四种氧化还原态均被分离并全面表征，而开壳层态则通过多频连续波和脉冲 EPR 光谱、ENDOR 和密度泛函理论计算进行询问。光谱分析表明，高自旋态的形成保留了局部激进特征，同时在扩展的自旋流形上实现了适度的铁磁交换耦合。这些发现建立了在单个氧化还原活性分子内可控高自旋有机自由基的分子设计策略</w:t>
      </w:r>
    </w:p>
    <w:p>
      <w:pPr>
        <w:spacing w:before="0" w:after="200" w:lineRule="auto" w:line="276"/>
      </w:pPr>
      <w:r>
        <w:rPr>
          <w:b/>
        </w:rPr>
        <w:t xml:space="preserve">Abstract (EN): </w:t>
      </w:r>
      <w:r>
        <w:t>Singlet carbenes have emerged as powerful stabilizing ligands for persistent organic radicals; however, their application toward controllable high-spin organic systems remains largely unexplored. Herein, we report an air- and thermally stable 1,2-dicarbonyl radical cation supported by a redox-active naphthoquinone-fused carbene as a modular platform for accessing exchange-coupled spin manifolds spanning from diamagnetic S = 0 to quartet S = 3/2 states within a single organic scaffold. The radical cation exhibits three reversible redox events within the −2 to +1 V window, enabling sequential one-electron oxidation and reduction processes that systematically modulate spin multiplicity. Molecular orbital analysis reveals that electron-withdrawing naphthoquinone substituents stabilize the LUMO and LUMO+1, resulting in inversion of the SUMO–LUMO and SUMO–LUMO+1 energy ordering. This unusual orbital arrangement facilitates stepwise electron uptake into spatially distinct radical sites and enables systematic access to multiple spin states. All four redox states were isolated and comprehensively characterized, while the open-shell states were interrogated by multifrequency cw- and pulse-EPR spectroscopy, ENDOR, and density functional theory calculations. Spectroscopic analyses reveal that formation of higher-spin states preserves local radical character while enabling moderate ferromagnetic exchange coupling across expanded spin manifolds. These findings establish a molecular design strategy for controllable high-spin organic radicals within a single redox-active molecular framework.</w:t>
      </w:r>
    </w:p>
    <w:p>
      <w:pPr>
        <w:spacing w:before="120" w:after="120"/>
      </w:pPr>
      <w:r>
        <w:rPr>
          <w:sz w:val="18"/>
        </w:rPr>
        <w:t>——————————————————————————————————————————————————————————————————————</w:t>
      </w:r>
    </w:p>
    <w:p>
      <w:pPr>
        <w:spacing w:before="160" w:after="40" w:line="240" w:lineRule="auto"/>
      </w:pPr>
      <w:r>
        <w:rPr>
          <w:b/>
        </w:rPr>
        <w:t xml:space="preserve">[16] </w:t>
      </w:r>
      <w:hyperlink r:id="rId557">
        <w:r>
          <w:rPr>
            <w:color w:val="1155CC"/>
            <w:u w:val="single"/>
          </w:rPr>
          <w:t>印度洋偶极子的两种不同类型</w:t>
        </w:r>
      </w:hyperlink>
    </w:p>
    <w:p>
      <w:pPr>
        <w:spacing w:before="0" w:after="80"/>
      </w:pPr>
      <w:r>
        <w:rPr>
          <w:i/>
          <w:sz w:val="20"/>
        </w:rPr>
        <w:t>EN: Two distinct types of the Indian ocean dipole</w:t>
      </w:r>
    </w:p>
    <w:p>
      <w:pPr>
        <w:spacing w:before="0" w:after="120"/>
      </w:pPr>
      <w:r>
        <w:rPr>
          <w:b/>
        </w:rPr>
        <w:t xml:space="preserve">Source: </w:t>
      </w:r>
      <w:r>
        <w:t>National Science Review Advance Access</w:t>
      </w:r>
      <w:r>
        <w:t xml:space="preserve">    </w:t>
      </w:r>
      <w:r>
        <w:rPr>
          <w:b/>
        </w:rPr>
        <w:t xml:space="preserve">Pub date: </w:t>
      </w:r>
      <w:r>
        <w:t>2026-08-21 00:00:00+00:00</w:t>
      </w:r>
      <w:r>
        <w:t xml:space="preserve">    </w:t>
      </w:r>
      <w:r>
        <w:rPr>
          <w:b/>
        </w:rPr>
        <w:t xml:space="preserve">DOI: </w:t>
      </w:r>
      <w:hyperlink r:id="rId558">
        <w:r>
          <w:rPr>
            <w:color w:val="1155CC"/>
            <w:u w:val="single"/>
          </w:rPr>
          <w:t>10.1093/nsr/nwag519</w:t>
        </w:r>
      </w:hyperlink>
    </w:p>
    <w:p>
      <w:pPr>
        <w:spacing w:before="0" w:after="120"/>
      </w:pPr>
      <w:r>
        <w:rPr>
          <w:b/>
        </w:rPr>
        <w:t xml:space="preserve">Notes: </w:t>
      </w:r>
      <w:r>
        <w:t>abstract_source=rss_oup</w:t>
      </w:r>
    </w:p>
    <w:p>
      <w:pPr>
        <w:spacing w:before="0" w:after="80" w:lineRule="auto" w:line="276"/>
      </w:pPr>
      <w:r>
        <w:rPr>
          <w:b/>
        </w:rPr>
        <w:t xml:space="preserve">摘要（ZH）: </w:t>
      </w:r>
      <w:r>
        <w:t>印度洋偶极子（IOD）传统上由热带西印度洋和东印度洋之间的海面温度（SST）异常梯度定义，这里揭示了由两种不同的类型组成。采用标准差分析和海温模态组合等多种系统方法，我们确定了西-东型和中-东型，并通过海温异常模式、季节演变和反馈机制来区分。由于强但延迟的风-温跃层-海温反馈，西-东型在北秋季较晚达到峰值，而中-东型则较早达到峰值，受较弱且较早的反馈控制。至关重要的是，近几十年来，积极的西东类型——与传统的 IOD 相比，与东非降雨量增加的关系更为密切——已经加剧，增加了整个东非与降雨相关的灾害的风险。这些发现完善了 IOD 的概念框架，并强调了其不断变化的特征所带来的日益严重的气候危害。</w:t>
      </w:r>
    </w:p>
    <w:p>
      <w:pPr>
        <w:spacing w:before="0" w:after="200" w:lineRule="auto" w:line="276"/>
      </w:pPr>
      <w:r>
        <w:rPr>
          <w:b/>
        </w:rPr>
        <w:t xml:space="preserve">Abstract (EN): </w:t>
      </w:r>
      <w:r>
        <w:t>The Indian Ocean Dipole (IOD), traditionally defined by the sea surface temperature (SST) anomaly gradient between the tropical western and eastern Indian Ocean, is revealed here to comprise two distinct types. Using multiple systematic approaches, including standard deviation analysis and SST mode combinations, we identify a western–eastern type and a central–eastern type, distinguished by their SST anomaly patterns, seasonal evolution, and feedback mechanisms. The western–eastern type reaches its peak later in boreal autumn due to a strong but delayed wind–thermocline–SST feedback, whereas the central–eastern type peaks earlier, governed by a weaker and earlier feedback. Crucially, the positive western–eastern type—more strongly linked to enhanced East African rainfall than the traditional IOD—has intensified in recent decades, heightening the risk of rainfall-related disasters across East Africa. These findings refine the conceptual framework of the IOD and underscore the growing climate hazard posed by its changing characteristics.</w:t>
      </w:r>
    </w:p>
    <w:p>
      <w:pPr>
        <w:spacing w:before="120" w:after="120"/>
      </w:pPr>
      <w:r>
        <w:rPr>
          <w:sz w:val="18"/>
        </w:rPr>
        <w:t>——————————————————————————————————————————————————————————————————————</w:t>
      </w:r>
    </w:p>
    <w:p>
      <w:pPr>
        <w:spacing w:before="160" w:after="40" w:line="240" w:lineRule="auto"/>
      </w:pPr>
      <w:r>
        <w:rPr>
          <w:b/>
        </w:rPr>
        <w:t xml:space="preserve">[17] </w:t>
      </w:r>
      <w:hyperlink r:id="rId559">
        <w:r>
          <w:rPr>
            <w:color w:val="1155CC"/>
            <w:u w:val="single"/>
          </w:rPr>
          <w:t>机器人返回</w:t>
        </w:r>
      </w:hyperlink>
    </w:p>
    <w:p>
      <w:pPr>
        <w:spacing w:before="0" w:after="80"/>
      </w:pPr>
      <w:r>
        <w:rPr>
          <w:i/>
          <w:sz w:val="20"/>
        </w:rPr>
        <w:t>EN: Robot return</w:t>
      </w:r>
    </w:p>
    <w:p>
      <w:pPr>
        <w:spacing w:before="0" w:after="120"/>
      </w:pPr>
      <w:r>
        <w:rPr>
          <w:b/>
        </w:rPr>
        <w:t xml:space="preserve">Source: </w:t>
      </w:r>
      <w:r>
        <w:t>Nature Electronics</w:t>
      </w:r>
      <w:r>
        <w:t xml:space="preserve">    </w:t>
      </w:r>
      <w:r>
        <w:rPr>
          <w:b/>
        </w:rPr>
        <w:t xml:space="preserve">Pub date: </w:t>
      </w:r>
      <w:r>
        <w:t>2026-08-21 00:00:00+00:00</w:t>
      </w:r>
      <w:r>
        <w:t xml:space="preserve">    </w:t>
      </w:r>
      <w:r>
        <w:rPr>
          <w:b/>
        </w:rPr>
        <w:t xml:space="preserve">DOI: </w:t>
      </w:r>
      <w:hyperlink r:id="rId560">
        <w:r>
          <w:rPr>
            <w:color w:val="1155CC"/>
            <w:u w:val="single"/>
          </w:rPr>
          <w:t>10.1038/s41928-026-01697-y</w:t>
        </w:r>
      </w:hyperlink>
    </w:p>
    <w:p>
      <w:pPr>
        <w:spacing w:before="0" w:after="120"/>
      </w:pPr>
      <w:r>
        <w:rPr>
          <w:b/>
        </w:rPr>
        <w:t xml:space="preserve">Notes: </w:t>
      </w:r>
      <w:r>
        <w:t>abstract_source=rss_nature</w:t>
      </w:r>
    </w:p>
    <w:p>
      <w:pPr>
        <w:spacing w:before="0" w:after="80" w:lineRule="auto" w:line="276"/>
      </w:pPr>
      <w:r>
        <w:rPr>
          <w:b/>
        </w:rPr>
        <w:t xml:space="preserve">摘要（ZH）: </w:t>
      </w:r>
      <w:r>
        <w:t>机器人领域持续快速发展，为该技术创造了新的应用，并为其成功部署带来了新的挑战。</w:t>
      </w:r>
    </w:p>
    <w:p>
      <w:pPr>
        <w:spacing w:before="0" w:after="200" w:lineRule="auto" w:line="276"/>
      </w:pPr>
      <w:r>
        <w:rPr>
          <w:b/>
        </w:rPr>
        <w:t xml:space="preserve">Abstract (EN): </w:t>
      </w:r>
      <w:r>
        <w:t>The field of robotics continues to advance rapidly, creating new applications for the technology and new challenges for its successful deployment.</w:t>
      </w:r>
    </w:p>
    <w:p>
      <w:pPr>
        <w:spacing w:before="120" w:after="120"/>
      </w:pPr>
      <w:r>
        <w:rPr>
          <w:sz w:val="18"/>
        </w:rPr>
        <w:t>——————————————————————————————————————————————————————————————————————</w:t>
      </w:r>
    </w:p>
    <w:p>
      <w:pPr>
        <w:spacing w:before="160" w:after="40" w:line="240" w:lineRule="auto"/>
      </w:pPr>
      <w:r>
        <w:rPr>
          <w:b/>
        </w:rPr>
        <w:t xml:space="preserve">[18] </w:t>
      </w:r>
      <w:hyperlink r:id="rId561">
        <w:r>
          <w:rPr>
            <w:color w:val="1155CC"/>
            <w:u w:val="single"/>
          </w:rPr>
          <w:t>基因靶向染料点亮细胞特异性非生物合成</w:t>
        </w:r>
      </w:hyperlink>
    </w:p>
    <w:p>
      <w:pPr>
        <w:spacing w:before="0" w:after="80"/>
      </w:pPr>
      <w:r>
        <w:rPr>
          <w:i/>
          <w:sz w:val="20"/>
        </w:rPr>
        <w:t>EN: Genetically targeted dyes light up cell-specific abiotic synthesis</w:t>
      </w:r>
    </w:p>
    <w:p>
      <w:pPr>
        <w:spacing w:before="0" w:after="120"/>
      </w:pPr>
      <w:r>
        <w:rPr>
          <w:b/>
        </w:rPr>
        <w:t xml:space="preserve">Source: </w:t>
      </w:r>
      <w:r>
        <w:t>Nature Chemistry</w:t>
      </w:r>
      <w:r>
        <w:t xml:space="preserve">    </w:t>
      </w:r>
      <w:r>
        <w:rPr>
          <w:b/>
        </w:rPr>
        <w:t xml:space="preserve">Pub date: </w:t>
      </w:r>
      <w:r>
        <w:t>2026-08-21 00:00:00+00:00</w:t>
      </w:r>
      <w:r>
        <w:t xml:space="preserve">    </w:t>
      </w:r>
      <w:r>
        <w:rPr>
          <w:b/>
        </w:rPr>
        <w:t xml:space="preserve">DOI: </w:t>
      </w:r>
      <w:hyperlink r:id="rId562">
        <w:r>
          <w:rPr>
            <w:color w:val="1155CC"/>
            <w:u w:val="single"/>
          </w:rPr>
          <w:t>10.1038/s41557-026-02230-6</w:t>
        </w:r>
      </w:hyperlink>
    </w:p>
    <w:p>
      <w:pPr>
        <w:spacing w:before="0" w:after="120"/>
      </w:pPr>
      <w:r>
        <w:rPr>
          <w:b/>
        </w:rPr>
        <w:t xml:space="preserve">Notes: </w:t>
      </w:r>
      <w:r>
        <w:t>abstract_source=rss_nature</w:t>
      </w:r>
    </w:p>
    <w:p>
      <w:pPr>
        <w:spacing w:before="0" w:after="80" w:lineRule="auto" w:line="276"/>
      </w:pPr>
      <w:r>
        <w:rPr>
          <w:b/>
        </w:rPr>
        <w:t xml:space="preserve">摘要（ZH）: </w:t>
      </w:r>
      <w:r>
        <w:t>生物正交化学极大地提高了我们探索和操纵生物系统的能力。现在，基因靶向光催化策略能够在特定细胞类型和亚细胞区室中进行空间控制的非天然有机转化，将非生物反应性与生物精度结合起来。</w:t>
      </w:r>
    </w:p>
    <w:p>
      <w:pPr>
        <w:spacing w:before="0" w:after="200" w:lineRule="auto" w:line="276"/>
      </w:pPr>
      <w:r>
        <w:rPr>
          <w:b/>
        </w:rPr>
        <w:t xml:space="preserve">Abstract (EN): </w:t>
      </w:r>
      <w:r>
        <w:t>Bioorthogonal chemistry has greatly advanced our ability to explore and manipulate biological systems. Now, a genetically targeted photocatalytic strategy enables spatially controlled, non-natural organic transformations in specific cell types and subcellular compartments, combining abiotic reactivity with biological precision.</w:t>
      </w:r>
    </w:p>
    <w:p>
      <w:pPr>
        <w:spacing w:before="120" w:after="120"/>
      </w:pPr>
      <w:r>
        <w:rPr>
          <w:sz w:val="18"/>
        </w:rPr>
        <w:t>——————————————————————————————————————————————————————————————————————</w:t>
      </w:r>
    </w:p>
    <w:p>
      <w:pPr>
        <w:spacing w:before="160" w:after="40" w:line="240" w:lineRule="auto"/>
      </w:pPr>
      <w:r>
        <w:rPr>
          <w:b/>
        </w:rPr>
        <w:t xml:space="preserve">[19] </w:t>
      </w:r>
      <w:hyperlink r:id="rId563">
        <w:r>
          <w:rPr>
            <w:color w:val="1155CC"/>
            <w:u w:val="single"/>
          </w:rPr>
          <w:t>使用元深度传感器进行高吞吐量和精确的跨尺度 3D 传感</w:t>
        </w:r>
      </w:hyperlink>
    </w:p>
    <w:p>
      <w:pPr>
        <w:spacing w:before="0" w:after="80"/>
      </w:pPr>
      <w:r>
        <w:rPr>
          <w:i/>
          <w:sz w:val="20"/>
        </w:rPr>
        <w:t>EN: High-throughput and accurate cross-scale 3D sensing with a meta-depth sensor</w:t>
      </w:r>
    </w:p>
    <w:p>
      <w:pPr>
        <w:spacing w:before="0" w:after="120"/>
      </w:pPr>
      <w:r>
        <w:rPr>
          <w:b/>
        </w:rPr>
        <w:t xml:space="preserve">Source: </w:t>
      </w:r>
      <w:r>
        <w:t>National Science Review Advance Access</w:t>
      </w:r>
      <w:r>
        <w:t xml:space="preserve">    </w:t>
      </w:r>
      <w:r>
        <w:rPr>
          <w:b/>
        </w:rPr>
        <w:t xml:space="preserve">Pub date: </w:t>
      </w:r>
      <w:r>
        <w:t>2026-08-21 00:00:00+00:00</w:t>
      </w:r>
      <w:r>
        <w:t xml:space="preserve">    </w:t>
      </w:r>
      <w:r>
        <w:rPr>
          <w:b/>
        </w:rPr>
        <w:t xml:space="preserve">DOI: </w:t>
      </w:r>
      <w:hyperlink r:id="rId564">
        <w:r>
          <w:rPr>
            <w:color w:val="1155CC"/>
            <w:u w:val="single"/>
          </w:rPr>
          <w:t>10.1093/nsr/nwag524</w:t>
        </w:r>
      </w:hyperlink>
    </w:p>
    <w:p>
      <w:pPr>
        <w:spacing w:before="0" w:after="120"/>
      </w:pPr>
      <w:r>
        <w:rPr>
          <w:b/>
        </w:rPr>
        <w:t xml:space="preserve">Notes: </w:t>
      </w:r>
      <w:r>
        <w:t>abstract_source=rss_oup</w:t>
      </w:r>
    </w:p>
    <w:p>
      <w:pPr>
        <w:spacing w:before="0" w:after="80" w:lineRule="auto" w:line="276"/>
      </w:pPr>
      <w:r>
        <w:rPr>
          <w:b/>
        </w:rPr>
        <w:t xml:space="preserve">摘要（ZH）: </w:t>
      </w:r>
      <w:r>
        <w:t>深度传感已广泛应用于工业检测、交通运输、消费电子等领域。然而，现有方法仍然面临深度精度和数据吞吐量之间固有的权衡。在这里，我们提出了一种元成像深度传感器（MDS），这是一种完全被动的单眼模式，它通过像差鲁棒视差深度校准和视觉基础模型超越了这一限制，基于扫描光场成像系统支持精细增益的 3D 测距。我们的系统将高通量视差估计和基础模型的海量数据相结合，可实现0.1米至500米深度范围内的高精度细粒度度量深度估计。实验验证表明，1.5 米距离处的绝对深度精度为 2.5 毫米（相对误差为 0.18%），分辨率为 3 兆像素，精度比传统光场深度传感器高出 7 倍，空间分辨率比传统光场深度传感器高出 5 倍，而虚拟扫描技术不会牺牲成像速度。与商用激光雷达系统相比，我们还实现了 500 米距离的抗湍流远程深度传感，空间采样率明显更高，235 米距离的深度估计精度为 0.7 m。通过将被动成像的吞吐量优势与物理感知神经回归的高精度深度估计能力相结合，所提出的 MDS 为跨尺度的高保真被动 3D 传感建立了可扩展的范式，其应用范围从工业检测到自动驾驶。</w:t>
      </w:r>
    </w:p>
    <w:p>
      <w:pPr>
        <w:spacing w:before="0" w:after="200" w:lineRule="auto" w:line="276"/>
      </w:pPr>
      <w:r>
        <w:rPr>
          <w:b/>
        </w:rPr>
        <w:t xml:space="preserve">Abstract (EN): </w:t>
      </w:r>
      <w:r>
        <w:t>Depth sensing has been widely applied in industrial inspection, transportation, and consumer electronics. However, existing methods still face an inherent trade-off between depth precision and data throughput. Here, we present a meta-imaging-empowered depth sensor (MDS), a fully passive and monocular modality, that transcends this limitation through aberration robust disparity-depth calibration and vision foundation model empowered fine-gained 3D ranging based on a scanning light-field imaging system. Our system synergizes high-throughput disparity estimation and massive data prior of foundation model, enabling high-precision fine-grained metric depth estimation across depth ranges from 0.1 meter to 500 meters. Experimental validation demonstrates 2.5-mm absolute depth precision at 1.5-m distance (0.18% relative error) and 3-megapixel resolution, outperforming conventional light-field depth sensors by 7 times in accuracy and 5 times in spatial resolution without sacrificing imaging speed with a virtual scanning technique. We also achieve turbulence-robust remote depth sensing at the 500-m distance with a significantly denser spatial sampling rate compared with commercial LiDAR systems, and a depth estimation precision of 0.7 m at 235 m distance. By unifying the throughput advantages of passive imaging with high-precision depth estimation ability of physics-aware neural regression, the proposed MDS establishes a scalable paradigm for high-fidelity passive 3D sensing across scales, with applications ranging from industrial inspection to autonomous driving.</w:t>
      </w:r>
    </w:p>
    <w:p>
      <w:pPr>
        <w:spacing w:before="120" w:after="120"/>
      </w:pPr>
      <w:r>
        <w:rPr>
          <w:sz w:val="18"/>
        </w:rPr>
        <w:t>——————————————————————————————————————————————————————————————————————</w:t>
      </w:r>
    </w:p>
    <w:p>
      <w:pPr>
        <w:spacing w:before="160" w:after="40" w:line="240" w:lineRule="auto"/>
      </w:pPr>
      <w:r>
        <w:rPr>
          <w:b/>
        </w:rPr>
        <w:t xml:space="preserve">[20] </w:t>
      </w:r>
      <w:hyperlink r:id="rId565">
        <w:r>
          <w:rPr>
            <w:color w:val="1155CC"/>
            <w:u w:val="single"/>
          </w:rPr>
          <w:t>酷暑寒潮下的电力负荷预测</w:t>
        </w:r>
      </w:hyperlink>
    </w:p>
    <w:p>
      <w:pPr>
        <w:spacing w:before="0" w:after="80"/>
      </w:pPr>
      <w:r>
        <w:rPr>
          <w:i/>
          <w:sz w:val="20"/>
        </w:rPr>
        <w:t>EN: Electricity load forecasting under extreme heat and cold waves</w:t>
      </w:r>
    </w:p>
    <w:p>
      <w:pPr>
        <w:spacing w:before="0" w:after="120"/>
      </w:pPr>
      <w:r>
        <w:rPr>
          <w:b/>
        </w:rPr>
        <w:t xml:space="preserve">Source: </w:t>
      </w:r>
      <w:r>
        <w:t>Scientific community and society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极端的热浪和寒潮可能会使电力需求超出电力系统常规规划的条件，从而增加电力短缺和停电的风险。因此，准确的负荷预测至关重要，因为它们可以为运营商提供保持供需平衡所需的准备时间。由于此类事件很少见，因此预测模型主要在普通天气条件下进行训练，并且在极端情况下需求模式发生变化时通常会失败。在这里，我们展示了极端综合解缠预测（Extreme Synthesis-Disentanglement Forecasting），这是一种以数据为中心的方法，可以生成极端天气的真实示例并对其进行过滤以保留可靠的需求信号，从而改善热浪和寒潮下的电力负荷预测。在来自 6 个地区的 80 个真实世界数据集中，与领先模型相比，该方法将预测误差的两个标准指标分别降低了 9.8-33.5% 和 7.5-34.5%。这些改进提供了一种实用的方法，可以在极端气候加剧时支持更可靠的电力系统运行。</w:t>
      </w:r>
    </w:p>
    <w:p>
      <w:pPr>
        <w:spacing w:before="0" w:after="200" w:lineRule="auto" w:line="276"/>
      </w:pPr>
      <w:r>
        <w:rPr>
          <w:b/>
        </w:rPr>
        <w:t xml:space="preserve">Abstract (EN): </w:t>
      </w:r>
      <w:r>
        <w:t>Extreme heat and cold waves can push electricity demand beyond the conditions for which power systems are routinely planned, increasing the risk of shortages and blackouts. Accurate load forecasts are therefore critical because they give operators the lead time needed to keep supply and demand in balance. Because such events are rare, forecasting models are trained mostly on ordinary weather conditions and often fail when demand patterns shift during extremes. Here we show that Extreme Synthesis-Disentanglement Forecasting, a data-centered approach that generates realistic examples of extreme weather and filters them to retain reliable demand signals, improves electricity load forecasting under heat and cold waves. Across 80 real-world datasets from six regions, this approach reduces two standard measures of forecasting error by 9.8–33.5% and 7.5–34.5%, respectively, compared with leading models. These improvements offer a practical way to support more reliable power-system operation as climate extremes intensify.</w:t>
      </w:r>
    </w:p>
    <w:p>
      <w:pPr>
        <w:spacing w:before="120" w:after="120"/>
      </w:pPr>
      <w:r>
        <w:rPr>
          <w:sz w:val="18"/>
        </w:rPr>
        <w:t>——————————————————————————————————————————————————————————————————————</w:t>
      </w:r>
    </w:p>
    <w:p>
      <w:pPr>
        <w:spacing w:before="160" w:after="40" w:line="240" w:lineRule="auto"/>
      </w:pPr>
      <w:r>
        <w:rPr>
          <w:b/>
        </w:rPr>
        <w:t xml:space="preserve">[21] </w:t>
      </w:r>
      <w:hyperlink r:id="rId566">
        <w:r>
          <w:rPr>
            <w:color w:val="1155CC"/>
            <w:u w:val="single"/>
          </w:rPr>
          <w:t>用于柔性压电电子学的应变弹性 Janus 异双层的界面对称性和静电稳定性</w:t>
        </w:r>
      </w:hyperlink>
    </w:p>
    <w:p>
      <w:pPr>
        <w:spacing w:before="0" w:after="80"/>
      </w:pPr>
      <w:r>
        <w:rPr>
          <w:i/>
          <w:sz w:val="20"/>
        </w:rPr>
        <w:t>EN: Interface Symmetry and Electrostatic Stabilization of Strain-Resilient Janus Heterobilayers for Flexible Piezotronics</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567">
        <w:r>
          <w:rPr>
            <w:color w:val="1155CC"/>
            <w:u w:val="single"/>
          </w:rPr>
          <w:t>10.1021/acsami.6c11177</w:t>
        </w:r>
      </w:hyperlink>
    </w:p>
    <w:p>
      <w:pPr>
        <w:spacing w:before="0" w:after="120"/>
      </w:pPr>
      <w:r>
        <w:rPr>
          <w:b/>
        </w:rPr>
        <w:t xml:space="preserve">Notes: </w:t>
      </w:r>
      <w:r>
        <w:t>abstract_source=crossref</w:t>
      </w:r>
    </w:p>
    <w:p>
      <w:pPr>
        <w:spacing w:before="0" w:after="80" w:lineRule="auto" w:line="276"/>
      </w:pPr>
      <w:r>
        <w:rPr>
          <w:b/>
        </w:rPr>
        <w:t xml:space="preserve">摘要（ZH）: </w:t>
      </w:r>
      <w:r>
        <w:t>摘要 传统二维过渡金属二硫属化物（TMD）的电子结构对晶格变形高度敏感，通常会导致间接到直接带隙转变，从而影响柔性纳米电子应用的性能。 Janus TMD 具有破缺镜面对称性和固有的面外偶极子，为静电调谐提供了一个有前途的替代平台。然而，它们在应变下的电子稳定性以及硫族元素堆积序列在异质结构中的作用仍然知之甚少。在这里，我们从第一原理研究了 MoSSe/WSSe 异质双层的应变容限和压电特性。通过检查不同的配置，我们证明界面化学强烈调节层间耦合、动态电荷重新分布和偶极子相互作用。重要的是，本征电场和界面静电的综合效应有效抑制了传统 TMD 典型的应变引起的带隙跃迁。此外，虽然面内压电响应对堆叠顺序几乎不敏感，但剪切压电系数在很大程度上取决于界面对称性，并且可以通过应变调制进行有效调整。我们的结果强调界面工程是为下一代柔性光电、谷电子和压电器件设计应变弹性 Janus 异质结构的有力途径。</w:t>
      </w:r>
    </w:p>
    <w:p>
      <w:pPr>
        <w:spacing w:before="0" w:after="200" w:lineRule="auto" w:line="276"/>
      </w:pPr>
      <w:r>
        <w:rPr>
          <w:b/>
        </w:rPr>
        <w:t xml:space="preserve">Abstract (EN): </w:t>
      </w:r>
      <w:r>
        <w:t>The electronic structure of conventional two-dimensional transition metal dichalcogenides (TMDs) is highly sensitive to lattice deformation, often leading to indirect-to-direct band-gap transitions that compromise performance in flexible nanoelectronic applications. Janus TMDs, with their broken mirror symmetry and intrinsic out-of-plane dipoles, offer a promising alternative platform for electrostatic tuning. However, their electronic stability under strain and the role of the chalcogen-stacking sequence in their heterostructures remain poorly understood. Here, we study the strain tolerance and piezoelectric properties of MoSSe/WSSe heterobilayers from first principles. By examining different configurations, we demonstrate that the interface chemistry strongly modulates interlayer coupling, dynamic charge redistribution, and dipole interactions. Importantly, the combined effects of intrinsic electric fields and interface electrostatics effectively suppress the strain-induced band-gap transitions typical of conventional TMDs. Moreover, while the in-plane piezoelectric response remains nearly insensitive to the stacking order, the shear piezoelectric coefficient depends heavily on the interfacial symmetry and can be effectively tuned by strain modulation. Our results highlight interfacial engineering as a powerful route to design strain-resilient Janus heterostructures for next-generation flexible optoelectronic, valleytronic, and piezotronic devices.</w:t>
      </w:r>
    </w:p>
    <w:p>
      <w:pPr>
        <w:spacing w:before="120" w:after="120"/>
      </w:pPr>
      <w:r>
        <w:rPr>
          <w:sz w:val="18"/>
        </w:rPr>
        <w:t>——————————————————————————————————————————————————————————————————————</w:t>
      </w:r>
    </w:p>
    <w:p>
      <w:pPr>
        <w:spacing w:before="160" w:after="40" w:line="240" w:lineRule="auto"/>
      </w:pPr>
      <w:r>
        <w:rPr>
          <w:b/>
        </w:rPr>
        <w:t xml:space="preserve">[22] </w:t>
      </w:r>
      <w:hyperlink r:id="rId568">
        <w:r>
          <w:rPr>
            <w:color w:val="1155CC"/>
            <w:u w:val="single"/>
          </w:rPr>
          <w:t>超小铈-EGCG 纳米颗粒通过巨噬细胞重编程和铁死亡抑制改善脓毒症</w:t>
        </w:r>
      </w:hyperlink>
    </w:p>
    <w:p>
      <w:pPr>
        <w:spacing w:before="0" w:after="80"/>
      </w:pPr>
      <w:r>
        <w:rPr>
          <w:i/>
          <w:sz w:val="20"/>
        </w:rPr>
        <w:t>EN: Ultrasmall Cerium-EGCG Nanoparticles Ameliorate Sepsis via Macrophage Reprogramming and Ferroptosis Inhibition</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569">
        <w:r>
          <w:rPr>
            <w:color w:val="1155CC"/>
            <w:u w:val="single"/>
          </w:rPr>
          <w:t>10.1021/acsami.6c09916</w:t>
        </w:r>
      </w:hyperlink>
    </w:p>
    <w:p>
      <w:pPr>
        <w:spacing w:before="0" w:after="120"/>
      </w:pPr>
      <w:r>
        <w:rPr>
          <w:b/>
        </w:rPr>
        <w:t xml:space="preserve">Notes: </w:t>
      </w:r>
      <w:r>
        <w:t>abstract_source=crossref</w:t>
      </w:r>
    </w:p>
    <w:p>
      <w:pPr>
        <w:spacing w:before="0" w:after="80" w:lineRule="auto" w:line="276"/>
      </w:pPr>
      <w:r>
        <w:rPr>
          <w:b/>
        </w:rPr>
        <w:t xml:space="preserve">摘要（ZH）: </w:t>
      </w:r>
      <w:r>
        <w:t>摘要 脓毒症是一种由宿主对感染反应失调引起的危及生命的器官功能障碍，其中氧化应激、铁死亡和巨噬细胞驱动的免疫失调形成一个自我放大的病理循环。表没食子儿茶素没食子酸酯 (EGCG) 是一种具有抗氧化和免疫调节活性的天然多酚，具有治疗脓毒症的潜力，但受到快速代谢和低生物利用度的限制。为了克服这些限制，我们通过铈离子和 EGCG 之间的一锅金属-酚配位自组装构建了超小的 Ce-EGCG 纳米颗粒 (NP)。所得纳米颗粒表现出优异的胶体稳定性和有效的细胞内化。 Ce-EGCG NPs表现出双重过氧化氢酶和超氧化物歧化酶模拟活性，清除细胞溶质和线粒体活性氧，并且始终优于同等剂量的游离EGCG和游离Ce离子，这表明组装的金属酚结构对于观察到的活性至关重要。在 LPS 或 H2O2 刺激的巨噬细胞中，Ce-EGCG NP 逆转 Fe2+ 超载，抑制脂质过氧化，并将巨噬细胞从促炎 M1 重新编程为抗炎 M2 表型。在 CLP 诱导的脓毒症小鼠中，Ce-EGCG NP 可以改善多器官损伤，减弱全身细胞因子风暴，提高生存率，同时显示出良好的生物安全性。从机制上讲，Ce-EGCG NPs 激活 Nrf2/HO-1/NQO1 抗氧化轴和 GPX4/SLC7A11/ACSL4 抗铁死亡轴。总之，这些发现表明 Ce-EGCG NPs 打破了氧化铁</w:t>
      </w:r>
    </w:p>
    <w:p>
      <w:pPr>
        <w:spacing w:before="0" w:after="200" w:lineRule="auto" w:line="276"/>
      </w:pPr>
      <w:r>
        <w:rPr>
          <w:b/>
        </w:rPr>
        <w:t xml:space="preserve">Abstract (EN): </w:t>
      </w:r>
      <w:r>
        <w:t>Sepsis is a life-threatening organ dysfunction caused by a dysregulated host response to infection, in which oxidative stress, ferroptosis, and macrophage-driven immune dysregulation form a self-amplifying pathological cycle. Epigallocatechin gallate (EGCG), a natural polyphenol with antioxidant and immunomodulatory activities, holds therapeutic potential for sepsis but is limited by rapid metabolism and low bioavailability. To overcome these limitations, we constructed ultrasmall Ce-EGCG nanoparticles (NPs) via one-pot metal-phenolic coordination self-assembly between cerium ions and EGCG. The resulting NPs exhibited excellent colloidal stability and efficient cellular internalization. Ce-EGCG NPs displayed dual catalase- and superoxide-dismutase-mimetic activities, scavenging both cytosolic and mitochondrial reactive oxygen species, and consistently outperformed equivalent doses of free EGCG and free Ce ions, demonstrating that the assembled metal-phenolic architecture is essential for the observed activity. In LPS- or H2O2-stimulated macrophages, Ce-EGCG NPs reversed Fe2+ overload, suppressed lipid peroxidation, and reprogrammed macrophages from a pro-inflammatory M1 toward an anti-inflammatory M2 phenotype. In CLP-induced septic mice, Ce-EGCG NPs ameliorated multi-organ injury, attenuated systemic cytokine storm, and improved survival, while showing favorable biosafety. Mechanistically, Ce-EGCG NPs activate the Nrf2/HO-1/NQO1 antioxidant axis and the GPX4/SLC7A11/ACSL4 anti-ferroptotic axis. Together, these findings show that Ce-EGCG NPs break the oxidative-ferroptotic-inflammatory cycle of sepsis through coordinated antioxidant, anti-ferroptotic, and immunomodulatory actions, offering a rationally designed nanotherapeutic strategy for sepsis and related inflammatory conditions.</w:t>
      </w:r>
    </w:p>
    <w:p>
      <w:pPr>
        <w:spacing w:before="120" w:after="120"/>
      </w:pPr>
      <w:r>
        <w:rPr>
          <w:sz w:val="18"/>
        </w:rPr>
        <w:t>——————————————————————————————————————————————————————————————————————</w:t>
      </w:r>
    </w:p>
    <w:p>
      <w:pPr>
        <w:spacing w:before="160" w:after="40" w:line="240" w:lineRule="auto"/>
      </w:pPr>
      <w:r>
        <w:rPr>
          <w:b/>
        </w:rPr>
        <w:t xml:space="preserve">[23] </w:t>
      </w:r>
      <w:hyperlink r:id="rId570">
        <w:r>
          <w:rPr>
            <w:color w:val="1155CC"/>
            <w:u w:val="single"/>
          </w:rPr>
          <w:t>不稳定的非厄米皮肤定位和运输的观察</w:t>
        </w:r>
      </w:hyperlink>
    </w:p>
    <w:p>
      <w:pPr>
        <w:spacing w:before="0" w:after="80"/>
      </w:pPr>
      <w:r>
        <w:rPr>
          <w:i/>
          <w:sz w:val="20"/>
        </w:rPr>
        <w:t>EN: Observation of erratic non-Hermitian skin localization and transport</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局域化是物理学中普遍存在的现象，它影响着从固体中的电子到工程介质中的光和声音的传输。在传统环境中，无序性强烈阻碍运输，导致动力局部化，或者充其量是亚弹道或扩散动力。一种独特的机制，即不稳定的非厄米皮肤定位（ENHSL），可能会出现在无序的全局互易非厄米晶格中。它的特点是在不规则体位置上具有宏观的、无序相关的定位，具有次指数衰减，与随机游走的通用顺序统计控制的随机界面相关。我们通过实验在声学晶格中实现了这种状态，该声学晶格实现了具有虚规范场的无序 Hatano-Nelson 链。在同一平台上使用基于格林函数的光谱学和时间分辨测量，我们重建了完整的复杂光谱和本征态，并直接观察波包动力学。尽管光谱定位很强，我们仍然观察到弹道输运。我们开发了一种传输理论，将主要传播位置与扩展光锥内的最大随机游走偏移联系起来，并预测通用的莱维反正弦统计数据，与实验的定量一致。我们的结果将本征态局域化与传输解耦，并将 ENHSL 确立为波动力学的新范式。</w:t>
      </w:r>
    </w:p>
    <w:p>
      <w:pPr>
        <w:spacing w:before="0" w:after="200" w:lineRule="auto" w:line="276"/>
      </w:pPr>
      <w:r>
        <w:rPr>
          <w:b/>
        </w:rPr>
        <w:t xml:space="preserve">Abstract (EN): </w:t>
      </w:r>
      <w:r>
        <w:t>Localization is a pervasive phenomenon across physics, shaping transport from electrons in solids to light and sound in engineered media. In traditional settings, disorder strongly impedes transport, resulting in dynamical localization or, at best, sub-ballistic or diffusive dynamics. A distinct regime, erratic non-Hermitian skin localization (ENHSL), can arise in globally reciprocal non-Hermitian lattices with disorder. It features macroscopic, disorder-dependent localization at irregular bulk positions with subexponential decay, linked to stochastic interfaces governed by the universal order statistics of random walks. We realize this regime experimentally in an acoustic lattice implementing a disordered Hatano-Nelson chain with imaginary gauge fields. Using Green’s-function-based spectroscopy together with time-resolved measurements on the same platform, we reconstruct the full complex spectrum and eigenstates, and directly observe wave-packet dynamics. We observe ballistic transport despite strong spectral localization. We develop a transport theory that connects the dominant propagation site to the maximal random-walk excursion within an expanding light cone and predicts a universal Lévy-arcsine statistics, in quantitative agreement with experiment. Our results decouple eigenstate localization from transport and establish ENHSL as a new paradigm for wave dynamics.</w:t>
      </w:r>
    </w:p>
    <w:p>
      <w:pPr>
        <w:spacing w:before="120" w:after="120"/>
      </w:pPr>
      <w:r>
        <w:rPr>
          <w:sz w:val="18"/>
        </w:rPr>
        <w:t>——————————————————————————————————————————————————————————————————————</w:t>
      </w:r>
    </w:p>
    <w:p>
      <w:pPr>
        <w:spacing w:before="160" w:after="40" w:line="240" w:lineRule="auto"/>
      </w:pPr>
      <w:r>
        <w:rPr>
          <w:b/>
        </w:rPr>
        <w:t xml:space="preserve">[24] </w:t>
      </w:r>
      <w:hyperlink r:id="rId571">
        <w:r>
          <w:rPr>
            <w:color w:val="1155CC"/>
            <w:u w:val="single"/>
          </w:rPr>
          <w:t>光氧化还原催化中磷酰基自由基断裂选择性的起源</w:t>
        </w:r>
      </w:hyperlink>
    </w:p>
    <w:p>
      <w:pPr>
        <w:spacing w:before="0" w:after="80"/>
      </w:pPr>
      <w:r>
        <w:rPr>
          <w:i/>
          <w:sz w:val="20"/>
        </w:rPr>
        <w:t>EN: Origin of Scission Selectivity for Phosphoranyl Radicals in Photoredox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72">
        <w:r>
          <w:rPr>
            <w:color w:val="1155CC"/>
            <w:u w:val="single"/>
          </w:rPr>
          <w:t>10.1021/jacs.6c11233</w:t>
        </w:r>
      </w:hyperlink>
    </w:p>
    <w:p>
      <w:pPr>
        <w:spacing w:before="0" w:after="120"/>
      </w:pPr>
      <w:r>
        <w:rPr>
          <w:b/>
        </w:rPr>
        <w:t xml:space="preserve">Notes: </w:t>
      </w:r>
      <w:r>
        <w:t>abstract_source=crossref</w:t>
      </w:r>
    </w:p>
    <w:p>
      <w:pPr>
        <w:spacing w:before="0" w:after="80" w:lineRule="auto" w:line="276"/>
      </w:pPr>
      <w:r>
        <w:rPr>
          <w:b/>
        </w:rPr>
        <w:t xml:space="preserve">摘要（ZH）: </w:t>
      </w:r>
      <w:r>
        <w:t>摘要 磷酰基自由基是一种多功能的合成中间体，可以通过 α-和 β-断裂形成下游自由基。然而，断裂选择性的起源尚不清楚，阻碍了使用这些基本步骤合理设计新的转化。在这里，我们报告了磺酰胺亲核试剂正膦基自由基断裂机制的全面研究。通过结合实验、计算和机器学习驱动的策略，揭示了影响这些转化选择性的主要因素。计算和实验研究揭示了意想不到的科廷-哈米特情景，并证明了反应化学计量对选择性结果的影响。统计模型通过可解释的线性回归模型实现了选择性预测，该模型揭示了小的、贫电子的膦有利于β-断裂。总而言之，这些研究揭示了反应条件、膦性质和烯烃性质之间的相互作用，可用于控制磺酰胺正膦基介导的反应的选择性。利用这些见解开发了光氧化还原催化的膦介导的烯烃氢磺酰化反应，该反应的发展使伯磺酰胺成为第一个具有可切换断裂选择性的亲核试剂的例子，该选择性仅由膦和正膦基介导的反应的反应条件控制。</w:t>
      </w:r>
    </w:p>
    <w:p>
      <w:pPr>
        <w:spacing w:before="0" w:after="200" w:lineRule="auto" w:line="276"/>
      </w:pPr>
      <w:r>
        <w:rPr>
          <w:b/>
        </w:rPr>
        <w:t xml:space="preserve">Abstract (EN): </w:t>
      </w:r>
      <w:r>
        <w:t>Phosphoranyl radicals are versatile synthetic intermediates that can form downstream radicals through α- and β-scission. However, the unclear origin of scission selectivity hinders the rational design of new transformations using these elementary steps. Here we report a comprehensive study of phosphoranyl radical scission mechanisms for sulfonamide nucleophiles. Using a combination of experimental, computational, and machine-learning-driven strategies, the primary factors influencing selectivity in these transformations were uncovered. Computational and experimental studies revealed an unexpected Curtin–Hammett scenario and demonstrated the impact of reaction stoichiometry on selectivity outcomes. Statistical modeling enabled selectivity prediction via an interpretable linear regression model, which revealed that small, electron-poor phosphines favor β-scission. Taken together, these studies expose the interplay of reaction conditions, phosphine properties, and alkene properties, which can be used to control selectivity in phosphoranyl-radical-mediated reactions of sulfonamides. These insights were harnessed to develop a photoredox-catalyzed phosphine-mediated hydrosulfonylation reaction of alkenes, the development of which makes primary sulfonamides the first example of a nucleophile with switchable scission selectivity controlled only by phosphine and reaction conditions for phosphoranyl-radical-mediated reactions.</w:t>
      </w:r>
    </w:p>
    <w:p>
      <w:pPr>
        <w:spacing w:before="120" w:after="120"/>
      </w:pPr>
      <w:r>
        <w:rPr>
          <w:sz w:val="18"/>
        </w:rPr>
        <w:t>——————————————————————————————————————————————————————————————————————</w:t>
      </w:r>
    </w:p>
    <w:p>
      <w:pPr>
        <w:spacing w:before="160" w:after="40" w:line="240" w:lineRule="auto"/>
      </w:pPr>
      <w:r>
        <w:rPr>
          <w:b/>
        </w:rPr>
        <w:t xml:space="preserve">[25] </w:t>
      </w:r>
      <w:hyperlink r:id="rId573">
        <w:r>
          <w:rPr>
            <w:color w:val="1155CC"/>
            <w:u w:val="single"/>
          </w:rPr>
          <w:t>通过固-固中继动态核极化进行表面增强核磁共振波谱分析</w:t>
        </w:r>
      </w:hyperlink>
    </w:p>
    <w:p>
      <w:pPr>
        <w:spacing w:before="0" w:after="80"/>
      </w:pPr>
      <w:r>
        <w:rPr>
          <w:i/>
          <w:sz w:val="20"/>
        </w:rPr>
        <w:t>EN: Surface-Enhanced NMR Spectroscopy via Solid-to-Solid Relayed Dynamic Nuclear Polarization</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74">
        <w:r>
          <w:rPr>
            <w:color w:val="1155CC"/>
            <w:u w:val="single"/>
          </w:rPr>
          <w:t>10.1021/jacs.6c09647</w:t>
        </w:r>
      </w:hyperlink>
    </w:p>
    <w:p>
      <w:pPr>
        <w:spacing w:before="0" w:after="120"/>
      </w:pPr>
      <w:r>
        <w:rPr>
          <w:b/>
        </w:rPr>
        <w:t xml:space="preserve">Notes: </w:t>
      </w:r>
      <w:r>
        <w:t>abstract_source=crossref</w:t>
      </w:r>
    </w:p>
    <w:p>
      <w:pPr>
        <w:spacing w:before="0" w:after="80" w:lineRule="auto" w:line="276"/>
      </w:pPr>
      <w:r>
        <w:rPr>
          <w:b/>
        </w:rPr>
        <w:t xml:space="preserve">摘要（ZH）: </w:t>
      </w:r>
      <w:r>
        <w:t>摘要 在过去的 15 年里，动态核极化 (DNP) 已成为增强表面物质的固态核磁共振 (NMR) 信号的独特而强大的策略。这种方法称为 DNP 表面增强核磁共振波谱 (DNP SENS)，已成功应用于多种功能材料。 DNP SENS 依赖于外源电子源的使用，通常是稳定的有机自由基。将这些偏振剂添加到目标材料并获得高 NMR 信号增强因子的关键方法是使用含自由基的溶液进行初湿浸渍 (IWI)。然而，由于偏振溶液和目标表面之间的化学不相容性，通过 IWI 的 DNP SENS 并不适用于所有材料。这极大地限制了DNP-SENS的应用领域。在这里，我们报告了新型多孔二氧化硅基固体的设计和合成，该固体将有机双自由基纳入其大部分框架中。这些偏振固体可以与其他粉末材料混合，一旦用纯溶剂或溶剂混合物浸渍，它们就能有效地将偏振转移到外表面。数值模拟提供了一个框架来描述从偏振固体到目标固体的 1H 自旋扩散中继偏振转移。这种固体到固体中继的 DNP 方法通过原始和功能化的氧化铝颗粒以及敏感的催化表面进行了演示。据报道，表面物种的 NMR 灵敏度大幅提高，为 DN 制定了新策略</w:t>
      </w:r>
    </w:p>
    <w:p>
      <w:pPr>
        <w:spacing w:before="0" w:after="200" w:lineRule="auto" w:line="276"/>
      </w:pPr>
      <w:r>
        <w:rPr>
          <w:b/>
        </w:rPr>
        <w:t xml:space="preserve">Abstract (EN): </w:t>
      </w:r>
      <w:r>
        <w:t>Over the past 15 years, dynamic nuclear polarization (DNP) has emerged as a unique and powerful strategy to enhance the solid-state nuclear magnetic resonance (NMR) signals of surface species. This approach, known as DNP surface-enhanced NMR spectroscopy (DNP SENS), has been successfully applied to a broad range of functional materials. DNP SENS relies on the use of exogenous sources of electrons, typically stable organic radicals. A key method for adding these polarizing agents to the target material and obtaining high NMR signal enhancement factors is incipient wetness impregnation (IWI) with a radical-containing solution. However, DNP SENS via IWI is not amenable to all materials due to chemical incompatibilities between the polarizing solution and the surface of interest. This strongly limits the application fields of DNP-SENS. Here, we report the design and synthesis of new porous silica-based solids that incorporate organic biradicals within their bulk of their framework. These polarizing solids can be mixed with other powdered materials, and once impregnated with a pure solvent or solvent mixture, they efficiently transfer the polarization to external surfaces. Numerical simulations provide a framework to describe the 1H-spin diffusion-relayed polarization transfer from the polarizing solid to the target solid. This solid-to-solid relayed DNP approach is demonstrated with pristine and functionalized alumina particles, as well as sensitive catalytic surfaces. Substantial NMR sensitivity gains are reported on surface species, establishing a new strategy for DNP SENS.</w:t>
      </w:r>
    </w:p>
    <w:p>
      <w:pPr>
        <w:spacing w:before="120" w:after="120"/>
      </w:pPr>
      <w:r>
        <w:rPr>
          <w:sz w:val="18"/>
        </w:rPr>
        <w:t>——————————————————————————————————————————————————————————————————————</w:t>
      </w:r>
    </w:p>
    <w:p>
      <w:pPr>
        <w:spacing w:before="160" w:after="40" w:line="240" w:lineRule="auto"/>
      </w:pPr>
      <w:r>
        <w:rPr>
          <w:b/>
        </w:rPr>
        <w:t xml:space="preserve">[26] </w:t>
      </w:r>
      <w:hyperlink r:id="rId575">
        <w:r>
          <w:rPr>
            <w:color w:val="1155CC"/>
            <w:u w:val="single"/>
          </w:rPr>
          <w:t>基于光化学的可电离脂质库的开发，用于体内 mRNA-脂质纳米颗粒的递送</w:t>
        </w:r>
      </w:hyperlink>
    </w:p>
    <w:p>
      <w:pPr>
        <w:spacing w:before="0" w:after="80"/>
      </w:pPr>
      <w:r>
        <w:rPr>
          <w:i/>
          <w:sz w:val="20"/>
        </w:rPr>
        <w:t>EN: Photochemistry-Based Development of Ionizable Lipid Library for mRNA-Lipid Nanoparticle Delivery In Vivo</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76">
        <w:r>
          <w:rPr>
            <w:color w:val="1155CC"/>
            <w:u w:val="single"/>
          </w:rPr>
          <w:t>10.1021/jacs.6c13674</w:t>
        </w:r>
      </w:hyperlink>
    </w:p>
    <w:p>
      <w:pPr>
        <w:spacing w:before="0" w:after="120"/>
      </w:pPr>
      <w:r>
        <w:rPr>
          <w:b/>
        </w:rPr>
        <w:t xml:space="preserve">Notes: </w:t>
      </w:r>
      <w:r>
        <w:t>abstract_source=crossref</w:t>
      </w:r>
    </w:p>
    <w:p>
      <w:pPr>
        <w:spacing w:before="0" w:after="80" w:lineRule="auto" w:line="276"/>
      </w:pPr>
      <w:r>
        <w:rPr>
          <w:b/>
        </w:rPr>
        <w:t xml:space="preserve">摘要（ZH）: </w:t>
      </w:r>
      <w:r>
        <w:t>摘要 可电离脂质是用于 mRNA 递送的脂质纳米颗粒 (LNP) 的关键成分。然而，新脂质支架的发现仍然受到能够生成结构多样化文库的有效合成平台有限的限制。在这里，我们报告了一个基于光化学的可电离脂质库（PILL）平台，该平台能够快速发现用于 mRNA 传递的可电离脂质。利用 427 nm 照射下可见光驱动的多组分反应，在温和条件下通过一锅法从胺、醛和硼酸生成 275 种含 α-支链胺的可电离脂质。这种模块化光化学策略能够快速构建结构多样化的脂质库，该库直接与免纯化的体外筛选和随后的体内验证相结合。 A18B8C14 被确定为用于 mRNA 递送的主要可电离脂质候选物，并且优化的 A18B8C14-LNP 配方表现出比基于 MC3 的基准 LNP 显着更高的体内基因表达，同时保持良好的安全性。此外，根据选择性器官靶向（SORT）策略调整A18B8C14-LNP配方可以实现器官特异性递送。总之，这些结果将光化学确立为可电离脂质发现的实用平台，并为开发用于核酸治疗的下一代 LNP 系统提供了通用框架。</w:t>
      </w:r>
    </w:p>
    <w:p>
      <w:pPr>
        <w:spacing w:before="0" w:after="200" w:lineRule="auto" w:line="276"/>
      </w:pPr>
      <w:r>
        <w:rPr>
          <w:b/>
        </w:rPr>
        <w:t xml:space="preserve">Abstract (EN): </w:t>
      </w:r>
      <w:r>
        <w:t>Ionizable lipid is a key component of lipid nanoparticle (LNP) for mRNA delivery. However, the discovery of new lipid scaffolds remains constrained by the limited availability of efficient synthetic platforms capable of generating structurally diverse libraries. Here, we report a photochemistry-based ionizable lipid library (PILL) platform that enables the rapid discovery of ionizable lipids for mRNA delivery. Using a visible-light-driven multicomponent reaction under 427 nm irradiation, 275 α-branched amine-containing ionizable lipids were generated in a one-pot process from amines, aldehydes, and boronic acids under mild conditions. This modular photochemical strategy enabled the rapid construction of a structurally diverse lipid library that was directly integrated with purification-free in vitro screening and subsequent in vivo validation. A18B8C14 was identified as a lead ionizable lipid candidate for mRNA delivery, and the optimized A18B8C14-LNP formulation exhibited substantially higher in vivo gene expression than the benchmark MC3-based LNP while maintaining a favorable safety profile. In addition, organ-specific delivery could be achieved by adjusting the A18B8C14-LNP formulation according to the selective organ targeting (SORT) strategy. Together, these results establish photochemistry as a practical platform for ionizable lipid discovery and provide a versatile framework for the development of next-generation LNP systems for nucleic acid therapeutics.</w:t>
      </w:r>
    </w:p>
    <w:p>
      <w:pPr>
        <w:spacing w:before="120" w:after="120"/>
      </w:pPr>
      <w:r>
        <w:rPr>
          <w:sz w:val="18"/>
        </w:rPr>
        <w:t>——————————————————————————————————————————————————————————————————————</w:t>
      </w:r>
    </w:p>
    <w:p>
      <w:pPr>
        <w:spacing w:before="160" w:after="40" w:line="240" w:lineRule="auto"/>
      </w:pPr>
      <w:r>
        <w:rPr>
          <w:b/>
        </w:rPr>
        <w:t xml:space="preserve">[27] </w:t>
      </w:r>
      <w:hyperlink r:id="rId577">
        <w:r>
          <w:rPr>
            <w:color w:val="1155CC"/>
            <w:u w:val="single"/>
          </w:rPr>
          <w:t>明亮纠缠光束二维电子光谱中量子相干性的瞬时检测</w:t>
        </w:r>
      </w:hyperlink>
    </w:p>
    <w:p>
      <w:pPr>
        <w:spacing w:before="0" w:after="80"/>
      </w:pPr>
      <w:r>
        <w:rPr>
          <w:i/>
          <w:sz w:val="20"/>
        </w:rPr>
        <w:t>EN: Instantaneous Detection of Quantum Coherences in 2D Electronic Spectroscopy with Bright Entangled Beams</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78">
        <w:r>
          <w:rPr>
            <w:color w:val="1155CC"/>
            <w:u w:val="single"/>
          </w:rPr>
          <w:t>10.1021/jacs.6c08192</w:t>
        </w:r>
      </w:hyperlink>
    </w:p>
    <w:p>
      <w:pPr>
        <w:spacing w:before="0" w:after="120"/>
      </w:pPr>
      <w:r>
        <w:rPr>
          <w:b/>
        </w:rPr>
        <w:t xml:space="preserve">Notes: </w:t>
      </w:r>
      <w:r>
        <w:t>abstract_source=crossref</w:t>
      </w:r>
    </w:p>
    <w:p>
      <w:pPr>
        <w:spacing w:before="0" w:after="80" w:lineRule="auto" w:line="276"/>
      </w:pPr>
      <w:r>
        <w:rPr>
          <w:b/>
        </w:rPr>
        <w:t xml:space="preserve">摘要（ZH）: </w:t>
      </w:r>
      <w:r>
        <w:t>摘要 量子相干性是生物复合体中非绝热动力学的主要特征，但它们的明确检测仍然是一个挑战。传统的时间分辨光谱依赖于时间跳动模式，这些跳动模式本质上与总体弛豫动力学和仪器伪影相混淆，通常隐藏了真正的相干性。我们引入了一种利用宏观光谱时间纠缠对分子中电子、振动和电子振动相干性进行快照检测的技术，避免了时间扫描。我们展示了如何在二维电子光谱中使用包含数万个光子的纠缠光束来检测给定布居时间的量子相干性，从而能够在分子与探测脉冲相互作用期间瞬时检测分子中的量子相干性。由于能量反相关，每个相干出现在二维频率分散信号中的不同点，并且相干周期可以直接从频谱上读取。这使得能够明确区分总体和相干性动力学，从而促进复杂分子中量子相干性的稳健检测。</w:t>
      </w:r>
    </w:p>
    <w:p>
      <w:pPr>
        <w:spacing w:before="0" w:after="200" w:lineRule="auto" w:line="276"/>
      </w:pPr>
      <w:r>
        <w:rPr>
          <w:b/>
        </w:rPr>
        <w:t xml:space="preserve">Abstract (EN): </w:t>
      </w:r>
      <w:r>
        <w:t>Quantum coherences are the primary signatures of nonadiabatic dynamics in biological complexes, yet their unambiguous detection remains a challenge. Conventional time-resolved spectroscopies rely on temporal beating patterns that are inherently convoluted with population-relaxation dynamics and instrumental artifacts, often hiding the genuine coherences. We introduce a technique that exploits macroscopic spectro-temporal entanglement for the snapshot detection of electronic, vibrational, and vibronic coherences in molecules, avoiding temporal scanning. We show how to use entangled beams containing tens of thousands of photons in 2D electronic spectroscopy to detect quantum coherences at a given population time, thus enabling an instantaneous detection of quantum coherences in the molecule during its interaction with the probe pulse. Each coherence appears at a distinct point in a 2D frequency-dispersed signal due to energy anticorrelation, and the coherence period can be read directly off the spectrum. This enables an unambiguous discrimination of population and coherence dynamics, facilitating a robust detection of quantum coherences in complex molecules.</w:t>
      </w:r>
    </w:p>
    <w:p>
      <w:pPr>
        <w:spacing w:before="120" w:after="120"/>
      </w:pPr>
      <w:r>
        <w:rPr>
          <w:sz w:val="18"/>
        </w:rPr>
        <w:t>——————————————————————————————————————————————————————————————————————</w:t>
      </w:r>
    </w:p>
    <w:p>
      <w:pPr>
        <w:spacing w:before="160" w:after="40" w:line="240" w:lineRule="auto"/>
      </w:pPr>
      <w:r>
        <w:rPr>
          <w:b/>
        </w:rPr>
        <w:t xml:space="preserve">[28] </w:t>
      </w:r>
      <w:hyperlink r:id="rId579">
        <w:r>
          <w:rPr>
            <w:color w:val="1155CC"/>
            <w:u w:val="single"/>
          </w:rPr>
          <w:t>人工智能驱动的智能家电优化：系统回顾</w:t>
        </w:r>
      </w:hyperlink>
    </w:p>
    <w:p>
      <w:pPr>
        <w:spacing w:before="0" w:after="80"/>
      </w:pPr>
      <w:r>
        <w:rPr>
          <w:i/>
          <w:sz w:val="20"/>
        </w:rPr>
        <w:t>EN: AI-driven smart home appliance optimization: A systematic review</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580">
        <w:r>
          <w:rPr>
            <w:color w:val="1155CC"/>
            <w:u w:val="single"/>
          </w:rPr>
          <w:t>10.1016/j.apenergy.2026.128665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581">
        <w:r>
          <w:rPr>
            <w:color w:val="1155CC"/>
            <w:u w:val="single"/>
          </w:rPr>
          <w:t>通过后期化学修饰对大环肽构象进行动力学和热力学控制</w:t>
        </w:r>
      </w:hyperlink>
    </w:p>
    <w:p>
      <w:pPr>
        <w:spacing w:before="0" w:after="80"/>
      </w:pPr>
      <w:r>
        <w:rPr>
          <w:i/>
          <w:sz w:val="20"/>
        </w:rPr>
        <w:t>EN: Kinetic and Thermodynamic Control of Macrocyclic Peptide Conformation through Late-Stage Chemical Modification</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82">
        <w:r>
          <w:rPr>
            <w:color w:val="1155CC"/>
            <w:u w:val="single"/>
          </w:rPr>
          <w:t>10.1021/jacs.6c12741</w:t>
        </w:r>
      </w:hyperlink>
    </w:p>
    <w:p>
      <w:pPr>
        <w:spacing w:before="0" w:after="120"/>
      </w:pPr>
      <w:r>
        <w:rPr>
          <w:b/>
        </w:rPr>
        <w:t xml:space="preserve">Notes: </w:t>
      </w:r>
      <w:r>
        <w:t>abstract_source=crossref</w:t>
      </w:r>
    </w:p>
    <w:p>
      <w:pPr>
        <w:spacing w:before="0" w:after="80" w:lineRule="auto" w:line="276"/>
      </w:pPr>
      <w:r>
        <w:rPr>
          <w:b/>
        </w:rPr>
        <w:t xml:space="preserve">摘要（ZH）: </w:t>
      </w:r>
      <w:r>
        <w:t>摘要 我们描述了使用内酯开环作为生产大环肽差异构象的化学工具。在动力学控制下，内酯的开环对所测试的大环前体具有高度的选择性。在热力学控制下，可逆内酯打开平衡了阻转异构体。核磁共振/分子动力学联合研究表明，内酯开环产生的阻转异构体可以采用明显不同的构象，从 310 螺旋到各种非规范构象。在包含 RGD 的大环中，动力学阻转异构体概括了整合素结合所涉及的 3D 几何形状，而热力学阻转异构体采用了之前未描述过的独特构象。总之，这些结果建立了控制大环肽构象状态的新策略。</w:t>
      </w:r>
    </w:p>
    <w:p>
      <w:pPr>
        <w:spacing w:before="0" w:after="200" w:lineRule="auto" w:line="276"/>
      </w:pPr>
      <w:r>
        <w:rPr>
          <w:b/>
        </w:rPr>
        <w:t xml:space="preserve">Abstract (EN): </w:t>
      </w:r>
      <w:r>
        <w:t>We describe the use of lactone ring-opening as a chemical tool for producing differentiated conformations of macrocyclic peptides. Under kinetic control, the lactone opening is highly atroposelective across macrocyclic precursors tested. Under thermodynamic control, reversible lactone opening equilibrates the atropisomers. A combined NMR/molecular dynamics study reveals that the atropisomers arising from lactone opening can adopt markedly different conformations, ranging from a 310-helix to various noncanonical conformations. In the RGD-containing macrocycle, the kinetic atropisomer recapitulates the 3D geometry involved in integrin binding, whereas the thermodynamic atropisomer adopts a distinct conformation that was not previously described. Together, these results establish a new strategy to control the conformational states of macrocyclic peptides.</w:t>
      </w:r>
    </w:p>
    <w:p>
      <w:pPr>
        <w:spacing w:before="120" w:after="120"/>
      </w:pPr>
      <w:r>
        <w:rPr>
          <w:sz w:val="18"/>
        </w:rPr>
        <w:t>——————————————————————————————————————————————————————————————————————</w:t>
      </w:r>
    </w:p>
    <w:p>
      <w:pPr>
        <w:spacing w:before="160" w:after="40" w:line="240" w:lineRule="auto"/>
      </w:pPr>
      <w:r>
        <w:rPr>
          <w:b/>
        </w:rPr>
        <w:t xml:space="preserve">[30] </w:t>
      </w:r>
      <w:hyperlink r:id="rId583">
        <w:r>
          <w:rPr>
            <w:color w:val="1155CC"/>
            <w:u w:val="single"/>
          </w:rPr>
          <w:t>阴极电位诱导 Pd 催化苯甲醛加氢的非法拉第促进</w:t>
        </w:r>
      </w:hyperlink>
    </w:p>
    <w:p>
      <w:pPr>
        <w:spacing w:before="0" w:after="80"/>
      </w:pPr>
      <w:r>
        <w:rPr>
          <w:i/>
          <w:sz w:val="20"/>
        </w:rPr>
        <w:t>EN: Non-Faradaic Promotion of Pd-Catalyzed Benzaldehyde Hydrogenation Induced by Cathodic Potential</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84">
        <w:r>
          <w:rPr>
            <w:color w:val="1155CC"/>
            <w:u w:val="single"/>
          </w:rPr>
          <w:t>10.1021/jacs.6c04594</w:t>
        </w:r>
      </w:hyperlink>
    </w:p>
    <w:p>
      <w:pPr>
        <w:spacing w:before="0" w:after="120"/>
      </w:pPr>
      <w:r>
        <w:rPr>
          <w:b/>
        </w:rPr>
        <w:t xml:space="preserve">Notes: </w:t>
      </w:r>
      <w:r>
        <w:t>abstract_source=crossref</w:t>
      </w:r>
    </w:p>
    <w:p>
      <w:pPr>
        <w:spacing w:before="0" w:after="80" w:lineRule="auto" w:line="276"/>
      </w:pPr>
      <w:r>
        <w:rPr>
          <w:b/>
        </w:rPr>
        <w:t xml:space="preserve">摘要（ZH）: </w:t>
      </w:r>
      <w:r>
        <w:t>摘要 当同时施加氢气压力和外部阴极电位时，相对于开路条件，Pd 催化水相中苯甲醛加氢生成苯甲醇的反应显着增强。这种双模式操作的氢化速率比开路条件下观察到的氢化速率高出 6 倍。在所有研究的电位下，速率增强超过预期电荷转移贡献至少 2 倍，表明非法拉第促进效应。结合实验和理论分析表明，阴极极化增加了羟基中间体的准平衡表面覆盖度，该羟基中间体是通过在决定速率的第二个氢原子添加之前的质子耦合电子转移步骤形成的。在更负的电势下，当该覆盖范围饱和时，进一步的速率加速可能是由于沿速率决定路径调节中间体和过渡态的标准自由能而产生的，从而降低了表观标准活化自由能。</w:t>
      </w:r>
    </w:p>
    <w:p>
      <w:pPr>
        <w:spacing w:before="0" w:after="200" w:lineRule="auto" w:line="276"/>
      </w:pPr>
      <w:r>
        <w:rPr>
          <w:b/>
        </w:rPr>
        <w:t xml:space="preserve">Abstract (EN): </w:t>
      </w:r>
      <w:r>
        <w:t>Pd-catalyzed hydrogenation of benzaldehyde to benzyl alcohol in the aqueous phase is significantly enhanced relative to open-circuit conditions when H2 pressure and an external cathodic potential are applied simultaneously. This dual-mode operation affords hydrogenation rates up to 6-fold higher than those observed under open-circuit conditions. The rate enhancement exceeds the expected charge-transfer contribution by at least a factor of 2 at all investigated potentials, indicating a non-Faradaic promotion effect. Combined experimental and theoretical analyses suggest that cathodic polarization increases the quasi-equilibrium surface coverage of a hydroxy intermediate formed via a proton-coupled electron transfer step preceding the rate-determining addition of the second hydrogen atom. At more negative potentials, where this coverage saturates, further rate acceleration likely arises from modulation of the standard free energies of intermediates and transition states along the rate-determining pathway, thereby lowering the apparent standard activation free energy.</w:t>
      </w:r>
    </w:p>
    <w:p>
      <w:pPr>
        <w:spacing w:before="120" w:after="120"/>
      </w:pPr>
      <w:r>
        <w:rPr>
          <w:sz w:val="18"/>
        </w:rPr>
        <w:t>——————————————————————————————————————————————————————————————————————</w:t>
      </w:r>
    </w:p>
    <w:p>
      <w:pPr>
        <w:spacing w:before="160" w:after="40" w:line="240" w:lineRule="auto"/>
      </w:pPr>
      <w:r>
        <w:rPr>
          <w:b/>
        </w:rPr>
        <w:t xml:space="preserve">[31] </w:t>
      </w:r>
      <w:hyperlink r:id="rId585">
        <w:r>
          <w:rPr>
            <w:color w:val="1155CC"/>
            <w:u w:val="single"/>
          </w:rPr>
          <w:t>蛋白质形式解析的交联揭示了 α-突触核蛋白 S129 磷酸化的环境依赖性结构效应</w:t>
        </w:r>
      </w:hyperlink>
    </w:p>
    <w:p>
      <w:pPr>
        <w:spacing w:before="0" w:after="80"/>
      </w:pPr>
      <w:r>
        <w:rPr>
          <w:i/>
          <w:sz w:val="20"/>
        </w:rPr>
        <w:t>EN: Proteoform-Resolved Cross-Linking Reveals Environment-Dependent Structural Effects of α-Synuclein S129 Phosphorylation</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86">
        <w:r>
          <w:rPr>
            <w:color w:val="1155CC"/>
            <w:u w:val="single"/>
          </w:rPr>
          <w:t>10.1021/jacs.6c10987</w:t>
        </w:r>
      </w:hyperlink>
    </w:p>
    <w:p>
      <w:pPr>
        <w:spacing w:before="0" w:after="120"/>
      </w:pPr>
      <w:r>
        <w:rPr>
          <w:b/>
        </w:rPr>
        <w:t xml:space="preserve">Notes: </w:t>
      </w:r>
      <w:r>
        <w:t>abstract_source=crossref</w:t>
      </w:r>
    </w:p>
    <w:p>
      <w:pPr>
        <w:spacing w:before="0" w:after="80" w:lineRule="auto" w:line="276"/>
      </w:pPr>
      <w:r>
        <w:rPr>
          <w:b/>
        </w:rPr>
        <w:t xml:space="preserve">摘要（ZH）: </w:t>
      </w:r>
      <w:r>
        <w:t>摘要 本质无序蛋白 (IDP) 会导致许多神经退行性疾病，但它们的结构仍然难以定义，因为它们构成随化学环境而变化的动态整体。这个问题是 α-突触核蛋白 (aSyn) 的核心问题，α-突触核蛋白是一种与帕金森病相关的 IDP，其中 S129 磷酸化在与疾病相关的聚集体中高度富集。尽管 S129 磷酸化在稀溶液中稳定了更紧凑的 aSyn 整体，但这种结构效应是否在其他生化环境中持续存在仍然未知。在这里，我们开发了定量交联质谱框架，以确定 WT 和 pS129 aSyn 如何响应化学上不同的环境。我们将稀释缓冲液与与 aSyn 生物学相关的两种扰动进行了比较：三甲胺 N-氧化物 (TMAO)，一种与帕金森病相关的肠道微生物组衍生的代谢物，在高浓度下也可以充当压实渗透剂，以及辛基葡萄糖苷 (OG) 胶束，它提供了膜模拟表面。 TMAO 以浓度依赖性方式重新连接磷酸化依赖性结构反应：1.8 M TMAO 通过增加 N 端和 C 端区域之间的长距离接触，将 WT aSyn 转向稀释的 pS129 接触模式，而 3.4 M TMAO 则破坏了两种蛋白质形式并减少了它们的结构差异。在 OG 胶束中，蛋白质形式出现了分歧。 WT 倾向于延伸螺旋状接触模式，C 端尾部和胶束结合的 N 端区域之间具有更强的接触，而 pS129 则倾向于 b 接触。</w:t>
      </w:r>
    </w:p>
    <w:p>
      <w:pPr>
        <w:spacing w:before="0" w:after="200" w:lineRule="auto" w:line="276"/>
      </w:pPr>
      <w:r>
        <w:rPr>
          <w:b/>
        </w:rPr>
        <w:t xml:space="preserve">Abstract (EN): </w:t>
      </w:r>
      <w:r>
        <w:t>Intrinsically disordered proteins (IDPs) drive many neurodegenerative disorders, but their structures remain difficult to define because they populate dynamic ensembles that change with the chemical environment. This problem is central for α-synuclein (aSyn), a Parkinson’s disease-linked IDP in which S129 phosphorylation is highly enriched in disease-associated aggregates. Although S129 phosphorylation stabilizes a more compact aSyn ensemble in dilute solution, whether this structural effect persists across other biochemical environments has remained unknown. Here, we developed a quantitative cross-linking mass spectrometry framework to determine how WT and pS129 aSyn respond to chemically distinct environments. We compared dilute buffer with two perturbations relevant to aSyn biology: trimethylamine N-oxide (TMAO), a gut-microbiome-derived metabolite associated with Parkinson’s disease that can also act as a compacting osmolyte at high concentration, and octyl glucoside (OG) micelles, which provide a membrane-mimetic surface. TMAO rewired the phosphorylation-dependent structural response in a concentration-dependent manner: 1.8 M TMAO shifted WT aSyn toward the dilute pS129 contact pattern by increasing long-range contacts between the N-terminal and C-terminal regions, whereas 3.4 M TMAO collapsed both proteoforms and reduced their structural differences. In OG micelles, the proteoforms diverged. WT favored an extended-helix-like contact pattern with stronger contacts between the C-terminal tail and micelle-bound N-terminal region, whereas pS129 favored contacts between the N-terminal and NAC regions and fewer contacts to the C-terminal tail, consistent with a broken-helix-like topology. By integrating regional contact counts, normalized cross-link intensities, and geometric compatibility analysis, this workflow distinguishes broad contact accessibility from the residue-level contacts that dominate each condition. These results establish a proteoform-by-environment model for IDP structure, in which phosphorylation effects are not fixed but are rewritten by the surrounding chemical environment.</w:t>
      </w:r>
    </w:p>
    <w:p>
      <w:pPr>
        <w:spacing w:before="120" w:after="120"/>
      </w:pPr>
      <w:r>
        <w:rPr>
          <w:sz w:val="18"/>
        </w:rPr>
        <w:t>——————————————————————————————————————————————————————————————————————</w:t>
      </w:r>
    </w:p>
    <w:p>
      <w:pPr>
        <w:spacing w:before="160" w:after="40" w:line="240" w:lineRule="auto"/>
      </w:pPr>
      <w:r>
        <w:rPr>
          <w:b/>
        </w:rPr>
        <w:t xml:space="preserve">[32] </w:t>
      </w:r>
      <w:hyperlink r:id="rId587">
        <w:r>
          <w:rPr>
            <w:color w:val="1155CC"/>
            <w:u w:val="single"/>
          </w:rPr>
          <w:t>碳基氧还原中的质子传递</w:t>
        </w:r>
      </w:hyperlink>
    </w:p>
    <w:p>
      <w:pPr>
        <w:spacing w:before="0" w:after="80"/>
      </w:pPr>
      <w:r>
        <w:rPr>
          <w:i/>
          <w:sz w:val="20"/>
        </w:rPr>
        <w:t>EN: Proton Relaying in Carbenium-Based Oxygen 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2026-08-21 00:00:00+00:00</w:t>
      </w:r>
      <w:r>
        <w:t xml:space="preserve">    </w:t>
      </w:r>
      <w:r>
        <w:rPr>
          <w:b/>
        </w:rPr>
        <w:t xml:space="preserve">DOI: </w:t>
      </w:r>
      <w:hyperlink r:id="rId588">
        <w:r>
          <w:rPr>
            <w:color w:val="1155CC"/>
            <w:u w:val="single"/>
          </w:rPr>
          <w:t>10.1021/jacs.6c13198</w:t>
        </w:r>
      </w:hyperlink>
    </w:p>
    <w:p>
      <w:pPr>
        <w:spacing w:before="0" w:after="120"/>
      </w:pPr>
      <w:r>
        <w:rPr>
          <w:b/>
        </w:rPr>
        <w:t xml:space="preserve">Notes: </w:t>
      </w:r>
      <w:r>
        <w:t>abstract_source=crossref</w:t>
      </w:r>
    </w:p>
    <w:p>
      <w:pPr>
        <w:spacing w:before="0" w:after="80" w:lineRule="auto" w:line="276"/>
      </w:pPr>
      <w:r>
        <w:rPr>
          <w:b/>
        </w:rPr>
        <w:t xml:space="preserve">摘要（ZH）: </w:t>
      </w:r>
      <w:r>
        <w:t>摘要 氧的催化还原是许多能源相关和生物过程的核心。传统上由过渡金属介导的无金属系统已成为一种强大的替代方案。在这项研究中，我们描述了新制备的喹啉碳物种作为氧双电子还原的催化剂，并表明喹啉氮原子根据其位置可以充当质子中继，从而提高 H2O2 的产率。动力学研究、H/D 动力学同位素效应测量和循环伏安研究支持了一种机制，该机制涉及在速率决定步骤中从质子化喹啉部分到氢过氧化碳中间体的分子内质子转移。其他动力学研究表明，与质子中继系统相比，简单的碳正离子使用溶液中的酸来异解裂解关键碳正氢过氧化物中间体的 C-O 键。最后，我们揭示了质子继电器对超电势的影响，使 ηeff 低至 80 mV。</w:t>
      </w:r>
    </w:p>
    <w:p>
      <w:pPr>
        <w:spacing w:before="0" w:after="200" w:lineRule="auto" w:line="276"/>
      </w:pPr>
      <w:r>
        <w:rPr>
          <w:b/>
        </w:rPr>
        <w:t xml:space="preserve">Abstract (EN): </w:t>
      </w:r>
      <w:r>
        <w:t>The catalytic reduction of oxygen is at the heart of many energy-related and biological processes. Traditionally mediated by transition metals, metal-free systems have emerged as a powerful alternative. In this study, we describe newly prepared quinoline-carbenium species as catalysts for the two-electron reduction of oxygen and show that the quinoline nitrogen atom, depending on its position, can act as a proton relay, thereby boosting the H2O2 production rate. Kinetic studies, H/D kinetic isotope effect measurements, and cyclic voltammetric investigations support a mechanism that involves intramolecular proton transfer from the protonated quinoline moiety to a carbenium hydroperoxide intermediate in the rate-determining step. Additional kinetic investigations indicate that, in contrast to the proton relaying system, simple carbenium ions use acid from the bulk of the solution to heterolytically cleave the C–O bond of the key carbenium hydroperoxide intermediate. Finally, we uncover the effect of the proton relay on the overpotential, affording an ηeff as low as 80 mV.</w:t>
      </w:r>
    </w:p>
    <w:p>
      <w:pPr>
        <w:spacing w:before="120" w:after="120"/>
      </w:pPr>
      <w:r>
        <w:rPr>
          <w:sz w:val="18"/>
        </w:rPr>
        <w:t>——————————————————————————————————————————————————————————————————————</w:t>
      </w:r>
    </w:p>
    <w:p>
      <w:pPr>
        <w:spacing w:before="160" w:after="40" w:line="240" w:lineRule="auto"/>
      </w:pPr>
      <w:r>
        <w:rPr>
          <w:b/>
        </w:rPr>
        <w:t xml:space="preserve">[33] </w:t>
      </w:r>
      <w:hyperlink r:id="rId589">
        <w:r>
          <w:rPr>
            <w:color w:val="1155CC"/>
            <w:u w:val="single"/>
          </w:rPr>
          <w:t>使用现有电信光纤网络进行桥梁健康监测</w:t>
        </w:r>
      </w:hyperlink>
    </w:p>
    <w:p>
      <w:pPr>
        <w:spacing w:before="0" w:after="80"/>
      </w:pPr>
      <w:r>
        <w:rPr>
          <w:i/>
          <w:sz w:val="20"/>
        </w:rPr>
        <w:t>EN: Bridge health monitoring using existing telecommunication fiber-optic networks</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老化的桥梁对公共安全构成重大风险。尽管现有的传感技术为结构健康监测提供了潜在的解决方案，但安装和维护传感系统的高成本和复杂性限制了其可扩展性和长期部署。在这里，我们提出了一种可扩展且经济高效的方法，将现有的电信（电信）光纤电缆转变为密集的动态应变传感器阵列，以连续监测桥梁。使用电信光纤，我们可以检索跨桥梁上部结构的引导波场，这对于现有的传感技术来说是不可能的，因为它们的可扩展性有限，而且捕获米级波长所需的超密集传感器阵列的成本过高。我们还以毫米级精度估计准静态位移并提取模态参数。这些结果表明，我们的方法对于不完美的光纤桥耦合产生的噪声具有鲁棒性，这是用作传感器的电信光纤的非专用性质所固有的限制。此外，我们通过对美国和韩国六座桥梁的现场评估证明了这种方法的有效性。由于电信光纤被广泛部署并与民用基础设施系统共置一地，因此本研究引入了一种新的传感范例，该范例利用现有光纤网络来实现大规模实时结构监测，而无需专用传感器的成本和后勤负担。</w:t>
      </w:r>
    </w:p>
    <w:p>
      <w:pPr>
        <w:spacing w:before="0" w:after="200" w:lineRule="auto" w:line="276"/>
      </w:pPr>
      <w:r>
        <w:rPr>
          <w:b/>
        </w:rPr>
        <w:t xml:space="preserve">Abstract (EN): </w:t>
      </w:r>
      <w:r>
        <w:t>Aging bridges pose significant risks to public safety. Although existing sensing technologies offer a potential solution for structural health monitoring, the high cost and complexity of installing and maintaining sensing systems have limited their scalability and long-term deployment. Here, we present a scalable and cost-effective approach that turns pre-existing telecommunication (telecom) fiber-optic cables into a dense array of dynamic strain sensors to continuously monitor bridges. Using telecom fibers, we retrieve guided wavefields across bridge superstructures, which was impossible with existing sensing technologies due to their limited scalability and the prohibitive cost of ultra-dense sensor arrays required to capture meter-scale wavelengths. We also estimate quasi-static displacements with millimeter-level accuracy and extract modal parameters. These results demonstrate that our approach is robust to noise from imperfect fiber-bridge coupling, a limitation inherent to the non-dedicated nature of telecom fibers used as sensors. Furthermore, we demonstrated the effectiveness of this approach through field evaluations across six bridges in the United States and South Korea. Because telecom fibers are widely deployed and co-located with civil infrastructure systems, this study introduces a new sensing paradigm that leverages existing fiber-optic networks to enable large-scale, real-time structural monitoring without the cost and logistical burden of dedicated sensors.</w:t>
      </w:r>
    </w:p>
    <w:p>
      <w:pPr>
        <w:spacing w:before="120" w:after="120"/>
      </w:pPr>
      <w:r>
        <w:rPr>
          <w:sz w:val="18"/>
        </w:rPr>
        <w:t>——————————————————————————————————————————————————————————————————————</w:t>
      </w:r>
    </w:p>
    <w:p>
      <w:pPr>
        <w:spacing w:before="160" w:after="40" w:line="240" w:lineRule="auto"/>
      </w:pPr>
      <w:r>
        <w:rPr>
          <w:b/>
        </w:rPr>
        <w:t xml:space="preserve">[34] </w:t>
      </w:r>
      <w:hyperlink r:id="rId590">
        <w:r>
          <w:rPr>
            <w:color w:val="1155CC"/>
            <w:u w:val="single"/>
          </w:rPr>
          <w:t>分子光开关异构体之间的荧光共振能量转移</w:t>
        </w:r>
      </w:hyperlink>
    </w:p>
    <w:p>
      <w:pPr>
        <w:spacing w:before="0" w:after="80"/>
      </w:pPr>
      <w:r>
        <w:rPr>
          <w:i/>
          <w:sz w:val="20"/>
        </w:rPr>
        <w:t>EN: Fluorescence resonance energy transfer between isomers of molecular photoswitches</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光控发光分子光开关对于刺激响应智能材料至关重要，但平衡荧光与光开关性能以及在固体基质中实现异构化仍然具有挑战性。在此，我们设计并合成了一系列荧光供体-受体斯滕豪斯加合物（DASA），并引入了利用光开关异构体之间的荧光共振能量转移（FRET）的策略，以实现稳健、非接触式和动态荧光调制。由此产生的 DASA 表现出卓越的光开关效率和高荧光量子产率。此外，它们被成功地融入形状记忆聚合物薄膜中，不仅促进了固态下高效稳定的异构化，而且能够实现快速恢复和可重复使用。利用这些优势来演示在冷链运输标签和多级信息加密中的应用。这项工作为 DASA 的未来设计铺平了道路，并将光电开关异构体之间的 FRET 建立为开发下一代光电开关的强大概念。</w:t>
      </w:r>
    </w:p>
    <w:p>
      <w:pPr>
        <w:spacing w:before="0" w:after="200" w:lineRule="auto" w:line="276"/>
      </w:pPr>
      <w:r>
        <w:rPr>
          <w:b/>
        </w:rPr>
        <w:t xml:space="preserve">Abstract (EN): </w:t>
      </w:r>
      <w:r>
        <w:t>Photocontrollable luminescent molecular photoswitches are pivotal for stimuli-responsive smart materials, yet balancing fluorescence with photoswitching performance and enabling isomerization in solid matrices remain challenging. Herein, we design and synthesize a series of fluorescent donor-acceptor Stenhouse adducts (DASAs) and introduce a strategy utilizing fluorescence resonance energy transfer (FRET) between photoswitch isomers to achieve robust, contactless, and dynamic fluorescence modulation. The resulting DASAs exhibit remarkable photoswitching efficiency and high fluorescence quantum yields. Furthermore, they are successfully incorporated into shape-memory polymer films, which not only facilitate efficient and stable isomerization in the solid state but also enable rapid recovery and reusability. These advantages are leveraged to demonstrate applications in cold-chain transport labeling and multi-level information encryption. This work paves the way for the future design of DASAs and establishes FRET between photoswitch isomers as a powerful concept for developing next-generation photoswitches.</w:t>
      </w:r>
    </w:p>
    <w:p>
      <w:pPr>
        <w:spacing w:before="120" w:after="120"/>
      </w:pPr>
      <w:r>
        <w:rPr>
          <w:sz w:val="18"/>
        </w:rPr>
        <w:t>——————————————————————————————————————————————————————————————————————</w:t>
      </w:r>
    </w:p>
    <w:p>
      <w:pPr>
        <w:spacing w:before="160" w:after="40" w:line="240" w:lineRule="auto"/>
      </w:pPr>
      <w:r>
        <w:rPr>
          <w:b/>
        </w:rPr>
        <w:t xml:space="preserve">[35] </w:t>
      </w:r>
      <w:hyperlink r:id="rId591">
        <w:r>
          <w:rPr>
            <w:color w:val="1155CC"/>
            <w:u w:val="single"/>
          </w:rPr>
          <w:t>准确描述化学键断裂的波函数从头算基础模型</w:t>
        </w:r>
      </w:hyperlink>
    </w:p>
    <w:p>
      <w:pPr>
        <w:spacing w:before="0" w:after="80"/>
      </w:pPr>
      <w:r>
        <w:rPr>
          <w:i/>
          <w:sz w:val="20"/>
        </w:rPr>
        <w:t>EN: An ab initio foundation model of wavefunctions that accurately describes chemical bond breaking</w:t>
      </w:r>
    </w:p>
    <w:p>
      <w:pPr>
        <w:spacing w:before="0" w:after="120"/>
      </w:pPr>
      <w:r>
        <w:rPr>
          <w:b/>
        </w:rPr>
        <w:t xml:space="preserve">Source: </w:t>
      </w:r>
      <w:r>
        <w:t>Physical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由于解离物质中电子结构的多参考特征，对键断裂的可靠描述仍然是量子化学的主要挑战。多参考方法尤其遭受巨大的计算成本，在正常范式下必须以全价为每个系统重新支付计算成本，忽略了跨分子电子结构的共性。具有深度神经网络的量子蒙特卡罗独特地提供了通过预训练可转移波函数模型来利用这些共性，但迄今为止所有这些尝试都仅限于范围。在这里，我们通过 Orbformer 实现了这一范例，这是一种可转移波函数模型，在 22,000 个平衡和解离结构上进行了预训练，可以对看不见的分子进行微调，达到与经典多参考方法相媲美的精度成本比。在既定基准以及更具挑战性的键解离和 Diels-Alder 反应中，Orbformer 是唯一始终收敛于化学精度 (1 kcal/mol) 的方法。这项工作将在许多分子上分摊求解薛定谔方程的成本的想法转变为量子化学中的实用方法。</w:t>
      </w:r>
    </w:p>
    <w:p>
      <w:pPr>
        <w:spacing w:before="0" w:after="200" w:lineRule="auto" w:line="276"/>
      </w:pPr>
      <w:r>
        <w:rPr>
          <w:b/>
        </w:rPr>
        <w:t xml:space="preserve">Abstract (EN): </w:t>
      </w:r>
      <w:r>
        <w:t>Reliable description of bond breaking remains a major challenge for quantum chemistry due to the multireference character of the electronic structure in dissociating species. Multireference methods in particular suffer from large computational cost, which under the normal paradigm has to be paid anew for each system at a full price, ignoring commonalities in electronic structure across molecules. Quantum Monte Carlo with deep neural networks uniquely offers to exploit such commonalities by pretraining transferable wavefunction models, but all such attempts were so far limited in scope. Here, we bring this paradigm to fruition with Orbformer, a transferable wavefunction model pretrained on 22,000 equilibrium and dissociating structures that can be fine-tuned on unseen molecules reaching an accuracy–cost ratio rivalling classical multireference methods. On established benchmarks as well as more challenging bond dissociations and Diels–Alder reactions, Orbformer is the only method that consistently converges to chemical accuracy (1 kcal/mol). This work turns the idea of amortizing the cost of solving the Schrödinger equation over many molecules into a practical approach in quantum chemistry.</w:t>
      </w:r>
    </w:p>
    <w:p>
      <w:pPr>
        <w:spacing w:before="120" w:after="120"/>
      </w:pPr>
      <w:r>
        <w:rPr>
          <w:sz w:val="18"/>
        </w:rPr>
        <w:t>——————————————————————————————————————————————————————————————————————</w:t>
      </w:r>
    </w:p>
    <w:p>
      <w:pPr>
        <w:spacing w:before="160" w:after="40" w:line="240" w:lineRule="auto"/>
      </w:pPr>
      <w:r>
        <w:rPr>
          <w:b/>
        </w:rPr>
        <w:t xml:space="preserve">[36] </w:t>
      </w:r>
      <w:hyperlink r:id="rId592">
        <w:r>
          <w:rPr>
            <w:color w:val="1155CC"/>
            <w:u w:val="single"/>
          </w:rPr>
          <w:t>当数据共享挑战公共合法性时，问题是什么以及可以做什么？</w:t>
        </w:r>
      </w:hyperlink>
    </w:p>
    <w:p>
      <w:pPr>
        <w:spacing w:before="0" w:after="80"/>
      </w:pPr>
      <w:r>
        <w:rPr>
          <w:i/>
          <w:sz w:val="20"/>
        </w:rPr>
        <w:t>EN: What is the problem and what can be done when data sharing challenges public legitimacy?</w:t>
      </w:r>
    </w:p>
    <w:p>
      <w:pPr>
        <w:spacing w:before="0" w:after="120"/>
      </w:pPr>
      <w:r>
        <w:rPr>
          <w:b/>
        </w:rPr>
        <w:t xml:space="preserve">Source: </w:t>
      </w:r>
      <w:r>
        <w:t>Scientific community and society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调查表明，与行业和跨国界共享健康数据挑战了公共合法性。我们认为，这种抵制反映了对利润动机和失去控制的更深层次的担忧，并为响应式治理提供了指导，以确保公众信任。</w:t>
      </w:r>
    </w:p>
    <w:p>
      <w:pPr>
        <w:spacing w:before="0" w:after="200" w:lineRule="auto" w:line="276"/>
      </w:pPr>
      <w:r>
        <w:rPr>
          <w:b/>
        </w:rPr>
        <w:t xml:space="preserve">Abstract (EN): </w:t>
      </w:r>
      <w:r>
        <w:t>Surveys suggest that health data sharing with industry and across national borders challenges public legitimacy. We argue that this resistance reflects deeper concerns about profit motives and loss of control and provide guidance on responsive governance to ensure public trust.</w:t>
      </w:r>
    </w:p>
    <w:p>
      <w:pPr>
        <w:spacing w:before="120" w:after="120"/>
      </w:pPr>
      <w:r>
        <w:rPr>
          <w:sz w:val="18"/>
        </w:rPr>
        <w:t>——————————————————————————————————————————————————————————————————————</w:t>
      </w:r>
    </w:p>
    <w:p>
      <w:pPr>
        <w:spacing w:before="160" w:after="40" w:line="240" w:lineRule="auto"/>
      </w:pPr>
      <w:r>
        <w:rPr>
          <w:b/>
        </w:rPr>
        <w:t xml:space="preserve">[37] </w:t>
      </w:r>
      <w:hyperlink r:id="rId593">
        <w:r>
          <w:rPr>
            <w:color w:val="1155CC"/>
            <w:u w:val="single"/>
          </w:rPr>
          <w:t>1,3-二烯原理：丙二烯去消旋化转化和迁移功能化的替代途径</w:t>
        </w:r>
      </w:hyperlink>
    </w:p>
    <w:p>
      <w:pPr>
        <w:spacing w:before="0" w:after="80"/>
      </w:pPr>
      <w:r>
        <w:rPr>
          <w:i/>
          <w:sz w:val="20"/>
        </w:rPr>
        <w:t>EN: 1,3-Diene principle: an alternative pathway for allene deracemization transformation and migratory functionalization</w:t>
      </w:r>
    </w:p>
    <w:p>
      <w:pPr>
        <w:spacing w:before="0" w:after="120"/>
      </w:pPr>
      <w:r>
        <w:rPr>
          <w:b/>
        </w:rPr>
        <w:t xml:space="preserve">Source: </w:t>
      </w:r>
      <w:r>
        <w:t>National Science Review Advance Access</w:t>
      </w:r>
      <w:r>
        <w:t xml:space="preserve">    </w:t>
      </w:r>
      <w:r>
        <w:rPr>
          <w:b/>
        </w:rPr>
        <w:t xml:space="preserve">Pub date: </w:t>
      </w:r>
      <w:r>
        <w:t>2026-08-21 00:00:00+00:00</w:t>
      </w:r>
      <w:r>
        <w:t xml:space="preserve">    </w:t>
      </w:r>
      <w:r>
        <w:rPr>
          <w:b/>
        </w:rPr>
        <w:t xml:space="preserve">DOI: </w:t>
      </w:r>
      <w:hyperlink r:id="rId594">
        <w:r>
          <w:rPr>
            <w:color w:val="1155CC"/>
            <w:u w:val="single"/>
          </w:rPr>
          <w:t>10.1093/nsr/nwag509</w:t>
        </w:r>
      </w:hyperlink>
    </w:p>
    <w:p>
      <w:pPr>
        <w:spacing w:before="0" w:after="120"/>
      </w:pPr>
      <w:r>
        <w:rPr>
          <w:b/>
        </w:rPr>
        <w:t xml:space="preserve">Notes: </w:t>
      </w:r>
      <w:r>
        <w:t>abstract_source=rss_oup</w:t>
      </w:r>
    </w:p>
    <w:p>
      <w:pPr>
        <w:spacing w:before="0" w:after="80" w:lineRule="auto" w:line="276"/>
      </w:pPr>
      <w:r>
        <w:rPr>
          <w:b/>
        </w:rPr>
        <w:t xml:space="preserve">摘要（ZH）: </w:t>
      </w:r>
      <w:r>
        <w:t>丙二烯的不对称氢官能化已成为合成特殊烯丙基骨架的有价值的策略。然而，现有的研究很大程度上局限于特殊的末端丙二烯底物，以避免严重的去消旋化问题。在此，我们提出 1,3-二烯原理作为一种新的且广泛适用的机制途径来解决这一长期存在的挑战及其他挑战。 1,3-二烯原理通过十多种未探索的外消旋丙二烯对映选择性转化的应用得到证明。立体发散合成、聚合制备和天然产物的简洁获取进一步凸显了该范式的实用价值和通用性。值得注意的是，1,3-二烯歧管还实现了第一个丙二烯迁移氢官能化，打破了仅限于烯烃基材的金属行走化学。实验结果和理论计算都支持涉及1,3-二烯物种的去消旋化路线，为丙二烯转化开辟了新模型。</w:t>
      </w:r>
    </w:p>
    <w:p>
      <w:pPr>
        <w:spacing w:before="0" w:after="200" w:lineRule="auto" w:line="276"/>
      </w:pPr>
      <w:r>
        <w:rPr>
          <w:b/>
        </w:rPr>
        <w:t xml:space="preserve">Abstract (EN): </w:t>
      </w:r>
      <w:r>
        <w:t>Asymmetric hydrofunctionalization of allenes has emerged as a valuable strategy for synthesizing privileged allyl skeletons. However, existing studies are largely restricted to special terminal allene substrates to avoid formidable deracemization issues. Herein, we present 1,3-diene principle as a new and broadly applicable mechanistic pathway to address this long-standing challenge and beyond. The 1,3-diene principle is demonstrated by the applications to over ten types of unexplored enantioselective transformations of racemic allenes. Stereodivergent synthesis, convergent preparation, and concise access to natural products further highlight the practical value and generality of this paradigm. Remarkably, the 1,3-diene manifold also enables the first allene migratory hydrofunctionalization, breaking the metal walking chemistry limited to alkene substrates. Both experimental results and theoretical calculations support the deracemization route involving 1,3-diene species, opening a new model for allene transformations.</w:t>
      </w:r>
    </w:p>
    <w:p>
      <w:pPr>
        <w:spacing w:before="120" w:after="120"/>
      </w:pPr>
      <w:r>
        <w:rPr>
          <w:sz w:val="18"/>
        </w:rPr>
        <w:t>——————————————————————————————————————————————————————————————————————</w:t>
      </w:r>
    </w:p>
    <w:p>
      <w:pPr>
        <w:spacing w:before="160" w:after="40" w:line="240" w:lineRule="auto"/>
      </w:pPr>
      <w:r>
        <w:rPr>
          <w:b/>
        </w:rPr>
        <w:t xml:space="preserve">[38] </w:t>
      </w:r>
      <w:hyperlink r:id="rId595">
        <w:r>
          <w:rPr>
            <w:color w:val="1155CC"/>
            <w:u w:val="single"/>
          </w:rPr>
          <w:t>饲喂感染高致病性禽流感 H5N1 的奶牛未经高温消毒的牛奶的犊牛的易感性</w:t>
        </w:r>
      </w:hyperlink>
    </w:p>
    <w:p>
      <w:pPr>
        <w:spacing w:before="0" w:after="80"/>
      </w:pPr>
      <w:r>
        <w:rPr>
          <w:i/>
          <w:sz w:val="20"/>
        </w:rPr>
        <w:t>EN: Susceptibility of calves fed unpasteurized milk from cows infected with highly pathogenic avian influenza H5N1</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2024 年 3 月，在德克萨斯州的一头奶牛中确认了高致病性禽流感 (HPAI) H5N1，牛奶被确定为奶牛群内部和奶牛群之间病毒传播的关键来源。这项研究表明，饲喂来自受感染奶牛的未经高温消毒的受感染牛奶的小牛受到感染，表现出包括鼻分泌物和呼吸困难增加在内的临床症状，并发生血清转化。即使在小牛转产未受感染奶牛的牛奶后，鼻拭子中仍持续检测到活病毒。这项研究还表明，牛奶中存在的中和抗体可以防止感染，因为另一组喂食来自受感染奶牛的牛奶的小牛也没有被感染，也没有表现出临床症状或血清转化。这些数据表明，从 H5N1 阳性奶牛群或可疑奶牛的人类食品供应中转移的牛奶不应在未经巴氏灭菌的情况下喂养犊牛，因为 H5N1 可能进一步适应牛呼吸道，并且尚未评估犊牛作为农场间传播来源的风险。随着乳制品界 HPAI 特征的不断确定，传播途径的确定是为后续干预和疫苗接种策略研究提供信息的重要步骤。</w:t>
      </w:r>
    </w:p>
    <w:p>
      <w:pPr>
        <w:spacing w:before="0" w:after="200" w:lineRule="auto" w:line="276"/>
      </w:pPr>
      <w:r>
        <w:rPr>
          <w:b/>
        </w:rPr>
        <w:t xml:space="preserve">Abstract (EN): </w:t>
      </w:r>
      <w:r>
        <w:t>Highly pathogenic avian influenza (HPAI) H5N1 was confirmed in a dairy cows in Texas March 2024 and milk was identified as a critical source of virus spread within and between dairy herds. This study demonstrates that calves fed infected unpasteurized milk from infected cows became infected, showed clinical signs including nasal discharge and increased respiratory effort, and seroconverted. Live virus was persistently detected in nasal swabs, even after calves were transitioned to milk from non-infected cows. This study also demonstrates the presence of neutralizing antibodies in milk provides from protection from infection as an additional group of calves fed milk from infected cows also shedding neutralizing antibodies did not become infected, show clinical signs, or seroconvert. These data demonstrate that milk diverted from the human food supply in H5N1 positive dairy herds or suspect cows should not be fed to calves without pasteurization, as H5N1 may further adapt to the bovine respiratory tract and the risk of calves as a source of farm to farm transmission has not yet been evaluated. As characterization of HPAI in the dairy community continues the determination of routes of transmission is an essential step to inform subsequent research on intervention and vaccination strategies.</w:t>
      </w:r>
    </w:p>
    <w:p>
      <w:pPr>
        <w:spacing w:before="120" w:after="120"/>
      </w:pPr>
      <w:r>
        <w:rPr>
          <w:sz w:val="18"/>
        </w:rPr>
        <w:t>——————————————————————————————————————————————————————————————————————</w:t>
      </w:r>
    </w:p>
    <w:p>
      <w:pPr>
        <w:spacing w:before="160" w:after="40" w:line="240" w:lineRule="auto"/>
      </w:pPr>
      <w:r>
        <w:rPr>
          <w:b/>
        </w:rPr>
        <w:t xml:space="preserve">[39] </w:t>
      </w:r>
      <w:hyperlink r:id="rId596">
        <w:r>
          <w:rPr>
            <w:color w:val="1155CC"/>
            <w:u w:val="single"/>
          </w:rPr>
          <w:t>通过星形胶质细胞-线粒体穿梭激活静止胶质母细胞瘤和免疫逃避的代谢许可</w:t>
        </w:r>
      </w:hyperlink>
    </w:p>
    <w:p>
      <w:pPr>
        <w:spacing w:before="0" w:after="80"/>
      </w:pPr>
      <w:r>
        <w:rPr>
          <w:i/>
          <w:sz w:val="20"/>
        </w:rPr>
        <w:t>EN: Metabolic licensing of quiescent glioblastoma activation and immune evasion via astrocyte-mitochondria shuttle</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侵袭边缘重新激活的静止肿瘤细胞要么通过免疫监视消除，要么通过免疫逃逸扩大。表型可塑性驱动扩张导致治疗耐药、传播和复发的基础机制仍然难以捉摸。在这里，我们建立了一种代谢许可范例，其中反应性星形胶质细胞唤醒休眠的胶质母细胞瘤细胞，同时通过细胞间线粒体转移赋予免疫逃避。星形胶质细胞衍生的线粒体富含一碳代谢酶 SHMT2，可提供功能性代谢单元，对受体神经胶质瘤细胞进行重新编程。这种穿梭货物促进了 S 腺苷甲硫氨酸的产生，驱动 m⁶A RNA 甲基化和在一组特定基因上暂停的 RNA 聚合酶 II 的释放。核糖体生物发生和粘着斑途径因此选择性上调，从而使肿瘤细胞能够快速增殖和免疫抵抗。星形细胞 Shmt2 的基因消除或线粒体转移的药理阻断可抑制静止细胞的重新激活并延缓肿瘤进展。因此，我们的研究结果将星形胶质细胞-线粒体穿梭确定为胶质母细胞瘤的核心脆弱性，将代谢串扰与再激活和免疫逃逸的表观转录组控制联系起来。</w:t>
      </w:r>
    </w:p>
    <w:p>
      <w:pPr>
        <w:spacing w:before="0" w:after="200" w:lineRule="auto" w:line="276"/>
      </w:pPr>
      <w:r>
        <w:rPr>
          <w:b/>
        </w:rPr>
        <w:t xml:space="preserve">Abstract (EN): </w:t>
      </w:r>
      <w:r>
        <w:t>Reactivating quiescent tumor cells at the invasive margin are either eliminated by immune surveillance or expand through immune escape. The mechanisms underpinning phenotypic plasticity driving expansion leading to therapeutic resistance, dissemination, and recurrence remain elusive. Here we establish a metabolic licensing paradigm wherein reactive astrocytes awaken dormant glioblastoma cells and simultaneously confer immune evasion through intercellular mitochondrial transfer. Astrocyte-derived mitochondria, enriched with the one carbon metabolism enzyme SHMT2, deliver functional metabolic units that reprogram recipient glioma cells. This shuttled cargo fuels S adenosylmethionine production, driving m⁶A RNA methylation and release of paused RNA polymerase II over a specific set of genes. Ribosome biogenesis and focal adhesion pathways are selectively upregulated consequently, which enables rapid proliferation and immune resistance of tumour cells. Genetic ablation of astrocytic Shmt2 or pharmacological blockade of mitochondrial transfer suppresses quiescent cell reactivation and delays tumor progression. Our findings thus establish the astrocyte-mitochondria shuttle as a core vulnerability in glioblastomas, linking metabolic crosstalk to epitranscriptomic control of reactivation and immune escape.</w:t>
      </w:r>
    </w:p>
    <w:p>
      <w:pPr>
        <w:spacing w:before="120" w:after="120"/>
      </w:pPr>
      <w:r>
        <w:rPr>
          <w:sz w:val="18"/>
        </w:rPr>
        <w:t>——————————————————————————————————————————————————————————————————————</w:t>
      </w:r>
    </w:p>
    <w:p>
      <w:pPr>
        <w:spacing w:before="160" w:after="40" w:line="240" w:lineRule="auto"/>
      </w:pPr>
      <w:r>
        <w:rPr>
          <w:b/>
        </w:rPr>
        <w:t xml:space="preserve">[40] </w:t>
      </w:r>
      <w:hyperlink r:id="rId597">
        <w:r>
          <w:rPr>
            <w:color w:val="1155CC"/>
            <w:u w:val="single"/>
          </w:rPr>
          <w:t>CFAP100 形成睫状过渡区组装所需的相分离冷凝物</w:t>
        </w:r>
      </w:hyperlink>
    </w:p>
    <w:p>
      <w:pPr>
        <w:spacing w:before="0" w:after="80"/>
      </w:pPr>
      <w:r>
        <w:rPr>
          <w:i/>
          <w:sz w:val="20"/>
        </w:rPr>
        <w:t>EN: CFAP100 forms phase-separated condensates required for ciliary transition zone assembly</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纤毛是基于微管的细胞突起，对细胞信号传导和运动至关重要。纤毛过渡区将轴丝微管与纤毛膜连接起来，并通过调节蛋白质的选择性靶向和分类来充当看门人。然而，其组装背后的分子机制仍不完全清楚。在此，我们确定了纤毛和鞭毛相关蛋白 100 (CFAP100) 在过渡区组装中的重要作用。 Cfap100 基因敲除小鼠在多个器官中表现出纤毛缺陷，包括大脑、气管和肾脏。超分辨率成像显示CFAP100在中心粒远端形成环状结构。分子分析表明，CFAP100 刺激过渡区组装并与肾囊肿素 3 (NPHP3) 相互作用，后者是位于过渡区附近的反转蛋白区室的一个组成部分。进一步的研究表明，CFAP100 含有一个本质上无序的区域，并在纤毛发生过程中形成动态的生物分子凝聚物，这足以促进过渡区的组装。此外，CFAP100 的相分离能力与其招募 NPHP3 的能力相关。总之，我们的研究结果揭示了 CFAP100 相分离促进纤毛过渡区组装的机制，为控制纤毛发生的物理化学原理提供了见解。</w:t>
      </w:r>
    </w:p>
    <w:p>
      <w:pPr>
        <w:spacing w:before="0" w:after="200" w:lineRule="auto" w:line="276"/>
      </w:pPr>
      <w:r>
        <w:rPr>
          <w:b/>
        </w:rPr>
        <w:t xml:space="preserve">Abstract (EN): </w:t>
      </w:r>
      <w:r>
        <w:t>Cilia are microtubule-based cellular protrusions critical for cell signaling and motility. The ciliary transition zone connects axonemal microtubules to the ciliary membrane and functions as a gatekeeper by regulating selective targeting and sorting of proteins. However, the molecular mechanisms underlying its assembly remain incompletely understood. Herein, we identify an important role for cilia and flagella associated protein 100 (CFAP100) in the transition zone assembly. Cfap100 knockout mice exhibit ciliary defects in multiple organs, including the brain, trachea, and kidney. Super-resolution imaging reveals that CFAP100 forms a ring-like structure at the distal end of centrioles. Molecular analyses demonstrate that CFAP100 stimulates the transition zone assembly and interacts with nephrocystin-3 (NPHP3), a component of the inversin compartment that localizes adjacent to the transition zone. Further investigation shows that CFAP100 contains an intrinsically disordered region and forms dynamic biomolecular condensates during ciliogenesis, which are sufficient to promote transition zone assembly. Moreover, the phase separation capacity of CFAP100 correlates with its ability to recruit NPHP3. Together, our findings reveal a mechanism through which CFAP100 phase separation promotes ciliary transition zone assembly, providing insights into the physicochemical principle governing ciliogenesis.</w:t>
      </w:r>
    </w:p>
    <w:p>
      <w:pPr>
        <w:spacing w:before="120" w:after="120"/>
      </w:pPr>
      <w:r>
        <w:rPr>
          <w:sz w:val="18"/>
        </w:rPr>
        <w:t>——————————————————————————————————————————————————————————————————————</w:t>
      </w:r>
    </w:p>
    <w:p>
      <w:pPr>
        <w:spacing w:before="160" w:after="40" w:line="240" w:lineRule="auto"/>
      </w:pPr>
      <w:r>
        <w:rPr>
          <w:b/>
        </w:rPr>
        <w:t xml:space="preserve">[41] </w:t>
      </w:r>
      <w:hyperlink r:id="rId598">
        <w:r>
          <w:rPr>
            <w:color w:val="1155CC"/>
            <w:u w:val="single"/>
          </w:rPr>
          <w:t>脂肪酸氧化促进线粒体呼吸，从而驱动表皮干细胞的命运和分化</w:t>
        </w:r>
      </w:hyperlink>
    </w:p>
    <w:p>
      <w:pPr>
        <w:spacing w:before="0" w:after="80"/>
      </w:pPr>
      <w:r>
        <w:rPr>
          <w:i/>
          <w:sz w:val="20"/>
        </w:rPr>
        <w:t>EN: Fatty acid oxidation fuels mitochondrial respiration to drive epidermal stem cell fate and differentiation</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皮肤屏障功能依赖于表皮，其完整性由基底干细胞维持，基底干细胞不断更新并分化成多层结构。表皮分化破坏是许多过度增殖和炎症性皮肤病的基础。虽然已知转录和表观遗传机制可以调节晚期分化，但驱动早期分化的分子事件仍然难以捉摸。在这里，我们揭示了以氧化磷酸化激活为特征的早期线粒体重编程是分化起始的决定因素。我们将脂肪酸氧化确定为在此过程中促进氧化磷酸化的主要代谢途径。体外和体内脂肪酸氧化的药理学和遗传抑制会破坏分化并损害分层，导致对物理损伤的反应缺陷。从机制上讲，脂肪酸氧化使定型表皮细胞能够产生 ATP，以支持分化过程，将脂质代谢和表皮稳态联系起来。这些结果揭示了代谢重编程在表皮干细胞命运中未被认识的作用，并强调脂肪酸氧化是恢复疾病分化缺陷的有希望的治疗靶点。</w:t>
      </w:r>
    </w:p>
    <w:p>
      <w:pPr>
        <w:spacing w:before="0" w:after="200" w:lineRule="auto" w:line="276"/>
      </w:pPr>
      <w:r>
        <w:rPr>
          <w:b/>
        </w:rPr>
        <w:t xml:space="preserve">Abstract (EN): </w:t>
      </w:r>
      <w:r>
        <w:t>Skin barrier function relies on the epidermis, whose integrity is maintained by basal stem cells that continuously renew and differentiate into a multilayered architecture. Disrupted epidermal differentiation underlies numerous hyperproliferative and inflammatory skin disorders. While transcriptional and epigenetic mechanisms are known to regulate late differentiation, the molecular events driving early commitment remain elusive. Here, we reveal that early mitochondrial reprogramming, characterized by the activation of oxidative phosphorylation, is a determinant of differentiation initiation. We identify fatty acid oxidation as the primary metabolic pathway fueling oxidative phosphorylation during this process. Pharmacological and genetic inhibition of fatty acid oxidation, in vitro and in vivo, disrupts differentiation and compromises stratification, causing defective responses to physical insults. Mechanistically, fatty acid oxidation enables ATP production in committed epidermal cells to support the differentiation process, linking lipid metabolism and epidermal homeostasis. These results uncover an unrecognized role for metabolic reprogramming in epidermal stem cell fate and highlight fatty acid oxidation as a promising therapeutic target for restoring differentiation defects in disease.</w:t>
      </w:r>
    </w:p>
    <w:p>
      <w:pPr>
        <w:spacing w:before="120" w:after="120"/>
      </w:pPr>
      <w:r>
        <w:rPr>
          <w:sz w:val="18"/>
        </w:rPr>
        <w:t>——————————————————————————————————————————————————————————————————————</w:t>
      </w:r>
    </w:p>
    <w:p>
      <w:pPr>
        <w:spacing w:before="160" w:after="40" w:line="240" w:lineRule="auto"/>
      </w:pPr>
      <w:r>
        <w:rPr>
          <w:b/>
        </w:rPr>
        <w:t xml:space="preserve">[42] </w:t>
      </w:r>
      <w:hyperlink r:id="rId599">
        <w:r>
          <w:rPr>
            <w:color w:val="1155CC"/>
            <w:u w:val="single"/>
          </w:rPr>
          <w:t>YTHDC1 作为分子伴侣抑制 ALS 连接的 hnRNPA1 突变体聚集</w:t>
        </w:r>
      </w:hyperlink>
    </w:p>
    <w:p>
      <w:pPr>
        <w:spacing w:before="0" w:after="80"/>
      </w:pPr>
      <w:r>
        <w:rPr>
          <w:i/>
          <w:sz w:val="20"/>
        </w:rPr>
        <w:t>EN: YTHDC1 functions as a molecular chaperone to suppress ALS-linked hnRNPA1 mutants from aggregation</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蛋白质稳态失败会导致多种神经退行性疾病 (ND)，而支持神经元蛋白质稳态的不依赖于 ATP 的伴侣通路仍不清楚。在这里，我们将 N6-甲基腺苷 (m6A) 结合蛋白 YTHDC1 鉴定为不依赖于 ATP 的分子伴侣，其活性由高酸性聚天冬氨酸/谷氨酸 (polyD/E) 片段介导。 YTHDC1 防止蛋白质错误折叠和聚集，展开动力学捕获的底物，并重新溶解预先形成的聚集体。 PolyD/E 片段的删除消除了这些活性，而芳香笼突变体保留了分子伴侣活性，证明了与 m6A 识别的独立性。我们将肌萎缩侧索硬化症 (ALS) 相关 RNA 结合蛋白 hnRNPA1 确定为 YTHDC1 客户端。 YTHDC1 维持液体状 hnRNPA1 凝聚物，延迟疾病相关突变体的原纤维化，并限制应激颗粒隔离，同时减轻突变体 hnRNPA1 诱导的原代神经元神经突生长缺陷。这些发现定义了 YTHDC1 的蛋白抑制功能，并强调其伴侣活性是减轻 ALS 相关 ND 中蛋白质聚集的潜在靶标。</w:t>
      </w:r>
    </w:p>
    <w:p>
      <w:pPr>
        <w:spacing w:before="0" w:after="200" w:lineRule="auto" w:line="276"/>
      </w:pPr>
      <w:r>
        <w:rPr>
          <w:b/>
        </w:rPr>
        <w:t xml:space="preserve">Abstract (EN): </w:t>
      </w:r>
      <w:r>
        <w:t>Proteostasis failure drives multiple neurodegenerative disorders (NDs), and ATP-independent chaperone pathways that support neuronal proteostasis remain poorly defined. Here, we identify the N6-methyladenosine (m6A)-binding protein YTHDC1 as an ATP-independent molecular chaperone, whose activity is mediated by a highly acidic polyaspartate/glutamate (polyD/E) segment. YTHDC1 prevents protein misfolding and aggregation, unfolds kinetically trapped substrates, and resolubilizes pre-formed aggregates. Deletion of the polyD/E segment abolishes these activities, whereas aromatic-cage mutants retain chaperone activity, demonstrating independence from m6A recognition. We identify the amyotrophic lateral sclerosis (ALS)-associated RNA-binding protein hnRNPA1 as a YTHDC1 client. YTHDC1 maintains liquid-like hnRNPA1 condensates, delays fibrillization of disease-associated mutants, and limits stress-granule sequestration, while mitigating mutant hnRNPA1-induced neurite growth defects in primary neurons. These findings define a proteostatic function of YTHDC1 and highlight its chaperone activity as a potential target for mitigating protein aggregation in ALS-related NDs.</w:t>
      </w:r>
    </w:p>
    <w:p>
      <w:pPr>
        <w:spacing w:before="120" w:after="120"/>
      </w:pPr>
      <w:r>
        <w:rPr>
          <w:sz w:val="18"/>
        </w:rPr>
        <w:t>——————————————————————————————————————————————————————————————————————</w:t>
      </w:r>
    </w:p>
    <w:p>
      <w:pPr>
        <w:spacing w:before="160" w:after="40" w:line="240" w:lineRule="auto"/>
      </w:pPr>
      <w:r>
        <w:rPr>
          <w:b/>
        </w:rPr>
        <w:t xml:space="preserve">[43] </w:t>
      </w:r>
      <w:hyperlink r:id="rId600">
        <w:r>
          <w:rPr>
            <w:color w:val="1155CC"/>
            <w:u w:val="single"/>
          </w:rPr>
          <w:t>寻找 LncDACH1——一种缺乏基本基因组注释证据的内含子长非编码 RNA</w:t>
        </w:r>
      </w:hyperlink>
    </w:p>
    <w:p>
      <w:pPr>
        <w:spacing w:before="0" w:after="80"/>
      </w:pPr>
      <w:r>
        <w:rPr>
          <w:i/>
          <w:sz w:val="20"/>
        </w:rPr>
        <w:t>EN: In search of LncDACH1 – a perceived intronic long non-coding RNA lacking fundamental genomic annotation evidence</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601">
        <w:r>
          <w:rPr>
            <w:color w:val="1155CC"/>
            <w:u w:val="single"/>
          </w:rPr>
          <w:t>逆转录病毒使用不同的 IP6 结合机制来改变其衣壳的特性</w:t>
        </w:r>
      </w:hyperlink>
    </w:p>
    <w:p>
      <w:pPr>
        <w:spacing w:before="0" w:after="80"/>
      </w:pPr>
      <w:r>
        <w:rPr>
          <w:i/>
          <w:sz w:val="20"/>
        </w:rPr>
        <w:t>EN: Retroviruses use different IP6 binding mechanisms to alter the properties of their capsids</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HIV-1使用代谢物肌醇六磷酸（IP6）作为宿主因子来组装其衣壳，但这种策略是慢病毒独有的还是代表逆转录病毒衣壳的共同特征仍不清楚。在这里，我们表明 IP6 结合在不同的逆转录病毒中是保守的，但通过不同的衣壳位点和机制发生，并影响病毒行为。与 HIV-1 不同，β 逆转录病毒梅森-辉瑞猴病毒 (MPMV) 和 γ 逆转录病毒鼠白血病病毒 (MLV) 在壳粒之间的三重晶格界面处而不是在壳粒孔内结合 IP6。核状颗粒的冷冻电镜结构表明，每个壳粒的两个赖氨酸残基在两个离散的三赖氨酸环 (MPMV) 或单个异质六赖氨酸环 (MLV) 之间配位 IP6。 MPMV 和 MLV 对生产细胞中 IP6 的可用性基本上不敏感，但这种结合模式使它们高度依赖于靶细胞中的 IP6——与 HIV-1 的依赖模式相反。逆转录病毒使用 IP6 构建衣壳的方式改变了它们在复制周期的不同阶段以及关键衣壳行为（例如组装和稳定性）对代谢物的依赖。</w:t>
      </w:r>
    </w:p>
    <w:p>
      <w:pPr>
        <w:spacing w:before="0" w:after="200" w:lineRule="auto" w:line="276"/>
      </w:pPr>
      <w:r>
        <w:rPr>
          <w:b/>
        </w:rPr>
        <w:t xml:space="preserve">Abstract (EN): </w:t>
      </w:r>
      <w:r>
        <w:t>HIV-1 uses the metabolite inositol hexakisphosphate (IP6) as a host factor to assemble its capsid, but whether this strategy is unique to lentiviruses or represents a common feature of retroviral capsids remains unclear. Here we show that IP6 binding is conserved across diverse retroviruses but occurs through distinct capsid sites and mechanisms, and influences viral behaviour. In contrast to HIV-1, the beta-retrovirus Mason-Pfizer Monkey Virus (MPMV) and the gamma-retrovirus Murine Leukaemia Virus (MLV) bind IP6 at the threefold lattice interface between capsomers rather than within capsomer pores. Cryo-EM structures of core-like particles reveal that two lysine residues from each capsomer coordinate IP6 between either two discrete three-lysine rings (MPMV) or a single heterogeneous six-lysine ring (MLV). MPMV and MLV are largely insensitive to IP6 availability in producer cells, but this binding mode renders them highly dependent on IP6 in target cells – the opposite of the dependency pattern of HIV-1. The way in which retroviruses use IP6 to build their capsids alters their dependence on the metabolite at different stages of the replicative cycle and in key capsid behaviours, such as assembly and stability.</w:t>
      </w:r>
    </w:p>
    <w:p>
      <w:pPr>
        <w:spacing w:before="120" w:after="120"/>
      </w:pPr>
      <w:r>
        <w:rPr>
          <w:sz w:val="18"/>
        </w:rPr>
        <w:t>——————————————————————————————————————————————————————————————————————</w:t>
      </w:r>
    </w:p>
    <w:p>
      <w:pPr>
        <w:spacing w:before="160" w:after="40" w:line="240" w:lineRule="auto"/>
      </w:pPr>
      <w:r>
        <w:rPr>
          <w:b/>
        </w:rPr>
        <w:t xml:space="preserve">[45] </w:t>
      </w:r>
      <w:hyperlink r:id="rId602">
        <w:r>
          <w:rPr>
            <w:color w:val="1155CC"/>
            <w:u w:val="single"/>
          </w:rPr>
          <w:t>CD11b 激动剂 GB1275 增强小鼠肿瘤模型中针对胰腺癌的溶瘤细菌疗法</w:t>
        </w:r>
      </w:hyperlink>
    </w:p>
    <w:p>
      <w:pPr>
        <w:spacing w:before="0" w:after="80"/>
      </w:pPr>
      <w:r>
        <w:rPr>
          <w:i/>
          <w:sz w:val="20"/>
        </w:rPr>
        <w:t>EN: CD11b agonist GB1275 potentiates oncolytic bacterial therapy against pancreatic cancer in mouse tumor models</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溶瘤细菌是具有细胞毒活性的微生物，能够溶解癌细胞，同时激活先天性和适应性免疫反应以发挥抗肿瘤作用。然而，针对肿瘤微环境（TME）内溶瘤细菌的先天免疫激活是一个限制因素。在这里，我们发现CD11b靶向激动剂GB1275可以调节细菌-免疫相互作用并抑制CD11b⁺先天免疫细胞（如中性粒细胞和巨噬细胞）的浸润，从而抑制小鼠TME中的抗菌免疫防御。这样就可以避免溶瘤细菌的清除，并提高细菌介导的肿瘤免疫疗法的功效。此外，负载吉西他滨的细菌与 GB1275 治疗相结合，可激活肿瘤中由 Toll 样受体 (TLR)、NOD 样受体 (NLR) 和 cGAS-STING 通路介导的先天免疫反应，同时增强树突状细胞 (DC) 依赖性抗原交叉呈递；然后，这会上调适应性抗肿瘤免疫反应，并抑制小鼠肿瘤模型中皮下和原位胰腺癌的生长。因此，我们的结果表明，调节先天免疫反应，同时加强适应性免疫激活，可以显着提高细菌介导的肿瘤免疫疗法的疗效。</w:t>
      </w:r>
    </w:p>
    <w:p>
      <w:pPr>
        <w:spacing w:before="0" w:after="200" w:lineRule="auto" w:line="276"/>
      </w:pPr>
      <w:r>
        <w:rPr>
          <w:b/>
        </w:rPr>
        <w:t xml:space="preserve">Abstract (EN): </w:t>
      </w:r>
      <w:r>
        <w:t>Oncolytic bacteria are microorganisms with cytotoxic activity capable of lysing cancer cells while simultaneously activating both innate and adaptive immune responses to exert anti-tumor effects. However, the innate immune activation targeting oncolytic bacteria within the tumor microenvironment (TME) is a limiting factor. Here we find that the CD11b-targeting agonist GB1275 can modulate bacteria-immune interaction and inhibit the infiltration of CD11b⁺ innate immune cells such as neutrophils and macrophages, thereby suppressing the antimicrobial immune defenses in the TME in mice. This then avoids the clearance of oncolytic bacteria and increases the efficacy of bacteria-mediated tumor immunotherapy. Furthermore, the gemcitabine-loaded bacteria combined with GB1275 treatment activate innate immune responses in tumor, as mediated by Toll-like receptors (TLR), NOD-like receptors (NLR) and cGAS-STING pathways, while simultaneously enhancing dendritic cell (DC)-dependent antigen cross-presentation; this then upregulates the adaptive anti-tumor immune response and inhibits the growth of both subcutaneous and in situ pancreatic cancers in mouse tumor models. Our results therefore demonstrate that modulating innate immune responses while subsequently strengthening adaptive immune activation can significantly improve the efficacy of bacteria-mediated tumor immunotherapy.</w:t>
      </w:r>
    </w:p>
    <w:p>
      <w:pPr>
        <w:spacing w:before="120" w:after="120"/>
      </w:pPr>
      <w:r>
        <w:rPr>
          <w:sz w:val="18"/>
        </w:rPr>
        <w:t>——————————————————————————————————————————————————————————————————————</w:t>
      </w:r>
    </w:p>
    <w:p>
      <w:pPr>
        <w:spacing w:before="160" w:after="40" w:line="240" w:lineRule="auto"/>
      </w:pPr>
      <w:r>
        <w:rPr>
          <w:b/>
        </w:rPr>
        <w:t xml:space="preserve">[46] </w:t>
      </w:r>
      <w:hyperlink r:id="rId603">
        <w:r>
          <w:rPr>
            <w:color w:val="1155CC"/>
            <w:u w:val="single"/>
          </w:rPr>
          <w:t>代谢可塑性支持心髁蚂蚁灵活的营养共生</w:t>
        </w:r>
      </w:hyperlink>
    </w:p>
    <w:p>
      <w:pPr>
        <w:spacing w:before="0" w:after="80"/>
      </w:pPr>
      <w:r>
        <w:rPr>
          <w:i/>
          <w:sz w:val="20"/>
        </w:rPr>
        <w:t>EN: Metabolic plasticity supports a flexible nutritional symbiosis in Cardiocondyla ants</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营养共生在昆虫中反复进化，但宿主如何调节这些伙伴关系以平衡发展和环境之间的利益仍不清楚。蚂蚁提供了一个特殊的系统来解决这个问题，因为几个谱系维持着古老的共生体，这些共生体可以自然消失而不伤害宿主。入侵的流浪蚂蚁 Cardiocondyla obscurioor 提供了这种现象的一个令人信服的例子，因为垂直传播的共生体 Candidatus Westeberhardia Cardiocondylae 可能会在物种、群体甚至个体层面上消失。通过实施一系列分子技术，包括双 RNA 测序、RNA 荧光原位杂交和 qPCR，结合饮食的实验操作，我们揭示了这种不稳定关联的调控动态和功能。共生体提供源自莽草酸的营养物质，增强蛋白质限制下菌落的恢复力，而宿主似乎在蛋白质稀缺和角质层形成期间调节共生体丰度，以优化资源分配。在共生体缺失的情况下，蚂蚁通过上调基因来补偿，从而能够从外部来源获取酪氨酸。这种代谢灵活性使菌落能够利用共生体衍生的营养物质和环境营养物质，在营养环境中维持生长和生存。我们的研究结果揭示了动态宿主调节是维持古代共生体持久性和适应性的机制。</w:t>
      </w:r>
    </w:p>
    <w:p>
      <w:pPr>
        <w:spacing w:before="0" w:after="200" w:lineRule="auto" w:line="276"/>
      </w:pPr>
      <w:r>
        <w:rPr>
          <w:b/>
        </w:rPr>
        <w:t xml:space="preserve">Abstract (EN): </w:t>
      </w:r>
      <w:r>
        <w:t>Nutritional symbioses have repeatedly evolved in insects, yet how hosts regulate these partnerships to balance benefits across development and environments remains unclear. Ants provide an exceptional system to address this question, as several lineages maintain ancient symbionts that can be naturally lost without harming the host. The invasive tramp ant Cardiocondyla obscurior provides a compelling example of this phenomenon, as the vertically transmitted symbiont Candidatus Westeberhardia cardiocondylae can be lost at the species, colony, and even individual level. By implementing a range of molecular techniques, including dual-RNA sequencing, fluorescent in-situ hybridisations of RNA and qPCR, in conjunction with experimental manipulations of diet, we reveal the regulatory dynamics and function of this labile association. Symbionts provide shikimate-derived nutrients that enhance colony resilience under protein limitation, while hosts appear to regulate symbiont abundance during protein scarcity and cuticle formation to optimise resource allocation. In the symbiont’s absence, ants compensate by upregulating genes enabling tyrosine acquisition from external sources. This metabolic flexibility allows colonies to exploit symbiont-derived and environmental nutrients, sustaining both growth and survival across nutritional contexts. Our findings reveal dynamic host regulation as a mechanism for sustaining the persistence and adaptability of ancient symbioses.</w:t>
      </w:r>
    </w:p>
    <w:p>
      <w:pPr>
        <w:spacing w:before="120" w:after="120"/>
      </w:pPr>
      <w:r>
        <w:rPr>
          <w:sz w:val="18"/>
        </w:rPr>
        <w:t>——————————————————————————————————————————————————————————————————————</w:t>
      </w:r>
    </w:p>
    <w:p>
      <w:pPr>
        <w:spacing w:before="160" w:after="40" w:line="240" w:lineRule="auto"/>
      </w:pPr>
      <w:r>
        <w:rPr>
          <w:b/>
        </w:rPr>
        <w:t xml:space="preserve">[47] </w:t>
      </w:r>
      <w:hyperlink r:id="rId604">
        <w:r>
          <w:rPr>
            <w:color w:val="1155CC"/>
            <w:u w:val="single"/>
          </w:rPr>
          <w:t>热浪有利于热带森林中的无环单萜排放</w:t>
        </w:r>
      </w:hyperlink>
    </w:p>
    <w:p>
      <w:pPr>
        <w:spacing w:before="0" w:after="80"/>
      </w:pPr>
      <w:r>
        <w:rPr>
          <w:i/>
          <w:sz w:val="20"/>
        </w:rPr>
        <w:t>EN: Heatwaves favour acyclic monoterpene emissions in tropical forests</w:t>
      </w:r>
    </w:p>
    <w:p>
      <w:pPr>
        <w:spacing w:before="0" w:after="120"/>
      </w:pPr>
      <w:r>
        <w:rPr>
          <w:b/>
        </w:rPr>
        <w:t xml:space="preserve">Source: </w:t>
      </w:r>
      <w:r>
        <w:t>Earth and environmental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热浪扰乱植物生理和单萜排放，对大气化学和气候产生重要影响。无环和环状单萜在化学反应性、生物合成途径、生理功能和大气影响方面存在显着差异，但它们的热浪响应仍然很难量化，并且当前的排放模型通常赋予它们相似的温度敏感性。在这里，我们结合叶片变暖实验、热浪观测和温度响应模型，表明来自华南热带树木的无环单萜比环状单萜具有更高的温度敏感性。结果，热浪将环境混合物转向无环化合物，这些化合物接近测量的单萜的一半，并主导计算的臭氧和羟基自由基反应性。当前排放模型中的默认温度算法无法重现这种循环到非循环的转变，而此处开发的修订温度函数成功捕获了观察到的非循环分数的增加。因此，极端气候可能不仅通过改变单萜丰度，而且通过重塑单萜成分来改变大气化学。</w:t>
      </w:r>
    </w:p>
    <w:p>
      <w:pPr>
        <w:spacing w:before="0" w:after="200" w:lineRule="auto" w:line="276"/>
      </w:pPr>
      <w:r>
        <w:rPr>
          <w:b/>
        </w:rPr>
        <w:t xml:space="preserve">Abstract (EN): </w:t>
      </w:r>
      <w:r>
        <w:t>Heatwaves perturb plant physiology and monoterpene emissions, with important consequences for atmospheric chemistry and climate. Acyclic and cyclic monoterpenes differ markedly in their chemical reactivity, biosynthetic pathways, physiological functions, and atmospheric impacts, yet their heatwave responses remain poorly quantified, and current emission models generally assign them similar temperature sensitivities. Here, we combine leaf warming experiments, heatwave observations, and temperature-response modeling to show that acyclic monoterpenes from tropical trees in South China possess substantially higher temperature sensitivity than cyclic forms. As a result, heatwaves shift ambient mixture toward acyclic compounds, which approach half of measured monoterpenes and dominate calculated ozone and hydroxyl-radical reactivity. Default temperature algorithms in current emission models fail to reproduce this cyclic-to-acyclic shift, whereas the revised temperature functions developed here successfully capture the observed increase in acyclic fraction. Climate extremes may therefore alter atmospheric chemistry not only by changing monoterpene abundance, but also by reshaping monoterpene composition.</w:t>
      </w:r>
    </w:p>
    <w:p>
      <w:pPr>
        <w:spacing w:before="120" w:after="120"/>
      </w:pPr>
      <w:r>
        <w:rPr>
          <w:sz w:val="18"/>
        </w:rPr>
        <w:t>——————————————————————————————————————————————————————————————————————</w:t>
      </w:r>
    </w:p>
    <w:p>
      <w:pPr>
        <w:spacing w:before="160" w:after="40" w:line="240" w:lineRule="auto"/>
      </w:pPr>
      <w:r>
        <w:rPr>
          <w:b/>
        </w:rPr>
        <w:t xml:space="preserve">[48] </w:t>
      </w:r>
      <w:hyperlink r:id="rId605">
        <w:r>
          <w:rPr>
            <w:color w:val="1155CC"/>
            <w:u w:val="single"/>
          </w:rPr>
          <w:t>北大西洋涛动对格陵兰岛西南部全新世晚期水文气候的持续影响</w:t>
        </w:r>
      </w:hyperlink>
    </w:p>
    <w:p>
      <w:pPr>
        <w:spacing w:before="0" w:after="80"/>
      </w:pPr>
      <w:r>
        <w:rPr>
          <w:i/>
          <w:sz w:val="20"/>
        </w:rPr>
        <w:t>EN: Persistent influence of the North Atlantic Oscillation on Late Holocene hydroclimate in southwestern Greenland</w:t>
      </w:r>
    </w:p>
    <w:p>
      <w:pPr>
        <w:spacing w:before="0" w:after="120"/>
      </w:pPr>
      <w:r>
        <w:rPr>
          <w:b/>
        </w:rPr>
        <w:t xml:space="preserve">Source: </w:t>
      </w:r>
      <w:r>
        <w:t>Earth and environmental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了解全球气候强迫如何在十年到千年的时间尺度上塑造区域水文气候对于预测大陆冰盖对未来变暖的反应至关重要。由于仪器观测只能捕获较短的时间间隔，因此需要更长期的视角来替代记录。在这里，我们展示了覆盖格陵兰岛西南部整个全新世的高分辨率沉积记录。我们表明，在全新世早期当地冰川消亡后，记录可以评估当地降水的千年到十年的变化。与北大西洋涛动 (NAO) 重建和气候模型模拟的比较表明，正 NAO 阶段对应于更潮湿但更寒冷的区域条件。这些发现表明，除了温度变化之外，全新世晚期冰质量平衡的百年尺度模式还受到降水变化的影响。虽然在气候变暖的情况下对降水变化的敏感性可能会发生变化，但我们的结果强调了整合 NAO 驱动的水分输送变化以准确评估格陵兰冰盖未来稳定性的重要性。</w:t>
      </w:r>
    </w:p>
    <w:p>
      <w:pPr>
        <w:spacing w:before="0" w:after="200" w:lineRule="auto" w:line="276"/>
      </w:pPr>
      <w:r>
        <w:rPr>
          <w:b/>
        </w:rPr>
        <w:t xml:space="preserve">Abstract (EN): </w:t>
      </w:r>
      <w:r>
        <w:t>Understanding how global climate forcing shapes regional hydroclimate on decadal to millennial timescales is critical for predicting the response of continental ice sheets to future warming. Because instrumental observations capture only a short interval, longer-term perspectives require proxy records. Here we present a high-resolution sedimentary record covering the entire Holocene from southwestern Greenland. We show that after the demise of local glaciers in the Early Holocene, the record allows evaluation of millennial to decadal variations in local precipitation. Comparison with North Atlantic Oscillation (NAO) reconstructions and climate model simulations demonstrates that positive NAO phases correspond to wetter but colder regional conditions. These findings suggest that centennial-scale patterns of ice mass balance during the late Holocene were influenced by precipitation variability, in addition to temperature changes. While the sensitivity to precipitation variability may change under a warmer climate, our results underscore the importance of integrating shifts in NAO-driven moisture delivery to accurately assess the future stability of the Greenland Ice Sheet.</w:t>
      </w:r>
    </w:p>
    <w:p>
      <w:pPr>
        <w:spacing w:before="120" w:after="120"/>
      </w:pPr>
      <w:r>
        <w:rPr>
          <w:sz w:val="18"/>
        </w:rPr>
        <w:t>——————————————————————————————————————————————————————————————————————</w:t>
      </w:r>
    </w:p>
    <w:p>
      <w:pPr>
        <w:spacing w:before="160" w:after="40" w:line="240" w:lineRule="auto"/>
      </w:pPr>
      <w:r>
        <w:rPr>
          <w:b/>
        </w:rPr>
        <w:t xml:space="preserve">[49] </w:t>
      </w:r>
      <w:hyperlink r:id="rId606">
        <w:r>
          <w:rPr>
            <w:color w:val="1155CC"/>
            <w:u w:val="single"/>
          </w:rPr>
          <w:t>单铜原子的自重构驱动精确的羟基自由基生成，实现高效水消毒</w:t>
        </w:r>
      </w:hyperlink>
    </w:p>
    <w:p>
      <w:pPr>
        <w:spacing w:before="0" w:after="80"/>
      </w:pPr>
      <w:r>
        <w:rPr>
          <w:i/>
          <w:sz w:val="20"/>
        </w:rPr>
        <w:t>EN: Self-reconstruction of single copper atoms drives precise hydroxyl radicals generation for efficient water disinfection</w:t>
      </w:r>
    </w:p>
    <w:p>
      <w:pPr>
        <w:spacing w:before="0" w:after="120"/>
      </w:pPr>
      <w:r>
        <w:rPr>
          <w:b/>
        </w:rPr>
        <w:t xml:space="preserve">Source: </w:t>
      </w:r>
      <w:r>
        <w:t>Earth and environmental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抗生素耐药细菌（ARB）及其基因（ARG）对公众健康和生态系统构成重大风险。传统的水消毒可以有效消除病原体，但需要大量的化学物质消耗，但去除 ARG 的效率较低。在此，我们提出了一种按需电化学平台，可以通过原位生成的羟基自由基（·OH）同时消除ARB和ARG，而无需额外的化学输入。具有CuN4配位结构的单原子铜催化剂（SA-CuN4/NC）经过精确调节，可通过三电子氧还原反应（3e⁻ ORR）直接将氧转化为可控·OH。 Operando X 射线吸附近边光谱揭示了单原子 Cu 位点的电势驱动自重构，以优化·OH 浓度。特别是，优先吸附到相邻 N 原子上的 H+ 促进 Cu-N 键的断裂，形成稳定的 Cu2-CuN2 簇作为真正的活性位点。正如预期的那样，具有中等·OH (~11.5 μM) 的 SA-CuN4/NC 表现出对大肠杆菌 HT115 的超快速降解，在 1 分钟内实现约 8 log 的去除，并在 30 分钟内完全消除 ARG。过量的·OH (~47.9 μM) 会引发细菌聚集，从而损害细菌失活。这些发现表明，3e⁻ ORR 是一种可持续且有效的策略，可实现快速、彻底的水消毒，防止 ARG 的环境传播。</w:t>
      </w:r>
    </w:p>
    <w:p>
      <w:pPr>
        <w:spacing w:before="0" w:after="200" w:lineRule="auto" w:line="276"/>
      </w:pPr>
      <w:r>
        <w:rPr>
          <w:b/>
        </w:rPr>
        <w:t xml:space="preserve">Abstract (EN): </w:t>
      </w:r>
      <w:r>
        <w:t>Antibiotic-resistant bacteria (ARB) and their genes (ARGs) pose a significant risk to public health and the ecosystem. Conventional water disinfection efficiently eliminates pathogens, however, it requires intensive chemical consumption but inefficiently removes ARGs. Herein, we propose an on-demand electrochemical platform that simultaneously eliminate both ARB and ARGs with in-situ generated hydroxyl radicals (·OH) without additional chemical inputs. Single-atom copper catalysts with CuN4 coordination structure (SA-CuN4/NC) are precisely tuned to directly convert oxygen into controllable ·OH via three-electron oxygen reduction reaction (3e⁻ ORR). Operando X-ray adsorption near-edge spectroscopy reveals a potential-driven self-reconstruction of single-atom Cu sites to optimize ·OH concentration. Specially, the preferentially adsorbed H+ onto the adjacent N atoms promotes the breaking of Cu-N bonds to form stable Cu2-CuN2 cluster as a genuine active site. As expected, the SA-CuN4/NC with moderate ·OH (~11.5 μM) exhibits ultra-fast degradation of E. coli HT115, accomplishing an ~ 8 log removal within 1 min and a complete elimination of ARGs in 30 min. Excess ·OH (~47.9 μM) triggers bacterial aggregation which compromises bacterial inactivation. These findings demonstrate that 3e⁻ ORR is a sustainable and effective strategy to obtain fast and complete water disinfection, preventing environmental spread of ARGs.</w:t>
      </w:r>
    </w:p>
    <w:p>
      <w:pPr>
        <w:spacing w:before="120" w:after="120"/>
      </w:pPr>
      <w:r>
        <w:rPr>
          <w:sz w:val="18"/>
        </w:rPr>
        <w:t>——————————————————————————————————————————————————————————————————————</w:t>
      </w:r>
    </w:p>
    <w:p>
      <w:pPr>
        <w:spacing w:before="160" w:after="40" w:line="240" w:lineRule="auto"/>
      </w:pPr>
      <w:r>
        <w:rPr>
          <w:b/>
        </w:rPr>
        <w:t xml:space="preserve">[50] </w:t>
      </w:r>
      <w:hyperlink r:id="rId607">
        <w:r>
          <w:rPr>
            <w:color w:val="1155CC"/>
            <w:u w:val="single"/>
          </w:rPr>
          <w:t>本地和引进的巨型动物对动物和生态系统具有趋同影响：一项荟萃分析</w:t>
        </w:r>
      </w:hyperlink>
    </w:p>
    <w:p>
      <w:pPr>
        <w:spacing w:before="0" w:after="80"/>
      </w:pPr>
      <w:r>
        <w:rPr>
          <w:i/>
          <w:sz w:val="20"/>
        </w:rPr>
        <w:t>EN: Native and introduced megafauna have convergent effects on animals and ecosystems: a meta-analysis</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人们认为引入的大型食草动物（以下称为巨型动物群）会破坏共同进化动态，从而对生态系统产生“有害”影响。如果是这样的话，它们的影响应该与本地巨型动物的影响不同。我们使用包含 235 篇文章的 3,532 个观察结果的系统荟萃分析数据集来测试本地、引进和入侵巨型动物对动物、土壤和各种生态系统过程的影响是否存在差异。在 32 种生态反应中，我们只发现了适度的证据，表明入侵巨型动物对土壤压实的影响比本地巨型动物更中性。然后，我们将引入的巨型动物群与完整的非洲巨型动物群落的影响进行比较，这是统治地球大陆数百万年的群落的最接近代表。我们发现了适度的证据表明，引入的巨型动物比非洲巨型动物对土壤镁的减少更多，但其他反应之间没有差异。我们的结果表明，本土性不太可能是巨型动物的生物学属性。虽然相对于现代动物区系丧失的基线而言，引入的巨型动物的影响可能看起来不寻常，但我们建议更广泛的视角以及对巨型动物的级联间接影响的客观研究将帮助我们更好地了解引入的巨型动物在全球新颖性不断上升的时代所发挥的作用。</w:t>
      </w:r>
    </w:p>
    <w:p>
      <w:pPr>
        <w:spacing w:before="0" w:after="200" w:lineRule="auto" w:line="276"/>
      </w:pPr>
      <w:r>
        <w:rPr>
          <w:b/>
        </w:rPr>
        <w:t xml:space="preserve">Abstract (EN): </w:t>
      </w:r>
      <w:r>
        <w:t>Introduced large herbivores (henceforth megafauna) are thought to have ‘harmful’ effects on ecosystems by disrupting coevolutionary dynamics. If this is the case, their effects should be distinct from those of native megafauna. We use a systematic meta-analytic dataset of 3,532 observations from 235 articles to test whether there is any difference between the effects of native, introduced, and invasive megafauna on animals, soil, and a variety of ecosystem processes. Among 32 ecological responses, we only find moderate evidence that invasive megafauna have more neutral effects on soil compaction than native megafauna. We then compare the effects of introduced megafauna to intact African megafauna assemblages, the closest proxies for the communities that dominated Earth’s continents for millions of years. We find moderate evidence that introduced megafauna reduces soil magnesium more than African megafauna, but no differences among the other responses. Our results suggest that nativeness is unlikely to be a biological attribute of megafauna. While the effects of introduced megafauna may seem unusual in reference to modern defaunated baselines, we suggest that broader lenses—and objective research across the cascading indirect effects of megafauna—will help us better understand the role of introduced megafauna in a time of rising global novelty.</w:t>
      </w:r>
    </w:p>
    <w:p>
      <w:pPr>
        <w:spacing w:before="120" w:after="120"/>
      </w:pPr>
      <w:r>
        <w:rPr>
          <w:sz w:val="18"/>
        </w:rPr>
        <w:t>——————————————————————————————————————————————————————————————————————</w:t>
      </w:r>
    </w:p>
    <w:p>
      <w:pPr>
        <w:spacing w:before="160" w:after="40" w:line="240" w:lineRule="auto"/>
      </w:pPr>
      <w:r>
        <w:rPr>
          <w:b/>
        </w:rPr>
        <w:t xml:space="preserve">[51] </w:t>
      </w:r>
      <w:hyperlink r:id="rId608">
        <w:r>
          <w:rPr>
            <w:color w:val="1155CC"/>
            <w:u w:val="single"/>
          </w:rPr>
          <w:t>对映互补 SNArase 的定向进化揭示了不同的催化特征</w:t>
        </w:r>
      </w:hyperlink>
    </w:p>
    <w:p>
      <w:pPr>
        <w:spacing w:before="0" w:after="80"/>
      </w:pPr>
      <w:r>
        <w:rPr>
          <w:i/>
          <w:sz w:val="20"/>
        </w:rPr>
        <w:t>EN: Directed evolution of an enantiocomplementary SNArase reveals divergent catalytic features</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催化非天然 C-C 键形成反应的酶是不对称合成的强大工具，但重新编程其活性位点以反转立体化学结果仍然具有挑战性。基于我们最近设计的 SNArase SNAr1.3，它可以用碳亲核试剂进行对映选择性亲核芳香族取代，我们现在报告了对映互补生物催化剂 (eSNAr1.3) 的进化，该催化剂显示出增强的活性和扩大的底物范围。结构和计算分析揭示了 SNAr1.3 和 eSNAr1.3 之间的保守特征和差异特征。尽管保留了类似的亲电子结合姿势和保守的催化精氨酸，但 SNAr1.3 的卤化物结合口袋在 eSNAr1.3 中已被放弃。相反，His23 已成为与 Arg124 一起精确定位亲核底物的关键基序。计算表明，Arg124 在催化过程中促进卤化物释放方面也发挥着至关重要的作用。我们的研究展示了进化如何以不可预见的方式重塑酶机制，强调了探索不同轨迹以获得新功能的重要性。</w:t>
      </w:r>
    </w:p>
    <w:p>
      <w:pPr>
        <w:spacing w:before="0" w:after="200" w:lineRule="auto" w:line="276"/>
      </w:pPr>
      <w:r>
        <w:rPr>
          <w:b/>
        </w:rPr>
        <w:t xml:space="preserve">Abstract (EN): </w:t>
      </w:r>
      <w:r>
        <w:t>Enzymes that catalyze non-natural C–C bond-forming reactions are powerful tools in asymmetric synthesis, yet reprogramming their active sites to invert stereochemical outcome remains challenging. Building on our recently engineered SNArase, SNAr1.3, which performs enantioselective nucleophilic aromatic substitutions with carbon nucleophiles, we now report the evolution of an enantiocomplementary biocatalyst (eSNAr1.3) that displays enhanced activity and expanded substrate scope. Structural and computational analyses uncover both conserved and divergent features between SNAr1.3 and eSNAr1.3. Despite retaining similar electrophile binding poses and a conserved catalytic arginine, the halide-binding pocket of SNAr1.3 has been abandoned in eSNAr1.3. Instead, His23 has emerged as a key motif that works with Arg124 to accurately position the nucleophilic substrate. Calculations reveal that Arg124 also plays a crucial role in facilitating halide release during catalysis. Our study demonstrates how evolution can reshape enzyme mechanisms in unforeseen ways, highlighting the importance of exploring diverse trajectories to access new functions.</w:t>
      </w:r>
    </w:p>
    <w:p>
      <w:pPr>
        <w:spacing w:before="120" w:after="120"/>
      </w:pPr>
      <w:r>
        <w:rPr>
          <w:sz w:val="18"/>
        </w:rPr>
        <w:t>——————————————————————————————————————————————————————————————————————</w:t>
      </w:r>
    </w:p>
    <w:p>
      <w:pPr>
        <w:spacing w:before="160" w:after="40" w:line="240" w:lineRule="auto"/>
      </w:pPr>
      <w:r>
        <w:rPr>
          <w:b/>
        </w:rPr>
        <w:t xml:space="preserve">[52] </w:t>
      </w:r>
      <w:hyperlink r:id="rId609">
        <w:r>
          <w:rPr>
            <w:color w:val="1155CC"/>
            <w:u w:val="single"/>
          </w:rPr>
          <w:t>非细胞生物工程再生导管作为冠状动脉搭桥术的通畅期为 18 个月</w:t>
        </w:r>
      </w:hyperlink>
    </w:p>
    <w:p>
      <w:pPr>
        <w:spacing w:before="0" w:after="80"/>
      </w:pPr>
      <w:r>
        <w:rPr>
          <w:i/>
          <w:sz w:val="20"/>
        </w:rPr>
        <w:t>EN: 18 Month patency of acellular bioengineered regenerative conduit as coronary artery bypass</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冠状动脉旁路移植术仍然是复杂冠状动脉疾病的标准治疗方法；然而，由于失败或缺乏合适的本地船只，结果受到限制。组织工程血管移植物在外周应用中显示出前景，但在冠状循环中的持久性能仍未得到满足。在这项研究中，在有或没有外部支撑的情况下，在绵羊模型中植入组织工程血管作为冠状动脉旁路移植术，并施用抗凝剂 180 天。无支撑的血管由于扭结相关的血栓而早期失效，而外部支撑的血管在 180 天时实现 100% 通畅。此外，两只动物在不使用抗凝剂的情况下进行了 550 天的随访，以保持通畅。组织工程血管外植体表现出宿主介导的重塑，包括内皮、无血栓、最小的炎症反应以及超过天然冠状动脉旁路移植物的爆破压力。这项研究证明了撤消抗凝治疗后的初步长期通畅，并有证据表明其可以再生转化为活的、有功能的血管。</w:t>
      </w:r>
    </w:p>
    <w:p>
      <w:pPr>
        <w:spacing w:before="0" w:after="200" w:lineRule="auto" w:line="276"/>
      </w:pPr>
      <w:r>
        <w:rPr>
          <w:b/>
        </w:rPr>
        <w:t xml:space="preserve">Abstract (EN): </w:t>
      </w:r>
      <w:r>
        <w:t>Coronary artery bypass grafting remains the standard of care for complex coronary artery disease; however, outcomes are limited by failure or lack of suitable native vessels. Tissue-engineered vascular grafts have shown promise in peripheral applications, yet durable performance in coronary circulation remains unmet. In this study, tissue-engineered vessels are implanted with and without external support as coronary artery bypass grafts in an ovine model and anticoagulants are administered for 180 days. Unsupported vessels fail early due to kink-related thrombus, whereas external supported vessels achieve 100% patency at 180 days. Further, two animals are followed through 550 days without anticoagulant to maintain patency. The tissue engineered vessel explants demonstrate host-mediated remodeling including endothelium, no thrombus, minimal inflammatory response, and burst pressures exceeding native coronary bypass grafts. This study demonstrates preliminary, long-term patency after withdrawal of anticoagulation, with evidence of regenerative transformation into a living, functional vessel.</w:t>
      </w:r>
    </w:p>
    <w:p>
      <w:pPr>
        <w:spacing w:before="120" w:after="120"/>
      </w:pPr>
      <w:r>
        <w:rPr>
          <w:sz w:val="18"/>
        </w:rPr>
        <w:t>——————————————————————————————————————————————————————————————————————</w:t>
      </w:r>
    </w:p>
    <w:p>
      <w:pPr>
        <w:spacing w:before="160" w:after="40" w:line="240" w:lineRule="auto"/>
      </w:pPr>
      <w:r>
        <w:rPr>
          <w:b/>
        </w:rPr>
        <w:t xml:space="preserve">[53] </w:t>
      </w:r>
      <w:hyperlink r:id="rId610">
        <w:r>
          <w:rPr>
            <w:color w:val="1155CC"/>
            <w:u w:val="single"/>
          </w:rPr>
          <w:t>能源资源与地缘政治冲突：伊拉克社会经济动态的 ARDL 分析</w:t>
        </w:r>
      </w:hyperlink>
    </w:p>
    <w:p>
      <w:pPr>
        <w:spacing w:before="0" w:after="80"/>
      </w:pPr>
      <w:r>
        <w:rPr>
          <w:i/>
          <w:sz w:val="20"/>
        </w:rPr>
        <w:t>EN: Energy resources and geopolitical conflicts: ARDL analysis of Iraq's socioeconomic dynamics</w:t>
      </w:r>
    </w:p>
    <w:p>
      <w:pPr>
        <w:spacing w:before="0" w:after="120"/>
      </w:pPr>
      <w:r>
        <w:rPr>
          <w:b/>
        </w:rPr>
        <w:t xml:space="preserve">Source: </w:t>
      </w:r>
      <w:r>
        <w:t>ScienceDirect Publication: Energy Policy</w:t>
      </w:r>
      <w:r>
        <w:t xml:space="preserve">    </w:t>
      </w:r>
      <w:r>
        <w:rPr>
          <w:b/>
        </w:rPr>
        <w:t xml:space="preserve">Pub date: </w:t>
      </w:r>
      <w:r>
        <w:t>2026-08-21 00:00:00+00:00</w:t>
      </w:r>
      <w:r>
        <w:t xml:space="preserve">    </w:t>
      </w:r>
      <w:r>
        <w:rPr>
          <w:b/>
        </w:rPr>
        <w:t xml:space="preserve">DOI: </w:t>
      </w:r>
      <w:hyperlink r:id="rId611">
        <w:r>
          <w:rPr>
            <w:color w:val="1155CC"/>
            <w:u w:val="single"/>
          </w:rPr>
          <w:t>10.1016/j.enpol.2026.115501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612">
        <w:r>
          <w:rPr>
            <w:color w:val="1155CC"/>
            <w:u w:val="single"/>
          </w:rPr>
          <w:t>通过激光诱导石墨烯上铜纳米颗粒的电喷雾还原实现柔性非酶葡萄糖传感器</w:t>
        </w:r>
      </w:hyperlink>
    </w:p>
    <w:p>
      <w:pPr>
        <w:spacing w:before="0" w:after="80"/>
      </w:pPr>
      <w:r>
        <w:rPr>
          <w:i/>
          <w:sz w:val="20"/>
        </w:rPr>
        <w:t>EN: Flexible Non-Enzymatic Glucose Sensors via Electrospray Reduction of Copper Nanoparticles on Laser-Induced Graphene</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613">
        <w:r>
          <w:rPr>
            <w:color w:val="1155CC"/>
            <w:u w:val="single"/>
          </w:rPr>
          <w:t>10.1021/acsami.6c12010</w:t>
        </w:r>
      </w:hyperlink>
    </w:p>
    <w:p>
      <w:pPr>
        <w:spacing w:before="0" w:after="120"/>
      </w:pPr>
      <w:r>
        <w:rPr>
          <w:b/>
        </w:rPr>
        <w:t xml:space="preserve">Notes: </w:t>
      </w:r>
      <w:r>
        <w:t>abstract_source=crossref</w:t>
      </w:r>
    </w:p>
    <w:p>
      <w:pPr>
        <w:spacing w:before="0" w:after="80" w:lineRule="auto" w:line="276"/>
      </w:pPr>
      <w:r>
        <w:rPr>
          <w:b/>
        </w:rPr>
        <w:t xml:space="preserve">摘要（ZH）: </w:t>
      </w:r>
      <w:r>
        <w:t>摘要 非酶葡萄糖传感器具有成本低、灵敏度高、稳定性好、保质期好的优点。通过简单的制造工艺获得的柔性基底上的多孔激光诱导石墨烯（LIG）表现出良好的导电性和有利于传感的多孔形态。在此，基于固定在 LIG 上的铜纳米颗粒 (CuNP) 复合材料制造了柔性非酶葡萄糖生物传感器。制造过程涉及非接触、简单且经济高效的电喷雾还原 (ESR) 沉积技术，其中铜离子水溶液作为 ESR 前体。电喷雾产生的带正电的微米级液滴充当微反应器，其中带电液滴和负偏压基质之间的电位差驱动 Cu2+ 原位还原为 CuNPs。这种非接触式 ESR 工艺可实现 CuNP 催化剂在 LIG 上的保形沉积，用于葡萄糖传感。 CuNP 的尺寸和分布可以通过 ESR 参数进行调整。优化后的传感器在KOH碱性电解质中的葡萄糖检测方面表现出优异的性能，灵敏度为622.9 μA·mM−1·cm−2，检测限为29.73 μM，具有0.05至10 mM的宽线性范围，并对葡萄糖具有出色的重复性和选择性。还证明了检测中性 PBS 缓冲液（pH 7.4）中葡萄糖的能力。 ESR 工艺提供了可靠的非酶葡萄糖传感器的快速、绿色制造，并提出了一种有前途的处理策略</w:t>
      </w:r>
    </w:p>
    <w:p>
      <w:pPr>
        <w:spacing w:before="0" w:after="200" w:lineRule="auto" w:line="276"/>
      </w:pPr>
      <w:r>
        <w:rPr>
          <w:b/>
        </w:rPr>
        <w:t xml:space="preserve">Abstract (EN): </w:t>
      </w:r>
      <w:r>
        <w:t>Non-enzymatic glucose sensors have the advantages of low cost, high sensitivity, stability, and good shelf life. The porous laser-induced graphene (LIG) on flexible substrates obtained by a simple fabrication process shows good conductivity and porous morphology advantageous for sensing. Herein, flexible and non-enzymatic glucose biosensors are fabricated based on a composite of copper nanoparticles (CuNPs) anchored on LIG. The fabrication process involved a non-contact, simple, and cost-effective electrospray reduction (ESR) deposition technology, where an aqueous copper ion solution serves as the ESR precursor. The positively charged micro-scaled droplets generated by electrospray act as micro-reactors, in which the potential difference between the charged droplets and the negatively biased substrate drives the in situ reduction of Cu2+ to CuNPs. This non-contact ESR process enables the conformal deposition of CuNP catalysts on LIG, utilized here for glucose sensing. The size and distributions of the CuNPs can be tuned by the ESR parameters. The optimized sensors demonstrate excellent performance for glucose detection in KOH alkaline electrolyte, exhibiting a sensitivity of 622.9 μA·mM−1·cm−2, a limit of detection of 29.73 μM, and a wide linear range from 0.05 to 10 mM, as well as remarkable repeatability and selectivity for glucose. The ability for detection of glucose in neutral PBS buffer (pH 7.4) was also demonstrated. The ESR process provides a rapid and green fabrication of reliable non-enzymatic glucose sensors and presents a promising processing strategy for wearable and flexible health monitoring devices.</w:t>
      </w:r>
    </w:p>
    <w:p>
      <w:pPr>
        <w:spacing w:before="120" w:after="120"/>
      </w:pPr>
      <w:r>
        <w:rPr>
          <w:sz w:val="18"/>
        </w:rPr>
        <w:t>——————————————————————————————————————————————————————————————————————</w:t>
      </w:r>
    </w:p>
    <w:p>
      <w:pPr>
        <w:spacing w:before="160" w:after="40" w:line="240" w:lineRule="auto"/>
      </w:pPr>
      <w:r>
        <w:rPr>
          <w:b/>
        </w:rPr>
        <w:t xml:space="preserve">[55] </w:t>
      </w:r>
      <w:hyperlink r:id="rId614">
        <w:r>
          <w:rPr>
            <w:color w:val="1155CC"/>
            <w:u w:val="single"/>
          </w:rPr>
          <w:t>希腊能源贫困的脉搏：金融压力、不确定性和机构弹性的作用</w:t>
        </w:r>
      </w:hyperlink>
    </w:p>
    <w:p>
      <w:pPr>
        <w:spacing w:before="0" w:after="80"/>
      </w:pPr>
      <w:r>
        <w:rPr>
          <w:i/>
          <w:sz w:val="20"/>
        </w:rPr>
        <w:t>EN: The pulse of energy poverty in Greece: The role of financial stress, uncertainty, and institutional resilience</w:t>
      </w:r>
    </w:p>
    <w:p>
      <w:pPr>
        <w:spacing w:before="0" w:after="120"/>
      </w:pPr>
      <w:r>
        <w:rPr>
          <w:b/>
        </w:rPr>
        <w:t xml:space="preserve">Source: </w:t>
      </w:r>
      <w:r>
        <w:t>ScienceDirect Publication: Energy Policy</w:t>
      </w:r>
      <w:r>
        <w:t xml:space="preserve">    </w:t>
      </w:r>
      <w:r>
        <w:rPr>
          <w:b/>
        </w:rPr>
        <w:t xml:space="preserve">Pub date: </w:t>
      </w:r>
      <w:r>
        <w:t>2026-08-21 00:00:00+00:00</w:t>
      </w:r>
      <w:r>
        <w:t xml:space="preserve">    </w:t>
      </w:r>
      <w:r>
        <w:rPr>
          <w:b/>
        </w:rPr>
        <w:t xml:space="preserve">DOI: </w:t>
      </w:r>
      <w:hyperlink r:id="rId615">
        <w:r>
          <w:rPr>
            <w:color w:val="1155CC"/>
            <w:u w:val="single"/>
          </w:rPr>
          <w:t>10.1016/j.enpol.2026.115547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616">
        <w:r>
          <w:rPr>
            <w:color w:val="1155CC"/>
            <w:u w:val="single"/>
          </w:rPr>
          <w:t>人肺结核肺泡性肺炎中空间组织的 TREM2 相关巨噬细胞生态位的鉴定</w:t>
        </w:r>
      </w:hyperlink>
    </w:p>
    <w:p>
      <w:pPr>
        <w:spacing w:before="0" w:after="80"/>
      </w:pPr>
      <w:r>
        <w:rPr>
          <w:i/>
          <w:sz w:val="20"/>
        </w:rPr>
        <w:t>EN: Identification of a spatially organized TREM2-associated permissive macrophage niche in human pulmonary tuberculosis alveolar pneumonia</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肺结核 (TB) 是由结核分枝杆菌 (Mtb) 肺部感染引起的，通常表现为肺泡性肺炎和同一肺内含有 Mtb 的免疫细胞聚集，称为肉芽肿。在这里，我们整合了四名肺结核患者肺活检的空间转录组学、单细胞 RNA 测序、高分辨率成像和功能分析，以比较肺泡肺炎与邻近肉芽肿。我们发现肺泡结核肺炎富含 TREM2⁺ 载脂巨噬细胞，其特征是脂质代谢基因表达增加、T 细胞浸润减少、抗菌基因表达减弱以及丰富的 Mtb 转录物和抗原。相比之下，邻近的肉芽肿表现出有组织的淋巴结构和强大的抗菌程序。在体外，Mtb 脂质诱导 TREM2 表达，激活 TREM2-DAP12 信号传导，并促进原代人单核细胞源性巨噬细胞 (MDM) 中脂滴的积累。此外，TREM2+ MDM 更容易受到体外 Mtb 感染。当用 1,25-二羟基维生素 D₃ 治疗 MDM 时，会诱导抗菌巨噬细胞程序，TREM2+ MDM 数量、脂滴丰度和 Mtb 活力都会降低。因此，我们提出了一种空间局部的、肺泡肺炎固有的 TREM2⁺ 巨噬细胞程序，该程序可能有助于人类肺结核感染中 Mtb 的持续存在。</w:t>
      </w:r>
    </w:p>
    <w:p>
      <w:pPr>
        <w:spacing w:before="0" w:after="200" w:lineRule="auto" w:line="276"/>
      </w:pPr>
      <w:r>
        <w:rPr>
          <w:b/>
        </w:rPr>
        <w:t xml:space="preserve">Abstract (EN): </w:t>
      </w:r>
      <w:r>
        <w:t>Pulmonary tuberculosis (TB), caused by lung infection with Mycobacterium tuberculosis (Mtb), often manifests both alveolar pneumonia and aggregation of immune cells containing Mtb, termed granulomas, within the same lung. Here, we integrate spatial transcriptomics, single-cell RNA sequencing, high-resolution imaging, and functional assays of lung biopsies from four men with pulmonary TB to compare alveolar pneumonia with adjacent granulomas. We find that alveolar TB pneumonia is enriched for TREM2⁺ lipid-laden macrophages characterized by increased lipid metabolism gene expression, reduced T cell infiltration, attenuated antimicrobial gene expression, and abundant Mtb transcripts and antigens. By contrast, neighboring granulomas exhibit organized lymphoid architecture and robust antimicrobial programs. In vitro, Mtb lipids induce TREM2 expression, activate TREM2–DAP12 signaling, and promote lipid droplet accumulation in primary human monocyte-derived macrophages (MDM). Furthermore, TREM2+ MDMs are more susceptible to in vitro Mtb infection. When treating MDMs with 1,25-dihydroxyvitamin D₃, which induces antimicrobial macrophage programs, TREM2+ MDM numbers, lipid droplet abundance and Mtb viability are decreased. Thus, we propose a spatially localized, alveolar pneumonia-intrinsic TREM2⁺ macrophage program that potentially contributes to Mtb persistence in pulmonary TB infection in humans.</w:t>
      </w:r>
    </w:p>
    <w:p>
      <w:pPr>
        <w:spacing w:before="120" w:after="120"/>
      </w:pPr>
      <w:r>
        <w:rPr>
          <w:sz w:val="18"/>
        </w:rPr>
        <w:t>——————————————————————————————————————————————————————————————————————</w:t>
      </w:r>
    </w:p>
    <w:p>
      <w:pPr>
        <w:spacing w:before="160" w:after="40" w:line="240" w:lineRule="auto"/>
      </w:pPr>
      <w:r>
        <w:rPr>
          <w:b/>
        </w:rPr>
        <w:t xml:space="preserve">[57] </w:t>
      </w:r>
      <w:hyperlink r:id="rId617">
        <w:r>
          <w:rPr>
            <w:color w:val="1155CC"/>
            <w:u w:val="single"/>
          </w:rPr>
          <w:t>Ms-MOARO：一种新型多策略优化器，用于风能-太阳能-潮汐能集成的多目标最优潮流</w:t>
        </w:r>
      </w:hyperlink>
    </w:p>
    <w:p>
      <w:pPr>
        <w:spacing w:before="0" w:after="80"/>
      </w:pPr>
      <w:r>
        <w:rPr>
          <w:i/>
          <w:sz w:val="20"/>
        </w:rPr>
        <w:t>EN: Ms-MOARO: a novel multi-strategy optimizer for multi-objective optimal power flow with wind-solar-tidal energy integration</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618">
        <w:r>
          <w:rPr>
            <w:color w:val="1155CC"/>
            <w:u w:val="single"/>
          </w:rPr>
          <w:t>10.1016/j.apenergy.2026.128674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619">
        <w:r>
          <w:rPr>
            <w:color w:val="1155CC"/>
            <w:u w:val="single"/>
          </w:rPr>
          <w:t>健康和营养回归到城乡之间清洁烹饪燃料的获取</w:t>
        </w:r>
      </w:hyperlink>
    </w:p>
    <w:p>
      <w:pPr>
        <w:spacing w:before="0" w:after="80"/>
      </w:pPr>
      <w:r>
        <w:rPr>
          <w:i/>
          <w:sz w:val="20"/>
        </w:rPr>
        <w:t>EN: Health and nutrition returns to clean cooking fuel access across the rural-urban divide</w:t>
      </w:r>
    </w:p>
    <w:p>
      <w:pPr>
        <w:spacing w:before="0" w:after="120"/>
      </w:pPr>
      <w:r>
        <w:rPr>
          <w:b/>
        </w:rPr>
        <w:t xml:space="preserve">Source: </w:t>
      </w:r>
      <w:r>
        <w:t>ScienceDirect Publication: Energy Policy</w:t>
      </w:r>
      <w:r>
        <w:t xml:space="preserve">    </w:t>
      </w:r>
      <w:r>
        <w:rPr>
          <w:b/>
        </w:rPr>
        <w:t xml:space="preserve">Pub date: </w:t>
      </w:r>
      <w:r>
        <w:t>2026-08-21 00:00:00+00:00</w:t>
      </w:r>
      <w:r>
        <w:t xml:space="preserve">    </w:t>
      </w:r>
      <w:r>
        <w:rPr>
          <w:b/>
        </w:rPr>
        <w:t xml:space="preserve">DOI: </w:t>
      </w:r>
      <w:hyperlink r:id="rId620">
        <w:r>
          <w:rPr>
            <w:color w:val="1155CC"/>
            <w:u w:val="single"/>
          </w:rPr>
          <w:t>10.1016/j.enpol.2026.115551</w:t>
        </w:r>
      </w:hyperlink>
    </w:p>
    <w:p>
      <w:pPr>
        <w:spacing w:before="0" w:after="120"/>
      </w:pPr>
      <w:r>
        <w:rPr>
          <w:b/>
        </w:rPr>
        <w:t xml:space="preserve">Notes: </w:t>
      </w:r>
      <w:r>
        <w:t>abstract_source=openalex</w:t>
      </w:r>
    </w:p>
    <w:p>
      <w:pPr>
        <w:spacing w:before="0" w:after="80" w:lineRule="auto" w:line="276"/>
      </w:pPr>
      <w:r>
        <w:rPr>
          <w:b/>
        </w:rPr>
        <w:t xml:space="preserve">摘要（ZH）: </w:t>
      </w:r>
      <w:r>
        <w:t>获得清洁烹饪燃料对于促进全球健康、公平和环境可持续性至关重要。然而，尽管采取了持续的政策努力，很大一部分家庭，特别是发展中国家的家庭，仍然依赖污染性燃料，对健康、环境质量和经济福祉产生不利影响。本文利用 2000 年至 2022 年 102 个发展中国家的面板数据集来评估获得清洁烹饪燃料与人类福祉之间的关系。使用固定效应和工具变量估计器，我们解决了潜在的内生性问题。我们进一步探讨了农村和城市环境的异质性，并表明，获取机会的改善与城市地区健康和营养结果的更大进步有关。我们以撒哈拉以南非洲地区为重点，进行基于场景的模拟，以量化扩大清洁烹饪燃料使用范围的潜在好处。据估计，将农村普及率从 10% 提高到 25%，可防止约 84,000 名婴儿死亡，并减少约 168 万例儿童发育迟缓病例。在城市地区，以 35% 的覆盖率为基准实现全民普及可避免多达 377,000 名婴儿死亡，并节省超过 1,100 万残疾调整生命年，反映出与家庭空气污染相关的疾病负担大幅减轻。这些结果表明，需要通过有针对性的、针对具体情况的政策，加快普及清洁烹饪燃料的进程。虽然农村人口仍然得不到充分服务并需要持续关注，但</w:t>
      </w:r>
    </w:p>
    <w:p>
      <w:pPr>
        <w:spacing w:before="0" w:after="200" w:lineRule="auto" w:line="276"/>
      </w:pPr>
      <w:r>
        <w:rPr>
          <w:b/>
        </w:rPr>
        <w:t xml:space="preserve">Abstract (EN): </w:t>
      </w:r>
      <w:r>
        <w:t>Access to clean cooking fuels is central to advancing health, equity, and environmental sustainability worldwide. However, despite sustained policy efforts, a substantial share of households, especially in developing countries, still rely on polluting fuels, with adverse effects on health, environmental quality, and economic well-being. This paper draws on a panel dataset of 102 developing countries spanning 2000–2022 to assess the relationship between access to clean cooking fuels and human well-being. Using fixed-effects and instrumental-variable estimators, we address potential endogeneity concerns. We further explore heterogeneity across rural and urban settings and show that improvements in access are associated with larger gains in health and nutrition outcomes in urban areas. Focusing on sub-Saharan Africa, we conduct scenario-based simulations to quantify the potential benefits of expanding access to clean cooking fuels. Increasing rural access from 10% to 25% is estimated to prevent around 84,000 infant deaths and reduce child stunting by approximately 1.68 million cases. In urban areas, achieving universal access from a baseline of 35% coverage could avert up to 377,000 infant deaths and generate more than 11 million disability-adjusted life years saved, reflecting a substantial reduction in disease burden linked to household air pollution. These results point to the need to accelerate progress toward universal access to clean cooking fuels through targeted, context-specific policies. While rural populations remain underserved and require continued attention, the magnitude of potential gains in urban areas underscores the case for a balanced strategy in clean energy policy design.</w:t>
      </w:r>
    </w:p>
    <w:p>
      <w:pPr>
        <w:spacing w:before="120" w:after="120"/>
      </w:pPr>
      <w:r>
        <w:rPr>
          <w:sz w:val="18"/>
        </w:rPr>
        <w:t>——————————————————————————————————————————————————————————————————————</w:t>
      </w:r>
    </w:p>
    <w:p>
      <w:pPr>
        <w:spacing w:before="160" w:after="40" w:line="240" w:lineRule="auto"/>
      </w:pPr>
      <w:r>
        <w:rPr>
          <w:b/>
        </w:rPr>
        <w:t xml:space="preserve">[59] </w:t>
      </w:r>
      <w:hyperlink r:id="rId621">
        <w:r>
          <w:rPr>
            <w:color w:val="1155CC"/>
            <w:u w:val="single"/>
          </w:rPr>
          <w:t>能源贫困：季节性变化、社会经济差异和累积不平等</w:t>
        </w:r>
      </w:hyperlink>
    </w:p>
    <w:p>
      <w:pPr>
        <w:spacing w:before="0" w:after="80"/>
      </w:pPr>
      <w:r>
        <w:rPr>
          <w:i/>
          <w:sz w:val="20"/>
        </w:rPr>
        <w:t>EN: Energy poverty: Seasonal variations, socioeconomic disparities and cumulative inequality</w:t>
      </w:r>
    </w:p>
    <w:p>
      <w:pPr>
        <w:spacing w:before="0" w:after="120"/>
      </w:pPr>
      <w:r>
        <w:rPr>
          <w:b/>
        </w:rPr>
        <w:t xml:space="preserve">Source: </w:t>
      </w:r>
      <w:r>
        <w:t>ScienceDirect Publication: Energy Policy</w:t>
      </w:r>
      <w:r>
        <w:t xml:space="preserve">    </w:t>
      </w:r>
      <w:r>
        <w:rPr>
          <w:b/>
        </w:rPr>
        <w:t xml:space="preserve">Pub date: </w:t>
      </w:r>
      <w:r>
        <w:t>2026-08-21 00:00:00+00:00</w:t>
      </w:r>
      <w:r>
        <w:t xml:space="preserve">    </w:t>
      </w:r>
      <w:r>
        <w:rPr>
          <w:b/>
        </w:rPr>
        <w:t xml:space="preserve">DOI: </w:t>
      </w:r>
      <w:hyperlink r:id="rId622">
        <w:r>
          <w:rPr>
            <w:color w:val="1155CC"/>
            <w:u w:val="single"/>
          </w:rPr>
          <w:t>10.1016/j.enpol.2026.115550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623">
        <w:r>
          <w:rPr>
            <w:color w:val="1155CC"/>
            <w:u w:val="single"/>
          </w:rPr>
          <w:t>变暖导致的土壤湿度熵上升表明亚洲水塔的不稳定风险日益增加</w:t>
        </w:r>
      </w:hyperlink>
    </w:p>
    <w:p>
      <w:pPr>
        <w:spacing w:before="0" w:after="80"/>
      </w:pPr>
      <w:r>
        <w:rPr>
          <w:i/>
          <w:sz w:val="20"/>
        </w:rPr>
        <w:t>EN: Warming-driven rise in soil moisture entropy signals growing instability risk in the Asian Water Tower</w:t>
      </w:r>
    </w:p>
    <w:p>
      <w:pPr>
        <w:spacing w:before="0" w:after="120"/>
      </w:pPr>
      <w:r>
        <w:rPr>
          <w:b/>
        </w:rPr>
        <w:t xml:space="preserve">Source: </w:t>
      </w:r>
      <w:r>
        <w:t>Earth and environmental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青藏高原（TP）被称为亚洲水塔，为数十亿人提供水源，但正在经历快速变暖和湿润。湿度的增加是否稳定了区域水文系统，还是仅仅提供了短暂的缓冲，目前尚不清楚。在这里，我们应用基于熵的框架来量化 TP 土壤水分系统的结构组织。 2000-2024年，区域湿润导致熵的长期下降，反映出系统秩序的增加和水文缓冲能力的增强。 This ordering is modulated by ENSO, which regulates regional heterogeneity via a spatial dipole.然而，CMIP6 的预测揭示了一个逆转：在持续变暖的情况下熵增加，区域对比加剧，一些模型表现出类似过渡的行为。我们的研究结果表明，虽然当前的湿润提供了稳定缓冲，但持续变暖预计会放大空间异质性，从而增加亚洲水塔的不稳定风险并威胁下游水安全。</w:t>
      </w:r>
    </w:p>
    <w:p>
      <w:pPr>
        <w:spacing w:before="0" w:after="200" w:lineRule="auto" w:line="276"/>
      </w:pPr>
      <w:r>
        <w:rPr>
          <w:b/>
        </w:rPr>
        <w:t xml:space="preserve">Abstract (EN): </w:t>
      </w:r>
      <w:r>
        <w:t>The Tibetan Plateau (TP), known as the Asian Water Tower, supplies water to billions of people but is undergoing rapid warming and wetting. Whether this increased moisture stabilizes the regional hydrological system or merely provides a transient buffer remains unclear. Here we apply an entropy-based framework to quantify the structural organization of the TP’s soil moisture system. During 2000–2024, regional wetting has driven a long-term decline in entropy, reflecting an increase in system order and enhanced hydrological buffering capacity. This ordering is modulated by ENSO, which regulates regional heterogeneity via a spatial dipole. However, CMIP6 projections reveal a reversal: entropy increases under continued warming and regional contrasts intensify, with some models exhibiting transition-like behavior. Our findings suggest that while current wetting provides a stabilizing buffer, continued warming is projected to amplify spatial heterogeneity, thereby elevating instability risk in the Asian Water Tower and threatening downstream water security.</w:t>
      </w:r>
    </w:p>
    <w:p>
      <w:pPr>
        <w:spacing w:before="120" w:after="120"/>
      </w:pPr>
      <w:r>
        <w:rPr>
          <w:sz w:val="18"/>
        </w:rPr>
        <w:t>——————————————————————————————————————————————————————————————————————</w:t>
      </w:r>
    </w:p>
    <w:p>
      <w:pPr>
        <w:spacing w:before="160" w:after="40" w:line="240" w:lineRule="auto"/>
      </w:pPr>
      <w:r>
        <w:rPr>
          <w:b/>
        </w:rPr>
        <w:t xml:space="preserve">[61] </w:t>
      </w:r>
      <w:hyperlink r:id="rId624">
        <w:r>
          <w:rPr>
            <w:color w:val="1155CC"/>
            <w:u w:val="single"/>
          </w:rPr>
          <w:t>地缘政治碎片化在能源转型中的调节作用——能源贫困：来自欧洲的交叉分布证据</w:t>
        </w:r>
      </w:hyperlink>
    </w:p>
    <w:p>
      <w:pPr>
        <w:spacing w:before="0" w:after="80"/>
      </w:pPr>
      <w:r>
        <w:rPr>
          <w:i/>
          <w:sz w:val="20"/>
        </w:rPr>
        <w:t>EN: The moderating role of geopolitical fragmentation in energy transition-energy poverty: A cross distribution evidence from Europe</w:t>
      </w:r>
    </w:p>
    <w:p>
      <w:pPr>
        <w:spacing w:before="0" w:after="120"/>
      </w:pPr>
      <w:r>
        <w:rPr>
          <w:b/>
        </w:rPr>
        <w:t xml:space="preserve">Source: </w:t>
      </w:r>
      <w:r>
        <w:t>ScienceDirect Publication: Energy Policy</w:t>
      </w:r>
      <w:r>
        <w:t xml:space="preserve">    </w:t>
      </w:r>
      <w:r>
        <w:rPr>
          <w:b/>
        </w:rPr>
        <w:t xml:space="preserve">Pub date: </w:t>
      </w:r>
      <w:r>
        <w:t>2026-08-21 00:00:00+00:00</w:t>
      </w:r>
      <w:r>
        <w:t xml:space="preserve">    </w:t>
      </w:r>
      <w:r>
        <w:rPr>
          <w:b/>
        </w:rPr>
        <w:t xml:space="preserve">DOI: </w:t>
      </w:r>
      <w:hyperlink r:id="rId625">
        <w:r>
          <w:rPr>
            <w:color w:val="1155CC"/>
            <w:u w:val="single"/>
          </w:rPr>
          <w:t>10.1016/j.enpol.2026.115544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626">
        <w:r>
          <w:rPr>
            <w:color w:val="1155CC"/>
            <w:u w:val="single"/>
          </w:rPr>
          <w:t>微针生物界面中的机械应变解耦</w:t>
        </w:r>
      </w:hyperlink>
    </w:p>
    <w:p>
      <w:pPr>
        <w:spacing w:before="0" w:after="80"/>
      </w:pPr>
      <w:r>
        <w:rPr>
          <w:i/>
          <w:sz w:val="20"/>
        </w:rPr>
        <w:t>EN: Decoupling mechanical strain in microneedle biointerfaces</w:t>
      </w:r>
    </w:p>
    <w:p>
      <w:pPr>
        <w:spacing w:before="0" w:after="120"/>
      </w:pPr>
      <w:r>
        <w:rPr>
          <w:b/>
        </w:rPr>
        <w:t xml:space="preserve">Source: </w:t>
      </w:r>
      <w:r>
        <w:t>Nature Nanotechnology</w:t>
      </w:r>
      <w:r>
        <w:t xml:space="preserve">    </w:t>
      </w:r>
      <w:r>
        <w:rPr>
          <w:b/>
        </w:rPr>
        <w:t xml:space="preserve">Pub date: </w:t>
      </w:r>
      <w:r>
        <w:t>2026-08-21 00:00:00+00:00</w:t>
      </w:r>
      <w:r>
        <w:t xml:space="preserve">    </w:t>
      </w:r>
      <w:r>
        <w:rPr>
          <w:b/>
        </w:rPr>
        <w:t xml:space="preserve">DOI: </w:t>
      </w:r>
      <w:hyperlink r:id="rId627">
        <w:r>
          <w:rPr>
            <w:color w:val="1155CC"/>
            <w:u w:val="single"/>
          </w:rPr>
          <w:t>10.1038/s41565-026-02263-5</w:t>
        </w:r>
      </w:hyperlink>
    </w:p>
    <w:p>
      <w:pPr>
        <w:spacing w:before="0" w:after="120"/>
      </w:pPr>
      <w:r>
        <w:rPr>
          <w:b/>
        </w:rPr>
        <w:t xml:space="preserve">Notes: </w:t>
      </w:r>
      <w:r>
        <w:t>abstract_source=rss_nature</w:t>
      </w:r>
    </w:p>
    <w:p>
      <w:pPr>
        <w:spacing w:before="0" w:after="80" w:lineRule="auto" w:line="276"/>
      </w:pPr>
      <w:r>
        <w:rPr>
          <w:b/>
        </w:rPr>
        <w:t xml:space="preserve">摘要（ZH）: </w:t>
      </w:r>
      <w:r>
        <w:t>微针电化学传感器具有亚微米尖端、纳米结构表面和应变隔离生物界面，可将组织运动与传感环境分离，从而实现自由运动期间的生物分子监测。</w:t>
      </w:r>
    </w:p>
    <w:p>
      <w:pPr>
        <w:spacing w:before="0" w:after="200" w:lineRule="auto" w:line="276"/>
      </w:pPr>
      <w:r>
        <w:rPr>
          <w:b/>
        </w:rPr>
        <w:t xml:space="preserve">Abstract (EN): </w:t>
      </w:r>
      <w:r>
        <w:t>Microneedle electrochemical sensors featuring sub-micrometre tips, nanostructured surfaces, and a strain-isolated biointerface decouple tissue motion from the sensing environment, enabling biomolecular monitoring during free movement.</w:t>
      </w:r>
    </w:p>
    <w:p>
      <w:pPr>
        <w:spacing w:before="120" w:after="120"/>
      </w:pPr>
      <w:r>
        <w:rPr>
          <w:sz w:val="18"/>
        </w:rPr>
        <w:t>——————————————————————————————————————————————————————————————————————</w:t>
      </w:r>
    </w:p>
    <w:p>
      <w:pPr>
        <w:spacing w:before="160" w:after="40" w:line="240" w:lineRule="auto"/>
      </w:pPr>
      <w:r>
        <w:rPr>
          <w:b/>
        </w:rPr>
        <w:t xml:space="preserve">[63] </w:t>
      </w:r>
      <w:hyperlink r:id="rId628">
        <w:r>
          <w:rPr>
            <w:color w:val="1155CC"/>
            <w:u w:val="single"/>
          </w:rPr>
          <w:t>交通对每日 PM2.5 暴露的影响以及与癌症死亡率的关系</w:t>
        </w:r>
      </w:hyperlink>
    </w:p>
    <w:p>
      <w:pPr>
        <w:spacing w:before="0" w:after="80"/>
      </w:pPr>
      <w:r>
        <w:rPr>
          <w:i/>
          <w:sz w:val="20"/>
        </w:rPr>
        <w:t>EN: Contributions of traffic to daily PM2.5 exposure and links to cancer mortality</w:t>
      </w:r>
    </w:p>
    <w:p>
      <w:pPr>
        <w:spacing w:before="0" w:after="120"/>
      </w:pPr>
      <w:r>
        <w:rPr>
          <w:b/>
        </w:rPr>
        <w:t xml:space="preserve">Source: </w:t>
      </w:r>
      <w:r>
        <w:t>Nature Sustainability</w:t>
      </w:r>
      <w:r>
        <w:t xml:space="preserve">    </w:t>
      </w:r>
      <w:r>
        <w:rPr>
          <w:b/>
        </w:rPr>
        <w:t xml:space="preserve">Pub date: </w:t>
      </w:r>
      <w:r>
        <w:t>2026-08-21 00:00:00+00:00</w:t>
      </w:r>
      <w:r>
        <w:t xml:space="preserve">    </w:t>
      </w:r>
      <w:r>
        <w:rPr>
          <w:b/>
        </w:rPr>
        <w:t xml:space="preserve">DOI: </w:t>
      </w:r>
      <w:hyperlink r:id="rId629">
        <w:r>
          <w:rPr>
            <w:color w:val="1155CC"/>
            <w:u w:val="single"/>
          </w:rPr>
          <w:t>10.1038/s41893-026-01925-5</w:t>
        </w:r>
      </w:hyperlink>
    </w:p>
    <w:p>
      <w:pPr>
        <w:spacing w:before="0" w:after="120"/>
      </w:pPr>
      <w:r>
        <w:rPr>
          <w:b/>
        </w:rPr>
        <w:t xml:space="preserve">Notes: </w:t>
      </w:r>
      <w:r>
        <w:t>abstract_source=rss_nature</w:t>
      </w:r>
    </w:p>
    <w:p>
      <w:pPr>
        <w:spacing w:before="0" w:after="80" w:lineRule="auto" w:line="276"/>
      </w:pPr>
      <w:r>
        <w:rPr>
          <w:b/>
        </w:rPr>
        <w:t xml:space="preserve">摘要（ZH）: </w:t>
      </w:r>
      <w:r>
        <w:t>癌症是全球重要的公共卫生问题，但癌症患者是否因交通造成的空气污染而面临更高的死亡风险尚不清楚。作者评估了 2000 年至 2019 年八个国家交通源细颗粒物污染对癌症死亡率的影响。</w:t>
      </w:r>
    </w:p>
    <w:p>
      <w:pPr>
        <w:spacing w:before="0" w:after="200" w:lineRule="auto" w:line="276"/>
      </w:pPr>
      <w:r>
        <w:rPr>
          <w:b/>
        </w:rPr>
        <w:t xml:space="preserve">Abstract (EN): </w:t>
      </w:r>
      <w:r>
        <w:t>Cancer is an important public health concern globally, but whether cancer patients face increased risks of mortality from traffic-contributed air pollution is unclear. The authors assess the contributions of traffic-sourced fine particulate matter pollution to cancer mortality across eight countries from 2000 to 2019.</w:t>
      </w:r>
    </w:p>
    <w:p>
      <w:pPr>
        <w:spacing w:before="120" w:after="120"/>
      </w:pPr>
      <w:r>
        <w:rPr>
          <w:sz w:val="18"/>
        </w:rPr>
        <w:t>——————————————————————————————————————————————————————————————————————</w:t>
      </w:r>
    </w:p>
    <w:p>
      <w:pPr>
        <w:spacing w:before="160" w:after="40" w:line="240" w:lineRule="auto"/>
      </w:pPr>
      <w:r>
        <w:rPr>
          <w:b/>
        </w:rPr>
        <w:t xml:space="preserve">[64] </w:t>
      </w:r>
      <w:hyperlink r:id="rId630">
        <w:r>
          <w:rPr>
            <w:color w:val="1155CC"/>
            <w:u w:val="single"/>
          </w:rPr>
          <w:t>通过对映选择性 C-H 活化构建具有机械和大环平面手性的手性轮烷</w:t>
        </w:r>
      </w:hyperlink>
    </w:p>
    <w:p>
      <w:pPr>
        <w:spacing w:before="0" w:after="80"/>
      </w:pPr>
      <w:r>
        <w:rPr>
          <w:i/>
          <w:sz w:val="20"/>
        </w:rPr>
        <w:t>EN: Constructing chiral rotaxanes with both mechanical and macrocyclic planar chirality by enantioselective C–H activation</w:t>
      </w:r>
    </w:p>
    <w:p>
      <w:pPr>
        <w:spacing w:before="0" w:after="120"/>
      </w:pPr>
      <w:r>
        <w:rPr>
          <w:b/>
        </w:rPr>
        <w:t xml:space="preserve">Source: </w:t>
      </w:r>
      <w:r>
        <w:t>Chem</w:t>
      </w:r>
      <w:r>
        <w:t xml:space="preserve">    </w:t>
      </w:r>
      <w:r>
        <w:rPr>
          <w:b/>
        </w:rPr>
        <w:t xml:space="preserve">Pub date: </w:t>
      </w:r>
      <w:r>
        <w:t>2026-08-21 00:00:00+00:00</w:t>
      </w:r>
      <w:r>
        <w:t xml:space="preserve">    </w:t>
      </w:r>
      <w:r>
        <w:rPr>
          <w:b/>
        </w:rPr>
        <w:t xml:space="preserve">DOI: </w:t>
      </w:r>
      <w:hyperlink r:id="rId631">
        <w:r>
          <w:rPr>
            <w:color w:val="1155CC"/>
            <w:u w:val="single"/>
          </w:rPr>
          <w:t>10.1016/j.chempr.2026.103211</w:t>
        </w:r>
      </w:hyperlink>
    </w:p>
    <w:p>
      <w:pPr>
        <w:spacing w:before="0" w:after="120"/>
      </w:pPr>
      <w:r>
        <w:rPr>
          <w:b/>
        </w:rPr>
        <w:t xml:space="preserve">Notes: </w:t>
      </w:r>
      <w:r>
        <w:t>abstract_source=rss_cell</w:t>
      </w:r>
    </w:p>
    <w:p>
      <w:pPr>
        <w:spacing w:before="0" w:after="80" w:lineRule="auto" w:line="276"/>
      </w:pPr>
      <w:r>
        <w:rPr>
          <w:b/>
        </w:rPr>
        <w:t xml:space="preserve">摘要（ZH）: </w:t>
      </w:r>
      <w:r>
        <w:t>机械互锁分子中的手性源于螺纹拓扑，但它们的对映选择性结构仍然具有挑战性。我们报道了一种钴催化的C-H环化，它使轮烷具有大环手性和机械平面手性，且具有优异的对映纯度。使用三层轮烷笼络合物的晶体学表征，通过第二代结晶海绵方法明确指定绝对构型。</w:t>
      </w:r>
    </w:p>
    <w:p>
      <w:pPr>
        <w:spacing w:before="0" w:after="200" w:lineRule="auto" w:line="276"/>
      </w:pPr>
      <w:r>
        <w:rPr>
          <w:b/>
        </w:rPr>
        <w:t xml:space="preserve">Abstract (EN): </w:t>
      </w:r>
      <w:r>
        <w:t>Chirality in mechanically interlocked molecules arises from threading topology, yet their enantioselective construction remains challenging. We report a cobalt-catalyzed C–H annulation that affords rotaxanes with both macrocyclic and mechanical planar chirality in excellent enantiopurity. Absolute configuration is unambiguously assigned via the second-generation crystalline sponge method, using crystallographic characterization of three-layered rotaxane-in-cage complexes.</w:t>
      </w:r>
    </w:p>
    <w:p>
      <w:pPr>
        <w:spacing w:before="120" w:after="120"/>
      </w:pPr>
      <w:r>
        <w:rPr>
          <w:sz w:val="18"/>
        </w:rPr>
        <w:t>——————————————————————————————————————————————————————————————————————</w:t>
      </w:r>
    </w:p>
    <w:p>
      <w:pPr>
        <w:spacing w:before="160" w:after="40" w:line="240" w:lineRule="auto"/>
      </w:pPr>
      <w:r>
        <w:rPr>
          <w:b/>
        </w:rPr>
        <w:t xml:space="preserve">[65] </w:t>
      </w:r>
      <w:hyperlink r:id="rId632">
        <w:r>
          <w:rPr>
            <w:color w:val="1155CC"/>
            <w:u w:val="single"/>
          </w:rPr>
          <w:t>通过栅极堆栈工程提高 InGaZnO 垂直沟道存储晶体管的电荷捕获效率：40 nm 缩放机制中的验证</w:t>
        </w:r>
      </w:hyperlink>
    </w:p>
    <w:p>
      <w:pPr>
        <w:spacing w:before="0" w:after="80"/>
      </w:pPr>
      <w:r>
        <w:rPr>
          <w:i/>
          <w:sz w:val="20"/>
        </w:rPr>
        <w:t>EN: Enhancement in Charge-Trapping Efficiency for InGaZnO Vertical-Channel Memory Transistors via Gate-Stack Engineering: Validation in the 40 nm Scaling Regime</w:t>
      </w:r>
    </w:p>
    <w:p>
      <w:pPr>
        <w:spacing w:before="0" w:after="120"/>
      </w:pPr>
      <w:r>
        <w:rPr>
          <w:b/>
        </w:rPr>
        <w:t xml:space="preserve">Source: </w:t>
      </w:r>
      <w:r>
        <w:t>ACS Applied Materials &amp; Interfaces: Latest Articles (ACS Publications)</w:t>
      </w:r>
      <w:r>
        <w:t xml:space="preserve">    </w:t>
      </w:r>
      <w:r>
        <w:rPr>
          <w:b/>
        </w:rPr>
        <w:t xml:space="preserve">Pub date: </w:t>
      </w:r>
      <w:r>
        <w:t>2026-08-21 00:00:00+00:00</w:t>
      </w:r>
      <w:r>
        <w:t xml:space="preserve">    </w:t>
      </w:r>
      <w:r>
        <w:rPr>
          <w:b/>
        </w:rPr>
        <w:t xml:space="preserve">DOI: </w:t>
      </w:r>
      <w:hyperlink r:id="rId633">
        <w:r>
          <w:rPr>
            <w:color w:val="1155CC"/>
            <w:u w:val="single"/>
          </w:rPr>
          <w:t>10.1021/acsami.6c09875</w:t>
        </w:r>
      </w:hyperlink>
    </w:p>
    <w:p>
      <w:pPr>
        <w:spacing w:before="0" w:after="120"/>
      </w:pPr>
      <w:r>
        <w:rPr>
          <w:b/>
        </w:rPr>
        <w:t xml:space="preserve">Notes: </w:t>
      </w:r>
      <w:r>
        <w:t>abstract_source=crossref</w:t>
      </w:r>
    </w:p>
    <w:p>
      <w:pPr>
        <w:spacing w:before="0" w:after="80" w:lineRule="auto" w:line="276"/>
      </w:pPr>
      <w:r>
        <w:rPr>
          <w:b/>
        </w:rPr>
        <w:t xml:space="preserve">摘要（ZH）: </w:t>
      </w:r>
      <w:r>
        <w:t>摘要 3D NAND 闪存对更高位密度的持续需求加速了对 Z 缩放作为管理总体芯片配置的手段的追求。原子比为 0.49:1:1.73 的非晶 In-Ga-Zn-O (a-IGZO) 在 200 °C 下沉积，已被认为是用于缩放器件的有前途的通道材料；然而，高效的电擦除操作仍然是一个重大瓶颈。在这项工作中，我们展示了一种集成了 a-IGZO 沟道和纳米晶 ZnO 电荷捕获层的超大规模垂直电荷捕获存储薄膜晶体管 (V-CTM TFT)。基于 H2O 的 Al2O3 隧道层 (TL) 的引入导致了界面陷阱辅助隧道的激活，同时调整了 ZnO 层的体特性。这种氧化剂驱动的 TL 工程已被证明可以通过界面氧空位增强电荷注入，并调整 ZnO 层内的陷阱状态，从而无需复杂的空穴注入即可扩大存储窗口。 V-CTM TFT 针对沟道长度为 60 nm 的器件进行了优化，并在超大规模 40 nm 范围内进行了验证，尽管尺寸大幅缩小，但仍实现了较大的存储窗口 (∼10 V) 和稳定的三级单元操作。此外，还证实了 80°C 下出色的高温运行可靠性和高单元间再现性（晶圆内和运行间），为未来高密度 3D 存储架构提供了高度可靠和可再现的设计策略。</w:t>
      </w:r>
    </w:p>
    <w:p>
      <w:pPr>
        <w:spacing w:before="0" w:after="200" w:lineRule="auto" w:line="276"/>
      </w:pPr>
      <w:r>
        <w:rPr>
          <w:b/>
        </w:rPr>
        <w:t xml:space="preserve">Abstract (EN): </w:t>
      </w:r>
      <w:r>
        <w:t>The continuous demand for higher bit density in 3D NAND flash memory has accelerated the pursuit of Z-scaling as a means of managing total chip profiles. Amorphous In-Ga-Zn-O (a-IGZO) with a 0.49:1:1.73 atomic ratio, deposited at 200 °C, has been identified as a promising channel material for scaled devices; however, the efficient electrical erase operation remains a significant bottleneck. In this work, we demonstrate an ultra-scaled vertical charge-trap memory thin-film transistor (V-CTM TFT) integrating this a-IGZO channel and a nanocrystalline ZnO charge-trap layer. The introduction of an H2O-based Al2O3 tunneling layer (TL) resulted in the activation of interfacial trap-assisted tunneling, while simultaneously tailoring the bulk properties of the ZnO layer. This oxidant-driven TL engineering has been demonstrated to enhance charge injection via interfacial oxygen vacancies, as well as to tailor the trap states within the ZnO layer, facilitating an expanded memory window without complex hole injection. Optimized for devices with a channel length of 60 nm and validated in an ultra-scaled 40 nm regime, the V-CTM TFT achieved a substantial memory window (∼10 V) and stable triple-level cell operation despite aggressive scaling. Furthermore, excellent high-temperature operational reliability at 80 °C and high cell-to-cell reproducibility (both within-wafer and run-to-run) were confirmed, providing a highly reliable and reproducible design strategy for future high-density 3D memory architectures.</w:t>
      </w:r>
    </w:p>
    <w:p>
      <w:pPr>
        <w:spacing w:before="120" w:after="120"/>
      </w:pPr>
      <w:r>
        <w:rPr>
          <w:sz w:val="18"/>
        </w:rPr>
        <w:t>——————————————————————————————————————————————————————————————————————</w:t>
      </w:r>
    </w:p>
    <w:p>
      <w:pPr>
        <w:spacing w:before="160" w:after="40" w:line="240" w:lineRule="auto"/>
      </w:pPr>
      <w:r>
        <w:rPr>
          <w:b/>
        </w:rPr>
        <w:t xml:space="preserve">[66] </w:t>
      </w:r>
      <w:hyperlink r:id="rId634">
        <w:r>
          <w:rPr>
            <w:color w:val="1155CC"/>
            <w:u w:val="single"/>
          </w:rPr>
          <w:t>全球地缘政治风险和能源贫困：来自跨国数据的新证据</w:t>
        </w:r>
      </w:hyperlink>
    </w:p>
    <w:p>
      <w:pPr>
        <w:spacing w:before="0" w:after="80"/>
      </w:pPr>
      <w:r>
        <w:rPr>
          <w:i/>
          <w:sz w:val="20"/>
        </w:rPr>
        <w:t>EN: Global geopolitical risk and energy poverty: New evidence from cross-country data</w:t>
      </w:r>
    </w:p>
    <w:p>
      <w:pPr>
        <w:spacing w:before="0" w:after="120"/>
      </w:pPr>
      <w:r>
        <w:rPr>
          <w:b/>
        </w:rPr>
        <w:t xml:space="preserve">Source: </w:t>
      </w:r>
      <w:r>
        <w:t>ScienceDirect Publication: Energy Policy</w:t>
      </w:r>
      <w:r>
        <w:t xml:space="preserve">    </w:t>
      </w:r>
      <w:r>
        <w:rPr>
          <w:b/>
        </w:rPr>
        <w:t xml:space="preserve">Pub date: </w:t>
      </w:r>
      <w:r>
        <w:t>2026-08-21 00:00:00+00:00</w:t>
      </w:r>
      <w:r>
        <w:t xml:space="preserve">    </w:t>
      </w:r>
      <w:r>
        <w:rPr>
          <w:b/>
        </w:rPr>
        <w:t xml:space="preserve">DOI: </w:t>
      </w:r>
      <w:hyperlink r:id="rId635">
        <w:r>
          <w:rPr>
            <w:color w:val="1155CC"/>
            <w:u w:val="single"/>
          </w:rPr>
          <w:t>10.1016/j.enpol.2026.115548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636">
        <w:r>
          <w:rPr>
            <w:color w:val="1155CC"/>
            <w:u w:val="single"/>
          </w:rPr>
          <w:t>人类癌症中 CCR8+ 效应调节 T 细胞的分子异质性和克隆起源</w:t>
        </w:r>
      </w:hyperlink>
    </w:p>
    <w:p>
      <w:pPr>
        <w:spacing w:before="0" w:after="80"/>
      </w:pPr>
      <w:r>
        <w:rPr>
          <w:i/>
          <w:sz w:val="20"/>
        </w:rPr>
        <w:t>EN: Molecular heterogeneity and clonal origin of CCR8+ effector regulatory T cells in human cancer</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CD4+CD25+FOXP3+调节性T细胞（Treg）在肿瘤中高度激活并促进疾病进展。由于缺乏人类癌症的保守特征及其起源信息，对这些效应 Treg 细胞的特异性、通用靶向性受到限制。在这里，我们将单细胞 RNA 测序数据集的分析与光谱流式细胞术结合起来，确定了 9 种上皮癌瘤内 Treg 细胞中持续上调的 88 个基因的核心特征。我们描述了 4 个 Treg 细胞亚群——CCR7+ 静止细胞、CCR8+ 效应细胞、CD161+ 和中间细胞，具有不同的组织分布、功能、分化轨迹和分子驱动因素。通过单细胞T细胞受体测序，我们观察到促肿瘤效应CCR8+ Treg细胞与肿瘤内其他Treg细胞亚群几乎没有克隆关系，但与肿瘤引流淋巴结中的Treg细胞以及肿瘤中的常规T细胞有克隆相关性。该资源为癌症 CCR8+ Treg 细胞靶向疗法的开发和微调提供了见解。</w:t>
      </w:r>
    </w:p>
    <w:p>
      <w:pPr>
        <w:spacing w:before="0" w:after="200" w:lineRule="auto" w:line="276"/>
      </w:pPr>
      <w:r>
        <w:rPr>
          <w:b/>
        </w:rPr>
        <w:t xml:space="preserve">Abstract (EN): </w:t>
      </w:r>
      <w:r>
        <w:t>CD4+CD25+FOXP3+ regulatory T cells (Treg) are highly activated in tumors and promote disease progression. Specific, universal targeting of these effector Treg cells is limited by the lack of a conserved signature across human cancers and information on their origin. Here we combine analysis of single-cell RNA-sequencing datasets with spectral flow cytometry and identify a core signature of 88 genes consistently upregulated in intratumoral Treg cells among 9 epithelial cancers. We describe 4 Treg cell subsets – CCR7+ quiescent, CCR8+ effector, CD161+ and intermediate, with distinct tissue distribution, function, differentiation trajectories and molecular drivers. By single-cell T cell receptor sequencing, we observe that protumoral, effector CCR8+ Treg cells exhibit little clonal relationship with other Treg cell subsets inside tumors, but are clonally related to Treg cells in tumor-draining lymph nodes, as well as conventional T cells in tumors. This resource provides insights for development and fine-tuning of CCR8+ Treg cell-targeting therapies in cancer.</w:t>
      </w:r>
    </w:p>
    <w:p>
      <w:pPr>
        <w:spacing w:before="120" w:after="120"/>
      </w:pPr>
      <w:r>
        <w:rPr>
          <w:sz w:val="18"/>
        </w:rPr>
        <w:t>——————————————————————————————————————————————————————————————————————</w:t>
      </w:r>
    </w:p>
    <w:p>
      <w:pPr>
        <w:spacing w:before="160" w:after="40" w:line="240" w:lineRule="auto"/>
      </w:pPr>
      <w:r>
        <w:rPr>
          <w:b/>
        </w:rPr>
        <w:t xml:space="preserve">[68] </w:t>
      </w:r>
      <w:hyperlink r:id="rId637">
        <w:r>
          <w:rPr>
            <w:color w:val="1155CC"/>
            <w:u w:val="single"/>
          </w:rPr>
          <w:t>对孕产妇健康和出生结果的热阈值的系统回顾和荟萃分析</w:t>
        </w:r>
      </w:hyperlink>
    </w:p>
    <w:p>
      <w:pPr>
        <w:spacing w:before="0" w:after="80"/>
      </w:pPr>
      <w:r>
        <w:rPr>
          <w:i/>
          <w:sz w:val="20"/>
        </w:rPr>
        <w:t>EN: A systematic review and meta-analysis on heat thresholds for maternal health and birth outcomes</w:t>
      </w:r>
    </w:p>
    <w:p>
      <w:pPr>
        <w:spacing w:before="0" w:after="120"/>
      </w:pPr>
      <w:r>
        <w:rPr>
          <w:b/>
        </w:rPr>
        <w:t xml:space="preserve">Source: </w:t>
      </w:r>
      <w:r>
        <w:t>Earth and environmental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全球变暖带来了重大的公共卫生挑战，孕妇特别容易受到高温的影响。我们的目标是综合关于环境热量对妊娠和出生结果影响的证据，并确定与这些不良结果风险增加相关的热量阈值。我们检索了 Medline、Web of Science、Scopus、GreenFile 和 Cinahl（2024 年 6 月），寻找报告环境热量阈值的同行评审研究；来自医疗设备、桑拿、游泳池或受孕、体外受精、产后健康研究的热量被排除在外。研究参与者仅限于有能力怀孕的个体，包括女性和那些有不同身份的人。使用健康评估和翻译办公室工具评估偏倚风险。根据结果​​和暴露指标对研究结果进行叙述性综合，并使用随机效应元回归来估计急性热效应对不良结果的热阈值。证据受到所纳入研究之间的异质性和方法学变异性的限制，并受到审查过程的限制，包括没有独立的双重数据提取和单人进行质量评估。荟萃分析确定 Tmax 阈值 30.55 °C、34.11 °C 和 39.07 °C 分别导致风险增加 5%、10% 和 20%（21 项研究，样本 = 5,589,862），表明随着热量的增加，不良妊娠和出生结果的风险也会增加。叙述性综合（103 项研究，样本 = 41,951,950）确定了异质指标，并且缺乏全面的热应激指数。资金是通过欧盟获得的</w:t>
      </w:r>
    </w:p>
    <w:p>
      <w:pPr>
        <w:spacing w:before="0" w:after="200" w:lineRule="auto" w:line="276"/>
      </w:pPr>
      <w:r>
        <w:rPr>
          <w:b/>
        </w:rPr>
        <w:t xml:space="preserve">Abstract (EN): </w:t>
      </w:r>
      <w:r>
        <w:t>Global warming poses major public health challenges, with pregnant individuals particularly vulnerable to heat. We aim to synthesise evidence on the effects of ambient heat on pregnancy and birth outcomes and identify heat thresholds associated with increased risk of these adverse outcomes. We searched Medline, Web of Science, Scopus, GreenFile and Cinahl (June 2024) for peer-reviewed studies reporting thresholds for ambient heat; heat from medical devices, saunas, pools or studies on conception, IVF, postnatal health were excluded. Participants within studies are limited to individuals capable of becoming pregnant, including women and those identifying differently. Risk of bias is assessed using the Office of Health Assessment and Translation tool. Findings are narratively synthesised according to outcome and exposure metric, and a random effects meta-regression is used to estimate heat thresholds for acute heat effects on adverse outcomes. Evidence is limited by heterogeneity and methodological variability among studies included, and through review process limitations, including no independent dual data extraction and single person performing quality assessment. Meta-analyses determine Tmax thresholds 30.55 °C, 34.11 °C and 39.07 °C for 5%, 10% and 20% risk increase (21 studies, sample=5,589,862), suggesting increasing risk of adverse pregnancy and birth outcomes with increasing heat. The narrative syntheses (103 studies, sample=41,951,950) identifies heterogeneous indicators and a lack of comprehensive heat stress indices. Funding was received through the European Union’s Horizon Framework Programme and UKRI Innovate. PROSPERO registration: CRD42024610438.</w:t>
      </w:r>
    </w:p>
    <w:p>
      <w:pPr>
        <w:spacing w:before="120" w:after="120"/>
      </w:pPr>
      <w:r>
        <w:rPr>
          <w:sz w:val="18"/>
        </w:rPr>
        <w:t>——————————————————————————————————————————————————————————————————————</w:t>
      </w:r>
    </w:p>
    <w:p>
      <w:pPr>
        <w:spacing w:before="160" w:after="40" w:line="240" w:lineRule="auto"/>
      </w:pPr>
      <w:r>
        <w:rPr>
          <w:b/>
        </w:rPr>
        <w:t xml:space="preserve">[69] </w:t>
      </w:r>
      <w:hyperlink r:id="rId638">
        <w:r>
          <w:rPr>
            <w:color w:val="1155CC"/>
            <w:u w:val="single"/>
          </w:rPr>
          <w:t>单细胞水平非线性免疫衰老的性别特异性轨迹</w:t>
        </w:r>
      </w:hyperlink>
    </w:p>
    <w:p>
      <w:pPr>
        <w:spacing w:before="0" w:after="80"/>
      </w:pPr>
      <w:r>
        <w:rPr>
          <w:i/>
          <w:sz w:val="20"/>
        </w:rPr>
        <w:t>EN: Sex-specific trajectories of nonlinear immune aging at single-cell level</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尽管女性在年龄和免疫相关疾病中占主导地位，但健康免疫衰老中性别差异的潜在途径仍不完全清楚。在这里，我们分析了健康人类免疫衰老（35% 亚洲人）的多种族单细胞转录组，其中包括来自 1,828 名 19-97 岁个体的 380 万个外周血单核细胞 (PBMC)。差异基因表达在 40 岁左右（主要是 CD4 T 细胞）和 60 岁之后（主要是 CD8 T 细胞）出现显着峰值，伴随着年龄依赖性的 RNA/蛋白质稳态下降和炎症性 PBMC 极化（具有性别依赖性动力学）。女性表现出持续的 CD8 T 细胞激活和 CD4 T、NK 和 B 细胞的晚年衰老特征，而男性则表现出与 11q13 染色体 SSH3 低甲基化相关的 CD4 T 细胞免疫代谢的早期波动。基于深度学习的性别分层生物年龄时钟优于性别组合模型，从转录免疫轨迹中学习。因此，我们揭示了 PBMC 的非线性衰老过程，从而针对性别特异性途径可能实现精准的老年医学。</w:t>
      </w:r>
    </w:p>
    <w:p>
      <w:pPr>
        <w:spacing w:before="0" w:after="200" w:lineRule="auto" w:line="276"/>
      </w:pPr>
      <w:r>
        <w:rPr>
          <w:b/>
        </w:rPr>
        <w:t xml:space="preserve">Abstract (EN): </w:t>
      </w:r>
      <w:r>
        <w:t>Despite the female predominance in age- and immune-associated diseases, the pathways underlying sex differences in healthy immune aging remain incompletely understood. Here, we analyze a multi-ethnic single-cell transcriptome of healthy human immune aging (35% Asian), comprising 3.8 million peripheral blood mononuclear cells (PBMCs) from 1,828 individuals aged 19–97 years. Prominent peaks of differential gene expression around 40 (mainly CD4 T cells) and after 60 (mainly CD8 T cells) years of age were accompanied by an age-dependent decline in RNA/protein homeostasis and inflammatory PBMC polarization with sex-dependent kinetics. While females displayed sustained CD8 T cell activation and late-life aging signatures in CD4 T, NK, and B cells, males exhibited early-life fluctuations in CD4 T cell immunometabolism associated with hypomethylation of SSH3 at chromosome 11q13. Deep learning-based biological age clocks stratified for sex outperformed sex-combined models, learning from transcriptional immune trajectories. We thus unravel a nonlinear PBMC aging whereby targeting sex-specific pathways might allow precision geromedicine.</w:t>
      </w:r>
    </w:p>
    <w:p>
      <w:pPr>
        <w:spacing w:before="120" w:after="120"/>
      </w:pPr>
      <w:r>
        <w:rPr>
          <w:sz w:val="18"/>
        </w:rPr>
        <w:t>——————————————————————————————————————————————————————————————————————</w:t>
      </w:r>
    </w:p>
    <w:p>
      <w:pPr>
        <w:spacing w:before="160" w:after="40" w:line="240" w:lineRule="auto"/>
      </w:pPr>
      <w:r>
        <w:rPr>
          <w:b/>
        </w:rPr>
        <w:t xml:space="preserve">[70] </w:t>
      </w:r>
      <w:hyperlink r:id="rId639">
        <w:r>
          <w:rPr>
            <w:color w:val="1155CC"/>
            <w:u w:val="single"/>
          </w:rPr>
          <w:t>诱导铜凋亡的共价有机框架与溶瘤病毒协同用于肿瘤放射治疗</w:t>
        </w:r>
      </w:hyperlink>
    </w:p>
    <w:p>
      <w:pPr>
        <w:spacing w:before="0" w:after="80"/>
      </w:pPr>
      <w:r>
        <w:rPr>
          <w:i/>
          <w:sz w:val="20"/>
        </w:rPr>
        <w:t>EN: A cuproptosis-inducing covalent organic framework synergizes with oncolytic virus for tumor radiotherapy</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获得性放射抗性限制了有效的放射治疗。铜中毒是一种铜依赖性细胞死亡形式，由线粒体铜积累和硫酰化蛋白聚集驱动。基于抗辐射癌细胞表现出铜凋亡敏感性增加的证据，我们将辐射响应性铜掺入共价有机框架 (COF-Tpy-Se-Cu) 与溶瘤腺病毒结合起来，以针对这种脆弱性。 X 射线照射触发 COF-Tpy-Se-Cu 中的铜释放，并诱导 FDX1 依赖性铜凋亡，而溶瘤腺病毒则消耗细胞内谷胱甘肽，并通过限制线粒体蛋白酶介导的降解来稳定 FDX1。该组合可增强肿瘤细胞死亡并将免疫抑制肿瘤微环境重塑为 T 细胞炎症状态。在雌性小鼠的放射抗性肿瘤模型中，该方案改善了肿瘤控制并引发 CD8+ T 细胞依赖性全身抗肿瘤免疫和持久的免疫记忆。这些发现支持结合使用辐射响应铜递送和溶瘤病毒疗法作为利用铜凋亡易感性和改善放疗反应的策略。</w:t>
      </w:r>
    </w:p>
    <w:p>
      <w:pPr>
        <w:spacing w:before="0" w:after="200" w:lineRule="auto" w:line="276"/>
      </w:pPr>
      <w:r>
        <w:rPr>
          <w:b/>
        </w:rPr>
        <w:t xml:space="preserve">Abstract (EN): </w:t>
      </w:r>
      <w:r>
        <w:t>Acquired radioresistance limits effective radiotherapy. Cuproptosis is a copper-dependent form of cell death driven by mitochondrial copper accumulation and lipoylated protein aggregation. Building on evidence that radioresistant cancer cells exhibit increased cuproptosis susceptibility, here we combine a radiation-responsive, copper-incorporated covalent organic framework (COF‑Tpy‑Se‑Cu) with an oncolytic adenovirus to target this vulnerability. X-ray irradiation triggers copper release from COF‑Tpy‑Se‑Cu and induces FDX1-dependent cuproptosis, while the oncolytic adenovirus depletes intracellular glutathione and stabilizes FDX1 by limiting its mitochondrial protease-mediated degradation. The combination enhances tumor cell death and remodels the immunosuppressive tumor microenvironment into a T-cell-inflamed state. In models of radioresistant tumors in female mice, this regimen improves tumor control and elicits CD8+ T cell-dependent systemic antitumor immunity and durable immunological memory. These findings support the combined use of radiation-responsive copper delivery and oncolytic virotherapy as a strategy for exploiting cuproptosis susceptibility and improving radiotherapy responses.</w:t>
      </w:r>
    </w:p>
    <w:p>
      <w:pPr>
        <w:spacing w:before="120" w:after="120"/>
      </w:pPr>
      <w:r>
        <w:rPr>
          <w:sz w:val="18"/>
        </w:rPr>
        <w:t>——————————————————————————————————————————————————————————————————————</w:t>
      </w:r>
    </w:p>
    <w:p>
      <w:pPr>
        <w:spacing w:before="160" w:after="40" w:line="240" w:lineRule="auto"/>
      </w:pPr>
      <w:r>
        <w:rPr>
          <w:b/>
        </w:rPr>
        <w:t xml:space="preserve">[71] </w:t>
      </w:r>
      <w:hyperlink r:id="rId640">
        <w:r>
          <w:rPr>
            <w:color w:val="1155CC"/>
            <w:u w:val="single"/>
          </w:rPr>
          <w:t>TTC33 与 WDR61 和 PHF5A 形成复合物，以招募与基因组完整性相关的因子</w:t>
        </w:r>
      </w:hyperlink>
    </w:p>
    <w:p>
      <w:pPr>
        <w:spacing w:before="0" w:after="80"/>
      </w:pPr>
      <w:r>
        <w:rPr>
          <w:i/>
          <w:sz w:val="20"/>
        </w:rPr>
        <w:t>EN: TTC33 forms a complex with WDR61 and PHF5A to recruit factors relevant to genomic integrity</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许多人类蛋白质的功能仍然未知，凸显了我们对细胞生物学理解的重大差距。 TTC33 是一种进化上保守的四肽重复 (TPR) 蛋白，在人体组织中表达，其分子作用尚不清楚。在这里，我们使用比较无标记质谱法识别 TTC33 合作伙伴。 TTC33 相关网络 (TAN) 包含 WDR61、CCDC97、UNG1/2、PP2A-B55α、PHF5A 和 SF3B U2 剪接体复合体的组件。通过结合生化分析、结构建模和分子动力学，我们发现 TTC33 直接招募 WDR61 和 PHF5A 组装成三聚核心复合物 (TANC)，然后与 UNG1/2 或 SF3B-CCDC97 形成独特的相互作用。关键 TANC 界面残基的体细胞 TTC33 突变降低了复合物稳定性并削弱了相互作用网络。我们进一步表明，WDR61 通过保护 TTC33 免受蛋白水解降解来稳定 TTC33。网络组件的丢失会导致基因组不稳定并激活 DNA 损伤标记，包括 γH2AX 和 p53 磷酸化。</w:t>
      </w:r>
    </w:p>
    <w:p>
      <w:pPr>
        <w:spacing w:before="0" w:after="200" w:lineRule="auto" w:line="276"/>
      </w:pPr>
      <w:r>
        <w:rPr>
          <w:b/>
        </w:rPr>
        <w:t xml:space="preserve">Abstract (EN): </w:t>
      </w:r>
      <w:r>
        <w:t>The functions of many human proteins remain unknown, highlighting major gaps in our understanding of cellular biology. TTC33 is an evolutionarily conserved tetratricopeptide repeat (TPR) protein expressed across human tissues, whose molecular role is not defined. Here we identify the TTC33 partners using comparative label-free mass spectrometry. The TTC33-associated network (TAN) comprises WDR61, CCDC97, UNG1/2, PP2A-B55α, PHF5A, and components of the SF3B U2 spliceosomal complex. Using a combination of biochemical assays, structural modeling and molecular dynamics we show that TTC33 directly recruits WDR61 and PHF5A to assemble into a trimeric core complex (TANC), which then forms distinct interactions with either UNG1/2 or SF3B–CCDC97. Somatic TTC33 mutations at key TANC interface residues reduce complex stability and weaken the interaction network. We further show that WDR61 stabilizes TTC33 by protecting it from proteolytic degradation. Loss of network components induces genomic instability and activates DNA damage markers, including γH2AX and p53 phosphorylation.</w:t>
      </w:r>
    </w:p>
    <w:p>
      <w:pPr>
        <w:spacing w:before="120" w:after="120"/>
      </w:pPr>
      <w:r>
        <w:rPr>
          <w:sz w:val="18"/>
        </w:rPr>
        <w:t>——————————————————————————————————————————————————————————————————————</w:t>
      </w:r>
    </w:p>
    <w:p>
      <w:pPr>
        <w:spacing w:before="160" w:after="40" w:line="240" w:lineRule="auto"/>
      </w:pPr>
      <w:r>
        <w:rPr>
          <w:b/>
        </w:rPr>
        <w:t xml:space="preserve">[72] </w:t>
      </w:r>
      <w:hyperlink r:id="rId641">
        <w:r>
          <w:rPr>
            <w:color w:val="1155CC"/>
            <w:u w:val="single"/>
          </w:rPr>
          <w:t>星形胶质细胞放大皮质多巴胺以编码雄性小鼠的获胜记忆</w:t>
        </w:r>
      </w:hyperlink>
    </w:p>
    <w:p>
      <w:pPr>
        <w:spacing w:before="0" w:after="80"/>
      </w:pPr>
      <w:r>
        <w:rPr>
          <w:i/>
          <w:sz w:val="20"/>
        </w:rPr>
        <w:t>EN: Astrocytes amplify cortical dopamine to encode winning memory in male mice</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获胜经历的记忆强化了统治等级，但编码这些持久“获胜记忆”的机制仍不清楚。在这里，我们引入了组合的管和条件位置偏好（CPP）范式，并应用光纤光度测定、遗传操作和光遗传学来表征成年雄性小鼠之间的社会竞争。我们发现，最初的胜利会触发内侧前额皮质 (mPFC) 星形胶质细胞多巴胺 D2 受体介导的钙活动以及随后的谷氨酸释放。这种机制增强了投射到伏隔核（NAc）的 mPFC 神经元的多巴胺能反应，从而巩固了获胜的记忆。一旦 mPFC 星形胶质细胞中的 D2 受体被消除，这种效应就会被消除，从而阻碍新的优势记忆和稳定的社会等级的产生。我们的研究结果揭示了星形胶质细胞驱动的机制，通过该机制，中皮质多巴胺信号增强了与胜利相关的神经可塑性，并为社会主导的细胞基础及其在动机和情感障碍中的基础提供了广泛的见解。</w:t>
      </w:r>
    </w:p>
    <w:p>
      <w:pPr>
        <w:spacing w:before="0" w:after="200" w:lineRule="auto" w:line="276"/>
      </w:pPr>
      <w:r>
        <w:rPr>
          <w:b/>
        </w:rPr>
        <w:t xml:space="preserve">Abstract (EN): </w:t>
      </w:r>
      <w:r>
        <w:t>Memories of winning experiences reinforce dominance hierarchies, yet mechanisms encoding these long-lasting “winning memories” remain unclear. Here, we introduce a combined Tube &amp; Conditioned Place Preference (CPP) paradigm and applied fiber photometry, genetic manipulations, and optogenetics to characterize social competition between adult male mice. We found that initial victories trigger dopamine D2 receptor-mediated calcium activities of astrocytes in the medial prefrontal cortex (mPFC) and subsequent glutamate release. This mechanism enhances dopaminergic responses in mPFC neurons projecting to the nucleus accumbens (NAc), thereby consolidating winning memories. Upon ablation of D2 receptors in mPFC astrocytes, this effect is abolished, hindering generation of new dominance memories and a stable social hierarchy. Our findings reveal an astrocyte-driven mechanism by which mesocortical dopamine signaling reinforces victory-related neural plasticity, and provide broad insights into the cellular basis of social dominance and its underpinnings in motivational and affective disorders.</w:t>
      </w:r>
    </w:p>
    <w:p>
      <w:pPr>
        <w:spacing w:before="120" w:after="120"/>
      </w:pPr>
      <w:r>
        <w:rPr>
          <w:sz w:val="18"/>
        </w:rPr>
        <w:t>——————————————————————————————————————————————————————————————————————</w:t>
      </w:r>
    </w:p>
    <w:p>
      <w:pPr>
        <w:spacing w:before="160" w:after="40" w:line="240" w:lineRule="auto"/>
      </w:pPr>
      <w:r>
        <w:rPr>
          <w:b/>
        </w:rPr>
        <w:t xml:space="preserve">[73] </w:t>
      </w:r>
      <w:hyperlink r:id="rId642">
        <w:r>
          <w:rPr>
            <w:color w:val="1155CC"/>
            <w:u w:val="single"/>
          </w:rPr>
          <w:t>针对克里米亚-刚果出血热病毒核衣壳蛋白的保护性非中和抗体的结构和机制见解</w:t>
        </w:r>
      </w:hyperlink>
    </w:p>
    <w:p>
      <w:pPr>
        <w:spacing w:before="0" w:after="80"/>
      </w:pPr>
      <w:r>
        <w:rPr>
          <w:i/>
          <w:sz w:val="20"/>
        </w:rPr>
        <w:t>EN: Structural and mechanistic insights into protective non-neutralizing antibodies targeting Crimean-Congo hemorrhagic fever virus nucleocapsid protein</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克里米亚-刚果出血热病毒 (CCHFV) 是一种蜱传病毒，在非洲、亚洲和欧洲其他地区流行。由于死亡率接近 40%、发病率不断上升，且目前尚无批准的对策，CCHFV 被认为是首要的公共卫生威胁。 CCHFV 核衣壳蛋白 (NP) 长期以来一直是诊断的关键目标。最近，NP 特异性体液反应也与候选保护性疫苗所提供的保护相关。此外，第一个非中和性单克隆抗体 (mAb) 9D5 表现出针对 CCHFV 攻击的保护功效，强调 NP 作为可行的抗病毒靶点。在这里，使用九种抗 NP mAb 来识别 NP 上的四个抗原位点，并将这些位点定位到头域或茎域。这些单克隆抗体还显示出不同水平的体内保护作用，与表位位点是否位于头部或茎部区域无关。此外，还获得了三种 X 射线晶体学结构，其中包括来自 Afg09-2990 菌株的 CCHFV NP 与最有效的 mAb (9D5) 的复合物。这与两个未结合的 NP 的其他结构一起揭示了对 mAb-9D5 广谱保护特性至关重要的结构元件。这些发现为快速识别具有广泛保护性的抗 NP mAb 对策提供了一条途径。</w:t>
      </w:r>
    </w:p>
    <w:p>
      <w:pPr>
        <w:spacing w:before="0" w:after="200" w:lineRule="auto" w:line="276"/>
      </w:pPr>
      <w:r>
        <w:rPr>
          <w:b/>
        </w:rPr>
        <w:t xml:space="preserve">Abstract (EN): </w:t>
      </w:r>
      <w:r>
        <w:t>Crimean-Congo Hemorrhagic Fever Virus (CCHFV) is a tick-borne virus endemic to Africa, Asia, and expanding regions within Europe. With mortality rates approaching 40%, rising incidence, and no currently approved countermeasures, CCHFV is recognized as a priority public health threat. CCHFV nucleocapsid protein (NP) has long been a key target for diagnostics. Recently, NP-specific humoral responses have also been correlated with protection conferred by protective vaccines candidates. Additionally, the first non-neutralizing monoclonal antibody (mAb) 9D5 demonstrated protective efficacy against CCHFV challenge, underscoring NP as a viable antiviral target. Here, nine anti-NP mAb were utilized to identify four antigenic sites on NP as well as localize these sites to the head or stalk domains. These mAb also revealed variable levels of in vivo protection, independent from whether the epitope site is located in the head or stalk regions. Additionally, three X-ray crystallography structures were obtained that included CCHFV NP from strain Afg09-2990 in complex with the most potent mAb (9D5). This, along with additional structures of two unbound NPs, revealed structural elements critical for mAb-9D5 broad-spectrum protective characteristics. These findings provide a path towards the rapid identification of broadly protective anti-NP mAb countermeasures.</w:t>
      </w:r>
    </w:p>
    <w:p>
      <w:pPr>
        <w:spacing w:before="120" w:after="120"/>
      </w:pPr>
      <w:r>
        <w:rPr>
          <w:sz w:val="18"/>
        </w:rPr>
        <w:t>——————————————————————————————————————————————————————————————————————</w:t>
      </w:r>
    </w:p>
    <w:p>
      <w:pPr>
        <w:spacing w:before="160" w:after="40" w:line="240" w:lineRule="auto"/>
      </w:pPr>
      <w:r>
        <w:rPr>
          <w:b/>
        </w:rPr>
        <w:t xml:space="preserve">[74] </w:t>
      </w:r>
      <w:hyperlink r:id="rId643">
        <w:r>
          <w:rPr>
            <w:color w:val="1155CC"/>
            <w:u w:val="single"/>
          </w:rPr>
          <w:t>解决混合整数操作问题的多能源系统的鲁棒设计</w:t>
        </w:r>
      </w:hyperlink>
    </w:p>
    <w:p>
      <w:pPr>
        <w:spacing w:before="0" w:after="80"/>
      </w:pPr>
      <w:r>
        <w:rPr>
          <w:i/>
          <w:sz w:val="20"/>
        </w:rPr>
        <w:t>EN: Robust design of multi-energy systems accounting for mixed-integer operational problems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644">
        <w:r>
          <w:rPr>
            <w:color w:val="1155CC"/>
            <w:u w:val="single"/>
          </w:rPr>
          <w:t>10.1016/j.apenergy.2026.128684</w:t>
        </w:r>
      </w:hyperlink>
    </w:p>
    <w:p>
      <w:pPr>
        <w:spacing w:before="0" w:after="120"/>
      </w:pPr>
      <w:r>
        <w:rPr>
          <w:b/>
        </w:rPr>
        <w:t xml:space="preserve">Notes: </w:t>
      </w:r>
      <w:r>
        <w:t>abstract_source=semanticscholar</w:t>
      </w:r>
    </w:p>
    <w:p>
      <w:pPr>
        <w:spacing w:before="0" w:after="80" w:lineRule="auto" w:line="276"/>
      </w:pPr>
      <w:r>
        <w:rPr>
          <w:b/>
        </w:rPr>
        <w:t xml:space="preserve">摘要（ZH）: </w:t>
      </w:r>
      <w:r>
        <w:t>确定多能源系统的稳健设计在计算上具有挑战性。由于严格的方法通常在计算上难以处理，因此采用启发式方法来生成候选设计。具体来说，我们考虑一种启发式方法，迭代地识别极端场景并将其添加到设计问题中。我们从理论上研究了三种常见的非凸性，即分段线性能量流入-流出关系、最小部分负载和存储互补性，如何影响这种启发式识别的设计的稳健性。我们发现，如果不能减少剩余能量，任何这些非凸性都可能导致启发式失败。如果允许缩减，存储互补性不会损害鲁棒性，并且凸分段线性流入-流出关系可以线性地重新表述。然而，最小部分负载可能会导致启发式失败。此外，如果操作问题的最优值函数在不确定变量中是非凸的，则启发式可能会失败。我们使用说明性的多能源系统案例研究来证明这些发现，其中最小部分负载和目标函数对热泵效率的非凸依赖性被确定为可能的故障模式。我们严格验证了使用启发式识别的设计的稳健性，并发现一种情况，在一个时间步长内，313.6 kW 电力需求中的 1.1 kW 无法得到满足。然而，当代表性场景的数量从 4 个增加到 6 个或 8 个时，最终的设计是稳健的。这表明</w:t>
      </w:r>
    </w:p>
    <w:p>
      <w:pPr>
        <w:spacing w:before="0" w:after="200" w:lineRule="auto" w:line="276"/>
      </w:pPr>
      <w:r>
        <w:rPr>
          <w:b/>
        </w:rPr>
        <w:t xml:space="preserve">Abstract (EN): </w:t>
      </w:r>
      <w:r>
        <w:t>Identifying robust designs for multi-energy systems is computationally challenging. As rigorous approaches are often computationally intractable, heuristics are employed to generate candidate designs. Specifically, we consider a heuristic that iteratively identifies and adds extreme scenarios to the design problem. We theoretically investigate how three common nonconvexities, i.e., piecewise-linear energy inflow-outflow relationships, minimum part-loads, and storage complementarity, affect the robustness of designs identified by this heuristic. We find that, if surplus energy cannot be curtailed, any of these nonconvexities may cause the heuristic to fail. If curtailment is allowed, storage complementarity does not compromise robustness, and convex piecewise-linear inflow-outflow relationships can be reformulated linearly. However, minimum part-loads may lead to failure of the heuristic. Furthermore, if the optimal value function of the operational problem is nonconvex in the uncertain variables, the heuristic may fail. We demonstrate these findings using an illustrative multi-energy system case study, in which minimum part-loads and nonconvex dependence of the objective function on heat-pump efficiency are identified as possible failure modes. We rigorously verify the robustness of a design identified using the heuristic and find a scenario where, in one time step, 1.1 kW of the 313.6 kW electricity demand could not be satisfied. However, when the number of representative scenarios is increased from 4 to 6 or 8, the resulting designs are robust. This demonstrates that the heuristic can serve as an effective first step in identifying robust designs. However, when robustness guarantees are required, a rigorous solution method must be employed.</w:t>
      </w:r>
    </w:p>
    <w:p>
      <w:pPr>
        <w:spacing w:before="120" w:after="120"/>
      </w:pPr>
      <w:r>
        <w:rPr>
          <w:sz w:val="18"/>
        </w:rPr>
        <w:t>——————————————————————————————————————————————————————————————————————</w:t>
      </w:r>
    </w:p>
    <w:p>
      <w:pPr>
        <w:spacing w:before="160" w:after="40" w:line="240" w:lineRule="auto"/>
      </w:pPr>
      <w:r>
        <w:rPr>
          <w:b/>
        </w:rPr>
        <w:t xml:space="preserve">[75] </w:t>
      </w:r>
      <w:hyperlink r:id="rId645">
        <w:r>
          <w:rPr>
            <w:color w:val="1155CC"/>
            <w:u w:val="single"/>
          </w:rPr>
          <w:t>小鼠品系攻击性的下丘脑表征</w:t>
        </w:r>
      </w:hyperlink>
    </w:p>
    <w:p>
      <w:pPr>
        <w:spacing w:before="0" w:after="80"/>
      </w:pPr>
      <w:r>
        <w:rPr>
          <w:i/>
          <w:sz w:val="20"/>
        </w:rPr>
        <w:t>EN: Hypothalamic representation of aggressiveness across mouse strains</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攻击性是物种间保留的一种与生俱来的行为，是争夺食物、交配机会和其他重要资源的重要手段。攻击行为研究的一个核心问题是个体间攻击行为的变异性在多大程度上受遗传因素影响。在这里，我们检查了七种基因定义品系的幼稚雄性小鼠的攻击行为，并发现了巨大的跨品系差异。我们发现不同品系的攻击性和焦虑水平之间存在紧密相关性，但在同一品系内却没有，这表明这两种性状都受到强大的遗传控制。从药理学上讲，在高攻击性菌株中提高焦虑感会减少攻击性，揭示了这些行为之间的因果关系。我们进一步证明，下丘脑腹外侧腹内侧（VMHvl）神经元突触和细胞特性的差异在很大程度上解释了雄性攻击性的跨品系变异性，并且化学遗传学上增加的 VMHvl 兴奋性增强了低攻击性品系的攻击行为。总之，这些发现揭示了先天攻击水平的遗传控制的神经元实施。</w:t>
      </w:r>
    </w:p>
    <w:p>
      <w:pPr>
        <w:spacing w:before="0" w:after="200" w:lineRule="auto" w:line="276"/>
      </w:pPr>
      <w:r>
        <w:rPr>
          <w:b/>
        </w:rPr>
        <w:t xml:space="preserve">Abstract (EN): </w:t>
      </w:r>
      <w:r>
        <w:t>Aggression is an innate behavior conserved across species, serving as a critical means to compete for food, mating opportunities, and other essential resources. A central question in aggression research is the extent to which inter-individual variability in aggression is shaped by genetic factors. Here, we examine aggressive behaviors in naïve male mice across seven genetically defined strains and find large cross-strain differences. We find a tight correlation between aggressiveness and anxiety levels across strains, but not within the same strain, suggesting strong genetic control of both traits. Pharmacologically elevating anxiety in high-aggression strains reduces aggression, revealing a causal relationship between these behaviors. We further demonstrate that differences in the synaptic and cellular properties of neurons in the ventrolateral ventromedial hypothalamus (VMHvl) largely account for cross-strain variability in male aggression, and that chemogenetically increasing VMHvl excitability enhances attack behavior in a low-aggression strain. Together, these findings reveal the neuronal implementation of the genetic control of innate aggression level.</w:t>
      </w:r>
    </w:p>
    <w:p>
      <w:pPr>
        <w:spacing w:before="120" w:after="120"/>
      </w:pPr>
      <w:r>
        <w:rPr>
          <w:sz w:val="18"/>
        </w:rPr>
        <w:t>——————————————————————————————————————————————————————————————————————</w:t>
      </w:r>
    </w:p>
    <w:p>
      <w:pPr>
        <w:spacing w:before="160" w:after="40" w:line="240" w:lineRule="auto"/>
      </w:pPr>
      <w:r>
        <w:rPr>
          <w:b/>
        </w:rPr>
        <w:t xml:space="preserve">[76] </w:t>
      </w:r>
      <w:hyperlink r:id="rId646">
        <w:r>
          <w:rPr>
            <w:color w:val="1155CC"/>
            <w:u w:val="single"/>
          </w:rPr>
          <w:t>最佳树冠光利用策略塑造全球绿色动态</w:t>
        </w:r>
      </w:hyperlink>
    </w:p>
    <w:p>
      <w:pPr>
        <w:spacing w:before="0" w:after="80"/>
      </w:pPr>
      <w:r>
        <w:rPr>
          <w:i/>
          <w:sz w:val="20"/>
        </w:rPr>
        <w:t>EN: Optimal canopy light-use strategy shapes global greenness dynamics</w:t>
      </w:r>
    </w:p>
    <w:p>
      <w:pPr>
        <w:spacing w:before="0" w:after="120"/>
      </w:pPr>
      <w:r>
        <w:rPr>
          <w:b/>
        </w:rPr>
        <w:t xml:space="preserve">Source: </w:t>
      </w:r>
      <w:r>
        <w:t>Earth and environmental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绿度”是植被功能状态的关键指标。然而，绿色季节模式背后的生理过程是多种多样的且不完全了解，这阻碍了气候驱动的全球树叶物候变化的可预测性。最优原则表明植物投资树冠结构以最大限度地捕获光线。因此，我们假设，无论具体的生理机制如何，绿色度（fAPAR：冠层光吸收分数）通常跟踪潜在生产的季节性动态（A0：吸收所有光的理论冠层碳吸收）。换句话说，植物在生产力最高的时候往往会长出叶子。我们的观察证实了这一假设，并开发了一个模型，根据 A0 的季节周期预测 fAPAR，物候滞后随着湿度的增加而增加（从 2 周到 3 个月）。该模型捕获了 81% 的 fAPAR 观测变化，并表明光和环境调节的生物物理约束塑造了植被绿色度、季节周期及其近期增长的全球模式。</w:t>
      </w:r>
    </w:p>
    <w:p>
      <w:pPr>
        <w:spacing w:before="0" w:after="200" w:lineRule="auto" w:line="276"/>
      </w:pPr>
      <w:r>
        <w:rPr>
          <w:b/>
        </w:rPr>
        <w:t xml:space="preserve">Abstract (EN): </w:t>
      </w:r>
      <w:r>
        <w:t>“Greenness” is a key indicator of the functional state of vegetation. However, the physiological processes behind seasonal patterns in greenness are diverse and incompletely understood, hindering the predictability of climate-driven shifts in global foliage phenology. Optimality principles suggest that plants invest in canopy architecture to maximize light capture. Therefore, we hypothesize that, irrespective of specific physiological mechanisms, greenness (fAPAR: fractional canopy light absorption) commonly tracks the seasonal dynamics of potential production (A0: theoretical canopy carbon uptake with all light absorbed). In other words, plants tend to display foliage when it is most productive. We show that observations confirm this hypothesis and develop a model predicting fAPAR from the seasonal cycle of A0, with a phenological lag that increases (from 2 weeks to 3 months) with increasing moisture. This model captures 81% of observed variations in fAPAR and shows that light and environmentally regulated biophysical constraints shape global patterns of vegetation greenness, its seasonal cycle, and its recent increase.</w:t>
      </w:r>
    </w:p>
    <w:p>
      <w:pPr>
        <w:spacing w:before="120" w:after="120"/>
      </w:pPr>
      <w:r>
        <w:rPr>
          <w:sz w:val="18"/>
        </w:rPr>
        <w:t>——————————————————————————————————————————————————————————————————————</w:t>
      </w:r>
    </w:p>
    <w:p>
      <w:pPr>
        <w:spacing w:before="160" w:after="40" w:line="240" w:lineRule="auto"/>
      </w:pPr>
      <w:r>
        <w:rPr>
          <w:b/>
        </w:rPr>
        <w:t xml:space="preserve">[77] </w:t>
      </w:r>
      <w:hyperlink r:id="rId647">
        <w:r>
          <w:rPr>
            <w:color w:val="1155CC"/>
            <w:u w:val="single"/>
          </w:rPr>
          <w:t>分层强化学习实现经济高效的铁路微电网管理</w:t>
        </w:r>
      </w:hyperlink>
    </w:p>
    <w:p>
      <w:pPr>
        <w:spacing w:before="0" w:after="80"/>
      </w:pPr>
      <w:r>
        <w:rPr>
          <w:i/>
          <w:sz w:val="20"/>
        </w:rPr>
        <w:t>EN: Hierarchical reinforcement learning for cost-effective railway microgrid management</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648">
        <w:r>
          <w:rPr>
            <w:color w:val="1155CC"/>
            <w:u w:val="single"/>
          </w:rPr>
          <w:t>10.1016/j.apenergy.2026.128698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 </w:t>
      </w:r>
      <w:hyperlink r:id="rId649">
        <w:r>
          <w:rPr>
            <w:color w:val="1155CC"/>
            <w:u w:val="single"/>
          </w:rPr>
          <w:t>漂浮式垂直轴风力发电机控制协同设计</w:t>
        </w:r>
      </w:hyperlink>
    </w:p>
    <w:p>
      <w:pPr>
        <w:spacing w:before="0" w:after="80"/>
      </w:pPr>
      <w:r>
        <w:rPr>
          <w:i/>
          <w:sz w:val="20"/>
        </w:rPr>
        <w:t>EN: Control co-design of floating vertical-axis wind turbines</w:t>
      </w:r>
    </w:p>
    <w:p>
      <w:pPr>
        <w:spacing w:before="0" w:after="120"/>
      </w:pPr>
      <w:r>
        <w:rPr>
          <w:b/>
        </w:rPr>
        <w:t xml:space="preserve">Source: </w:t>
      </w:r>
      <w:r>
        <w:t>ScienceDirect Publication: Applied Energy</w:t>
      </w:r>
      <w:r>
        <w:t xml:space="preserve">    </w:t>
      </w:r>
      <w:r>
        <w:rPr>
          <w:b/>
        </w:rPr>
        <w:t xml:space="preserve">Pub date: </w:t>
      </w:r>
      <w:r>
        <w:t>2026-08-21 00:00:00+00:00</w:t>
      </w:r>
      <w:r>
        <w:t xml:space="preserve">    </w:t>
      </w:r>
      <w:r>
        <w:rPr>
          <w:b/>
        </w:rPr>
        <w:t xml:space="preserve">DOI: </w:t>
      </w:r>
      <w:hyperlink r:id="rId650">
        <w:r>
          <w:rPr>
            <w:color w:val="1155CC"/>
            <w:u w:val="single"/>
          </w:rPr>
          <w:t>10.1016/j.apenergy.2026.128680</w:t>
        </w:r>
      </w:hyperlink>
    </w:p>
    <w:p>
      <w:pPr>
        <w:spacing w:before="0" w:after="120"/>
      </w:pPr>
      <w:r>
        <w:rPr>
          <w:b/>
        </w:rPr>
        <w:t xml:space="preserve">Notes: </w:t>
      </w:r>
      <w:r>
        <w:t>abstract_source=openalex</w:t>
      </w:r>
    </w:p>
    <w:p>
      <w:pPr>
        <w:spacing w:before="0" w:after="80" w:lineRule="auto" w:line="276"/>
      </w:pPr>
      <w:r>
        <w:rPr>
          <w:b/>
        </w:rPr>
        <w:t xml:space="preserve">摘要（ZH）: </w:t>
      </w:r>
      <w:r>
        <w:t>本研究解决了浮动式海上风力发电机（FOWT）集成设计中耦合特性的定义和识别，并得出与浮动垂直轴风力发电机（FVAWT）独特的物理特性和控制架构相关的控制协同设计（CCD）见解。为 FVAWT 开发了集成的气动-伺服-液压-弹性 CCD 框架，结合了用于塔架和平台 CCD 分析的协调变速变桨距 (VSVP) 控制。结果表明，集成设计问题的耦合特征可以通过优化历史分析从关键约束中识别出控制约束来表征。这些约束为表征耦合强度以及通过控制器参与对相应响应量的影响来评估控制器参与的实际作用提供了定量基础。随着设计问题从单一控制约束转变为多个约束的联合约束，进一步的约束松弛会产生非线性递减的目标改进，反映出更强的耦合。 FVAWT 结果揭示了 CCD 行为与现有浮动水平轴风力涡轮机 (FHAWT) 研究中报告的行为不同，其原因在于方位角相关的空气动力、通过叶片塔支撑结构的分布式载荷传递以及使用预先优化的桨距轨迹协调 VSVP 控制。这些因素导致塔底附近的局部稳定性约束、瞬时气动力变化的有限调节、平台</w:t>
      </w:r>
    </w:p>
    <w:p>
      <w:pPr>
        <w:spacing w:before="0" w:after="200" w:lineRule="auto" w:line="276"/>
      </w:pPr>
      <w:r>
        <w:rPr>
          <w:b/>
        </w:rPr>
        <w:t xml:space="preserve">Abstract (EN): </w:t>
      </w:r>
      <w:r>
        <w:t>This study addresses the definition and identification of coupling characteristics in floating offshore wind turbine (FOWT) integrated design and derives control co-design (CCD) insights associated with the distinct physical characteristics and control architecture of floating vertical-axis wind turbines (FVAWTs). An integrated aero-servo-hydro-elastic CCD framework is developed for FVAWTs, incorporating coordinated variable-speed variable-pitch (VSVP) control for tower and platform CCD analysis. Results show that the coupling characteristics of integrated design problems can be characterized by governing constraints identified from critical constraints through analysis of optimization history. These constraints provide a quantitative basis for characterizing coupling intensity and for evaluating the actual role of controller participation through its effect on the corresponding response quantities. As the design problem shifts from a single governing constraint to joint restriction by multiple constraints, further constraint relaxation produces nonlinearly diminishing objective improvement, reflecting stronger coupling. FVAWT results reveal CCD behavior distinct from that reported in existing floating horizontal-axis wind turbine (FHAWT) studies, arising from azimuth-dependent aerodynamic forcing, distributed load transfer through blade–tower support structures, and coordinated VSVP control using preoptimized pitch trajectories. These factors lead to local stability constraints near the tower bottom, limited regulation of instantaneous aerodynamic force variations, a platform pitch restoring requirement comparable to that of FHAWTs, and stronger overload suppression with stable rated power regulation, accompanied by higher pitch actuator activity. This study advances the interpretation of controller participation in FOWT integrated design from comparisons of final optimization outcomes to process analysis based on governing constraints, and deepens the understanding of integrated design characteristics of FVAWT systems.</w:t>
      </w:r>
    </w:p>
    <w:p>
      <w:pPr>
        <w:spacing w:before="120" w:after="120"/>
      </w:pPr>
      <w:r>
        <w:rPr>
          <w:sz w:val="18"/>
        </w:rPr>
        <w:t>——————————————————————————————————————————————————————————————————————</w:t>
      </w:r>
    </w:p>
    <w:p>
      <w:pPr>
        <w:spacing w:before="160" w:after="40" w:line="240" w:lineRule="auto"/>
      </w:pPr>
      <w:r>
        <w:rPr>
          <w:b/>
        </w:rPr>
        <w:t xml:space="preserve">[79] </w:t>
      </w:r>
      <w:hyperlink r:id="rId651">
        <w:r>
          <w:rPr>
            <w:color w:val="1155CC"/>
            <w:u w:val="single"/>
          </w:rPr>
          <w:t>脂多糖插入和囊泡介导的周转驱动大肠杆菌生长独立的外膜适应</w:t>
        </w:r>
      </w:hyperlink>
    </w:p>
    <w:p>
      <w:pPr>
        <w:spacing w:before="0" w:after="80"/>
      </w:pPr>
      <w:r>
        <w:rPr>
          <w:i/>
          <w:sz w:val="20"/>
        </w:rPr>
        <w:t>EN: Lipopolysaccharide insertion and vesicle mediated turnover drive growth independent outer membrane adaptation in Escherichia coli</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革兰氏阴性外膜是一个承载渗透性屏障，依赖于其外叶中有序脂多糖 (LPS) 的堆积。 LPS 插入后如何维持这种组织，以及细菌是否能够独立于生长而重塑 LPS，目前仍不清楚。现有模型将 LPS 周转归因于伸长和分裂过程中的被动稀释，限制了生长放缓时的适应。在这里，我们发现，当大肠杆菌进入稳定期并且伸长减慢时，新的 LPS 继续插入，而预先存在的 LPS 优先通过外膜囊泡去除，从而实现不依赖于生长的表面重塑。脉冲追踪代谢标记和超分辨率显微镜显示，新插入的 LPS 定位于离散位点，并与先前存在的 LPS 保持分离。时空分析支持插入捕获模型，其中局部插入和受限横向扩散维持富含 LPS 的斑块，而不会粗化为更大的域。延时成像、生化分级分离和纳米颗粒追踪将囊泡释放确定为将 LPS 周转与细胞生长分离的途径。</w:t>
      </w:r>
    </w:p>
    <w:p>
      <w:pPr>
        <w:spacing w:before="0" w:after="200" w:lineRule="auto" w:line="276"/>
      </w:pPr>
      <w:r>
        <w:rPr>
          <w:b/>
        </w:rPr>
        <w:t xml:space="preserve">Abstract (EN): </w:t>
      </w:r>
      <w:r>
        <w:t>The Gram-negative outer membrane is a load-bearing permeability barrier dependent on ordered lipopolysaccharide (LPS) packing in its outer leaflet. How this organisation is maintained after LPS insertion, and whether bacteria can remodel LPS independently of growth, remain unclear. Existing models attribute LPS turnover to passive dilution during elongation and division, limiting adaptation as growth slows. Here we show that, as Escherichia coli enters stationary phase and elongation slows, new LPS insertion continues while pre-existing LPS is preferentially removed through outer membrane vesicles, enabling growth-independent surface remodelling. Pulse–chase metabolic labelling and super-resolution microscopy reveal that newly inserted LPS localises to discrete sites and remains segregated from pre-existing LPS. Spatiotemporal analysis supports an insertion-trapping model in which localised insertion and restricted lateral diffusion maintain LPS-rich patches without coarsening into larger domains. Time-lapse imaging, biochemical fractionation and nanoparticle tracking identify vesicle release as a route that uncouples LPS turnover from cell growth.</w:t>
      </w:r>
    </w:p>
    <w:p>
      <w:pPr>
        <w:spacing w:before="120" w:after="120"/>
      </w:pPr>
      <w:r>
        <w:rPr>
          <w:sz w:val="18"/>
        </w:rPr>
        <w:t>——————————————————————————————————————————————————————————————————————</w:t>
      </w:r>
    </w:p>
    <w:p>
      <w:pPr>
        <w:spacing w:before="160" w:after="40" w:line="240" w:lineRule="auto"/>
      </w:pPr>
      <w:r>
        <w:rPr>
          <w:b/>
        </w:rPr>
        <w:t xml:space="preserve">[80] </w:t>
      </w:r>
      <w:hyperlink r:id="rId652">
        <w:r>
          <w:rPr>
            <w:color w:val="1155CC"/>
            <w:u w:val="single"/>
          </w:rPr>
          <w:t>功能连接组指纹的经验依赖性变化</w:t>
        </w:r>
      </w:hyperlink>
    </w:p>
    <w:p>
      <w:pPr>
        <w:spacing w:before="0" w:after="80"/>
      </w:pPr>
      <w:r>
        <w:rPr>
          <w:i/>
          <w:sz w:val="20"/>
        </w:rPr>
        <w:t>EN: Experience-dependent changes in functional connectome fingerprinting</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来自功能磁共振成像的人类功能连接组足够独特和稳定，可以作为个体的“指纹”，导致一些人将其视为自我的神经代理。然而，目前尚不清楚这种指纹特性在暴露于极端或高度均匀的环境后是否仍然存在。在一项纵向研究中，男性步兵和对照组男性大学生分别在关键的人生里程碑上进行了四次静息态扫描。我们跟踪了功能连接组的个体内与个体间相似性随时间的变化。早期服兵役与士兵的连接组指纹准确度显着降低有关，这是由于相对于群体的连接组独特性暂时降低，而不是与自我的相似性降低。相比之下，在同一发展时期的大学生中，指纹保持稳定。士兵指纹识别的减少与默认模式网络内的连接性特别相关。这些发现表明，人类功能连接组的独特性并不是固定的，而是可以通过强大的、共享的环境背景来很大程度上塑造，突出了神经自组织对社会和制度结构的敏感性。</w:t>
      </w:r>
    </w:p>
    <w:p>
      <w:pPr>
        <w:spacing w:before="0" w:after="200" w:lineRule="auto" w:line="276"/>
      </w:pPr>
      <w:r>
        <w:rPr>
          <w:b/>
        </w:rPr>
        <w:t xml:space="preserve">Abstract (EN): </w:t>
      </w:r>
      <w:r>
        <w:t>The human functional connectome, derived from functional magnetic resonance imaging, is sufficiently unique and stable to serve as an individual “fingerprint”, leading some to view it as a neural proxy of the self. However, it remains unclear whether this fingerprinting property persists following exposure to extreme or highly uniform environments. In a longitudinal study, male infantry soldiers and a comparison group of male university students each underwent four resting-state scans across key life milestones. We tracked changes in within-individual versus between-individual similarity in functional connectomes over time. Early military service was associated with a marked reduction in connectome fingerprinting accuracy among soldiers, driven by a temporary reduction in connectome distinctiveness relative to the group rather than by reduced similarity to the self. In contrast, fingerprinting remained stable in university students across the same developmental period. Reduced fingerprinting in soldiers was specifically linked to connectivity within the default mode network. These findings demonstrate that the uniqueness of the human functional connectome is not fixed, but can be substantially shaped by powerful, shared environmental contexts, highlighting the sensitivity of neural self-organization to social and institutional structure.</w:t>
      </w:r>
    </w:p>
    <w:p>
      <w:pPr>
        <w:spacing w:before="120" w:after="120"/>
      </w:pPr>
      <w:r>
        <w:rPr>
          <w:sz w:val="18"/>
        </w:rPr>
        <w:t>——————————————————————————————————————————————————————————————————————</w:t>
      </w:r>
    </w:p>
    <w:p>
      <w:pPr>
        <w:spacing w:before="160" w:after="40" w:line="240" w:lineRule="auto"/>
      </w:pPr>
      <w:r>
        <w:rPr>
          <w:b/>
        </w:rPr>
        <w:t xml:space="preserve">[81] </w:t>
      </w:r>
      <w:hyperlink r:id="rId653">
        <w:r>
          <w:rPr>
            <w:color w:val="1155CC"/>
            <w:u w:val="single"/>
          </w:rPr>
          <w:t>莫替沙福肽、西米普利单抗、吉西他滨和白蛋白结合型紫杉醇治疗转移性胰腺癌：单臂 2 期研究，单细胞相关性</w:t>
        </w:r>
      </w:hyperlink>
    </w:p>
    <w:p>
      <w:pPr>
        <w:spacing w:before="0" w:after="80"/>
      </w:pPr>
      <w:r>
        <w:rPr>
          <w:i/>
          <w:sz w:val="20"/>
        </w:rPr>
        <w:t>EN: Motixafortide, cemiplimab, gemcitabine and nab-paclitaxel in metastatic pancreatic cancer: a single-arm phase 2 study with single-cell correlatives</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C-X-C 基序趋化因子受体 4 (CXCR4)/C-X-C 基序趋化因子配体 12 (CXCL12) 轴驱动胰腺导管腺癌 (PDA) 的免疫排斥。基于我们的临床前数据，我们对 11 名未经治疗的转移性 PDA 患者 (NCT04543071) 进行了第一阶段的开放标签、单组 2 期临床试验，该试验结合了 CXCR4 抑制（莫替沙福肽）、PD-1 阻断（cemiplimab）和化疗（吉西他滨/白蛋白结合型紫杉醇 [GN]；MCGN）。根据实体瘤疗效评估标准，主要终点（客观缓解率）为 64% 部分缓解和 55% 确认部分缓解。次要终点包括中位无进展生存期 9.7 个月（95% 置信区间 [CI]：5.9-未达到 [NR]）、总生存期 10.1 个月（95% CI：9.3-NR）、缓解持续时间 8.2 个月和 91% 疾病控制率。一名患者在胰十二指肠切除术和肝切除术后达到病理完全缓解，在没有辅助治疗的情况下保持无病状态 18 个月。连续活检的探索性单核 RNA 测序显示，相对于耐药患者，应答者的肿瘤异质性降低、上皮间质过渡状态减少以及 CXCL12+ 癌症相关成纤维细胞富集。组织染色和 T 细胞拯救证实，MCGN 还会诱导肿瘤炎症。一项多中心随机 2 期试验正在进行，比较 MCGN 与 GN 在未经治疗的转移性 PDA 患者中的情况。</w:t>
      </w:r>
    </w:p>
    <w:p>
      <w:pPr>
        <w:spacing w:before="0" w:after="200" w:lineRule="auto" w:line="276"/>
      </w:pPr>
      <w:r>
        <w:rPr>
          <w:b/>
        </w:rPr>
        <w:t xml:space="preserve">Abstract (EN): </w:t>
      </w:r>
      <w:r>
        <w:t>The C-X-C motif chemokine receptor 4 (CXCR4)/C-X-C motif chemokine ligand 12 (CXCL12) axis drives immune exclusion in pancreatic ductal adenocarcinoma (PDA). Building on our preclinical data, we conducted the first stage of an open-label, single-arm phase 2 clinical trial combining CXCR4 inhibition (motixafortide), PD-1 blockade (cemiplimab), and chemotherapy (gemcitabine/nab-paclitaxel [GN]; MCGN) in 11 treatment-naïve patients with metastatic PDA (NCT04543071). The primary endpoint, objective response rate, was 64% partial response and 55% confirmed partial response per Response Evaluation Criteria in Solid Tumors. Secondary endpoints include median progression-free survival of 9.7 months (95% confidence interval [CI]: 5.9-not reached [NR]), overall survival of 10.1 months (95% CI: 9.3-NR), duration of response of 8.2 months, and 91% disease control rate. One patient achieved a pathological complete response after pancreatoduodenectomy and hepatectomy, remaining disease-free for 18 months without adjuvant therapy. Exploratory single-nucleus RNA-sequencing of serial biopsies showed reduced tumor heterogeneity, depletion of epithelial-to-mesenchymal transitional states, and enrichment of CXCL12+ cancer-associated fibroblasts in responders relative to resistant patients. MCGN also induced tumor inflammation as confirmed by tissue staining and T cell rescue. A multicenter randomized phase 2 trial comparing MCGN to GN in patients with treatment-naïve metastatic PDA is ongoing.</w:t>
      </w:r>
    </w:p>
    <w:p>
      <w:pPr>
        <w:spacing w:before="120" w:after="120"/>
      </w:pPr>
      <w:r>
        <w:rPr>
          <w:sz w:val="18"/>
        </w:rPr>
        <w:t>——————————————————————————————————————————————————————————————————————</w:t>
      </w:r>
    </w:p>
    <w:p>
      <w:pPr>
        <w:spacing w:before="160" w:after="40" w:line="240" w:lineRule="auto"/>
      </w:pPr>
      <w:r>
        <w:rPr>
          <w:b/>
        </w:rPr>
        <w:t xml:space="preserve">[82] </w:t>
      </w:r>
      <w:hyperlink r:id="rId654">
        <w:r>
          <w:rPr>
            <w:color w:val="1155CC"/>
            <w:u w:val="single"/>
          </w:rPr>
          <w:t>深层碳循环驱动了 520 公里长的地幔不连续面的分裂</w:t>
        </w:r>
      </w:hyperlink>
    </w:p>
    <w:p>
      <w:pPr>
        <w:spacing w:before="0" w:after="80"/>
      </w:pPr>
      <w:r>
        <w:rPr>
          <w:i/>
          <w:sz w:val="20"/>
        </w:rPr>
        <w:t>EN: Deep carbon cycling drives the splitting of the 520-km mantle discontinuity</w:t>
      </w:r>
    </w:p>
    <w:p>
      <w:pPr>
        <w:spacing w:before="0" w:after="120"/>
      </w:pPr>
      <w:r>
        <w:rPr>
          <w:b/>
        </w:rPr>
        <w:t xml:space="preserve">Source: </w:t>
      </w:r>
      <w:r>
        <w:t>Earth and environmental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进入地球深处的碳循环调节熔化、氧化还原状态和挥发性传输，但其对地幔地震结构的影响仍不清楚。深部碳循环的一个潜在地震表现是 520 公里不连续性的零星分裂，表现为板片和地幔上升流下方 560 公里附近的次级反射体，归因于 davemaoite (CaSiO3) 解溶，尽管其剪切波特性不能产生所需的 2-4% 阻抗对比度。我们进行高压-温度实验（~20 GPa，1200–1600 °C），以确定碳酸盐改变的洋壳如何重组地幔分层。在这里，我们发现碳酸盐的添加促进了钙镁与硅酸盐的交换，在富铁条件下增加了钙与硅酸盐的结合，并增强了硅酸盐的溶出。该过程在约 560 km 附近产生 12–33(2) vol.% 的达维茂石，足以匹配观察到的阻抗对比。富含达维茂石的地壳可以被地幔羽流回收，形成了炎热区域下方 560 公里长的反射层。因此，俯冲的碳酸盐重塑了矿物平衡，强化了化学分层，并产生了深层碳循环的持久地震特征。</w:t>
      </w:r>
    </w:p>
    <w:p>
      <w:pPr>
        <w:spacing w:before="0" w:after="200" w:lineRule="auto" w:line="276"/>
      </w:pPr>
      <w:r>
        <w:rPr>
          <w:b/>
        </w:rPr>
        <w:t xml:space="preserve">Abstract (EN): </w:t>
      </w:r>
      <w:r>
        <w:t>Carbon cycling into Earth’s deep interior regulates melting, redox state, and volatile transport, yet its imprint on mantle seismic structure remains unclear. A potential seismic expressure of deep carbon cycling is the sporadic splitting of the 520-km discontinuity, expressed as a secondary reflector near 560 km beneath slabs and mantle upwellings, has been attributed to davemaoite (CaSiO3) exsolution, although its shear-wave properties cannot produce the required 2–4% impedance contrast. We conduct high pressure-temperature experiments (~20 GPa, 1200–1600 °C) to determine how carbonate-altered oceanic crust reorganizes mantle layering. Here we show that carbonate addition drives Ca-Mg exchange with silicates, increases Ca incorporation into silicates under Fe-rich conditions, and enhances davemaoite exsolution. This process yields 12–33(2) vol.% davemaoite near ~ 560 km, sufficient to match impedance contrasts observed. Davemaoite-rich crust could be recycled by mantle plumes, accounting for the 560-km reflector beneath hot regions. Subducted carbonates thus reshape mineral equilibria, reinforce chemical stratification, and generate persistent seismic signatures of deep carbon cycling.</w:t>
      </w:r>
    </w:p>
    <w:p>
      <w:pPr>
        <w:spacing w:before="120" w:after="120"/>
      </w:pPr>
      <w:r>
        <w:rPr>
          <w:sz w:val="18"/>
        </w:rPr>
        <w:t>——————————————————————————————————————————————————————————————————————</w:t>
      </w:r>
    </w:p>
    <w:p>
      <w:pPr>
        <w:spacing w:before="160" w:after="40" w:line="240" w:lineRule="auto"/>
      </w:pPr>
      <w:r>
        <w:rPr>
          <w:b/>
        </w:rPr>
        <w:t xml:space="preserve">[83] </w:t>
      </w:r>
      <w:hyperlink r:id="rId655">
        <w:r>
          <w:rPr>
            <w:color w:val="1155CC"/>
            <w:u w:val="single"/>
          </w:rPr>
          <w:t>HIPPIE：跨物种、技术和模式的电生理分析生成模型</w:t>
        </w:r>
      </w:hyperlink>
    </w:p>
    <w:p>
      <w:pPr>
        <w:spacing w:before="0" w:after="80"/>
      </w:pPr>
      <w:r>
        <w:rPr>
          <w:i/>
          <w:sz w:val="20"/>
        </w:rPr>
        <w:t>EN: HIPPIE: a generative model for electrophysiological analysis across species, technologies, and modalities</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由于固有的波形变异性、噪声以及实验、技术和物种之间的技术差异，从细胞外电生理记录中进行神经元分类具有挑战性。我们引入了 HIPPIE（细胞间电生理学生理模式的高维解释），这是一种深度学习框架，它将未标记数据集上的自监督预训练与监督微调相结合，以对细胞外记录中的神经元进行分类。使用条件卷积联合自动编码器，HIPPIE 学习经过技术调整的波形和尖峰动态表示。在这里，我们通过小鼠、大鼠和猕猴的记录表明，HIPPIE 可以与现有方法竞争地对细胞类型进行分类，同时还支持判别模型无法执行的生成分析，包括在改变的实验条件下对电生理信号进行反事实解码、跨物种潜在插值和跨模式分析，揭示尖峰计时模式和波形形态编码很大程度上独立的神经元身份维度。 HIPPIE 可作为 Python 包和免编码 Web 应用程序使用，为跨技术、实验条件和物种的多模式神经元分类提供统一的框架。</w:t>
      </w:r>
    </w:p>
    <w:p>
      <w:pPr>
        <w:spacing w:before="0" w:after="200" w:lineRule="auto" w:line="276"/>
      </w:pPr>
      <w:r>
        <w:rPr>
          <w:b/>
        </w:rPr>
        <w:t xml:space="preserve">Abstract (EN): </w:t>
      </w:r>
      <w:r>
        <w:t>Neuronal classification from extracellular electrophysiological recordings is challenging due to intrinsic waveform variability, noise, and technical differences across experiments, technologies, and species. We introduce HIPPIE (High-dimensional Interpretation of Physiological Patterns In Intercellular Electrophysiology), a deep learning framework that combines self-supervised pretraining on unlabeled datasets with supervised fine-tuning to classify neurons from extracellular recordings. Using conditional convolutional joint autoencoders, HIPPIE learns technology-adjusted representations of waveforms and spiking dynamics. Here we show, across mouse, rat, and macaque recordings, that HIPPIE classifies cell types competitively with existing methods while additionally supporting generative analyses that discriminative models cannot perform, including counterfactual decoding of electrophysiological signals under changed experimental conditioning, cross-species latent interpolation, and a cross-modal analysis revealing that spike-timing modalities and waveform morphology encode largely independent dimensions of neuronal identity. HIPPIE is available as both a Python package and a coding-free web application, providing a unified framework for multimodal neuronal classification across technologies, experimental conditions, and species.</w:t>
      </w:r>
    </w:p>
    <w:p>
      <w:pPr>
        <w:spacing w:before="120" w:after="120"/>
      </w:pPr>
      <w:r>
        <w:rPr>
          <w:sz w:val="18"/>
        </w:rPr>
        <w:t>——————————————————————————————————————————————————————————————————————</w:t>
      </w:r>
    </w:p>
    <w:p>
      <w:pPr>
        <w:spacing w:before="160" w:after="40" w:line="240" w:lineRule="auto"/>
      </w:pPr>
      <w:r>
        <w:rPr>
          <w:b/>
        </w:rPr>
        <w:t xml:space="preserve">[84] </w:t>
      </w:r>
      <w:hyperlink r:id="rId656">
        <w:r>
          <w:rPr>
            <w:color w:val="1155CC"/>
            <w:u w:val="single"/>
          </w:rPr>
          <w:t>靶向 ABL 激酶可克服黑色素瘤对 MAPK 抑制产生抵抗后的免疫逃避</w:t>
        </w:r>
      </w:hyperlink>
    </w:p>
    <w:p>
      <w:pPr>
        <w:spacing w:before="0" w:after="80"/>
      </w:pPr>
      <w:r>
        <w:rPr>
          <w:i/>
          <w:sz w:val="20"/>
        </w:rPr>
        <w:t>EN: Targeting ABL kinases overcomes melanoma immune evasion following resistance to MAPK inhibition</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MAPK 抑制剂 (MAPKi) 是一些转移性黑色素瘤患者的重要治疗选择；然而，在绝大多数情况下（&gt;70%）不可避免地会产生耐药性。在这里，我们利用免疫功能良好的小鼠模型、单细胞 RNA 测序、流式细胞术和接受 MAPKi 治疗的患者的数据集，证明 ABL 激酶 (ABL1/2) 不仅通过影响细胞内信号转导，而且还通过驱动抑制免疫微环境的趋化因子的分泌来促进 MAPKi 耐药性。靶向 ABL1/2 可减少黑色素瘤细胞的趋化因子分泌，防止免疫抑制性骨髓源性抑制细胞 (MDSC) 浸润，并促进细胞毒性 CD8+ T 细胞的积累。 MDSC 的耗竭可防止耐药性，CD8+ T 细胞的耗竭或趋化因子的重新表达可阻止 ABL 抑制剂预防耐药性。重要的是，CXCR2 受体配体表达和 ABL1/2 活性在对治疗有反应的患者中降低，但在耐药期间增加。因此，ABL1/2 在增殖/存活和免疫抑制中的双重作用使它们成为潜在治疗的有吸引力的靶标。</w:t>
      </w:r>
    </w:p>
    <w:p>
      <w:pPr>
        <w:spacing w:before="0" w:after="200" w:lineRule="auto" w:line="276"/>
      </w:pPr>
      <w:r>
        <w:rPr>
          <w:b/>
        </w:rPr>
        <w:t xml:space="preserve">Abstract (EN): </w:t>
      </w:r>
      <w:r>
        <w:t>MAPK inhibitors (MAPKi) are important treatment options for some patients with metastatic melanoma; however, resistance inevitably develops in the vast majority of cases (&gt;70%). Here, using immune-proficient mouse models, single-cell RNA sequencing, flow cytometry, and datasets from patients treated with MAPKi, we demonstrate that ABL kinases (ABL1/2) promote MAPKi resistance not only by impacting intracellular signaling but also by driving secretion of chemokines that suppress the immune microenvironment. Targeting ABL1/2 reduces chemokine secretion by melanoma cells, prevents immunosuppressive myeloid-derived suppressor cell (MDSC) infiltration, and promotes accumulation of cytotoxic CD8+ T cells. Depletion of MDSCs prevents resistance, and depletion of CD8+ T cells or re-expression of chemokines blocks ABL inhibitors from preventing resistance. Importantly, CXCR2 receptor ligand expression and ABL1/2 activity are reduced in patients who respond to treatment but increased during resistance. Thus, the dual role of ABL1/2 in proliferation/survival and immune suppression makes them attractive targets for potential treatments.</w:t>
      </w:r>
    </w:p>
    <w:p>
      <w:pPr>
        <w:spacing w:before="120" w:after="120"/>
      </w:pPr>
      <w:r>
        <w:rPr>
          <w:sz w:val="18"/>
        </w:rPr>
        <w:t>——————————————————————————————————————————————————————————————————————</w:t>
      </w:r>
    </w:p>
    <w:p>
      <w:pPr>
        <w:spacing w:before="160" w:after="40" w:line="240" w:lineRule="auto"/>
      </w:pPr>
      <w:r>
        <w:rPr>
          <w:b/>
        </w:rPr>
        <w:t xml:space="preserve">[85] </w:t>
      </w:r>
      <w:hyperlink r:id="rId657">
        <w:r>
          <w:rPr>
            <w:color w:val="1155CC"/>
            <w:u w:val="single"/>
          </w:rPr>
          <w:t>用于成熟人多能干细胞来源的肝球体的六种化合物混合物用于毒性预测</w:t>
        </w:r>
      </w:hyperlink>
    </w:p>
    <w:p>
      <w:pPr>
        <w:spacing w:before="0" w:after="80"/>
      </w:pPr>
      <w:r>
        <w:rPr>
          <w:i/>
          <w:sz w:val="20"/>
        </w:rPr>
        <w:t>EN: Six-compound cocktail for maturation of human pluripotent stem cell-derived liver spheroids for toxicity prediction</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药物引起的肝损伤仍然是药物开发失败的主要原因和主要的临床安全问题。人类诱导多能干细胞衍生的肝细胞为模拟患者特异性药物反应提供了一种有前途的方法，但其不成熟的表型限制了预测性能。我们报告了一种化学定义的六种化合物成熟策略，用于人类干细胞衍生的肝球体。成熟的球体获得类似成人的肝脏特征，包括细胞色素 P450 活性增加、代谢能力增强以及向氧化磷酸化的代谢转变，这些特征得到全基因组通路分析和多个供体的功能测定的支持。当用二十种参考化合物进行评估时，成熟的球体改善了肝毒性预测并优于原代人肝细胞球体。游离脂肪酸治疗进一步诱发代谢功能障碍相关的脂肪性肝病的特征，并增加对选定肝毒性药物的敏感性。在这项工作中，我们证明了一种确定的六种化合物混合物可以增强干细胞来源的肝球体的成熟，改善药物诱导的肝毒性预测，并能够建立脂肪肝疾病的模型。</w:t>
      </w:r>
    </w:p>
    <w:p>
      <w:pPr>
        <w:spacing w:before="0" w:after="200" w:lineRule="auto" w:line="276"/>
      </w:pPr>
      <w:r>
        <w:rPr>
          <w:b/>
        </w:rPr>
        <w:t xml:space="preserve">Abstract (EN): </w:t>
      </w:r>
      <w:r>
        <w:t>Drug-induced liver injury remains a leading cause of drug development failure and a major clinical safety concern. Human induced pluripotent stem cell–derived hepatocytes offer a promising approach for modeling patient-specific drug responses, but their immature phenotype limits predictive performance. We report a chemically defined six-compound maturation strategy for human stem cell–derived liver spheroids. Matured spheroids acquire adult-like hepatic features, including increased cytochrome P450 activity, enhanced metabolic capacity, and a metabolic shift toward oxidative phosphorylation, supported by genome-wide pathway analysis and functional assays across multiple donors. When evaluated with twenty reference compounds, matured spheroids improve hepatotoxicity prediction and outperform primary human hepatocyte spheroids. Free fatty acids treatment further induces features of metabolic dysfunction-associated steatotic liver disease and increases sensitivity to selected hepatotoxic drugs. In this work, we show that a defined six-compound cocktail enhances stem cell-derived liver spheroids maturation, improves drug-induced hepatotoxicity prediction, and enables modeling of steatotic liver disease.</w:t>
      </w:r>
    </w:p>
    <w:p>
      <w:pPr>
        <w:spacing w:before="120" w:after="120"/>
      </w:pPr>
      <w:r>
        <w:rPr>
          <w:sz w:val="18"/>
        </w:rPr>
        <w:t>——————————————————————————————————————————————————————————————————————</w:t>
      </w:r>
    </w:p>
    <w:p>
      <w:pPr>
        <w:spacing w:before="160" w:after="40" w:line="240" w:lineRule="auto"/>
      </w:pPr>
      <w:r>
        <w:rPr>
          <w:b/>
        </w:rPr>
        <w:t xml:space="preserve">[86] </w:t>
      </w:r>
      <w:hyperlink r:id="rId658">
        <w:r>
          <w:rPr>
            <w:color w:val="1155CC"/>
            <w:u w:val="single"/>
          </w:rPr>
          <w:t>声学细胞模式揭示了几何和基质依赖性血管发生和人类胚胎模型的发育</w:t>
        </w:r>
      </w:hyperlink>
    </w:p>
    <w:p>
      <w:pPr>
        <w:spacing w:before="0" w:after="80"/>
      </w:pPr>
      <w:r>
        <w:rPr>
          <w:i/>
          <w:sz w:val="20"/>
        </w:rPr>
        <w:t>EN: Acoustic cell patterning reveals geometry- and substrate-dependent vasculogenesis and human embryo model development</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细胞的精确空间组织对于工程功能组织和构建人类发育模型至关重要。在这里，我们报告了声学细胞图案化（ACP）的发展，这是一种基于超声波的方法，能够在刚性和柔性基底上快速生成多种细胞类型的空间图案，而不需要对基底进行化学或物理修饰。通过 ACP 对人内皮细胞和基质成纤维细胞进行空间控制的共同模式揭示了几何形状和基质依赖性的血管形态发生。 ACP 应用于微流体装置内的人类多能干细胞 (hPSC)，形成神经管样结构，表现出类似体内的空间模式基因表达，包括 HOXC10 尾部出现。 ACP 还在软基质上生成均匀的 hPSC 簇阵列，形成外胚层样组织，这些组织经历自发的 BMP 依赖性羊膜生成和原始生殖细胞样规范。在硬质基底上使用微接触印刷从图案化 hPSC 衍生的结构中，没有观察到这些类似体内的发育特征。总之，这些结果证明了 ACP 在设计空间组织的多细胞系统和在更好地模拟体内环境的条件下模拟早期人类发育方面的独特能力。</w:t>
      </w:r>
    </w:p>
    <w:p>
      <w:pPr>
        <w:spacing w:before="0" w:after="200" w:lineRule="auto" w:line="276"/>
      </w:pPr>
      <w:r>
        <w:rPr>
          <w:b/>
        </w:rPr>
        <w:t xml:space="preserve">Abstract (EN): </w:t>
      </w:r>
      <w:r>
        <w:t>Precise spatial organization of cells is critical for engineering functional tissues and constructing human developmental models. Here, we report the development of acoustic cell patterning (ACP), an ultrasound-based method capable of rapidly generating spatial patterns of multiple cell types on both rigid and compliant substrates without requiring chemical or physical modification of the substrates. Spatially controlled co-patterning of human endothelial and stromal fibroblast cells through ACP reveals geometry- and substrate-dependent vascular morphogenesis. Applied to human pluripotent stem cells (hPSCs) within a microfluidic device, ACP forms neural tube-like structures exhibiting in vivo-like spatially patterned gene expression, including caudal emergence of HOXC10. ACP also generates a uniform array of hPSC clusters on soft substrates, forming epiblast-like tissues that undergo spontaneous BMP-dependent amniogenesis and primordial germ cell-like specification. These in vivo-like developmental features are not observed in structures derived from patterned hPSCs using microcontact printing on stiff substrates. Together, these results demonstrate the unique capabilities of ACP for engineering spatially organized multicellular systems and modeling early human development under conditions that better mimic in vivo environments.</w:t>
      </w:r>
    </w:p>
    <w:p>
      <w:pPr>
        <w:spacing w:before="120" w:after="120"/>
      </w:pPr>
      <w:r>
        <w:rPr>
          <w:sz w:val="18"/>
        </w:rPr>
        <w:t>——————————————————————————————————————————————————————————————————————</w:t>
      </w:r>
    </w:p>
    <w:p>
      <w:pPr>
        <w:spacing w:before="160" w:after="40" w:line="240" w:lineRule="auto"/>
      </w:pPr>
      <w:r>
        <w:rPr>
          <w:b/>
        </w:rPr>
        <w:t xml:space="preserve">[87] </w:t>
      </w:r>
      <w:hyperlink r:id="rId659">
        <w:r>
          <w:rPr>
            <w:color w:val="1155CC"/>
            <w:u w:val="single"/>
          </w:rPr>
          <w:t>H5N1 流感病毒通过胎盘和乳腺途径的妊娠期垂直传播损害后代发育</w:t>
        </w:r>
      </w:hyperlink>
    </w:p>
    <w:p>
      <w:pPr>
        <w:spacing w:before="0" w:after="80"/>
      </w:pPr>
      <w:r>
        <w:rPr>
          <w:i/>
          <w:sz w:val="20"/>
        </w:rPr>
        <w:t>EN: Trimester-dependent vertical transmission of H5N1 influenza virus through placental and mammary routes impairs offspring development</w:t>
      </w:r>
    </w:p>
    <w:p>
      <w:pPr>
        <w:spacing w:before="0" w:after="120"/>
      </w:pPr>
      <w:r>
        <w:rPr>
          <w:b/>
        </w:rPr>
        <w:t xml:space="preserve">Source: </w:t>
      </w:r>
      <w:r>
        <w:t>Biological sciences : Nature Communications subject feeds</w:t>
      </w:r>
      <w:r>
        <w:t xml:space="preserve">    </w:t>
      </w:r>
      <w:r>
        <w:rPr>
          <w:b/>
        </w:rPr>
        <w:t xml:space="preserve">Pub date: </w:t>
      </w:r>
      <w:r>
        <w:t>2026-08-21 00:00:00+00:00</w:t>
      </w:r>
    </w:p>
    <w:p>
      <w:pPr>
        <w:spacing w:before="0" w:after="120"/>
      </w:pPr>
      <w:r>
        <w:rPr>
          <w:b/>
        </w:rPr>
        <w:t xml:space="preserve">Notes: </w:t>
      </w:r>
      <w:r>
        <w:t>abstract_source=nature_html</w:t>
      </w:r>
    </w:p>
    <w:p>
      <w:pPr>
        <w:spacing w:before="0" w:after="80" w:lineRule="auto" w:line="276"/>
      </w:pPr>
      <w:r>
        <w:rPr>
          <w:b/>
        </w:rPr>
        <w:t xml:space="preserve">摘要（ZH）: </w:t>
      </w:r>
      <w:r>
        <w:t>H5N1 禽流感具有大流行的潜力，并且历史上在孕妇中引起的疾病比一般人群更严重。随着在胎盘哺乳动物中检测到的 H5N1 病毒传播不断增加，动物模型对于测试对策（包括在怀孕期间）是必要的。怀孕的近交系小鼠在妊娠中期感染现代牛 H5N1 病毒株，相当于导致子宫传播，在子宫、胎盘和胎儿中检测到传染性病毒。妊娠晚期感染后出生会导致后代体型缩小、神经发育迟缓和青少年行为障碍，在新生儿乳环、肺部以及乳腺组织中检测到感染性病毒。 H5N1 病毒蛋白与胎盘中的滋养层细胞和乳腺组织中的上皮细胞共定位，与 α2,3 连接的 SA 的凝集素在空间上重叠。鉴于 H5N1 具有大流行的潜力，我们的胎盘哺乳动物垂直传播模型对于了解病毒传播和评估怀孕期间的治疗至关重要。</w:t>
      </w:r>
    </w:p>
    <w:p>
      <w:pPr>
        <w:spacing w:before="0" w:after="200" w:lineRule="auto" w:line="276"/>
      </w:pPr>
      <w:r>
        <w:rPr>
          <w:b/>
        </w:rPr>
        <w:t xml:space="preserve">Abstract (EN): </w:t>
      </w:r>
      <w:r>
        <w:t>Avian influenza H5N1 has pandemic potential and historically causes more severe disease in pregnant women than the general population. With increasing transmission of H5N1 detected among placental mammals, animal models are necessary for testing countermeasures, including during pregnancy. Pregnant outbred mice infected with a contemporary strain of bovine H5N1 during the second trimester equivalent causes in utero transmission, with infectious virus detected in the uterus, placenta, and fetus. Birth following third trimester infection results in offspring with decreased size, neurodevelopmental delays, and adolescent behavioral impairments, with infectious virus detected in the neonatal milk ring and lungs, as well as mammary tissues. H5N1 viral protein colocalizes with trophoblast cells in the placenta and epithelial cells in mammary tissue that spatially overlap with lectins for α2,3-linked SA. With the pandemic potential of H5N1, our vertical transmission model in placental mammals is essential for understanding viral spread and evaluating treatments during pregnancy.</w:t>
      </w:r>
    </w:p>
    <w:p>
      <w:pPr>
        <w:spacing w:before="120" w:after="120"/>
      </w:pPr>
      <w:r>
        <w:rPr>
          <w:sz w:val="18"/>
        </w:rPr>
        <w:t>——————————————————————————————————————————————————————————————————————</w:t>
      </w:r>
    </w:p>
    <w:p>
      <w:pPr>
        <w:spacing w:before="160" w:after="40" w:line="240" w:lineRule="auto"/>
      </w:pPr>
      <w:r>
        <w:rPr>
          <w:b/>
        </w:rPr>
        <w:t xml:space="preserve">[88] </w:t>
      </w:r>
      <w:hyperlink r:id="rId660">
        <w:r>
          <w:rPr>
            <w:color w:val="1155CC"/>
            <w:u w:val="single"/>
          </w:rPr>
          <w:t>基于真空的单片原位集成量子限制 CsPbBr3 纳米晶体，实现光谱稳定的蓝色电致发光</w:t>
        </w:r>
      </w:hyperlink>
    </w:p>
    <w:p>
      <w:pPr>
        <w:spacing w:before="0" w:after="80"/>
      </w:pPr>
      <w:r>
        <w:rPr>
          <w:i/>
          <w:sz w:val="20"/>
        </w:rPr>
        <w:t>EN: Vacuum‐Based Monolithically In Situ Integration of Quantum‐Confined CsPbBr3 Nanocrystals for Spectrally Stable Blue Electroluminescence</w:t>
      </w:r>
    </w:p>
    <w:p>
      <w:pPr>
        <w:spacing w:before="0" w:after="120"/>
      </w:pPr>
      <w:r>
        <w:rPr>
          <w:b/>
        </w:rPr>
        <w:t xml:space="preserve">Source: </w:t>
      </w:r>
      <w:r>
        <w:t>Wiley: Advanced Materials: Table of Contents</w:t>
      </w:r>
      <w:r>
        <w:t xml:space="preserve">    </w:t>
      </w:r>
      <w:r>
        <w:rPr>
          <w:b/>
        </w:rPr>
        <w:t xml:space="preserve">Pub date: </w:t>
      </w:r>
      <w:r>
        <w:t>2026-08-21 05:06:11+00:00</w:t>
      </w:r>
      <w:r>
        <w:t xml:space="preserve">    </w:t>
      </w:r>
      <w:r>
        <w:rPr>
          <w:b/>
        </w:rPr>
        <w:t xml:space="preserve">DOI: </w:t>
      </w:r>
      <w:hyperlink r:id="rId661">
        <w:r>
          <w:rPr>
            <w:color w:val="1155CC"/>
            <w:u w:val="single"/>
          </w:rPr>
          <w:t>10.1002/adma.74731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谱稳定的蓝色发射是全彩钙钛矿显示器最关键的组成部分之一，这对显示技术极具吸引力。然而，迄今为止，气相沉积蓝色钙钛矿发光二极管主要依赖于Br/Cl混合卤化物带隙工程，在工作中容易发生卤化物迁移和相分离，因此存在光谱不稳定的问题。在这里，我们报告了光谱稳定的气相沉积纯溴化物蓝色钙钛矿发光二极管，通过配体缓冲延迟成核（LBDN）策略实现了光谱稳定的发射。在该方法中，p-Br-MBABr作为动力学缓冲剂共沉积，以创建配体配位的前体态，抑制立即结晶、延迟成核并限制随后的晶体生长。结果，我们得到了量子限制的 CsPbBr</w:t>
      </w:r>
      <w:r>
        <w:rPr>
          <w:vertAlign w:val="subscript"/>
        </w:rPr>
        <w:t>3</w:t>
      </w:r>
      <w:r>
        <w:t>具有可调谐蓝色发射的纳米晶体薄膜。基于这些薄膜的完全气相沉积 PeLED 可提供光谱稳定的纯蓝色电致发光。这些结果确立了动力学缓冲作为气相沉积下量子限制钙钛矿和用于单片集成全色钙钛矿显示器的光谱稳定蓝色发射器的有效途径。</w:t>
      </w:r>
    </w:p>
    <w:p>
      <w:pPr>
        <w:spacing w:before="0" w:after="200" w:lineRule="auto" w:line="276"/>
      </w:pPr>
      <w:r>
        <w:rPr>
          <w:b/>
        </w:rPr>
        <w:t xml:space="preserve">Abstract (EN): </w:t>
      </w:r>
      <w:r>
        <w:t>Spectrally stable blue emission represents one of the most critical components of full‐color perovskite displays, which are highly attractive for display technologies. However, vapor‐deposited blue perovskite light‐emitting diodes have so far relied predominantly on Br/Cl mixed‐halide bandgap engineering, which is prone to halide migration and phase segregation under operation and therefore suffers from spectral instability. Here, we report spectrally stable vapor‐deposited, pure‐bromide blue perovskite light‐emitting diodes with spectrally stable emission achieved via a ligand‐buffered delayed nucleation (LBDN) strategy. In this method, p‐Br‐MBABr is co‐deposited as a kinetic buffer to create a ligand‐coordinated precursor state that suppresses immediate crystallization, delays nucleation, and confines subsequent crystal growth. As a result, we obtain quantum‐confined CsPbBr</w:t>
      </w:r>
      <w:r>
        <w:rPr>
          <w:vertAlign w:val="subscript"/>
        </w:rPr>
        <w:t>3</w:t>
      </w:r>
      <w:r>
        <w:t>nanocrystal films with tunable blue emission. Fully vapor‐deposited PeLEDs based on these films deliver spectrally stable pure‐blue electroluminescence. These results establish kinetic buffering as an effective route to quantum‐confined perovskites under vapor deposition and spectrally stable blue emitters for monolithically integrated full‐color perovskite displays.</w:t>
      </w:r>
    </w:p>
    <w:p>
      <w:pPr>
        <w:spacing w:before="120" w:after="120"/>
      </w:pPr>
      <w:r>
        <w:rPr>
          <w:sz w:val="18"/>
        </w:rPr>
        <w:t>——————————————————————————————————————————————————————————————————————</w:t>
      </w:r>
    </w:p>
    <w:p>
      <w:pPr>
        <w:spacing w:before="160" w:after="40" w:line="240" w:lineRule="auto"/>
      </w:pPr>
      <w:r>
        <w:rPr>
          <w:b/>
        </w:rPr>
        <w:t xml:space="preserve">[89] </w:t>
      </w:r>
      <w:hyperlink r:id="rId662">
        <w:r>
          <w:rPr>
            <w:color w:val="1155CC"/>
            <w:u w:val="single"/>
          </w:rPr>
          <w:t>由二维纳米片组装的超宽带 Epsilon-近零超薄超薄膜克服了超材料的尺寸限制</w:t>
        </w:r>
      </w:hyperlink>
    </w:p>
    <w:p>
      <w:pPr>
        <w:spacing w:before="0" w:after="80"/>
      </w:pPr>
      <w:r>
        <w:rPr>
          <w:i/>
          <w:sz w:val="20"/>
        </w:rPr>
        <w:t>EN: Ultra‐broadband Epsilon‐Near‐Zero Ultrathin Metafilms Assembled by 2D Nanosheets Overcoming Size Limitation in Metamaterials</w:t>
      </w:r>
    </w:p>
    <w:p>
      <w:pPr>
        <w:spacing w:before="0" w:after="120"/>
      </w:pPr>
      <w:r>
        <w:rPr>
          <w:b/>
        </w:rPr>
        <w:t xml:space="preserve">Source: </w:t>
      </w:r>
      <w:r>
        <w:t>Wiley: Advanced Materials: Table of Contents</w:t>
      </w:r>
      <w:r>
        <w:t xml:space="preserve">    </w:t>
      </w:r>
      <w:r>
        <w:rPr>
          <w:b/>
        </w:rPr>
        <w:t xml:space="preserve">Pub date: </w:t>
      </w:r>
      <w:r>
        <w:t>2026-08-21 05:08:14+00:00</w:t>
      </w:r>
      <w:r>
        <w:t xml:space="preserve">    </w:t>
      </w:r>
      <w:r>
        <w:rPr>
          <w:b/>
        </w:rPr>
        <w:t xml:space="preserve">DOI: </w:t>
      </w:r>
      <w:hyperlink r:id="rId663">
        <w:r>
          <w:rPr>
            <w:color w:val="1155CC"/>
            <w:u w:val="single"/>
          </w:rPr>
          <w:t>10.1002/adma.74739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宽带 epsilon 近零 (ENZ) 材料对于 6G（第六代移动网络）信号稳定性、生化传感器精度和智能武器系统至关重要。这里，超薄（</w:t>
      </w:r>
      <w:r>
        <w:t xml:space="preserve"> </w:t>
      </w:r>
      <w:r>
        <w:t>d</w:t>
      </w:r>
      <w:r>
        <w:t xml:space="preserve"> </w:t>
      </w:r>
      <w:r>
        <w:t>∼10 µm) 2D 超薄膜实现低频超宽带 ENZ (10 kHz–1 MHz,</w:t>
      </w:r>
      <w:r>
        <w:t xml:space="preserve"> </w:t>
      </w:r>
      <w:r>
        <w:t>d</w:t>
      </w:r>
      <w:r>
        <w:t xml:space="preserve"> </w:t>
      </w:r>
      <w:r>
        <w:t>/</w:t>
      </w:r>
      <w:r>
        <w:t>λ</w:t>
      </w:r>
      <w:r>
        <w:t xml:space="preserve"> </w:t>
      </w:r>
      <w:r>
        <w:t>〜10</w:t>
      </w:r>
      <w:r>
        <w:t xml:space="preserve"> </w:t>
      </w:r>
      <w:r>
        <w:t>−10</w:t>
      </w:r>
      <w:r>
        <w:t xml:space="preserve"> </w:t>
      </w:r>
      <w:r>
        <w:t>）是通过纳米片（MXene 和氧化石墨烯）的自组装和界面工程构建的。高阻界面和皱纹可以阻挡自由载流子，抑制长程等离子体和德鲁德型负介电响应，而这些载流子往往在界面处局部积累并增强德拜型正介电响应。这两条路径通过具有可比较的强度和色散特性的这两种响应之间的协同抵消效应来实现超宽带 ENZ 行为。获得了具有100倍超宽带宽（10kHz-1MHz）的ENZ（|ε′|&lt;1），10kHz的ENZ也更新了ENZ在材料中的低频极限。此外，超薄膜的厚度达到了 10 µm，这是最小的薄膜。</w:t>
      </w:r>
      <w:r>
        <w:t xml:space="preserve"> </w:t>
      </w:r>
      <w:r>
        <w:t>d</w:t>
      </w:r>
      <w:r>
        <w:t xml:space="preserve"> </w:t>
      </w:r>
      <w:r>
        <w:t>/</w:t>
      </w:r>
      <w:r>
        <w:t>λ</w:t>
      </w:r>
      <w:r>
        <w:t xml:space="preserve"> </w:t>
      </w:r>
      <w:r>
        <w:t>值（〜10</w:t>
      </w:r>
      <w:r>
        <w:t xml:space="preserve"> </w:t>
      </w:r>
      <w:r>
        <w:t>−10</w:t>
      </w:r>
      <w:r>
        <w:t xml:space="preserve"> </w:t>
      </w:r>
      <w:r>
        <w:t>），克服了 ENZ 介质的尺寸限制。超宽带 ENZ 的有效性在电磁隧道器件中得到了验证，其中超薄膜可以替代复杂的</w:t>
      </w:r>
    </w:p>
    <w:p>
      <w:pPr>
        <w:spacing w:before="0" w:after="200" w:lineRule="auto" w:line="276"/>
      </w:pPr>
      <w:r>
        <w:rPr>
          <w:b/>
        </w:rPr>
        <w:t xml:space="preserve">Abstract (EN): </w:t>
      </w:r>
      <w:r>
        <w:t>Broadband epsilon‐near‐zero (ENZ) materials are crucial for 6G (sixth generation mobile networks) signal stability, biochemical sensor accuracy, and intelligent weapon systems. Here, the ultrathin (</w:t>
      </w:r>
      <w:r>
        <w:t xml:space="preserve"> </w:t>
      </w:r>
      <w:r>
        <w:t>d</w:t>
      </w:r>
      <w:r>
        <w:t xml:space="preserve"> </w:t>
      </w:r>
      <w:r>
        <w:t>∼10 µm) 2D metafilms achieving low‐frequency ultra‐broadband ENZ (10 kHz–1 MHz,</w:t>
      </w:r>
      <w:r>
        <w:t xml:space="preserve"> </w:t>
      </w:r>
      <w:r>
        <w:t>d</w:t>
      </w:r>
      <w:r>
        <w:t xml:space="preserve"> </w:t>
      </w:r>
      <w:r>
        <w:t>/</w:t>
      </w:r>
      <w:r>
        <w:t>λ</w:t>
      </w:r>
      <w:r>
        <w:t xml:space="preserve"> </w:t>
      </w:r>
      <w:r>
        <w:t>∼10</w:t>
      </w:r>
      <w:r>
        <w:t xml:space="preserve"> </w:t>
      </w:r>
      <w:r>
        <w:t>−10</w:t>
      </w:r>
      <w:r>
        <w:t xml:space="preserve"> </w:t>
      </w:r>
      <w:r>
        <w:t>) are constructed via the self‐assembly of nanosheets (MXene and graphene oxide) and interface engineering. High‐resistance interfaces and wrinkles can block free carriers, suppressing long‐range plasma and Drude‐type negative dielectric response, while these carriers tend to accumulate locally at the interfaces and enhance Debye‐type positive dielectric response. These two pathways achieve the ultra‐broadband ENZ behavior via the synergistic cancellation effect between these two responses with comparable intensity and dispersion characteristics. The ENZ (|ε′|&amp;lt;1) with a 100‐fold ultrabroad bandwidth (10 kHz–1 MHz) is obtained, 10 kHz of ENZ also updates the low‐frequency limit of ENZ in materials. Besides, the thickness of 10 µm is achieved in metafilms, a smallest</w:t>
      </w:r>
      <w:r>
        <w:t xml:space="preserve"> </w:t>
      </w:r>
      <w:r>
        <w:t>d</w:t>
      </w:r>
      <w:r>
        <w:t xml:space="preserve"> </w:t>
      </w:r>
      <w:r>
        <w:t>/</w:t>
      </w:r>
      <w:r>
        <w:t>λ</w:t>
      </w:r>
      <w:r>
        <w:t xml:space="preserve"> </w:t>
      </w:r>
      <w:r>
        <w:t>value (∼10</w:t>
      </w:r>
      <w:r>
        <w:t xml:space="preserve"> </w:t>
      </w:r>
      <w:r>
        <w:t>−10</w:t>
      </w:r>
      <w:r>
        <w:t xml:space="preserve"> </w:t>
      </w:r>
      <w:r>
        <w:t>), overcoming the size limitation of ENZ media. The effectiveness of the ultra‐broadband ENZ is verified in electromagnetic tunneling devices, where metafilms can replace complex artificial arrays. This work establishes a new material‐genesis strategy for ultra‐broadband ENZ rather than artificial metamaterial arrays, easily applicable across the entire electromagnetic spectra.</w:t>
      </w:r>
    </w:p>
    <w:p>
      <w:pPr>
        <w:spacing w:before="120" w:after="120"/>
      </w:pPr>
      <w:r>
        <w:rPr>
          <w:sz w:val="18"/>
        </w:rPr>
        <w:t>——————————————————————————————————————————————————————————————————————</w:t>
      </w:r>
    </w:p>
    <w:p>
      <w:pPr>
        <w:spacing w:before="160" w:after="40" w:line="240" w:lineRule="auto"/>
      </w:pPr>
      <w:r>
        <w:rPr>
          <w:b/>
        </w:rPr>
        <w:t xml:space="preserve">[90] </w:t>
      </w:r>
      <w:hyperlink r:id="rId664">
        <w:r>
          <w:rPr>
            <w:color w:val="1155CC"/>
            <w:u w:val="single"/>
          </w:rPr>
          <w:t>镁碲硫属化物中的极端键离子性，用于超薄低压选择器存储器，超出泄漏缩放极限</w:t>
        </w:r>
      </w:hyperlink>
    </w:p>
    <w:p>
      <w:pPr>
        <w:spacing w:before="0" w:after="80"/>
      </w:pPr>
      <w:r>
        <w:rPr>
          <w:i/>
          <w:sz w:val="20"/>
        </w:rPr>
        <w:t>EN: Extreme Bond Ionicity in Mg─Te Chalcogenides for Ultrathin Low Voltage Selector‐Only Memory beyond the Leakage Scaling Limit</w:t>
      </w:r>
    </w:p>
    <w:p>
      <w:pPr>
        <w:spacing w:before="0" w:after="120"/>
      </w:pPr>
      <w:r>
        <w:rPr>
          <w:b/>
        </w:rPr>
        <w:t xml:space="preserve">Source: </w:t>
      </w:r>
      <w:r>
        <w:t>Wiley: Advanced Materials: Table of Contents</w:t>
      </w:r>
      <w:r>
        <w:t xml:space="preserve">    </w:t>
      </w:r>
      <w:r>
        <w:rPr>
          <w:b/>
        </w:rPr>
        <w:t xml:space="preserve">Pub date: </w:t>
      </w:r>
      <w:r>
        <w:t>2026-08-21 05:14:13+00:00</w:t>
      </w:r>
      <w:r>
        <w:t xml:space="preserve">    </w:t>
      </w:r>
      <w:r>
        <w:rPr>
          <w:b/>
        </w:rPr>
        <w:t xml:space="preserve">DOI: </w:t>
      </w:r>
      <w:hyperlink r:id="rId665">
        <w:r>
          <w:rPr>
            <w:color w:val="1155CC"/>
            <w:u w:val="single"/>
          </w:rPr>
          <w:t>10.1002/adma.74743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 ovonic 阈值开关 (OTS) 硫属化物面临着纯选择器存储器 (SOM) 的基本缩放限制，因为过度的厚度缩放会增加泄漏电流并阻碍可靠的低电压操作。在这里，可以通过利用 Mg─Te 硫系化物系统的独特材料特性来克服这种权衡。在键合离子度图的指导和密度泛函理论计算的支持下，Mg─Te 被认为是一种最佳的碲化物材料，其高离子键合与更深的陷阱能级、1.75 V 的大存储窗口以及 20 nm 器件中的漏电抑制有关。结构分析和多尺度模拟表明 Mg 中的自发相分离</w:t>
      </w:r>
      <w:r>
        <w:rPr>
          <w:vertAlign w:val="subscript"/>
        </w:rPr>
        <w:t>1</w:t>
      </w:r>
      <w:r>
        <w:t>碲</w:t>
      </w:r>
      <w:r>
        <w:rPr>
          <w:vertAlign w:val="subscript"/>
        </w:rPr>
        <w:t>3</w:t>
      </w:r>
      <w:r>
        <w:t>形成类似 MgTe 的有序纳米域和富含 Te 的非晶区域，提供可能限制有效非晶开关网络并减少随机开关可变性的结构分区。具有薄 Hf 夹层，5 nm Mg</w:t>
      </w:r>
      <w:r>
        <w:rPr>
          <w:vertAlign w:val="subscript"/>
        </w:rPr>
        <w:t>1</w:t>
      </w:r>
      <w:r>
        <w:t>碲</w:t>
      </w:r>
      <w:r>
        <w:rPr>
          <w:vertAlign w:val="subscript"/>
        </w:rPr>
        <w:t>3</w:t>
      </w:r>
      <w:r>
        <w:t>器件实现窄 SET/RESET 切换均匀性</w:t>
      </w:r>
      <w:r>
        <w:t xml:space="preserve"> </w:t>
      </w:r>
      <w:r>
        <w:t>σ</w:t>
      </w:r>
      <w:r>
        <w:t xml:space="preserve"> </w:t>
      </w:r>
      <w:r>
        <w:t>= 15/28 mV（± 2.5 V 工作电压），代表性 10 ns 编程速度，写入耐久性超过 10</w:t>
      </w:r>
      <w:r>
        <w:rPr>
          <w:vertAlign w:val="subscript"/>
        </w:rPr>
        <w:t>10</w:t>
      </w:r>
      <w:r>
        <w:t>在性能最佳的设备中循环。这些结果凸显了 Mg─Te 作为大规模超低电压 SOM 的有前途的基础</w:t>
      </w:r>
    </w:p>
    <w:p>
      <w:pPr>
        <w:spacing w:before="0" w:after="200" w:lineRule="auto" w:line="276"/>
      </w:pPr>
      <w:r>
        <w:rPr>
          <w:b/>
        </w:rPr>
        <w:t xml:space="preserve">Abstract (EN): </w:t>
      </w:r>
      <w:r>
        <w:t>Conventional ovonic threshold switching (OTS) chalcogenides face a fundamental scaling limit for selector‐only memory (SOM), because aggressive thickness scaling increases leakage current and hinders reliable low voltage operation. Here, this trade‐off can be overcome by exploiting the unique materials characteristics of the Mg─Te chalcogenide system. Guided by the bonding ionicity map and supported by density functional theory calculations, Mg─Te is identified as an optimal telluride material whose highly ionic bonding is associated with deeper trap levels, a large memory window of 1.75 V, and suppressed leakage in 20 nm devices. Structural analyses and multiscale simulations suggest that the spontaneous phase separation in Mg</w:t>
      </w:r>
      <w:r>
        <w:rPr>
          <w:vertAlign w:val="subscript"/>
        </w:rPr>
        <w:t>1</w:t>
      </w:r>
      <w:r>
        <w:t>Te</w:t>
      </w:r>
      <w:r>
        <w:rPr>
          <w:vertAlign w:val="subscript"/>
        </w:rPr>
        <w:t>3</w:t>
      </w:r>
      <w:r>
        <w:t>forms MgTe‐like ordered nanodomains and Te‐rich amorphous regions, providing structural partitioning that may constrain the effective amorphous switching network and reduce stochastic switching variability. With a thin Hf interlayer, the 5 nm Mg</w:t>
      </w:r>
      <w:r>
        <w:rPr>
          <w:vertAlign w:val="subscript"/>
        </w:rPr>
        <w:t>1</w:t>
      </w:r>
      <w:r>
        <w:t>Te</w:t>
      </w:r>
      <w:r>
        <w:rPr>
          <w:vertAlign w:val="subscript"/>
        </w:rPr>
        <w:t>3</w:t>
      </w:r>
      <w:r>
        <w:t>device achieves narrow SET/RESET switching uniformity of</w:t>
      </w:r>
      <w:r>
        <w:t xml:space="preserve"> </w:t>
      </w:r>
      <w:r>
        <w:t>σ</w:t>
      </w:r>
      <w:r>
        <w:t xml:space="preserve"> </w:t>
      </w:r>
      <w:r>
        <w:t>= 15/28 mV at ± 2.5 V operating voltage, representative 10 ns programming speed, and write endurance exceeding 10</w:t>
      </w:r>
      <w:r>
        <w:rPr>
          <w:vertAlign w:val="subscript"/>
        </w:rPr>
        <w:t>10</w:t>
      </w:r>
      <w:r>
        <w:t>cycles in the best‐performing device. These results highlight Mg─Te as a promising basis for highly scaled ultralow voltage SOM through the combined roles of ionic bonding, structural partitioning, and interfacial engineering.</w:t>
      </w:r>
    </w:p>
    <w:p>
      <w:pPr>
        <w:spacing w:before="120" w:after="120"/>
      </w:pPr>
      <w:r>
        <w:rPr>
          <w:sz w:val="18"/>
        </w:rPr>
        <w:t>——————————————————————————————————————————————————————————————————————</w:t>
      </w:r>
    </w:p>
    <w:p>
      <w:pPr>
        <w:spacing w:before="160" w:after="40" w:line="240" w:lineRule="auto"/>
      </w:pPr>
      <w:r>
        <w:rPr>
          <w:b/>
        </w:rPr>
        <w:t xml:space="preserve">[91] </w:t>
      </w:r>
      <w:hyperlink r:id="rId666">
        <w:r>
          <w:rPr>
            <w:color w:val="1155CC"/>
            <w:u w:val="single"/>
          </w:rPr>
          <w:t>复旦大学材料科学创新与多学科研究</w:t>
        </w:r>
      </w:hyperlink>
    </w:p>
    <w:p>
      <w:pPr>
        <w:spacing w:before="0" w:after="80"/>
      </w:pPr>
      <w:r>
        <w:rPr>
          <w:i/>
          <w:sz w:val="20"/>
        </w:rPr>
        <w:t>EN: Innovative and Multidisciplinary Research of Materials Science at Fudan University</w:t>
      </w:r>
    </w:p>
    <w:p>
      <w:pPr>
        <w:spacing w:before="0" w:after="120"/>
      </w:pPr>
      <w:r>
        <w:rPr>
          <w:b/>
        </w:rPr>
        <w:t xml:space="preserve">Source: </w:t>
      </w:r>
      <w:r>
        <w:t>Wiley: Advanced Materials: Table of Contents</w:t>
      </w:r>
      <w:r>
        <w:t xml:space="preserve">    </w:t>
      </w:r>
      <w:r>
        <w:rPr>
          <w:b/>
        </w:rPr>
        <w:t xml:space="preserve">Pub date: </w:t>
      </w:r>
      <w:r>
        <w:t>2026-08-21 06:17:04+00:00</w:t>
      </w:r>
      <w:r>
        <w:t xml:space="preserve">    </w:t>
      </w:r>
      <w:r>
        <w:rPr>
          <w:b/>
        </w:rPr>
        <w:t xml:space="preserve">DOI: </w:t>
      </w:r>
      <w:hyperlink r:id="rId667">
        <w:r>
          <w:rPr>
            <w:color w:val="1155CC"/>
            <w:u w:val="single"/>
          </w:rPr>
          <w:t>10.1002/adma.74754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 </w:t>
      </w:r>
      <w:hyperlink r:id="rId668">
        <w:r>
          <w:rPr>
            <w:color w:val="1155CC"/>
            <w:u w:val="single"/>
          </w:rPr>
          <w:t>通过人工细胞微针靶向非经典单核细胞进行银屑病精准治疗</w:t>
        </w:r>
      </w:hyperlink>
    </w:p>
    <w:p>
      <w:pPr>
        <w:spacing w:before="0" w:after="80"/>
      </w:pPr>
      <w:r>
        <w:rPr>
          <w:i/>
          <w:sz w:val="20"/>
        </w:rPr>
        <w:t>EN: Targeting Nonclassical Monocytes via Artificial Cell‐Microneedles for Precision Psoriasis Therapy</w:t>
      </w:r>
    </w:p>
    <w:p>
      <w:pPr>
        <w:spacing w:before="0" w:after="120"/>
      </w:pPr>
      <w:r>
        <w:rPr>
          <w:b/>
        </w:rPr>
        <w:t xml:space="preserve">Source: </w:t>
      </w:r>
      <w:r>
        <w:t>Wiley: Advanced Materials: Table of Contents</w:t>
      </w:r>
      <w:r>
        <w:t xml:space="preserve">    </w:t>
      </w:r>
      <w:r>
        <w:rPr>
          <w:b/>
        </w:rPr>
        <w:t xml:space="preserve">Pub date: </w:t>
      </w:r>
      <w:r>
        <w:t>2026-08-21 06:36:02+00:00</w:t>
      </w:r>
      <w:r>
        <w:t xml:space="preserve">    </w:t>
      </w:r>
      <w:r>
        <w:rPr>
          <w:b/>
        </w:rPr>
        <w:t xml:space="preserve">DOI: </w:t>
      </w:r>
      <w:hyperlink r:id="rId669">
        <w:r>
          <w:rPr>
            <w:color w:val="1155CC"/>
            <w:u w:val="single"/>
          </w:rPr>
          <w:t>10.1002/adma.74726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目前炎症性皮肤病的治疗主要依赖于广泛的全身免疫抑制，并且缺乏对特定免疫细胞亚群的精确性。在这里，我们识别CX3CR1</w:t>
      </w:r>
      <w:r>
        <w:t xml:space="preserve"> </w:t>
      </w:r>
      <w:r>
        <w:t>+</w:t>
      </w:r>
      <w:r>
        <w:t xml:space="preserve"> </w:t>
      </w:r>
      <w:r>
        <w:t>非经典单核细胞（NCM）作为一种炎症单核细胞亚群，有助于银屑病炎症的放大，这一点得到了人类单细胞转录组学、遗传耗竭和过继转移模型的综合分析的支持。为了优先参与这些与疾病相关的 NCM，我们设计了一个人造细胞微针平台，称为 CX3@GUV-DMF，包含嵌入可溶性透明质酸 (HA) 微针阵列中的 CX3CL1 功能化、载药巨型单层囊泡 (GUV)。皮内插入后，表面呈现的 CX3CL1 主动将 GUV 导航至致病性 CX3CR1</w:t>
      </w:r>
      <w:r>
        <w:t xml:space="preserve"> </w:t>
      </w:r>
      <w:r>
        <w:t>+</w:t>
      </w:r>
      <w:r>
        <w:t xml:space="preserve"> </w:t>
      </w:r>
      <w:r>
        <w:t>NCM，促进负载药物的靶向、持续释放。体内评估和转录组分析表明，这种局部免疫调节策略可减弱炎症性髓系激活、中性粒细胞浸润和 Th17 相关反应，同时促进表皮屏障相关程序的恢复。这些发现建立了一种基于材料的策略，用于子集导向的免疫调节和局部炎症生态位重塑，推动炎症皮肤治疗超越非特异性免疫抑制。</w:t>
      </w:r>
    </w:p>
    <w:p>
      <w:pPr>
        <w:spacing w:before="0" w:after="200" w:lineRule="auto" w:line="276"/>
      </w:pPr>
      <w:r>
        <w:rPr>
          <w:b/>
        </w:rPr>
        <w:t xml:space="preserve">Abstract (EN): </w:t>
      </w:r>
      <w:r>
        <w:t>Current therapies for inflammatory skin diseases predominantly rely on broad systemic immunosuppression and lack precision toward defined immune‐cell subsets. Here, we identify CX3CR1</w:t>
      </w:r>
      <w:r>
        <w:t xml:space="preserve"> </w:t>
      </w:r>
      <w:r>
        <w:t>+</w:t>
      </w:r>
      <w:r>
        <w:t xml:space="preserve"> </w:t>
      </w:r>
      <w:r>
        <w:t>nonclassical monocytes (NCMs) as an inflammatory monocyte subset that contributes to the amplification of psoriasiform inflammation, as supported by integrated analyses of human single‐cell transcriptomics, genetic depletion, and adoptive‐transfer models. To preferentially engage these disease‐associated NCMs, we engineer an artificial cell–microneedle platform, termed CX3@GUV‐DMF, comprising CX3CL1‐functionalized, drug‐loaded giant unilamellar vesicles (GUVs) embedded within a dissolvable hyaluronic acid (HA) microneedle array. Following intradermal insertion, surface‐presented CX3CL1 actively navigates GUVs to pathogenic CX3CR1</w:t>
      </w:r>
      <w:r>
        <w:t xml:space="preserve"> </w:t>
      </w:r>
      <w:r>
        <w:t>+</w:t>
      </w:r>
      <w:r>
        <w:t xml:space="preserve"> </w:t>
      </w:r>
      <w:r>
        <w:t>NCMs, facilitating the targeted, sustained release of the loaded drug. In vivo evaluations and transcriptomic profiling demonstrate that this localized immunomodulatory strategy attenuates inflammatory myeloid activation, neutrophil infiltration, and Th17‐associated responses while promoting restoration of epidermal barrier‐associated programs. These findings establish a materials‐enabled strategy for subset‐oriented immune modulation and local inflammatory‐niche remodeling, advancing inflammatory skin therapy beyond nonspecific immunosuppression.</w:t>
      </w:r>
    </w:p>
    <w:p>
      <w:pPr>
        <w:spacing w:before="120" w:after="120"/>
      </w:pPr>
      <w:r>
        <w:rPr>
          <w:sz w:val="18"/>
        </w:rPr>
        <w:t>——————————————————————————————————————————————————————————————————————</w:t>
      </w:r>
    </w:p>
    <w:p>
      <w:pPr>
        <w:spacing w:before="160" w:after="40" w:line="240" w:lineRule="auto"/>
      </w:pPr>
      <w:r>
        <w:rPr>
          <w:b/>
        </w:rPr>
        <w:t xml:space="preserve">[93] </w:t>
      </w:r>
      <w:hyperlink r:id="rId670">
        <w:r>
          <w:rPr>
            <w:color w:val="1155CC"/>
            <w:u w:val="single"/>
          </w:rPr>
          <w:t>ALKBH3 抑制通过重新编程糖尿病微血管病变的内皮命运使新生血管正常化</w:t>
        </w:r>
      </w:hyperlink>
    </w:p>
    <w:p>
      <w:pPr>
        <w:spacing w:before="0" w:after="80"/>
      </w:pPr>
      <w:r>
        <w:rPr>
          <w:i/>
          <w:sz w:val="20"/>
        </w:rPr>
        <w:t>EN: ALKBH3 inhibition normalizes neovessels by reprogramming endothelial fate in diabetic microvasculopathy</w:t>
      </w:r>
    </w:p>
    <w:p>
      <w:pPr>
        <w:spacing w:before="0" w:after="120"/>
      </w:pPr>
      <w:r>
        <w:rPr>
          <w:b/>
        </w:rPr>
        <w:t xml:space="preserve">Source: </w:t>
      </w:r>
      <w:r>
        <w:t>Proceedings of the National Academy of Sciences: Keyword search for query</w:t>
      </w:r>
      <w:r>
        <w:t xml:space="preserve">    </w:t>
      </w:r>
      <w:r>
        <w:rPr>
          <w:b/>
        </w:rPr>
        <w:t xml:space="preserve">Pub date: </w:t>
      </w:r>
      <w:r>
        <w:t>2026-08-21 07:00:00+00:00</w:t>
      </w:r>
      <w:r>
        <w:t xml:space="preserve">    </w:t>
      </w:r>
      <w:r>
        <w:rPr>
          <w:b/>
        </w:rPr>
        <w:t xml:space="preserve">DOI: </w:t>
      </w:r>
      <w:hyperlink r:id="rId671">
        <w:r>
          <w:rPr>
            <w:color w:val="1155CC"/>
            <w:u w:val="single"/>
          </w:rPr>
          <w:t>10.1073/pnas.2602779123</w:t>
        </w:r>
      </w:hyperlink>
    </w:p>
    <w:p>
      <w:pPr>
        <w:spacing w:before="0" w:after="120"/>
      </w:pPr>
      <w:r>
        <w:rPr>
          <w:b/>
        </w:rPr>
        <w:t xml:space="preserve">Notes: </w:t>
      </w:r>
      <w:r>
        <w:t>abstract_source=crossref</w:t>
      </w:r>
    </w:p>
    <w:p>
      <w:pPr>
        <w:spacing w:before="0" w:after="80" w:lineRule="auto" w:line="276"/>
      </w:pPr>
      <w:r>
        <w:rPr>
          <w:b/>
        </w:rPr>
        <w:t xml:space="preserve">摘要（ZH）: </w:t>
      </w:r>
      <w:r>
        <w:t>糖尿病微血管病变是一种严重的糖尿病并发症，糖尿病视网膜病变 (DR) 是全球范围内因新生血管不成熟、渗漏而导致失明的主要原因。抗血管生成疗法仅抑制新血管形成，使视网膜缺氧并易于再生。因此，需要稳定异常新生血管的疗法。我们确定 RNA 去甲基化酶 ALKBH3 是糖尿病微血管病变的表观转录驱动因子。糖尿病血管内皮细胞中 ALKBH3 的上调促进了向不稳定的促血管生成表型的病理转变，破坏了血视网膜屏障并形成不成熟的新血管，从而损害了视力。相反，删除 ALKBH3 可以防止这种情况发生。从机制上讲，ALKBH3 去甲基化</w:t>
      </w:r>
      <w:r>
        <w:t xml:space="preserve"> </w:t>
      </w:r>
      <w:r>
        <w:t>骨形态发生蛋白2</w:t>
      </w:r>
      <w:r>
        <w:t xml:space="preserve"> </w:t>
      </w:r>
      <w:r>
        <w:t>mRNA 通过 YTHDF2 增加其稳定性。我们进一步开发了一种靶向新生血管的纳米颗粒，可提供 ALKBH3 抑制剂 HUHS015，它通过同时限制生长和促进成熟来使视网膜新生血管正常化。它与血管内皮生长因子 (VEGF) 阻断剂具有协同作用，表明对于抗 VEGF 耐药病例具有潜在作用。我们的工作将 ALKBH3 定义为糖尿病微血管病变的关键介质，并支持不依赖 VEGF 的治疗模式，将重点从血管抑制转移到主动正常化。</w:t>
      </w:r>
    </w:p>
    <w:p>
      <w:pPr>
        <w:spacing w:before="0" w:after="200" w:lineRule="auto" w:line="276"/>
      </w:pPr>
      <w:r>
        <w:rPr>
          <w:b/>
        </w:rPr>
        <w:t xml:space="preserve">Abstract (EN): </w:t>
      </w:r>
      <w:r>
        <w:t>Diabetic microvasculopathy is a serious diabetes complication, with diabetic retinopathy (DR) being a leading cause of blindness worldwide due to immature, leaky neovessels. Antiangiogenic therapies merely suppress neovascularization, leaving the retina oxygen-starved and prone to regrowth. Thus, therapies that stabilize aberrant neovessels are needed. We identify the RNA demethylase ALKBH3 as an epitranscriptional driver of diabetic microvasculopathy. Upregulated ALKBH3 in diabetic vascular endothelial cells promoted a pathological shift to an unstable, pro-angiogenic phenotype, disrupting blood-retinal barrier and forming immature neovessels, which impaired vision. Conversely, removing ALKBH3 protected against this. Mechanistically, ALKBH3 demethylated</w:t>
      </w:r>
      <w:r>
        <w:t xml:space="preserve"> </w:t>
      </w:r>
      <w:r>
        <w:t>BMP2</w:t>
      </w:r>
      <w:r>
        <w:t xml:space="preserve"> </w:t>
      </w:r>
      <w:r>
        <w:t>mRNA to increase its stability via YTHDF2. We further developed a neovasculature-targeting nanoparticle delivering the ALKBH3 inhibitor HUHS015, which normalized retinal neovascularization by simultaneously limiting growth and promoting maturation. It acted synergistically with vascular endothelial growth factor (VEGF) blockade, suggesting potential for anti-VEGF-resistant cases. Our work defines ALKBH3 as a key mediator of diabetic microvasculopathy and supports a VEGF-independent therapeutic paradigm that shifts the focus from vessel suppression to active normalization.</w:t>
      </w:r>
    </w:p>
    <w:p>
      <w:pPr>
        <w:spacing w:before="120" w:after="120"/>
      </w:pPr>
      <w:r>
        <w:rPr>
          <w:sz w:val="18"/>
        </w:rPr>
        <w:t>——————————————————————————————————————————————————————————————————————</w:t>
      </w:r>
    </w:p>
    <w:p>
      <w:pPr>
        <w:spacing w:before="160" w:after="40" w:line="240" w:lineRule="auto"/>
      </w:pPr>
      <w:r>
        <w:rPr>
          <w:b/>
        </w:rPr>
        <w:t xml:space="preserve">[94] </w:t>
      </w:r>
      <w:hyperlink r:id="rId672">
        <w:r>
          <w:rPr>
            <w:color w:val="1155CC"/>
            <w:u w:val="single"/>
          </w:rPr>
          <w:t>被动行为过程中视觉和顶叶皮层的动态变化是内在时序而非时间预测的基础</w:t>
        </w:r>
      </w:hyperlink>
    </w:p>
    <w:p>
      <w:pPr>
        <w:spacing w:before="0" w:after="80"/>
      </w:pPr>
      <w:r>
        <w:rPr>
          <w:i/>
          <w:sz w:val="20"/>
        </w:rPr>
        <w:t>EN: Intrinsic timing, not temporal prediction, underlies ramping dynamics in visual and parietal cortex during passive behavior</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73">
        <w:r>
          <w:rPr>
            <w:color w:val="1155CC"/>
            <w:u w:val="single"/>
          </w:rPr>
          <w:t>10.1126/sciadv.aed6417</w:t>
        </w:r>
      </w:hyperlink>
    </w:p>
    <w:p>
      <w:pPr>
        <w:spacing w:before="0" w:after="120"/>
      </w:pPr>
      <w:r>
        <w:rPr>
          <w:b/>
        </w:rPr>
        <w:t xml:space="preserve">Notes: </w:t>
      </w:r>
      <w:r>
        <w:t>abstract_source=crossref</w:t>
      </w:r>
    </w:p>
    <w:p>
      <w:pPr>
        <w:spacing w:before="0" w:after="80" w:lineRule="auto" w:line="276"/>
      </w:pPr>
      <w:r>
        <w:rPr>
          <w:b/>
        </w:rPr>
        <w:t xml:space="preserve">摘要（ZH）: </w:t>
      </w:r>
      <w:r>
        <w:t>神经活动的增加被广泛解释为预测处理的标志，但这些信号是否真正反映了预测，或者是否来自感觉机制，仍不清楚。为了解决这个问题，我们在视觉和顶叶皮层的多种细胞类型中使用双光子钙成像，而清醒的小鼠被动地接受在不同时间结构下呈现的重复视听刺激。神经元分为两大类反应：具有不同时间动力学的刺激激活（斜坡下降）和刺激抑制（斜坡上升）群体。多项研究结果反对预测性解释：幼稚动物中存在斜坡活动，神经反应在短/长间隔转换后立即改变，并且意外的刺激时间在可预测和不规则的环境中引起几乎相同的反应。人群分析进一步表明，增加反映了刺激引起的活动的放松，而不是预期的积累。异质动力学为经过的时间生成了稳健的总体代码。总之，这些发现表明，被动刺激期间的神经斜坡是由刺激诱发的动力学产生的，该动力学本质上产生时间信号，而不是来自时间预测处理。</w:t>
      </w:r>
    </w:p>
    <w:p>
      <w:pPr>
        <w:spacing w:before="0" w:after="200" w:lineRule="auto" w:line="276"/>
      </w:pPr>
      <w:r>
        <w:rPr>
          <w:b/>
        </w:rPr>
        <w:t xml:space="preserve">Abstract (EN): </w:t>
      </w:r>
      <w:r>
        <w:t>Ramping neural activity is widely interpreted as a signature of predictive processing, but whether these signals truly reflect predictions or instead emerge from sensory mechanisms remains unclear. To address this question, we used two-photon calcium imaging across multiple cell types in visual and parietal cortex, while awake mice passively received repeated audiovisual stimuli presented under distinct temporal structures. Neurons segregated into two broad response classes: stimulus-activated (ramp-down) and stimulus-inhibited (ramp-up) populations with diverse temporal kinetics. Multiple findings argued against a predictive interpretation: Ramping activity was present in naïve animals, neural responses changed immediately after short/long interval transitions, and unexpected stimulus timings elicited nearly identical responses in predictable and irregular contexts. Population analyses further showed that ramping reflected relaxation from stimulus-evoked activity rather than anticipatory buildup. Heterogeneous kinetics generated a robust population code for elapsed time. Together, these findings show that neural ramps during passive stimulation arise from stimulus-evoked dynamics that intrinsically generate temporal signals, rather than from temporal predictive processing.</w:t>
      </w:r>
    </w:p>
    <w:p>
      <w:pPr>
        <w:spacing w:before="120" w:after="120"/>
      </w:pPr>
      <w:r>
        <w:rPr>
          <w:sz w:val="18"/>
        </w:rPr>
        <w:t>——————————————————————————————————————————————————————————————————————</w:t>
      </w:r>
    </w:p>
    <w:p>
      <w:pPr>
        <w:spacing w:before="160" w:after="40" w:line="240" w:lineRule="auto"/>
      </w:pPr>
      <w:r>
        <w:rPr>
          <w:b/>
        </w:rPr>
        <w:t xml:space="preserve">[95] </w:t>
      </w:r>
      <w:hyperlink r:id="rId674">
        <w:r>
          <w:rPr>
            <w:color w:val="1155CC"/>
            <w:u w:val="single"/>
          </w:rPr>
          <w:t>刷介导的角度约束重塑胶体消耗凝胶中的结构、刚性和渗透</w:t>
        </w:r>
      </w:hyperlink>
    </w:p>
    <w:p>
      <w:pPr>
        <w:spacing w:before="0" w:after="80"/>
      </w:pPr>
      <w:r>
        <w:rPr>
          <w:i/>
          <w:sz w:val="20"/>
        </w:rPr>
        <w:t>EN: Brush-mediated angular constraints reshape structure, rigidity, and percolation in colloidal depletion gels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75">
        <w:r>
          <w:rPr>
            <w:color w:val="1155CC"/>
            <w:u w:val="single"/>
          </w:rPr>
          <w:t>10.1126/sciadv.aeh5537</w:t>
        </w:r>
      </w:hyperlink>
    </w:p>
    <w:p>
      <w:pPr>
        <w:spacing w:before="0" w:after="120"/>
      </w:pPr>
      <w:r>
        <w:rPr>
          <w:b/>
        </w:rPr>
        <w:t xml:space="preserve">Notes: </w:t>
      </w:r>
      <w:r>
        <w:t>abstract_source=crossref</w:t>
      </w:r>
    </w:p>
    <w:p>
      <w:pPr>
        <w:spacing w:before="0" w:after="80" w:lineRule="auto" w:line="276"/>
      </w:pPr>
      <w:r>
        <w:rPr>
          <w:b/>
        </w:rPr>
        <w:t xml:space="preserve">摘要（ZH）: </w:t>
      </w:r>
      <w:r>
        <w:t>与许多其他柔软且无序的固体一样，胶体凝胶的机械特性不仅来自颗粒间吸引力的强度，还来自限制颗粒运动的力的对称性。尽管已知非中心相互作用会深刻改变刚性和弹性，但它们通常是通过颗粒各向异性、表面粗糙度或斑块相互作用引入的，从而掩盖了它们的独立作用。在这里，我们通过降低表面接枝聚合物刷的密度，展示了一种在胶体凝胶中产生非中心力的最小且保持几何形状的途径。在低刷密度下，尽管颗粒几何形状完全各向同性，但部分刷相互渗透在颗粒接触处引入了有效的角弯曲刚度。这种新出现的约束抑制了局部致密化，稳定了低配位网络，并产生了具有增强弹性的高度分支的凝胶结构。结合实验、模拟和平均场理论，我们表明这些非中心约束在长度尺度上重组了结构和力学，改变了凝胶边界并将弹性模量增加了近三倍。我们的结果将表面刷密度建立为软颗粒物质中编程相互作用对称性的通用控制参数，对无序系统中的刚性、渗透和机械设计具有影响。</w:t>
      </w:r>
    </w:p>
    <w:p>
      <w:pPr>
        <w:spacing w:before="0" w:after="200" w:lineRule="auto" w:line="276"/>
      </w:pPr>
      <w:r>
        <w:rPr>
          <w:b/>
        </w:rPr>
        <w:t xml:space="preserve">Abstract (EN): </w:t>
      </w:r>
      <w:r>
        <w:t>Colloidal gels, like many other soft and disordered solids derive their mechanical properties not only from the strength of interparticle attraction but also from the symmetry of the forces that constrain particle motion. Although noncentral interactions are known to profoundly alter rigidity and elasticity, they are typically introduced through particle anisotropy, surface roughness, or patchy interactions, obscuring their independent role. Here, we demonstrate a minimal and geometry-preserving route to emergent noncentral forces in colloidal gels by reducing the density of surface-grafted polymer brushes. At low brush density, partial brush interpenetration introduces an effective angular bending rigidity at particle contacts, despite fully isotropic particle geometry. This emergent constraint suppresses local densification, stabilizes low-coordination networks, and produces highly ramified gel structures with enhanced elasticity. Combining experiments, simulations, and mean-field theory, we show that these noncentral constraints reorganize structure and mechanics across length scales, shifting gelation boundaries and increasing the elastic modulus by nearly a factor of 3. Our results establish surface brush density as a generic control parameter for programming interaction symmetry in soft particulate matter, with implications for rigidity, percolation, and mechanical design in disordered systems.</w:t>
      </w:r>
    </w:p>
    <w:p>
      <w:pPr>
        <w:spacing w:before="120" w:after="120"/>
      </w:pPr>
      <w:r>
        <w:rPr>
          <w:sz w:val="18"/>
        </w:rPr>
        <w:t>——————————————————————————————————————————————————————————————————————</w:t>
      </w:r>
    </w:p>
    <w:p>
      <w:pPr>
        <w:spacing w:before="160" w:after="40" w:line="240" w:lineRule="auto"/>
      </w:pPr>
      <w:r>
        <w:rPr>
          <w:b/>
        </w:rPr>
        <w:t xml:space="preserve">[96] </w:t>
      </w:r>
      <w:hyperlink r:id="rId676">
        <w:r>
          <w:rPr>
            <w:color w:val="1155CC"/>
            <w:u w:val="single"/>
          </w:rPr>
          <w:t>生物质燃烧中水不溶性棕色碳的缓慢漂白：对直接辐射效应的影响</w:t>
        </w:r>
      </w:hyperlink>
    </w:p>
    <w:p>
      <w:pPr>
        <w:spacing w:before="0" w:after="80"/>
      </w:pPr>
      <w:r>
        <w:rPr>
          <w:i/>
          <w:sz w:val="20"/>
        </w:rPr>
        <w:t>EN: Slow bleaching of water-insoluble brown carbon from biomass burning: Implication for direct radiative effect</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77">
        <w:r>
          <w:rPr>
            <w:color w:val="1155CC"/>
            <w:u w:val="single"/>
          </w:rPr>
          <w:t>10.1126/sciadv.aef9320</w:t>
        </w:r>
      </w:hyperlink>
    </w:p>
    <w:p>
      <w:pPr>
        <w:spacing w:before="0" w:after="120"/>
      </w:pPr>
      <w:r>
        <w:rPr>
          <w:b/>
        </w:rPr>
        <w:t xml:space="preserve">Notes: </w:t>
      </w:r>
      <w:r>
        <w:t>abstract_source=crossref</w:t>
      </w:r>
    </w:p>
    <w:p>
      <w:pPr>
        <w:spacing w:before="0" w:after="80" w:lineRule="auto" w:line="276"/>
      </w:pPr>
      <w:r>
        <w:rPr>
          <w:b/>
        </w:rPr>
        <w:t xml:space="preserve">摘要（ZH）: </w:t>
      </w:r>
      <w:r>
        <w:t>生物质燃烧有机气溶胶 (BBOA) 是大气棕色碳 (BrC) 的主要来源，它通过吸收太阳辐射来影响气候。随着时间的推移，BrC 的化学老化（漂白）会减少光吸收。尽管最近的建模研究强调在评估 BrC 的气候影响时需要考虑白化问题，但一直缺乏代表整个 BBOA 矩阵的参数化。在这里，我们基于系统地改变温度和相对湿度的实验室实验，开发了 BBOA 中整个 BrC 的漂白参数化。在低湿度和低温条件下，漂白时间会增加，这可能是由于气溶胶粘度增加所致。在全局模型中实施此参数化，使 BrC 的模拟直接辐射效应 (DRE) 相对于之前的估计增加了 1.5 至 2 倍，相关不确定性超过总有机气溶胶 DRE 的 10%。本方案特别显示了北方地区新鲜 BrC 浓度的升高，这表明漂白动力学可能不仅影响辐射强迫，还影响雪变暗效应。</w:t>
      </w:r>
    </w:p>
    <w:p>
      <w:pPr>
        <w:spacing w:before="0" w:after="200" w:lineRule="auto" w:line="276"/>
      </w:pPr>
      <w:r>
        <w:rPr>
          <w:b/>
        </w:rPr>
        <w:t xml:space="preserve">Abstract (EN): </w:t>
      </w:r>
      <w:r>
        <w:t>Biomass burning organic aerosol (BBOA) is a major source of atmospheric brown carbon (BrC), which contributes to climate through solar radiation absorption. Chemical aging (bleaching) of BrC diminishes light absorption over time. Although recent modeling studies have emphasized the need to account for bleaching when assessing BrC’s climate impacts, a parameterization representing the entire BBOA matrix has been lacking. Here, we develop a bleaching parameterization for the whole BrC in BBOA based on laboratory experiments that systematically varied temperature and relative humidity. The bleaching timescale increases under low-humidity and low-temperature conditions, likely due to enhanced aerosol viscosity. Implementing this parameterization in a global model increases the simulated direct radiative effect (DRE) of BrC by 1.5 to 2 times relative to previous estimates, with associated uncertainties exceeding 10% of the total organic aerosol DRE. The present scheme particularly shows elevated fresh BrC concentrations in boreal regions, suggesting that bleaching dynamics may influence not only radiative forcing but also snow darkening effects.</w:t>
      </w:r>
    </w:p>
    <w:p>
      <w:pPr>
        <w:spacing w:before="120" w:after="120"/>
      </w:pPr>
      <w:r>
        <w:rPr>
          <w:sz w:val="18"/>
        </w:rPr>
        <w:t>——————————————————————————————————————————————————————————————————————</w:t>
      </w:r>
    </w:p>
    <w:p>
      <w:pPr>
        <w:spacing w:before="160" w:after="40" w:line="240" w:lineRule="auto"/>
      </w:pPr>
      <w:r>
        <w:rPr>
          <w:b/>
        </w:rPr>
        <w:t xml:space="preserve">[97] </w:t>
      </w:r>
      <w:hyperlink r:id="rId678">
        <w:r>
          <w:rPr>
            <w:color w:val="1155CC"/>
            <w:u w:val="single"/>
          </w:rPr>
          <w:t>全基因组和表观遗传分歧揭示了杂交群体中早期生殖隔离的多位点基础</w:t>
        </w:r>
      </w:hyperlink>
    </w:p>
    <w:p>
      <w:pPr>
        <w:spacing w:before="0" w:after="80"/>
      </w:pPr>
      <w:r>
        <w:rPr>
          <w:i/>
          <w:sz w:val="20"/>
        </w:rPr>
        <w:t>EN: Multilocus basis of incipient reproductive isolation in hybridizing populations is revealed by pangenomic and epigenetic divergence</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79">
        <w:r>
          <w:rPr>
            <w:color w:val="1155CC"/>
            <w:u w:val="single"/>
          </w:rPr>
          <w:t>10.1126/sciadv.adz6665</w:t>
        </w:r>
      </w:hyperlink>
    </w:p>
    <w:p>
      <w:pPr>
        <w:spacing w:before="0" w:after="120"/>
      </w:pPr>
      <w:r>
        <w:rPr>
          <w:b/>
        </w:rPr>
        <w:t xml:space="preserve">Notes: </w:t>
      </w:r>
      <w:r>
        <w:t>abstract_source=crossref</w:t>
      </w:r>
    </w:p>
    <w:p>
      <w:pPr>
        <w:spacing w:before="0" w:after="80" w:lineRule="auto" w:line="276"/>
      </w:pPr>
      <w:r>
        <w:rPr>
          <w:b/>
        </w:rPr>
        <w:t xml:space="preserve">摘要（ZH）: </w:t>
      </w:r>
      <w:r>
        <w:t>传统上，基因流存在下的早期生殖隔离归因于强选择下的少数主效基因座。在这里，使用</w:t>
      </w:r>
      <w:r>
        <w:t xml:space="preserve"> </w:t>
      </w:r>
      <w:r>
        <w:t>赫拉托蝠</w:t>
      </w:r>
      <w:r>
        <w:t xml:space="preserve"> </w:t>
      </w:r>
      <w:r>
        <w:t>适应性辐射，我们应用泛基因组框架来研究突变趋异、调控变异和结构变异如何导致全基因组趋异。与早期的研究相比，我们的高分辨率分析揭示了整个基因组的广泛差异，这与基因流的多位点障碍一致。我们的研究结果支持一个模型，其中选择在迁移-选择平衡下作用于调节表型，随着基因流下降，遗传分化变得更加明显。通过整合人群水平抽样，我们发现从单一参考基因组推断出的明显的人群特异性结构和调控变异被高估了，反映了普遍存在的参考偏差。虽然结构变异导致基因组变异，但在我们的系统中，大多数是共享或多态性的，而不是群体之间的固定差异。总之，我们的结果表明，基因组景观</w:t>
      </w:r>
      <w:r>
        <w:t xml:space="preserve"> </w:t>
      </w:r>
      <w:r>
        <w:t>埃拉托</w:t>
      </w:r>
      <w:r>
        <w:t xml:space="preserve"> </w:t>
      </w:r>
      <w:r>
        <w:t>分歧反映了监管变异和突变变化的综合贡献，同时强调了在解释结构和监管分歧时考虑参考偏差的重要性。这种多位点框架提供了关于生殖障碍如何在持续的基因流动下出现和加强的更准确的观点。</w:t>
      </w:r>
    </w:p>
    <w:p>
      <w:pPr>
        <w:spacing w:before="0" w:after="200" w:lineRule="auto" w:line="276"/>
      </w:pPr>
      <w:r>
        <w:rPr>
          <w:b/>
        </w:rPr>
        <w:t xml:space="preserve">Abstract (EN): </w:t>
      </w:r>
      <w:r>
        <w:t>Incipient reproductive isolation in the presence of gene flow has traditionally been attributed to a small number of major-effect loci under strong selection. Here, using the</w:t>
      </w:r>
      <w:r>
        <w:t xml:space="preserve"> </w:t>
      </w:r>
      <w:r>
        <w:t>Heliconius erato</w:t>
      </w:r>
      <w:r>
        <w:t xml:space="preserve"> </w:t>
      </w:r>
      <w:r>
        <w:t>adaptive radiation, we apply a pangenome framework to examine how mutational divergence, regulatory variation, and structural variants contribute to genome-wide divergence. In contrast to earlier studies, our high-resolution analyses reveal widespread divergence across the genome, consistent with a multilocus barrier to gene flow. Our findings support a model in which selection acts on regulatory phenotypes under migration-selection balance, with genetic differentiation becoming more pronounced as gene flow declines. By integrating population-level sampling, we show that apparent population-specific structural and regulatory variation inferred from single-reference genomes is overestimated, reflecting pervasive reference bias. While structural variants contribute to genomic variation, in our system, most are shared or polymorphic rather than fixed differences between populations. Together, our results show that the genomic landscape of</w:t>
      </w:r>
      <w:r>
        <w:t xml:space="preserve"> </w:t>
      </w:r>
      <w:r>
        <w:t>H. erato</w:t>
      </w:r>
      <w:r>
        <w:t xml:space="preserve"> </w:t>
      </w:r>
      <w:r>
        <w:t>divergence reflects the combined contributions of regulatory variation and mutational change, while highlighting the importance of accounting for reference bias when interpreting structural and regulatory divergence. This multilocus framework provides a more accurate view of how reproductive barriers emerge and strengthen under ongoing gene flow.</w:t>
      </w:r>
    </w:p>
    <w:p>
      <w:pPr>
        <w:spacing w:before="120" w:after="120"/>
      </w:pPr>
      <w:r>
        <w:rPr>
          <w:sz w:val="18"/>
        </w:rPr>
        <w:t>——————————————————————————————————————————————————————————————————————</w:t>
      </w:r>
    </w:p>
    <w:p>
      <w:pPr>
        <w:spacing w:before="160" w:after="40" w:line="240" w:lineRule="auto"/>
      </w:pPr>
      <w:r>
        <w:rPr>
          <w:b/>
        </w:rPr>
        <w:t xml:space="preserve">[98] </w:t>
      </w:r>
      <w:hyperlink r:id="rId680">
        <w:r>
          <w:rPr>
            <w:color w:val="1155CC"/>
            <w:u w:val="single"/>
          </w:rPr>
          <w:t>非局域微波工程：通过时间切换远程耦合塑造色散关系并实现脉冲变换</w:t>
        </w:r>
      </w:hyperlink>
    </w:p>
    <w:p>
      <w:pPr>
        <w:spacing w:before="0" w:after="80"/>
      </w:pPr>
      <w:r>
        <w:rPr>
          <w:i/>
          <w:sz w:val="20"/>
        </w:rPr>
        <w:t>EN: Nonlocal microwave engineering: Shaping dispersion relations and enabling pulse transformations via time-switched long-range couplings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81">
        <w:r>
          <w:rPr>
            <w:color w:val="1155CC"/>
            <w:u w:val="single"/>
          </w:rPr>
          <w:t>10.1126/sciadv.aei2400</w:t>
        </w:r>
      </w:hyperlink>
    </w:p>
    <w:p>
      <w:pPr>
        <w:spacing w:before="0" w:after="120"/>
      </w:pPr>
      <w:r>
        <w:rPr>
          <w:b/>
        </w:rPr>
        <w:t xml:space="preserve">Notes: </w:t>
      </w:r>
      <w:r>
        <w:t>abstract_source=crossref</w:t>
      </w:r>
    </w:p>
    <w:p>
      <w:pPr>
        <w:spacing w:before="0" w:after="80" w:lineRule="auto" w:line="276"/>
      </w:pPr>
      <w:r>
        <w:rPr>
          <w:b/>
        </w:rPr>
        <w:t xml:space="preserve">摘要（ZH）: </w:t>
      </w:r>
      <w:r>
        <w:t>非局域超材料最近在波物理学的不同领域引起了相当大的关注，因为它们能够将元原子之间的长程相互作用转化为各种波矢量相关的响应和功能。在这里，我们引入非局域传输线超材料（TL MTM）作为一个多功能平台来研究和设计微波频率范围内的非局域性。我们首先基于电路和网络理论建立了一个简洁的非局域 TL MTM 理论框架，从中我们推导出具有任意复杂非局域耦合配置的 TL MTM 的一般色散关系。在此基础上，我们演示了如何使用此类结构来合成几乎任意的偶对称色散关系，有效地将非局部电路参数与规定的色散分布联系起来。然后，我们介绍了时间切换非局域 TL MTM，这是一类具有时变非局域性的超材料，其中当电磁脉冲通过结构传播时，非局域分支会被动态激活。该平台能够对传播脉冲进行复杂的变换，以及正、负和零群速度模式的激励。最后，我们通过时间切换非局域 TL MTM 的概念验证演示来实验验证我们的理论和数值预测，观察突然时间切换引起的色散图中的垂直转变。我们的结果为非本地 MTM 的行为提供了关键的物理见解，建立了</w:t>
      </w:r>
    </w:p>
    <w:p>
      <w:pPr>
        <w:spacing w:before="0" w:after="200" w:lineRule="auto" w:line="276"/>
      </w:pPr>
      <w:r>
        <w:rPr>
          <w:b/>
        </w:rPr>
        <w:t xml:space="preserve">Abstract (EN): </w:t>
      </w:r>
      <w:r>
        <w:t>Nonlocal metamaterials have recently attracted considerable attention across different areas of wave physics, owing to their ability to translate long-range interactions among meta-atoms into a wide array of wave vector–dependent responses and functionalities. Here, we introduce nonlocal transmission-line metamaterials (TL MTMs) as a versatile platform to investigate and engineer nonlocality in the microwave frequency regime. We first establish a concise theoretical framework for nonlocal TL MTMs based on circuit and network theory, from which we derive the general dispersion relation for TL MTMs with arbitrarily complex nonlocal coupling configurations. Building on this foundation, we demonstrate how such structures can be used to synthesize nearly arbitrary even-symmetric dispersion relations, effectively linking nonlocal circuit parameters to prescribed dispersion profiles. We then introduce time-switched nonlocal TL MTMs, a class of metamaterials with time-varying nonlocality in which the nonlocal branches are dynamically activated as an electromagnetic pulse propagates through the structure. This platform enables complex transformations on a propagating pulse, as well as the excitation of modes with positive, negative, and zero group velocity. Last, we experimentally validate our theoretical and numerical predictions with a proof-of-concept demonstration of a time-switched nonlocal TL MTM, observing a vertical transition in the dispersion diagram induced by abrupt time switching. Our results provide key physical insights into the behavior of nonlocal MTMs, establish a versatile platform to investigate the interplay of frequency dispersion, spatial dispersion and time modulation, and lay a general foundation for the design of more advanced nonlocal and time-varying electromagnetic and photonic systems.</w:t>
      </w:r>
    </w:p>
    <w:p>
      <w:pPr>
        <w:spacing w:before="120" w:after="120"/>
      </w:pPr>
      <w:r>
        <w:rPr>
          <w:sz w:val="18"/>
        </w:rPr>
        <w:t>——————————————————————————————————————————————————————————————————————</w:t>
      </w:r>
    </w:p>
    <w:p>
      <w:pPr>
        <w:spacing w:before="160" w:after="40" w:line="240" w:lineRule="auto"/>
      </w:pPr>
      <w:r>
        <w:rPr>
          <w:b/>
        </w:rPr>
        <w:t xml:space="preserve">[99] </w:t>
      </w:r>
      <w:hyperlink r:id="rId682">
        <w:r>
          <w:rPr>
            <w:color w:val="1155CC"/>
            <w:u w:val="single"/>
          </w:rPr>
          <w:t>一种针对能量和脂质代谢的多功能口服小分子，用于治疗肥胖和相关代谢紊乱</w:t>
        </w:r>
      </w:hyperlink>
    </w:p>
    <w:p>
      <w:pPr>
        <w:spacing w:before="0" w:after="80"/>
      </w:pPr>
      <w:r>
        <w:rPr>
          <w:i/>
          <w:sz w:val="20"/>
        </w:rPr>
        <w:t>EN: A multi-functional oral small molecule targeting energy and lipid metabolism to treat obesity and related metabolic disorders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83">
        <w:r>
          <w:rPr>
            <w:color w:val="1155CC"/>
            <w:u w:val="single"/>
          </w:rPr>
          <w:t>10.1126/sciadv.aed3119</w:t>
        </w:r>
      </w:hyperlink>
    </w:p>
    <w:p>
      <w:pPr>
        <w:spacing w:before="0" w:after="120"/>
      </w:pPr>
      <w:r>
        <w:rPr>
          <w:b/>
        </w:rPr>
        <w:t xml:space="preserve">Notes: </w:t>
      </w:r>
      <w:r>
        <w:t>abstract_source=crossref</w:t>
      </w:r>
    </w:p>
    <w:p>
      <w:pPr>
        <w:spacing w:before="0" w:after="80" w:lineRule="auto" w:line="276"/>
      </w:pPr>
      <w:r>
        <w:rPr>
          <w:b/>
        </w:rPr>
        <w:t xml:space="preserve">摘要（ZH）: </w:t>
      </w:r>
      <w:r>
        <w:t>肥胖和相关代谢紊乱在全球范围内激增，并且通过失调的能量和脂质代谢途径在机制上相互关联。目前基于肠促胰岛素的肥胖治疗可减少食物摄入量，但与胃肠道副作用和肌肉萎缩有关。在这里，我们发现了一种口服生物可利用的多功能小分子5-十四烷氧基-2-糠酸（TOFA），它可以促进能量消耗并重新平衡脂质合成，从而显着减轻肥胖、葡萄糖稳态异常和脂肪肝相关疾病，而不影响食物摄入或肌肉质量。从机制上讲，TOFA 抑制脂肪生成酶乙酰辅酶 A 羧化酶 1 和 2 (ACC1/2)，并激活过氧化物酶体增殖物激活受体 α 和 δ (PPARα/δ)，它们是能量消耗和脂质代谢基因表达程序的关键调节因子。 TOFA 与肠促胰岛素类似物（如索马鲁肽和替泽帕肽）的作用不仅仅是相加，可改善肥胖、血脂异常和胰岛素抵抗。我们的研究结果表明，TOFA 协调能量代谢和脂质稳态的多靶点是解决多种相关代谢疾病的有效方法。</w:t>
      </w:r>
    </w:p>
    <w:p>
      <w:pPr>
        <w:spacing w:before="0" w:after="200" w:lineRule="auto" w:line="276"/>
      </w:pPr>
      <w:r>
        <w:rPr>
          <w:b/>
        </w:rPr>
        <w:t xml:space="preserve">Abstract (EN): </w:t>
      </w:r>
      <w:r>
        <w:t>Obesity and related metabolic disorders have surged globally, and are mechanistically interconnected through dysregulated energy and lipid metabolism pathways. Current incretin-based obesity treatments act to decrease food intake, but are associated with gastrointestinal side effects and muscle wasting. Here, we identified an orally bioavailable multi-functional small molecule, 5-tetradecyloxy-2-furoic acid (TOFA), that promotes energy expenditure and rebalances lipid synthesis, thereby significantly alleviating obesity, abnormal glucose homeostasis and fatty liver-related diseases without affecting food intake or muscle mass. Mechanistically, TOFA inhibits the lipogenic enzymes acetyl-CoA carboxylases 1 and 2 (ACC1/2) and activates the Peroxisome Proliferator-Activated Receptors alpha and delta (PPARα/δ), key regulators of energy expenditure and lipid metabolism gene expression programs. TOFA acted more than additively with incretin analogs such as semaglutide and tirzepatide to improve obesity, dyslipidemia, and insulin resistance. Our findings suggest that the coordinated multi-targeting of energy metabolism and lipid homeostasis by TOFA is an effective approach to address multiple associated metabolic diseases.</w:t>
      </w:r>
    </w:p>
    <w:p>
      <w:pPr>
        <w:spacing w:before="120" w:after="120"/>
      </w:pPr>
      <w:r>
        <w:rPr>
          <w:sz w:val="18"/>
        </w:rPr>
        <w:t>——————————————————————————————————————————————————————————————————————</w:t>
      </w:r>
    </w:p>
    <w:p>
      <w:pPr>
        <w:spacing w:before="160" w:after="40" w:line="240" w:lineRule="auto"/>
      </w:pPr>
      <w:r>
        <w:rPr>
          <w:b/>
        </w:rPr>
        <w:t xml:space="preserve">[100] </w:t>
      </w:r>
      <w:hyperlink r:id="rId684">
        <w:r>
          <w:rPr>
            <w:color w:val="1155CC"/>
            <w:u w:val="single"/>
          </w:rPr>
          <w:t>δ2-原钙粘蛋白组织平行的间接基底神经节回路</w:t>
        </w:r>
      </w:hyperlink>
    </w:p>
    <w:p>
      <w:pPr>
        <w:spacing w:before="0" w:after="80"/>
      </w:pPr>
      <w:r>
        <w:rPr>
          <w:i/>
          <w:sz w:val="20"/>
        </w:rPr>
        <w:t>EN: δ2-Protocadherins organize parallel indirect basal ganglia circuits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85">
        <w:r>
          <w:rPr>
            <w:color w:val="1155CC"/>
            <w:u w:val="single"/>
          </w:rPr>
          <w:t>10.1126/sciadv.aec8746</w:t>
        </w:r>
      </w:hyperlink>
    </w:p>
    <w:p>
      <w:pPr>
        <w:spacing w:before="0" w:after="120"/>
      </w:pPr>
      <w:r>
        <w:rPr>
          <w:b/>
        </w:rPr>
        <w:t xml:space="preserve">Notes: </w:t>
      </w:r>
      <w:r>
        <w:t>abstract_source=crossref</w:t>
      </w:r>
    </w:p>
    <w:p>
      <w:pPr>
        <w:spacing w:before="0" w:after="80" w:lineRule="auto" w:line="276"/>
      </w:pPr>
      <w:r>
        <w:rPr>
          <w:b/>
        </w:rPr>
        <w:t xml:space="preserve">摘要（ZH）: </w:t>
      </w:r>
      <w:r>
        <w:t>基底神经节（BG）包含多个并行的神经回路，每个神经回路可以控制不同的行为。然而，不同的并联 BG 电路如何在分子上组织尚不清楚。在这里，我们展示了两种δ2-原钙粘蛋白（PCDH），PCDH17和PCDH10，它们是同质细胞粘附分子，建立并定义了调节不同行为的两种不同的间接BG回路。 PCDH17 和 PCDH10 在 BG 中以互补的表达模式表达，在解剖学上定义了两个平行的间接 BG 连接。间接途径特异性</w:t>
      </w:r>
      <w:r>
        <w:t xml:space="preserve"> </w:t>
      </w:r>
      <w:r>
        <w:t>聚氯乙烯17</w:t>
      </w:r>
      <w:r>
        <w:t xml:space="preserve"> </w:t>
      </w:r>
      <w:r>
        <w:t>和</w:t>
      </w:r>
      <w:r>
        <w:t xml:space="preserve"> </w:t>
      </w:r>
      <w:r>
        <w:t>聚氯乙烯10</w:t>
      </w:r>
      <w:r>
        <w:t xml:space="preserve"> </w:t>
      </w:r>
      <w:r>
        <w:t>条件性基因敲除 (cKO) 小鼠表现出以区域优先方式建立的间接 BG 回路受损。最后，</w:t>
      </w:r>
      <w:r>
        <w:t xml:space="preserve"> </w:t>
      </w:r>
      <w:r>
        <w:t>聚氯乙烯17</w:t>
      </w:r>
      <w:r>
        <w:t xml:space="preserve"> </w:t>
      </w:r>
      <w:r>
        <w:t>cKO 小鼠在任务学习中表现出缺陷，而</w:t>
      </w:r>
      <w:r>
        <w:t xml:space="preserve"> </w:t>
      </w:r>
      <w:r>
        <w:t>聚氯乙烯10</w:t>
      </w:r>
      <w:r>
        <w:t xml:space="preserve"> </w:t>
      </w:r>
      <w:r>
        <w:t>cKO 小鼠表现出运动/感觉习惯缺陷。这些结果确定 PCDH17 和 PCDH10 是两个不同的间接 BG 回路调节不同行为的分子组织者，并揭示了组织平行 BG 回路的分子机制。</w:t>
      </w:r>
    </w:p>
    <w:p>
      <w:pPr>
        <w:spacing w:before="0" w:after="200" w:lineRule="auto" w:line="276"/>
      </w:pPr>
      <w:r>
        <w:rPr>
          <w:b/>
        </w:rPr>
        <w:t xml:space="preserve">Abstract (EN): </w:t>
      </w:r>
      <w:r>
        <w:t>The basal ganglia (BG) contain multiple parallel neural circuits, each of which may control different behaviors. However, how the distinct parallel BG circuits are molecularly organized is not known. Here, we show that two δ2-protocadherins (PCDHs), PCDH17 and PCDH10, which are homophilic cell adhesion molecules, establish and define two distinct indirect BG circuits that regulate different behaviors. PCDH17 and PCDH10 are expressed in a complementary expression pattern in the BG, anatomically defining two parallel indirect BG connections. Indirect pathway–specific</w:t>
      </w:r>
      <w:r>
        <w:t xml:space="preserve"> </w:t>
      </w:r>
      <w:r>
        <w:t>Pcdh17</w:t>
      </w:r>
      <w:r>
        <w:t xml:space="preserve"> </w:t>
      </w:r>
      <w:r>
        <w:t>and</w:t>
      </w:r>
      <w:r>
        <w:t xml:space="preserve"> </w:t>
      </w:r>
      <w:r>
        <w:t>Pcdh10</w:t>
      </w:r>
      <w:r>
        <w:t xml:space="preserve"> </w:t>
      </w:r>
      <w:r>
        <w:t>conditional knockout (cKO) mice show impaired establishment of the indirect BG circuits in a region-preferential manner. Last, the</w:t>
      </w:r>
      <w:r>
        <w:t xml:space="preserve"> </w:t>
      </w:r>
      <w:r>
        <w:t>Pcdh17</w:t>
      </w:r>
      <w:r>
        <w:t xml:space="preserve"> </w:t>
      </w:r>
      <w:r>
        <w:t>cKO mice show defects in task learning, while the</w:t>
      </w:r>
      <w:r>
        <w:t xml:space="preserve"> </w:t>
      </w:r>
      <w:r>
        <w:t>Pcdh10</w:t>
      </w:r>
      <w:r>
        <w:t xml:space="preserve"> </w:t>
      </w:r>
      <w:r>
        <w:t>cKO mice show defects in motor/sensory habituation. These results identify PCDH17 and PCDH10 as the molecular organizers for two distinct indirect BG circuits regulating different behaviors and reveal the molecular mechanisms for organizing parallel BG circuits.</w:t>
      </w:r>
    </w:p>
    <w:p>
      <w:pPr>
        <w:spacing w:before="120" w:after="120"/>
      </w:pPr>
      <w:r>
        <w:rPr>
          <w:sz w:val="18"/>
        </w:rPr>
        <w:t>——————————————————————————————————————————————————————————————————————</w:t>
      </w:r>
    </w:p>
    <w:p>
      <w:pPr>
        <w:spacing w:before="160" w:after="40" w:line="240" w:lineRule="auto"/>
      </w:pPr>
      <w:r>
        <w:rPr>
          <w:b/>
        </w:rPr>
        <w:t xml:space="preserve">[101] </w:t>
      </w:r>
      <w:hyperlink r:id="rId686">
        <w:r>
          <w:rPr>
            <w:color w:val="1155CC"/>
            <w:u w:val="single"/>
          </w:rPr>
          <w:t>柔性聚合物气凝胶中的定制纳米孔结构可实现超宽带 PHz (VL)–THz–GHz 无线通信</w:t>
        </w:r>
      </w:hyperlink>
    </w:p>
    <w:p>
      <w:pPr>
        <w:spacing w:before="0" w:after="80"/>
      </w:pPr>
      <w:r>
        <w:rPr>
          <w:i/>
          <w:sz w:val="20"/>
        </w:rPr>
        <w:t>EN: Tailored nanoporous architecture in flexible polymeric aerogel enabling ultrabroadband PHz (VL)–THz–GHz wireless communication</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87">
        <w:r>
          <w:rPr>
            <w:color w:val="1155CC"/>
            <w:u w:val="single"/>
          </w:rPr>
          <w:t>10.1126/sciadv.aec4385</w:t>
        </w:r>
      </w:hyperlink>
    </w:p>
    <w:p>
      <w:pPr>
        <w:spacing w:before="0" w:after="120"/>
      </w:pPr>
      <w:r>
        <w:rPr>
          <w:b/>
        </w:rPr>
        <w:t xml:space="preserve">Notes: </w:t>
      </w:r>
      <w:r>
        <w:t>abstract_source=crossref</w:t>
      </w:r>
    </w:p>
    <w:p>
      <w:pPr>
        <w:spacing w:before="0" w:after="80" w:lineRule="auto" w:line="276"/>
      </w:pPr>
      <w:r>
        <w:rPr>
          <w:b/>
        </w:rPr>
        <w:t xml:space="preserve">摘要（ZH）: </w:t>
      </w:r>
      <w:r>
        <w:t>跨太赫兹（PHz；可见光范围）、太赫兹（THz）和千兆赫（GHz）范围的超宽带电磁波（EMW）透明材料对于第六代（6G）到XG无线通信至关重要。然而，目前的EMW透明材料无法满足超宽带PHz-THz-GHz天线器件的设计要求。在这项研究中，我们报告了基于混合交联策略的能够进行 PHz-THz-GHz 传输的柔性聚酰亚胺气凝胶（PIA）的设计和制造：（i）化学和物理交联的结合能够构建高度多孔的拓扑结构，产生超低介电常数（D）</w:t>
      </w:r>
      <w:r>
        <w:t xml:space="preserve"> </w:t>
      </w:r>
      <w:r>
        <w:t>k</w:t>
      </w:r>
      <w:r>
        <w:t xml:space="preserve"> </w:t>
      </w:r>
      <w:r>
        <w:t>∼ 1.1) 并改进阻抗匹配以最小化 EMW 界面反射； (ii) 将混合交联网络与超临界CO耦合</w:t>
      </w:r>
      <w:r>
        <w:rPr>
          <w:vertAlign w:val="subscript"/>
        </w:rPr>
        <w:t>2</w:t>
      </w:r>
      <w:r>
        <w:t>(scCO</w:t>
      </w:r>
      <w:r>
        <w:rPr>
          <w:vertAlign w:val="subscript"/>
        </w:rPr>
        <w:t>2</w:t>
      </w:r>
      <w:r>
        <w:t>）干燥产生均匀的纳米多孔结构，有效抑制EMW米氏散射； (iii) 与氟化物官能团修饰设计相结合的混合交联策略进一步减少了 PHz-THz-GHz 范围内的多频带 EMW 吸收。同时，这些气凝胶材料表现出出色的环境稳定性和机械鲁棒性，使其能够在更广泛的应用场景中使用。因此，使用 PIA 材料作为传输接口制造了超宽带 PHz-GHz 天线，即使在</w:t>
      </w:r>
    </w:p>
    <w:p>
      <w:pPr>
        <w:spacing w:before="0" w:after="200" w:lineRule="auto" w:line="276"/>
      </w:pPr>
      <w:r>
        <w:rPr>
          <w:b/>
        </w:rPr>
        <w:t xml:space="preserve">Abstract (EN): </w:t>
      </w:r>
      <w:r>
        <w:t>Ultrabroadband electromagnetic wave (EMW) transparent materials across petahertz (PHz; visible light range), terahertz (THz), and gigahertz (GHz) range are crucial for sixth-generation (6G) to XG wireless communication. However, current EMW transparent materials cannot meet the design requirements for ultrabroadband PHz-THz-GHz antenna devices. In this study, we report the design and fabrication of flexible polyimide aerogel (PIA) capable of PHz-THz-GHz transmission based on a hybrid cross-linking strategy: (i) The combination of chemical and physical cross-linking enables the construction of a highly porous topology, yielding an ultralow dielectric constant (D</w:t>
      </w:r>
      <w:r>
        <w:t xml:space="preserve"> </w:t>
      </w:r>
      <w:r>
        <w:t>k</w:t>
      </w:r>
      <w:r>
        <w:t xml:space="preserve"> </w:t>
      </w:r>
      <w:r>
        <w:t>∼ 1.1) and improved impedance matching to minimize EMW interfacial reflection; (ii) coupling the hybrid cross-linking network with supercritical CO</w:t>
      </w:r>
      <w:r>
        <w:rPr>
          <w:vertAlign w:val="subscript"/>
        </w:rPr>
        <w:t>2</w:t>
      </w:r>
      <w:r>
        <w:t>(scCO</w:t>
      </w:r>
      <w:r>
        <w:rPr>
          <w:vertAlign w:val="subscript"/>
        </w:rPr>
        <w:t>2</w:t>
      </w:r>
      <w:r>
        <w:t>) drying produces a uniform nanoporous architecture, effectively suppressing EMW Mie scattering; (iii) hybrid cross-linking strategy integrated with fluoride functional group modification design further reduces multiband EMW absorption across the PHz-THz-GHz range. Meanwhile, these aerogel materials demonstrate outstanding environmental stability and mechanical robustness, enabling their use in extended application scenarios. Consequently, an ultrabroadband PHz-GHz antenna was fabricated using the PIA material as the transmission interface, demonstrating continuous wireless communication even when the low-frequency GHz band is partially blocked by maintaining signal transmission through the high-frequency PHz band.</w:t>
      </w:r>
    </w:p>
    <w:p>
      <w:pPr>
        <w:spacing w:before="120" w:after="120"/>
      </w:pPr>
      <w:r>
        <w:rPr>
          <w:sz w:val="18"/>
        </w:rPr>
        <w:t>——————————————————————————————————————————————————————————————————————</w:t>
      </w:r>
    </w:p>
    <w:p>
      <w:pPr>
        <w:spacing w:before="160" w:after="40" w:line="240" w:lineRule="auto"/>
      </w:pPr>
      <w:r>
        <w:rPr>
          <w:b/>
        </w:rPr>
        <w:t xml:space="preserve">[102] </w:t>
      </w:r>
      <w:hyperlink r:id="rId688">
        <w:r>
          <w:rPr>
            <w:color w:val="1155CC"/>
            <w:u w:val="single"/>
          </w:rPr>
          <w:t>受蜘蛛网启发的电子导电吸湿粘合剂，用于慢性生物电子界面</w:t>
        </w:r>
      </w:hyperlink>
    </w:p>
    <w:p>
      <w:pPr>
        <w:spacing w:before="0" w:after="80"/>
      </w:pPr>
      <w:r>
        <w:rPr>
          <w:i/>
          <w:sz w:val="20"/>
        </w:rPr>
        <w:t>EN: Spiderweb-inspired electronically conductive hygroscopic adhesive for chronic bioelectronic interface</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89">
        <w:r>
          <w:rPr>
            <w:color w:val="1155CC"/>
            <w:u w:val="single"/>
          </w:rPr>
          <w:t>10.1126/sciadv.aea3748</w:t>
        </w:r>
      </w:hyperlink>
    </w:p>
    <w:p>
      <w:pPr>
        <w:spacing w:before="0" w:after="120"/>
      </w:pPr>
      <w:r>
        <w:rPr>
          <w:b/>
        </w:rPr>
        <w:t xml:space="preserve">Notes: </w:t>
      </w:r>
      <w:r>
        <w:t>abstract_source=crossref</w:t>
      </w:r>
    </w:p>
    <w:p>
      <w:pPr>
        <w:spacing w:before="0" w:after="80" w:lineRule="auto" w:line="276"/>
      </w:pPr>
      <w:r>
        <w:rPr>
          <w:b/>
        </w:rPr>
        <w:t xml:space="preserve">摘要（ZH）: </w:t>
      </w:r>
      <w:r>
        <w:t>长期的生理信号监测对于慢性病的准确诊断和有效管理至关重要。然而，当前的电极技术面临着显着的缺点：干电极表现出高电化学阻抗和对皮肤的附着力差，而湿电极由于失水而使用寿命短。受蜘蛛网吸湿特性的启发，我们开发了一种电子导电吸湿粘合剂（称为“hygrotrode”），它通过交联的三维吸湿聚合物网络持续吸收环境水分。该设计在一年多的时间内保持低界面阻抗和高粘附能，这得益于吸收的中间水以电化学方式桥接导电聚合物和皮肤组织。一年后，hygrotrode 的比阻抗比湿电极低 82.4 倍。我们进一步证明了 hygrotrode 适用于慢性生物电势监测和基于肌电图的手势识别，突出了其在长期可穿戴电子产品和人机界面中的广泛适用性。</w:t>
      </w:r>
    </w:p>
    <w:p>
      <w:pPr>
        <w:spacing w:before="0" w:after="200" w:lineRule="auto" w:line="276"/>
      </w:pPr>
      <w:r>
        <w:rPr>
          <w:b/>
        </w:rPr>
        <w:t xml:space="preserve">Abstract (EN): </w:t>
      </w:r>
      <w:r>
        <w:t>Long-term physiological signal monitoring is critical for accurate diagnosis and effective management of chronic diseases. However, current electrode technologies face significant drawbacks: dry electrodes exhibit high electrochemical impedance and poor adhesion to skin, while wet electrodes suffer from short service lifetimes due to water loss. Inspired by the hygroscopic properties of spider webs, we developed an electronically conductive hygroscopic adhesive (termed as “hygrotrode”) that continuously absorbs ambient moisture through a cross-linked, three-dimensional hygroscopic polymer network. This design maintains a low interface impedance and high adhesion energy for over a year, facilitated by absorbed intermediate water that electrochemically bridges the conducting polymer and skin tissue. The specific impedance of hygrotrode is 82.4 times lower compared with wet electrodes after 1 year. We further demonstrate hygrotrode’s suitability for chronic biopotential monitoring and electromyography-based gesture recognition, highlighting its wide-ranging applicability in long-term wearable electronics and human-machine interfaces.</w:t>
      </w:r>
    </w:p>
    <w:p>
      <w:pPr>
        <w:spacing w:before="120" w:after="120"/>
      </w:pPr>
      <w:r>
        <w:rPr>
          <w:sz w:val="18"/>
        </w:rPr>
        <w:t>——————————————————————————————————————————————————————————————————————</w:t>
      </w:r>
    </w:p>
    <w:p>
      <w:pPr>
        <w:spacing w:before="160" w:after="40" w:line="240" w:lineRule="auto"/>
      </w:pPr>
      <w:r>
        <w:rPr>
          <w:b/>
        </w:rPr>
        <w:t xml:space="preserve">[103] </w:t>
      </w:r>
      <w:hyperlink r:id="rId690">
        <w:r>
          <w:rPr>
            <w:color w:val="1155CC"/>
            <w:u w:val="single"/>
          </w:rPr>
          <w:t>Geneformer 引导的多组学整合将 Pbx1 确定为造血干细胞衰老的网络枢纽</w:t>
        </w:r>
      </w:hyperlink>
    </w:p>
    <w:p>
      <w:pPr>
        <w:spacing w:before="0" w:after="80"/>
      </w:pPr>
      <w:r>
        <w:rPr>
          <w:i/>
          <w:sz w:val="20"/>
        </w:rPr>
        <w:t>EN: Geneformer-guided multiomics integration identifies Pbx1 as a network hub of hematopoietic stem cell aging</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91">
        <w:r>
          <w:rPr>
            <w:color w:val="1155CC"/>
            <w:u w:val="single"/>
          </w:rPr>
          <w:t>10.1126/sciadv.aeb1346</w:t>
        </w:r>
      </w:hyperlink>
    </w:p>
    <w:p>
      <w:pPr>
        <w:spacing w:before="0" w:after="120"/>
      </w:pPr>
      <w:r>
        <w:rPr>
          <w:b/>
        </w:rPr>
        <w:t xml:space="preserve">Notes: </w:t>
      </w:r>
      <w:r>
        <w:t>abstract_source=crossref</w:t>
      </w:r>
    </w:p>
    <w:p>
      <w:pPr>
        <w:spacing w:before="0" w:after="80" w:lineRule="auto" w:line="276"/>
      </w:pPr>
      <w:r>
        <w:rPr>
          <w:b/>
        </w:rPr>
        <w:t xml:space="preserve">摘要（ZH）: </w:t>
      </w:r>
      <w:r>
        <w:t>造血干细胞 (HSC) 构成一个有组织的造血系统，会经历与年龄相关的变化，包括血小板生成增加和红细胞生成减少。驱动这些转变的基本机制仍不完全清楚。我们使用单细胞 RNA 测序数据表明，旧的 HSC 包含两种不同的转录程序：一种与巨核细胞共享，另一种反映最原始的 HSC 状态。发育时间序列分析进一步表明，这些程序的获得始于生命早期，原始模块在产前上升，巨核细胞启动在出生后出现。使用微调的 Geneformer（基于 Transformer 的深度学习模型）捕获年轻和年老 HSC 之间的高阶差异，结合转录组和表观遗传分析以及转录因子筛选，我们确定 Pbx1 是这些与年龄相关的转录和分化变化的关键调节因子。具体来说，Pbx1 通过抑制 Gata1 表达来抑制红系分化。这些发现提供了对 HSC 衰老的深入了解，并可能为调节与年龄相关的 HSC 功能障碍的方法提供信息。</w:t>
      </w:r>
    </w:p>
    <w:p>
      <w:pPr>
        <w:spacing w:before="0" w:after="200" w:lineRule="auto" w:line="276"/>
      </w:pPr>
      <w:r>
        <w:rPr>
          <w:b/>
        </w:rPr>
        <w:t xml:space="preserve">Abstract (EN): </w:t>
      </w:r>
      <w:r>
        <w:t>Hematopoietic stem cells (HSCs) constitute an organized hematopoietic system that undergoes age-related alterations, including increased platelet production and decreased erythropoiesis. The fundamental mechanisms driving these shifts remain incompletely understood. We used single-cell RNA sequencing data to show that old HSCs contain two distinct transcriptional programs: one shared with megakaryocytes and the other reflecting the most primitive HSC state. Developmental time-series profiling further suggests that the acquisition of these programs begins early in life, with the primitive module rising prenatally and megakaryocytic priming emerging after birth. Using a fine-tuned Geneformer (transformer-based deep learning model) to capture higher-order differences between young and old HSCs, coupled with transcriptomic and epigenetic profiling, as well as transcription factor screens, we identified Pbx1 as a key regulator of these age-related transcriptional and differentiation changes. Specifically, Pbx1 suppresses erythroid differentiation by repressing Gata1 expression. These findings provide insight into HSC aging and may inform approaches to modulate age-associated HSC dysfunction.</w:t>
      </w:r>
    </w:p>
    <w:p>
      <w:pPr>
        <w:spacing w:before="120" w:after="120"/>
      </w:pPr>
      <w:r>
        <w:rPr>
          <w:sz w:val="18"/>
        </w:rPr>
        <w:t>——————————————————————————————————————————————————————————————————————</w:t>
      </w:r>
    </w:p>
    <w:p>
      <w:pPr>
        <w:spacing w:before="160" w:after="40" w:line="240" w:lineRule="auto"/>
      </w:pPr>
      <w:r>
        <w:rPr>
          <w:b/>
        </w:rPr>
        <w:t xml:space="preserve">[104] </w:t>
      </w:r>
      <w:hyperlink r:id="rId692">
        <w:r>
          <w:rPr>
            <w:color w:val="1155CC"/>
            <w:u w:val="single"/>
          </w:rPr>
          <w:t>组成型活性胰高血糖素受体（GCGR）在生理上调节蜥蜴的体温</w:t>
        </w:r>
      </w:hyperlink>
    </w:p>
    <w:p>
      <w:pPr>
        <w:spacing w:before="0" w:after="80"/>
      </w:pPr>
      <w:r>
        <w:rPr>
          <w:i/>
          <w:sz w:val="20"/>
        </w:rPr>
        <w:t>EN: Constitutively active glucagon receptor (GCGR) physiologically regulates body temperature in lizards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93">
        <w:r>
          <w:rPr>
            <w:color w:val="1155CC"/>
            <w:u w:val="single"/>
          </w:rPr>
          <w:t>10.1126/sciadv.aeb8744</w:t>
        </w:r>
      </w:hyperlink>
    </w:p>
    <w:p>
      <w:pPr>
        <w:spacing w:before="0" w:after="120"/>
      </w:pPr>
      <w:r>
        <w:rPr>
          <w:b/>
        </w:rPr>
        <w:t xml:space="preserve">Notes: </w:t>
      </w:r>
      <w:r>
        <w:t>abstract_source=crossref</w:t>
      </w:r>
    </w:p>
    <w:p>
      <w:pPr>
        <w:spacing w:before="0" w:after="80" w:lineRule="auto" w:line="276"/>
      </w:pPr>
      <w:r>
        <w:rPr>
          <w:b/>
        </w:rPr>
        <w:t xml:space="preserve">摘要（ZH）: </w:t>
      </w:r>
      <w:r>
        <w:t>吸温动物利用复杂的内部机制来维持稳定的体温，而变温动物则依靠环境因素和行为来调节体温。某些变温动物，如一些蜥蜴，也能在一定程度上从生理上调节体温，在低温条件下，体温调节能力存在种间差异。然而，自大约 80 年前发现以来，这种生理调节背后的分子机制仍不清楚。在这里，我们揭示了蜥蜴（尤其是鬣蜥）中组成型活性胰高血糖素受体（GCGR）的肝脏表达与它们在低温下的体温调节能力相关。当</w:t>
      </w:r>
      <w:r>
        <w:t xml:space="preserve"> </w:t>
      </w:r>
      <w:r>
        <w:t>蝼蛄</w:t>
      </w:r>
      <w:r>
        <w:t xml:space="preserve"> </w:t>
      </w:r>
      <w:r>
        <w:t>和</w:t>
      </w:r>
      <w:r>
        <w:t xml:space="preserve"> </w:t>
      </w:r>
      <w:r>
        <w:t>沙蜥</w:t>
      </w:r>
      <w:r>
        <w:t xml:space="preserve"> </w:t>
      </w:r>
      <w:r>
        <w:t>具有温度调节能力的人用短发夹 RNA 处理–</w:t>
      </w:r>
      <w:r>
        <w:t xml:space="preserve"> </w:t>
      </w:r>
      <w:r>
        <w:t>GCGR</w:t>
      </w:r>
      <w:r>
        <w:t xml:space="preserve"> </w:t>
      </w:r>
      <w:r>
        <w:t>或GCGR拮抗剂后，体温下降，与能量代谢和呼吸代谢率相关的基因表达下调。相比之下，</w:t>
      </w:r>
      <w:r>
        <w:t xml:space="preserve"> </w:t>
      </w:r>
      <w:r>
        <w:t>乌鳢</w:t>
      </w:r>
      <w:r>
        <w:t xml:space="preserve"> </w:t>
      </w:r>
      <w:r>
        <w:t>缺乏温度调节能力，显示肝脏 GCGR 表达较低。过度表达</w:t>
      </w:r>
      <w:r>
        <w:t xml:space="preserve"> </w:t>
      </w:r>
      <w:r>
        <w:t>刺头虾 GCGR</w:t>
      </w:r>
      <w:r>
        <w:t xml:space="preserve"> </w:t>
      </w:r>
      <w:r>
        <w:t>（光伏发电</w:t>
      </w:r>
      <w:r>
        <w:t xml:space="preserve"> </w:t>
      </w:r>
      <w:r>
        <w:t>GCGR</w:t>
      </w:r>
      <w:r>
        <w:t xml:space="preserve"> </w:t>
      </w:r>
      <w:r>
        <w:t>）在肝脏中</w:t>
      </w:r>
      <w:r>
        <w:t xml:space="preserve"> </w:t>
      </w:r>
      <w:r>
        <w:t>乌鳢</w:t>
      </w:r>
      <w:r>
        <w:t xml:space="preserve"> </w:t>
      </w:r>
      <w:r>
        <w:t>体温升高，能量代谢增强。此外，在氯丙嗪导致体温调节能力降低的小鼠中</w:t>
      </w:r>
    </w:p>
    <w:p>
      <w:pPr>
        <w:spacing w:before="0" w:after="200" w:lineRule="auto" w:line="276"/>
      </w:pPr>
      <w:r>
        <w:rPr>
          <w:b/>
        </w:rPr>
        <w:t xml:space="preserve">Abstract (EN): </w:t>
      </w:r>
      <w:r>
        <w:t>Endotherms use complex internal mechanisms to maintain a steady body temperature, whereas ectotherms rely on environmental factors and behaviors for thermoregulation. Certain ectothermic animals, like some lizards, can also physiologically regulate their body temperature to some extent, with interspecies variations in thermoregulatory capacity under low-temperature conditions. However, the molecular mechanisms underlying this physiological regulation have remained unclear since its discovery about 80 years ago. Here, we reveal that the hepatic expression of constitutively active glucagon receptor (GCGR) in lizards, particularly in iguana, correlated with their thermoregulatory capacity when kept at low temperatures. When</w:t>
      </w:r>
      <w:r>
        <w:t xml:space="preserve"> </w:t>
      </w:r>
      <w:r>
        <w:t>Pogona vitticeps</w:t>
      </w:r>
      <w:r>
        <w:t xml:space="preserve"> </w:t>
      </w:r>
      <w:r>
        <w:t>and</w:t>
      </w:r>
      <w:r>
        <w:t xml:space="preserve"> </w:t>
      </w:r>
      <w:r>
        <w:t>Phrynocephalus vlangalii</w:t>
      </w:r>
      <w:r>
        <w:t xml:space="preserve"> </w:t>
      </w:r>
      <w:r>
        <w:t>with thermoregulatory capacity were treated with short hairpin RNA–</w:t>
      </w:r>
      <w:r>
        <w:t xml:space="preserve"> </w:t>
      </w:r>
      <w:r>
        <w:t>GCGR</w:t>
      </w:r>
      <w:r>
        <w:t xml:space="preserve"> </w:t>
      </w:r>
      <w:r>
        <w:t>or GCGR antagonist, their body temperatures dropped, and the expression of genes related to energy metabolism and respiratory metabolic rate was down-regulated. In contrast,</w:t>
      </w:r>
      <w:r>
        <w:t xml:space="preserve"> </w:t>
      </w:r>
      <w:r>
        <w:t>Eremias argus</w:t>
      </w:r>
      <w:r>
        <w:t xml:space="preserve"> </w:t>
      </w:r>
      <w:r>
        <w:t>, lacking thermoregulatory ability, revealed low hepatic GCGR expression. Overexpression of</w:t>
      </w:r>
      <w:r>
        <w:t xml:space="preserve"> </w:t>
      </w:r>
      <w:r>
        <w:t>P. vitticeps GCGR</w:t>
      </w:r>
      <w:r>
        <w:t xml:space="preserve"> </w:t>
      </w:r>
      <w:r>
        <w:t>(pv</w:t>
      </w:r>
      <w:r>
        <w:t xml:space="preserve"> </w:t>
      </w:r>
      <w:r>
        <w:t>GCGR</w:t>
      </w:r>
      <w:r>
        <w:t xml:space="preserve"> </w:t>
      </w:r>
      <w:r>
        <w:t>) in the liver of</w:t>
      </w:r>
      <w:r>
        <w:t xml:space="preserve"> </w:t>
      </w:r>
      <w:r>
        <w:t>E. argus</w:t>
      </w:r>
      <w:r>
        <w:t xml:space="preserve"> </w:t>
      </w:r>
      <w:r>
        <w:t>increased body temperature and enhanced energy metabolism. Furthermore, in mice with reduced thermoregulatory ability by chlorpromazine administration, overexpression of constitutively active GCGR ligand-independently increased body temperature under cold conditions. In conclusion, constitutively active GCGR drives the physiological thermoregulation in lizards, and our study offered previously unidentified insights into expression regulation of constitutively active GPCR into physiological adaptations responding to environmental changes.</w:t>
      </w:r>
    </w:p>
    <w:p>
      <w:pPr>
        <w:spacing w:before="120" w:after="120"/>
      </w:pPr>
      <w:r>
        <w:rPr>
          <w:sz w:val="18"/>
        </w:rPr>
        <w:t>——————————————————————————————————————————————————————————————————————</w:t>
      </w:r>
    </w:p>
    <w:p>
      <w:pPr>
        <w:spacing w:before="160" w:after="40" w:line="240" w:lineRule="auto"/>
      </w:pPr>
      <w:r>
        <w:rPr>
          <w:b/>
        </w:rPr>
        <w:t xml:space="preserve">[105] </w:t>
      </w:r>
      <w:hyperlink r:id="rId694">
        <w:r>
          <w:rPr>
            <w:color w:val="1155CC"/>
            <w:u w:val="single"/>
          </w:rPr>
          <w:t>加利福尼亚州土地利用和休耕对球孢子菌病发病率的影响：基于人群的纵向研究</w:t>
        </w:r>
      </w:hyperlink>
    </w:p>
    <w:p>
      <w:pPr>
        <w:spacing w:before="0" w:after="80"/>
      </w:pPr>
      <w:r>
        <w:rPr>
          <w:i/>
          <w:sz w:val="20"/>
        </w:rPr>
        <w:t>EN: Impacts of land use and fallowing on coccidioidomycosis incidence in California: A population-based longitudinal study</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95">
        <w:r>
          <w:rPr>
            <w:color w:val="1155CC"/>
            <w:u w:val="single"/>
          </w:rPr>
          <w:t>10.1126/sciadv.aec0156</w:t>
        </w:r>
      </w:hyperlink>
    </w:p>
    <w:p>
      <w:pPr>
        <w:spacing w:before="0" w:after="120"/>
      </w:pPr>
      <w:r>
        <w:rPr>
          <w:b/>
        </w:rPr>
        <w:t xml:space="preserve">Notes: </w:t>
      </w:r>
      <w:r>
        <w:t>abstract_source=crossref</w:t>
      </w:r>
    </w:p>
    <w:p>
      <w:pPr>
        <w:spacing w:before="0" w:after="80" w:lineRule="auto" w:line="276"/>
      </w:pPr>
      <w:r>
        <w:rPr>
          <w:b/>
        </w:rPr>
        <w:t xml:space="preserve">摘要（ZH）: </w:t>
      </w:r>
      <w:r>
        <w:t>球孢子菌病（谷热）是美国西部日益严重的公共卫生问题，加利福尼亚州报告的病例在过去二十年中增加了八倍多。由于气候变化、地下水调节和长期干旱推动了该州农业用地的重大转变，包括耕地的广泛退役（即休耕），了解它们对这种土传真菌感染的影响至关重要。我们将 65,657 个已确诊的地理定位病例（2008 年至 2021 年）与区分自然植被、作物类型和休耕田地的高分辨率地图联系起来，以量化土地利用和土地覆盖与疾病发生率的关系。灵活的统计模型表明，自然土地覆盖、灌木丛、贫瘠土地和草地与较高的发病率相关。一些农业用途（谷物/干草、大田作物、玉米和棉花）与较高的发病率相关，而其他农业用途（果园、水稻和卡车作物/浆果）与较低的发病率相关。最近休耕的土地（1 至 4 年）与较高的发病率有关，但其影响取决于之前的耕作。这些发现表明，土地利用变化可能会无意中影响球孢子菌病风险，强调需要采取粉尘控制和其他措施来保护社区。</w:t>
      </w:r>
    </w:p>
    <w:p>
      <w:pPr>
        <w:spacing w:before="0" w:after="200" w:lineRule="auto" w:line="276"/>
      </w:pPr>
      <w:r>
        <w:rPr>
          <w:b/>
        </w:rPr>
        <w:t xml:space="preserve">Abstract (EN): </w:t>
      </w:r>
      <w:r>
        <w:t>Coccidioidomycosis (Valley fever) is a growing public health concern in the western U.S., with California reporting more than an eightfold rise in cases over the past two decades. As climate change, groundwater regulation, and prolonged drought drive major agricultural land-use shifts in the state, including widespread retirement of cultivated lands (i.e., fallowing), understanding their effects on this soil-borne fungal infection is critical. We linked 65,657 confirmed, geolocated cases (2008–2021) to high-resolution maps distinguishing natural vegetation, crop types, and fallowed fields to quantify how land use and land cover were associated with disease rates. Flexible statistical models showed that natural land covers, shrubland, barren ground, and grassland, were associated with higher incidence. Some agricultural uses (grain/hay, field crops, corn, and cotton) were associated with higher incidence, whereas others (orchards, rice, and truck crops/berries) were associated with lower incidence. Recently fallowed land (1 to 4 years) was linked to higher incidence, but the effect depended on prior cultivation. These findings indicate that land use changes may inadvertently impact coccidioidomycosis risk, underscoring the need for dust control and other measures to protect communities.</w:t>
      </w:r>
    </w:p>
    <w:p>
      <w:pPr>
        <w:spacing w:before="120" w:after="120"/>
      </w:pPr>
      <w:r>
        <w:rPr>
          <w:sz w:val="18"/>
        </w:rPr>
        <w:t>——————————————————————————————————————————————————————————————————————</w:t>
      </w:r>
    </w:p>
    <w:p>
      <w:pPr>
        <w:spacing w:before="160" w:after="40" w:line="240" w:lineRule="auto"/>
      </w:pPr>
      <w:r>
        <w:rPr>
          <w:b/>
        </w:rPr>
        <w:t xml:space="preserve">[106] </w:t>
      </w:r>
      <w:hyperlink r:id="rId696">
        <w:r>
          <w:rPr>
            <w:color w:val="1155CC"/>
            <w:u w:val="single"/>
          </w:rPr>
          <w:t>丰富的经验增加了高阶皮层的相互突触连接和编码稀疏性</w:t>
        </w:r>
      </w:hyperlink>
    </w:p>
    <w:p>
      <w:pPr>
        <w:spacing w:before="0" w:after="80"/>
      </w:pPr>
      <w:r>
        <w:rPr>
          <w:i/>
          <w:sz w:val="20"/>
        </w:rPr>
        <w:t>EN: Enriched experience increases reciprocal synaptic connectivity and coding sparsity in higher-order cortex</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97">
        <w:r>
          <w:rPr>
            <w:color w:val="1155CC"/>
            <w:u w:val="single"/>
          </w:rPr>
          <w:t>10.1126/sciadv.aec3893</w:t>
        </w:r>
      </w:hyperlink>
    </w:p>
    <w:p>
      <w:pPr>
        <w:spacing w:before="0" w:after="120"/>
      </w:pPr>
      <w:r>
        <w:rPr>
          <w:b/>
        </w:rPr>
        <w:t xml:space="preserve">Notes: </w:t>
      </w:r>
      <w:r>
        <w:t>abstract_source=crossref</w:t>
      </w:r>
    </w:p>
    <w:p>
      <w:pPr>
        <w:spacing w:before="0" w:after="80" w:lineRule="auto" w:line="276"/>
      </w:pPr>
      <w:r>
        <w:rPr>
          <w:b/>
        </w:rPr>
        <w:t xml:space="preserve">摘要（ZH）: </w:t>
      </w:r>
      <w:r>
        <w:t>睡眠期间新信息的整合重塑了支持分类知识的皮层表征。自联想吸引子网络理论预测，相互兴奋性连接有助于形成稳定的分类吸引子，但缺乏直接证据。我们使用小鼠 10 周的丰富经验 [环境丰富 (ENR)] 作为知识积累模型进行了测试，并记录了海马体和新皮质的单个单元活动。 ENR 诱导了高层而非低层新皮质的显着重塑，从单向功能性兴奋-兴奋连接转变为双向功能性兴奋-兴奋连接，表明“细胞组装”增加。伴随着清醒休息和慢波睡眠期间抑制性与兴奋性连接的增加以及稀疏、更正交的群体活动，特别是在深层。因此，ENR 将皮质回路重组为对称的、抑制平衡的网络，从而提高编码效率，支持长期存在的吸引子网络预测。</w:t>
      </w:r>
    </w:p>
    <w:p>
      <w:pPr>
        <w:spacing w:before="0" w:after="200" w:lineRule="auto" w:line="276"/>
      </w:pPr>
      <w:r>
        <w:rPr>
          <w:b/>
        </w:rPr>
        <w:t xml:space="preserve">Abstract (EN): </w:t>
      </w:r>
      <w:r>
        <w:t>The integration of new information during sleep reshapes cortical representations that support categorical knowledge. Autoassociative attractor network theories predict that reciprocal excitatory connections help form stable categorical attractors, but direct evidence is missing. We tested this using 10 weeks of enriched experience [environmental enrichment (ENR)] in mice as a model for knowledge accumulation and recorded single-unit activity across the hippocampus and neocortex. ENR induced significant remodeling in high-level but not low-level neocortex, with a major shift from unidirectional to bidirectional functional excitatory-excitatory connections, suggestive of increased “cell assemblies.” This was accompanied by increased inhibitory-to-excitatory connections and sparser, more orthogonal population activity during awake rest and slow-wave sleep, particularly in deep layers. Thus, ENR reorganizes cortical circuits into a symmetric, inhibition-balanced network that improves coding efficiency, supporting long-standing attractor network predictions.</w:t>
      </w:r>
    </w:p>
    <w:p>
      <w:pPr>
        <w:spacing w:before="120" w:after="120"/>
      </w:pPr>
      <w:r>
        <w:rPr>
          <w:sz w:val="18"/>
        </w:rPr>
        <w:t>——————————————————————————————————————————————————————————————————————</w:t>
      </w:r>
    </w:p>
    <w:p>
      <w:pPr>
        <w:spacing w:before="160" w:after="40" w:line="240" w:lineRule="auto"/>
      </w:pPr>
      <w:r>
        <w:rPr>
          <w:b/>
        </w:rPr>
        <w:t xml:space="preserve">[107] </w:t>
      </w:r>
      <w:hyperlink r:id="rId698">
        <w:r>
          <w:rPr>
            <w:color w:val="1155CC"/>
            <w:u w:val="single"/>
          </w:rPr>
          <w:t>大规模蛋白质组学鉴定将健康社会决定因素与心力衰竭风险联系起来的新型生物标志物</w:t>
        </w:r>
      </w:hyperlink>
    </w:p>
    <w:p>
      <w:pPr>
        <w:spacing w:before="0" w:after="80"/>
      </w:pPr>
      <w:r>
        <w:rPr>
          <w:i/>
          <w:sz w:val="20"/>
        </w:rPr>
        <w:t>EN: Large-scale proteomics to identify novel biomarkers linking social determinants of health to heart failure risk</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699">
        <w:r>
          <w:rPr>
            <w:color w:val="1155CC"/>
            <w:u w:val="single"/>
          </w:rPr>
          <w:t>10.1126/sciadv.aec5063</w:t>
        </w:r>
      </w:hyperlink>
    </w:p>
    <w:p>
      <w:pPr>
        <w:spacing w:before="0" w:after="120"/>
      </w:pPr>
      <w:r>
        <w:rPr>
          <w:b/>
        </w:rPr>
        <w:t xml:space="preserve">Notes: </w:t>
      </w:r>
      <w:r>
        <w:t>abstract_source=crossref</w:t>
      </w:r>
    </w:p>
    <w:p>
      <w:pPr>
        <w:spacing w:before="0" w:after="80" w:lineRule="auto" w:line="276"/>
      </w:pPr>
      <w:r>
        <w:rPr>
          <w:b/>
        </w:rPr>
        <w:t xml:space="preserve">摘要（ZH）: </w:t>
      </w:r>
      <w:r>
        <w:t>不利的健康社会决定因素 (SDOH) 与更大的心力衰竭 (HF) 风险相关。在社区动脉粥样硬化风险 (ARIC) 队列研究的 9879 名社区参与者中，我们使用基于适配体的平台 (SomaLogic) 评估了 4955 种血浆蛋白。我们得出了一个 SDOH 因素，其中包括黑人和白人参与者的收入、教育和地区剥夺指数 (ADI)。使用多变量 Cox 比例风险模型测试与 Bonferroni 显着性因素相关的蛋白质与心力衰竭事件的关联。在黑人参与者中，有 36 种蛋白质与 SDOH 因子和心力衰竭相关，白人参与者中有 126 种蛋白质，种族阶层共有 12 种蛋白质。其中八个在因果中介模型中表现出显着的中介效应。主要结果在英国生物银行的 49,396 名参与者中得到了重复。孟德尔随机化和共定位表明 C1q 肿瘤坏死因子相关蛋白 1 (C1QTNF1)（一种脂联素旁系同源物）对 HF 具有潜在因果作用。我们证明了与 SDOH 负担和心力衰竭风险相关的蛋白质生物标志物。</w:t>
      </w:r>
    </w:p>
    <w:p>
      <w:pPr>
        <w:spacing w:before="0" w:after="200" w:lineRule="auto" w:line="276"/>
      </w:pPr>
      <w:r>
        <w:rPr>
          <w:b/>
        </w:rPr>
        <w:t xml:space="preserve">Abstract (EN): </w:t>
      </w:r>
      <w:r>
        <w:t>Adverse social determinants of health (SDOH) associate with greater heart failure (HF) risk. Among 9879 community-based participants of the Atherosclerosis Risk in Communities (ARIC) cohort study, we assessed 4955 plasma proteins using an aptamer-based platform (SomaLogic). We derived an SDOH factor comprising income, education, and area deprivation index (ADI) in Black and white participants. Proteins associated with this factor at Bonferroni significance were tested for associations with incident HF using multivariable Cox proportional hazard models. Among Black participants, 36 proteins were associated with both the SDOH factor and incident HF, 126 were among white participants, and 12 were shared between race strata. Eight of these demonstrated significant mediation effect in causal mediation models. Key results were replicated in 49,396 participants in UK Biobank. Mendelian randomization and colocalization suggested a potentially causal effect of C1q tumor necrosis factor–related protein 1 (C1QTNF1), an adiponectin paralog, on HF. We demonstrate protein biomarkers associated with SDOH burden and HF risk.</w:t>
      </w:r>
    </w:p>
    <w:p>
      <w:pPr>
        <w:spacing w:before="120" w:after="120"/>
      </w:pPr>
      <w:r>
        <w:rPr>
          <w:sz w:val="18"/>
        </w:rPr>
        <w:t>——————————————————————————————————————————————————————————————————————</w:t>
      </w:r>
    </w:p>
    <w:p>
      <w:pPr>
        <w:spacing w:before="160" w:after="40" w:line="240" w:lineRule="auto"/>
      </w:pPr>
      <w:r>
        <w:rPr>
          <w:b/>
        </w:rPr>
        <w:t xml:space="preserve">[108] </w:t>
      </w:r>
      <w:hyperlink r:id="rId700">
        <w:r>
          <w:rPr>
            <w:color w:val="1155CC"/>
            <w:u w:val="single"/>
          </w:rPr>
          <w:t>鞘氨醇激酶 2 调节脂肪细胞褐变和全身代谢</w:t>
        </w:r>
      </w:hyperlink>
    </w:p>
    <w:p>
      <w:pPr>
        <w:spacing w:before="0" w:after="80"/>
      </w:pPr>
      <w:r>
        <w:rPr>
          <w:i/>
          <w:sz w:val="20"/>
        </w:rPr>
        <w:t>EN: Sphingosine kinase 2 regulates adipocyte browning and whole-body metabolism</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01">
        <w:r>
          <w:rPr>
            <w:color w:val="1155CC"/>
            <w:u w:val="single"/>
          </w:rPr>
          <w:t>10.1126/sciadv.aec7066</w:t>
        </w:r>
      </w:hyperlink>
    </w:p>
    <w:p>
      <w:pPr>
        <w:spacing w:before="0" w:after="120"/>
      </w:pPr>
      <w:r>
        <w:rPr>
          <w:b/>
        </w:rPr>
        <w:t xml:space="preserve">Notes: </w:t>
      </w:r>
      <w:r>
        <w:t>abstract_source=crossref</w:t>
      </w:r>
    </w:p>
    <w:p>
      <w:pPr>
        <w:spacing w:before="0" w:after="80" w:lineRule="auto" w:line="276"/>
      </w:pPr>
      <w:r>
        <w:rPr>
          <w:b/>
        </w:rPr>
        <w:t xml:space="preserve">摘要（ZH）: </w:t>
      </w:r>
      <w:r>
        <w:t>肥胖会增加生物活性鞘脂代谢物 1-磷酸鞘氨醇 (S1P) 的循环水平。在这里，我们确定了脂肪细胞表达的鞘氨醇激酶 2 (SPHK2)（一种产生 S1P 的酶）作为脂肪组织褐变的调节剂。脂肪细胞特异性缺失的小鼠</w:t>
      </w:r>
      <w:r>
        <w:t xml:space="preserve"> </w:t>
      </w:r>
      <w:r>
        <w:t>斯普克2</w:t>
      </w:r>
      <w:r>
        <w:t xml:space="preserve"> </w:t>
      </w:r>
      <w:r>
        <w:t>免受西方饮食引起的肥胖以及能量消耗增加和皮下脂肪褐变的影响。</w:t>
      </w:r>
      <w:r>
        <w:t xml:space="preserve"> </w:t>
      </w:r>
      <w:r>
        <w:t>斯普克2</w:t>
      </w:r>
      <w:r>
        <w:t xml:space="preserve"> </w:t>
      </w:r>
      <w:r>
        <w:t>删除也增强了表达</w:t>
      </w:r>
      <w:r>
        <w:t xml:space="preserve"> </w:t>
      </w:r>
      <w:r>
        <w:t>UC1</w:t>
      </w:r>
      <w:r>
        <w:t xml:space="preserve"> </w:t>
      </w:r>
      <w:r>
        <w:t>和关键的产热基因，从而减少肥胖和肝脂肪变性，改善葡萄糖耐量和胰岛素敏感性。从机制上讲，致胖饮食促进了脂肪细胞中 SPHK2 的核定位，它与转录因子合作抑制生热转录组。脂肪细胞 SPHK2 有助于稳态循环 S1P 水平，并驱动 S1P 因肥胖饮食而致病性升高。我们的研究结果揭示了脂肪细胞 SPHK2 在调节生热程序中的独特作用，这对全身代谢稳态和能量消耗很重要，强调 SPHK2 作为治疗代谢紊乱的潜在治疗靶点。</w:t>
      </w:r>
    </w:p>
    <w:p>
      <w:pPr>
        <w:spacing w:before="0" w:after="200" w:lineRule="auto" w:line="276"/>
      </w:pPr>
      <w:r>
        <w:rPr>
          <w:b/>
        </w:rPr>
        <w:t xml:space="preserve">Abstract (EN): </w:t>
      </w:r>
      <w:r>
        <w:t>Obesity increases circulating levels of the bioactive sphingolipid metabolite sphingosine-1-phosphate (S1P). Here, we identify adipocyte-expressed sphingosine kinase 2 (SPHK2), an enzyme that produces S1P, as a regulator of adipose tissue browning. Mice with adipocyte-specific deletion of</w:t>
      </w:r>
      <w:r>
        <w:t xml:space="preserve"> </w:t>
      </w:r>
      <w:r>
        <w:t>Sphk2</w:t>
      </w:r>
      <w:r>
        <w:t xml:space="preserve"> </w:t>
      </w:r>
      <w:r>
        <w:t>were protected from Western diet–induced obesity concomitantly with elevated energy expenditure and browning of subcutaneous fat.</w:t>
      </w:r>
      <w:r>
        <w:t xml:space="preserve"> </w:t>
      </w:r>
      <w:r>
        <w:t>Sphk2</w:t>
      </w:r>
      <w:r>
        <w:t xml:space="preserve"> </w:t>
      </w:r>
      <w:r>
        <w:t>deletion also enhanced expression of</w:t>
      </w:r>
      <w:r>
        <w:t xml:space="preserve"> </w:t>
      </w:r>
      <w:r>
        <w:t>Ucp1</w:t>
      </w:r>
      <w:r>
        <w:t xml:space="preserve"> </w:t>
      </w:r>
      <w:r>
        <w:t>and key thermogenic genes, resulting in reduced adiposity and hepatic steatosis, improved glucose tolerance, and insulin sensitivity. Mechanistically, obesogenic diet promoted nuclear localization of SPHK2 in adipocytes, where it cooperated with transcription factors to suppress the thermogenic transcriptome. Adipocyte SPHK2 contributes to homeostatic circulating S1P levels and drive the pathogenic rise of S1P in response to obesogenic diet. Our findings reveal a distinct role of adipocyte SPHK2 in regulation of the thermogenic program important for whole-body metabolic homeostasis and energy expenditure, highlighting SPHK2 as a potential therapeutic target for treatment of metabolic disorders.</w:t>
      </w:r>
    </w:p>
    <w:p>
      <w:pPr>
        <w:spacing w:before="120" w:after="120"/>
      </w:pPr>
      <w:r>
        <w:rPr>
          <w:sz w:val="18"/>
        </w:rPr>
        <w:t>——————————————————————————————————————————————————————————————————————</w:t>
      </w:r>
    </w:p>
    <w:p>
      <w:pPr>
        <w:spacing w:before="160" w:after="40" w:line="240" w:lineRule="auto"/>
      </w:pPr>
      <w:r>
        <w:rPr>
          <w:b/>
        </w:rPr>
        <w:t xml:space="preserve">[109] </w:t>
      </w:r>
      <w:hyperlink r:id="rId702">
        <w:r>
          <w:rPr>
            <w:color w:val="1155CC"/>
            <w:u w:val="single"/>
          </w:rPr>
          <w:t>由大陆架涡流介导的接近菲尔希纳-龙冰架的热量的命运</w:t>
        </w:r>
      </w:hyperlink>
    </w:p>
    <w:p>
      <w:pPr>
        <w:spacing w:before="0" w:after="80"/>
      </w:pPr>
      <w:r>
        <w:rPr>
          <w:i/>
          <w:sz w:val="20"/>
        </w:rPr>
        <w:t>EN: Fate of heat approaching the Filchner-Ronne Ice Shelf mediated by continental shelf eddies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03">
        <w:r>
          <w:rPr>
            <w:color w:val="1155CC"/>
            <w:u w:val="single"/>
          </w:rPr>
          <w:t>10.1126/sciadv.aec8232</w:t>
        </w:r>
      </w:hyperlink>
    </w:p>
    <w:p>
      <w:pPr>
        <w:spacing w:before="0" w:after="120"/>
      </w:pPr>
      <w:r>
        <w:rPr>
          <w:b/>
        </w:rPr>
        <w:t xml:space="preserve">Notes: </w:t>
      </w:r>
      <w:r>
        <w:t>abstract_source=crossref</w:t>
      </w:r>
    </w:p>
    <w:p>
      <w:pPr>
        <w:spacing w:before="0" w:after="80" w:lineRule="auto" w:line="276"/>
      </w:pPr>
      <w:r>
        <w:rPr>
          <w:b/>
        </w:rPr>
        <w:t xml:space="preserve">摘要（ZH）: </w:t>
      </w:r>
      <w:r>
        <w:t>海洋热量向南极洲冰架的转移是冰川质量平衡变化的关键驱动因素。先前的研究表明，温暖的中深度海水穿过大陆坡的转移在靠近南极洲最大的冰架处升高，在那里大陆架上形成了稠密的海水。然而，这些地区的冰架保持相对较低的面积平均融化率，这表明海洋过程必须保护它们免受流入的热量影响。在这项研究中，使用高分辨率模拟来分离向威德尔海南部菲尔希纳-龙纳冰架的传热机制。这项研究表明，海洋涡流通过沿着倾斜的密度表面搅拌热异常，将几乎所有到达大陆架的热量转移到海洋表面并远离冰架。这些发现凸显了在基底融化变化的背景下了解大陆架涡流的重要性，例如，在推动未来向南极洲最大冰架输送热量方面。</w:t>
      </w:r>
    </w:p>
    <w:p>
      <w:pPr>
        <w:spacing w:before="0" w:after="200" w:lineRule="auto" w:line="276"/>
      </w:pPr>
      <w:r>
        <w:rPr>
          <w:b/>
        </w:rPr>
        <w:t xml:space="preserve">Abstract (EN): </w:t>
      </w:r>
      <w:r>
        <w:t>Transfer of ocean heat toward Antarctica’s ice shelves is a key driver of changes in glacial mass balance. Previous work has indicated that transfer of warm, mid-depth waters across the continental slope is elevated close to Antarctica’s largest ice shelves, where dense waters form over the continental shelf. Yet, ice shelves in such regions maintain relatively low area-averaged melt rates, suggesting that ocean processes must shield them from the inflowing heat. In this study, a high-resolution simulation is used to isolate the mechanisms of heat transfer toward the Filchner-Ronne Ice Shelf in the southern Weddell Sea. This study shows that ocean eddies divert almost all heat arriving on the continental shelf up to the ocean surface and away from the ice shelf by stirring heat anomalies along tilted density surfaces. These findings highlight the importance of understanding continental shelf eddies in the context of basal melt variability, for example, in driving future heat delivery to Antarctica’s largest ice shelves.</w:t>
      </w:r>
    </w:p>
    <w:p>
      <w:pPr>
        <w:spacing w:before="120" w:after="120"/>
      </w:pPr>
      <w:r>
        <w:rPr>
          <w:sz w:val="18"/>
        </w:rPr>
        <w:t>——————————————————————————————————————————————————————————————————————</w:t>
      </w:r>
    </w:p>
    <w:p>
      <w:pPr>
        <w:spacing w:before="160" w:after="40" w:line="240" w:lineRule="auto"/>
      </w:pPr>
      <w:r>
        <w:rPr>
          <w:b/>
        </w:rPr>
        <w:t xml:space="preserve">[110] </w:t>
      </w:r>
      <w:hyperlink r:id="rId704">
        <w:r>
          <w:rPr>
            <w:color w:val="1155CC"/>
            <w:u w:val="single"/>
          </w:rPr>
          <w:t>CCR5hi 单核细胞的代谢表观遗传重连维持针对致命败血症的长期训练免疫力</w:t>
        </w:r>
      </w:hyperlink>
    </w:p>
    <w:p>
      <w:pPr>
        <w:spacing w:before="0" w:after="80"/>
      </w:pPr>
      <w:r>
        <w:rPr>
          <w:i/>
          <w:sz w:val="20"/>
        </w:rPr>
        <w:t>EN: Metabolic-epigenetic rewiring of CCR5hi monocytes sustains long-term trained immunity against lethal sepsis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05">
        <w:r>
          <w:rPr>
            <w:color w:val="1155CC"/>
            <w:u w:val="single"/>
          </w:rPr>
          <w:t>10.1126/sciadv.aee1634</w:t>
        </w:r>
      </w:hyperlink>
    </w:p>
    <w:p>
      <w:pPr>
        <w:spacing w:before="0" w:after="120"/>
      </w:pPr>
      <w:r>
        <w:rPr>
          <w:b/>
        </w:rPr>
        <w:t xml:space="preserve">Notes: </w:t>
      </w:r>
      <w:r>
        <w:t>abstract_source=crossref</w:t>
      </w:r>
    </w:p>
    <w:p>
      <w:pPr>
        <w:spacing w:before="0" w:after="80" w:lineRule="auto" w:line="276"/>
      </w:pPr>
      <w:r>
        <w:rPr>
          <w:b/>
        </w:rPr>
        <w:t xml:space="preserve">摘要（ZH）: </w:t>
      </w:r>
      <w:r>
        <w:t>经过训练的免疫通过赋予单核细胞类似记忆的特性来增强宿主的先天防御，但潜在的整合代谢和表观遗传机制仍然难以捉摸。在这里，我们证明卡介苗（BCG）和细菌脂蛋白（BLP）联合免疫可诱导持久形式的训练有素的免疫力，为从生命早期到成年期间的多种微生物败血症提供强大、长期的保护。单细胞 RNA 测序表明这种效应是由 CCR5 的扩增介导的</w:t>
      </w:r>
      <w:r>
        <w:t xml:space="preserve"> </w:t>
      </w:r>
      <w:r>
        <w:t>嗨</w:t>
      </w:r>
      <w:r>
        <w:t xml:space="preserve"> </w:t>
      </w:r>
      <w:r>
        <w:t>具有增强抗菌能力的记忆样单核细胞。从机制上讲，BCG + BLP 疫苗接种可激活 AKT-mTOR-HIF-1α 轴，驱动糖酵解重编程和乳酸积累。乳酸升高会增强 KAT2B 依赖性组蛋白 H3K18 乳酰化，这是一种直接促进吞噬和炎症基因转录的表观遗传标记。此外，BCG + BLP 刺激人脐带血单核细胞诱导 CCR5</w:t>
      </w:r>
      <w:r>
        <w:t xml:space="preserve"> </w:t>
      </w:r>
      <w:r>
        <w:t>嗨</w:t>
      </w:r>
      <w:r>
        <w:t xml:space="preserve"> </w:t>
      </w:r>
      <w:r>
        <w:t>单核细胞再现了经过训练的免疫特征。这些发现确定了乳酸-KAT2B-H3K18la表观遗传轴，该轴协调CCR5的长期重编程</w:t>
      </w:r>
      <w:r>
        <w:t xml:space="preserve"> </w:t>
      </w:r>
      <w:r>
        <w:t>嗨</w:t>
      </w:r>
      <w:r>
        <w:t xml:space="preserve"> </w:t>
      </w:r>
      <w:r>
        <w:t>单核细胞，突出显示 CCR5</w:t>
      </w:r>
      <w:r>
        <w:t xml:space="preserve"> </w:t>
      </w:r>
      <w:r>
        <w:t>嗨</w:t>
      </w:r>
      <w:r>
        <w:t xml:space="preserve"> </w:t>
      </w:r>
      <w:r>
        <w:t>单核细胞作为调节针对致命性败血症的先天免疫的有前景的治疗靶点。</w:t>
      </w:r>
    </w:p>
    <w:p>
      <w:pPr>
        <w:spacing w:before="0" w:after="200" w:lineRule="auto" w:line="276"/>
      </w:pPr>
      <w:r>
        <w:rPr>
          <w:b/>
        </w:rPr>
        <w:t xml:space="preserve">Abstract (EN): </w:t>
      </w:r>
      <w:r>
        <w:t>Trained immunity enhances innate host defense by endowing monocytes with memory-like properties, yet the underlying integrated metabolic and epigenetic mechanisms remain elusive. Here, we demonstrate that coimmunization with Bacille Calmette-Guérin (BCG) and bacterial lipoprotein (BLP) induces a durable form of trained immunity that provides robust, long-term protection against polymicrobial sepsis from early life into adulthood. Single-cell RNA sequencing revealed that this effect is mediated by an expansion of CCR5</w:t>
      </w:r>
      <w:r>
        <w:t xml:space="preserve"> </w:t>
      </w:r>
      <w:r>
        <w:t>hi</w:t>
      </w:r>
      <w:r>
        <w:t xml:space="preserve"> </w:t>
      </w:r>
      <w:r>
        <w:t>memory-like monocytes with enhanced antimicrobial capacity. Mechanistically, BCG + BLP vaccination activated the AKT–mTOR–HIF-1α axis, driving glycolytic reprogramming and lactate accumulation. Elevated lactate enhanced KAT2B-dependent histone H3K18 lactylation, an epigenetic mark directly facilitating the transcription of phagocytic and inflammatory genes. In addition, BCG + BLP stimulation of human cord blood mononuclear cells induced CCR5</w:t>
      </w:r>
      <w:r>
        <w:t xml:space="preserve"> </w:t>
      </w:r>
      <w:r>
        <w:t>hi</w:t>
      </w:r>
      <w:r>
        <w:t xml:space="preserve"> </w:t>
      </w:r>
      <w:r>
        <w:t>monocytes that recapitulated trained immunity features. These findings identify a lactate-KAT2B-H3K18la epigenetic axis that orchestrates the long-term reprogramming of CCR5</w:t>
      </w:r>
      <w:r>
        <w:t xml:space="preserve"> </w:t>
      </w:r>
      <w:r>
        <w:t>hi</w:t>
      </w:r>
      <w:r>
        <w:t xml:space="preserve"> </w:t>
      </w:r>
      <w:r>
        <w:t>monocytes, highlighting CCR5</w:t>
      </w:r>
      <w:r>
        <w:t xml:space="preserve"> </w:t>
      </w:r>
      <w:r>
        <w:t>hi</w:t>
      </w:r>
      <w:r>
        <w:t xml:space="preserve"> </w:t>
      </w:r>
      <w:r>
        <w:t>monocytes as a promising therapeutic target for modulating innate immunity against lethal sepsis.</w:t>
      </w:r>
    </w:p>
    <w:p>
      <w:pPr>
        <w:spacing w:before="120" w:after="120"/>
      </w:pPr>
      <w:r>
        <w:rPr>
          <w:sz w:val="18"/>
        </w:rPr>
        <w:t>——————————————————————————————————————————————————————————————————————</w:t>
      </w:r>
    </w:p>
    <w:p>
      <w:pPr>
        <w:spacing w:before="160" w:after="40" w:line="240" w:lineRule="auto"/>
      </w:pPr>
      <w:r>
        <w:rPr>
          <w:b/>
        </w:rPr>
        <w:t xml:space="preserve">[111] </w:t>
      </w:r>
      <w:hyperlink r:id="rId706">
        <w:r>
          <w:rPr>
            <w:color w:val="1155CC"/>
            <w:u w:val="single"/>
          </w:rPr>
          <w:t>通过自选通电子器件的对称工程动态控制界面偏振</w:t>
        </w:r>
      </w:hyperlink>
    </w:p>
    <w:p>
      <w:pPr>
        <w:spacing w:before="0" w:after="80"/>
      </w:pPr>
      <w:r>
        <w:rPr>
          <w:i/>
          <w:sz w:val="20"/>
        </w:rPr>
        <w:t>EN: Dynamically manipulated interface polarization via symmetry engineering for self-gated electronics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07">
        <w:r>
          <w:rPr>
            <w:color w:val="1155CC"/>
            <w:u w:val="single"/>
          </w:rPr>
          <w:t>10.1126/sciadv.aee4668</w:t>
        </w:r>
      </w:hyperlink>
    </w:p>
    <w:p>
      <w:pPr>
        <w:spacing w:before="0" w:after="120"/>
      </w:pPr>
      <w:r>
        <w:rPr>
          <w:b/>
        </w:rPr>
        <w:t xml:space="preserve">Notes: </w:t>
      </w:r>
      <w:r>
        <w:t>abstract_source=crossref</w:t>
      </w:r>
    </w:p>
    <w:p>
      <w:pPr>
        <w:spacing w:before="0" w:after="80" w:lineRule="auto" w:line="276"/>
      </w:pPr>
      <w:r>
        <w:rPr>
          <w:b/>
        </w:rPr>
        <w:t xml:space="preserve">摘要（ZH）: </w:t>
      </w:r>
      <w:r>
        <w:t>接口一直是凝聚态物理功能器件的关键。然而，界面对称性的动态调节及其后续效应仍然被低估，特别是在散装材料中。在这里，我们证明了界面晶体学对称性可以通过电场诱导体中心对称半导体（TiO2）中的氧空位重排来精确调节。</w:t>
      </w:r>
      <w:r>
        <w:rPr>
          <w:vertAlign w:val="subscript"/>
        </w:rPr>
        <w:t>2</w:t>
      </w:r>
      <w:r>
        <w:t>,钛酸锶</w:t>
      </w:r>
      <w:r>
        <w:rPr>
          <w:vertAlign w:val="subscript"/>
        </w:rPr>
        <w:t>3</w:t>
      </w:r>
      <w:r>
        <w:t>等），从而产生可调的界面偏振。我们的结果表明，金属-半导体异质结构的界面极化可以以非易失性方式可逆地改变，机电响应可调范围为 6.79 至 9.07 p.m./V，与常见的压电半导体（ZnO、GaN、MoS2）相当。</w:t>
      </w:r>
      <w:r>
        <w:rPr>
          <w:vertAlign w:val="subscript"/>
        </w:rPr>
        <w:t>2</w:t>
      </w:r>
      <w:r>
        <w:t>等）。在金属-半导体异质结构中实现了实质性的自门控载流子传输，肖特基势垒调谐为 30.8 meV。此外，自选通电子器件有效地简化了逻辑器件的复杂结构，通过可编程接口极化集成逻辑和存储操作。这些发现提供了一种独特的方法来设计界面对称性和功能，超越了块状中心对称材料的固有限制。</w:t>
      </w:r>
    </w:p>
    <w:p>
      <w:pPr>
        <w:spacing w:before="0" w:after="200" w:lineRule="auto" w:line="276"/>
      </w:pPr>
      <w:r>
        <w:rPr>
          <w:b/>
        </w:rPr>
        <w:t xml:space="preserve">Abstract (EN): </w:t>
      </w:r>
      <w:r>
        <w:t>Interfaces have always been a key for functional devices in condensed-matter physic. However, dynamic regulation of interfacial symmetry and the subsequent effects have still been underestimated, especially in bulk materials. Here, we show that the interfacial crystallographic symmetry can be precisely modulated by electric field induced oxygen vacancy rearrangement in bulk centrosymmetric semiconductors (TiO</w:t>
      </w:r>
      <w:r>
        <w:rPr>
          <w:vertAlign w:val="subscript"/>
        </w:rPr>
        <w:t>2</w:t>
      </w:r>
      <w:r>
        <w:t>, SrTiO</w:t>
      </w:r>
      <w:r>
        <w:rPr>
          <w:vertAlign w:val="subscript"/>
        </w:rPr>
        <w:t>3</w:t>
      </w:r>
      <w:r>
        <w:t>, etc.), resulting in tunable interface polarization. Our results show that the interface polarization of metal-semiconductor heterostructure can be reversibly modified in a nonvolatile manner, with a tunable electromechanical response varying from 6.79 to 9.07 p.m./V, which is comparable to common piezoelectric semiconductors (ZnO, GaN, MoS</w:t>
      </w:r>
      <w:r>
        <w:rPr>
          <w:vertAlign w:val="subscript"/>
        </w:rPr>
        <w:t>2</w:t>
      </w:r>
      <w:r>
        <w:t>, etc.). Substantial self-gated carrier transport in metal-semiconductor heterostructure is achieved, with a Schottky barrier tuned by 30.8 meV. Furthermore, the self-gated electronics effectively simplifies the complicated structures of logic devices, integrating logic and storage operations through programmable interface polarization. These findings offer a distinctive approach to design the interface symmetry and functionalities beyond the intrinsic limitation of bulk centrosymmetric materials.</w:t>
      </w:r>
    </w:p>
    <w:p>
      <w:pPr>
        <w:spacing w:before="120" w:after="120"/>
      </w:pPr>
      <w:r>
        <w:rPr>
          <w:sz w:val="18"/>
        </w:rPr>
        <w:t>——————————————————————————————————————————————————————————————————————</w:t>
      </w:r>
    </w:p>
    <w:p>
      <w:pPr>
        <w:spacing w:before="160" w:after="40" w:line="240" w:lineRule="auto"/>
      </w:pPr>
      <w:r>
        <w:rPr>
          <w:b/>
        </w:rPr>
        <w:t xml:space="preserve">[112] </w:t>
      </w:r>
      <w:hyperlink r:id="rId708">
        <w:r>
          <w:rPr>
            <w:color w:val="1155CC"/>
            <w:u w:val="single"/>
          </w:rPr>
          <w:t>脱落酸调节的 CmABF1 和 CmBRM 稳定性通过 CmHSFA4 的表观遗传调控调节菊花的耐盐性</w:t>
        </w:r>
      </w:hyperlink>
    </w:p>
    <w:p>
      <w:pPr>
        <w:spacing w:before="0" w:after="80"/>
      </w:pPr>
      <w:r>
        <w:rPr>
          <w:i/>
          <w:sz w:val="20"/>
        </w:rPr>
        <w:t>EN: Abscisic acid–regulated stability of CmABF1 and CmBRM modulates salt tolerance in chrysanthemum via epigenetic regulation of CmHSFA4</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09">
        <w:r>
          <w:rPr>
            <w:color w:val="1155CC"/>
            <w:u w:val="single"/>
          </w:rPr>
          <w:t>10.1126/sciadv.aed2521</w:t>
        </w:r>
      </w:hyperlink>
    </w:p>
    <w:p>
      <w:pPr>
        <w:spacing w:before="0" w:after="120"/>
      </w:pPr>
      <w:r>
        <w:rPr>
          <w:b/>
        </w:rPr>
        <w:t xml:space="preserve">Notes: </w:t>
      </w:r>
      <w:r>
        <w:t>abstract_source=crossref</w:t>
      </w:r>
    </w:p>
    <w:p>
      <w:pPr>
        <w:spacing w:before="0" w:after="80" w:lineRule="auto" w:line="276"/>
      </w:pPr>
      <w:r>
        <w:rPr>
          <w:b/>
        </w:rPr>
        <w:t xml:space="preserve">摘要（ZH）: </w:t>
      </w:r>
      <w:r>
        <w:t>土壤盐碱化对全球农业生产力和植物生物多样性构成重大威胁。植物激素脱落酸 (ABA) 对于植物适应非生物胁迫至关重要。然而，ABA 协调信号蛋白翻译后修饰与表观遗传调控的机制仍知之甚少。在这里，我们发现盐胁迫诱导的 ABA 积累上调</w:t>
      </w:r>
      <w:r>
        <w:t xml:space="preserve"> </w:t>
      </w:r>
      <w:r>
        <w:t>热休克因子 4</w:t>
      </w:r>
      <w:r>
        <w:t xml:space="preserve"> </w:t>
      </w:r>
      <w:r>
        <w:t>（</w:t>
      </w:r>
      <w:r>
        <w:t xml:space="preserve"> </w:t>
      </w:r>
      <w:r>
        <w:t>HSFA4</w:t>
      </w:r>
      <w:r>
        <w:t xml:space="preserve"> </w:t>
      </w:r>
      <w:r>
        <w:t>），一种已知能增强菊花耐盐性的基因。 ABA 响应转录因子 ABRE 结合因子 1 (CmABF1) 与</w:t>
      </w:r>
      <w:r>
        <w:t xml:space="preserve"> </w:t>
      </w:r>
      <w:r>
        <w:t>HSFA4</w:t>
      </w:r>
      <w:r>
        <w:t xml:space="preserve"> </w:t>
      </w:r>
      <w:r>
        <w:t>启动子激活其表达，并招募染色质重塑剂 BRAHMA (CmBRM) 通过限制 H3 赖氨酸 4 三甲基化 (H3K4me3) 沉积来抑制转录。我们进一步证明，ABA 激活的蔗糖非发酵 1 相关蛋白激酶 2.2 (CmSnRK2.2) 磷酸化并稳定 CmABF1，同时在盐胁迫下磷酸化并促进 CmBRM 降解。这种双重调节增强了 H3K4me3 的富集</w:t>
      </w:r>
      <w:r>
        <w:t xml:space="preserve"> </w:t>
      </w:r>
      <w:r>
        <w:t>HSFA4</w:t>
      </w:r>
      <w:r>
        <w:t xml:space="preserve"> </w:t>
      </w:r>
      <w:r>
        <w:t>启动子，从而诱导其转录并赋予耐盐性。总之，我们的研究结果揭示了 ABA-SnRK2.2-ABF1/BRM 信号模块，该模块将磷酸化依赖性蛋白质稳定和降解与组蛋白甲基化动力学相结合，以微调菊花中的盐胁迫响应基因表达。</w:t>
      </w:r>
    </w:p>
    <w:p>
      <w:pPr>
        <w:spacing w:before="0" w:after="200" w:lineRule="auto" w:line="276"/>
      </w:pPr>
      <w:r>
        <w:rPr>
          <w:b/>
        </w:rPr>
        <w:t xml:space="preserve">Abstract (EN): </w:t>
      </w:r>
      <w:r>
        <w:t>Soil salinization poses a major threat to global agricultural productivity and plant biodiversity. The phytohormone abscisic acid (ABA) is central to plant adaptation to abiotic stress; however, the mechanisms by which ABA coordinates posttranslational modifications of signaling proteins with epigenetic regulation remain poorly understood. Here, we show that salt stress–induced ABA accumulation up-regulates</w:t>
      </w:r>
      <w:r>
        <w:t xml:space="preserve"> </w:t>
      </w:r>
      <w:r>
        <w:t>Heat Shock Factor 4</w:t>
      </w:r>
      <w:r>
        <w:t xml:space="preserve"> </w:t>
      </w:r>
      <w:r>
        <w:t>(</w:t>
      </w:r>
      <w:r>
        <w:t xml:space="preserve"> </w:t>
      </w:r>
      <w:r>
        <w:t>CmHSFA4</w:t>
      </w:r>
      <w:r>
        <w:t xml:space="preserve"> </w:t>
      </w:r>
      <w:r>
        <w:t>), a gene that is known to enhance chrysanthemum salt tolerance. The ABA responsive transcription factor ABRE binding factor 1 (CmABF1) binds to the</w:t>
      </w:r>
      <w:r>
        <w:t xml:space="preserve"> </w:t>
      </w:r>
      <w:r>
        <w:t>CmHSFA4</w:t>
      </w:r>
      <w:r>
        <w:t xml:space="preserve"> </w:t>
      </w:r>
      <w:r>
        <w:t>promoter to activate its expression and also recruits the chromatin remodeler BRAHMA (CmBRM) to repress transcription by limiting H3 lysine-4 trimethylation (H3K4me3) deposition. We further demonstrate that the ABA-activated sucrose non-fermenting-1-related protein kinase 2.2 (CmSnRK2.2) phosphorylates and stabilizes CmABF1, while concurrently phosphorylating and promoting CmBRM degradation under salt stress. This dual regulation enhances H3K4me3 enrichment at the</w:t>
      </w:r>
      <w:r>
        <w:t xml:space="preserve"> </w:t>
      </w:r>
      <w:r>
        <w:t>CmHSFA4</w:t>
      </w:r>
      <w:r>
        <w:t xml:space="preserve"> </w:t>
      </w:r>
      <w:r>
        <w:t>promoter, thereby inducing its transcription and conferring salt tolerance. Together, our findings reveal an ABA-SnRK2.2-ABF1/BRM signaling module that integrates phosphorylation-dependent protein stabilization and degradation with histone methylation dynamics to fine-tune salt stress–responsive gene expression in chrysanthemum.</w:t>
      </w:r>
    </w:p>
    <w:p>
      <w:pPr>
        <w:spacing w:before="120" w:after="120"/>
      </w:pPr>
      <w:r>
        <w:rPr>
          <w:sz w:val="18"/>
        </w:rPr>
        <w:t>——————————————————————————————————————————————————————————————————————</w:t>
      </w:r>
    </w:p>
    <w:p>
      <w:pPr>
        <w:spacing w:before="160" w:after="40" w:line="240" w:lineRule="auto"/>
      </w:pPr>
      <w:r>
        <w:rPr>
          <w:b/>
        </w:rPr>
        <w:t xml:space="preserve">[113] </w:t>
      </w:r>
      <w:hyperlink r:id="rId710">
        <w:r>
          <w:rPr>
            <w:color w:val="1155CC"/>
            <w:u w:val="single"/>
          </w:rPr>
          <w:t>相互作用拓扑理论破译了类MOF材料的多尺度代码</w:t>
        </w:r>
      </w:hyperlink>
    </w:p>
    <w:p>
      <w:pPr>
        <w:spacing w:before="0" w:after="80"/>
      </w:pPr>
      <w:r>
        <w:rPr>
          <w:i/>
          <w:sz w:val="20"/>
        </w:rPr>
        <w:t>EN: Interaction topology theory deciphers multiscale codes of MOF-like materials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11">
        <w:r>
          <w:rPr>
            <w:color w:val="1155CC"/>
            <w:u w:val="single"/>
          </w:rPr>
          <w:t>10.1126/sciadv.aee8016</w:t>
        </w:r>
      </w:hyperlink>
    </w:p>
    <w:p>
      <w:pPr>
        <w:spacing w:before="0" w:after="120"/>
      </w:pPr>
      <w:r>
        <w:rPr>
          <w:b/>
        </w:rPr>
        <w:t xml:space="preserve">Notes: </w:t>
      </w:r>
      <w:r>
        <w:t>abstract_source=crossref</w:t>
      </w:r>
    </w:p>
    <w:p>
      <w:pPr>
        <w:spacing w:before="0" w:after="80" w:lineRule="auto" w:line="276"/>
      </w:pPr>
      <w:r>
        <w:rPr>
          <w:b/>
        </w:rPr>
        <w:t xml:space="preserve">摘要（ZH）: </w:t>
      </w:r>
      <w:r>
        <w:t>金属有机框架 (MOF) 和类 MOF 多孔材料表现出巨大的结构多样性，支持气体储存、分离和催化领域的关键应用。预测建模仍然很困难，因为它们的结构-性能关系是多尺度和笼状的，受局部化学环境和全局孔隙网络拓扑的控制。这些挑战，加上稀疏且分布不均匀的标记数据，阻碍了跨材料家族的泛化。我们开发了交互拓扑理论，并提出了交互拓扑变换器（ITT），这是一种数据高效的框架，可以捕获多个尺度和级别的材料信息，包括结构、元素、原子和成对元素组织。 ITT 提取反映复杂多孔框架中的组成和关系结构的尺度感知特征，并通过变压器架构将它们集成，以进行跨尺度的联合推理。通过对超过 60 万个未标记结构进行自我监督预训练，然后进行监督微调，ITT 在 17 项任务中实现了对吸附、传输和稳定性特性的准确、可转移、最先进的预测，为各种类 MOF 材料的学习引导发现提供了原则性和可扩展的策略。</w:t>
      </w:r>
    </w:p>
    <w:p>
      <w:pPr>
        <w:spacing w:before="0" w:after="200" w:lineRule="auto" w:line="276"/>
      </w:pPr>
      <w:r>
        <w:rPr>
          <w:b/>
        </w:rPr>
        <w:t xml:space="preserve">Abstract (EN): </w:t>
      </w:r>
      <w:r>
        <w:t>Metal-organic frameworks (MOFs) and MOF-like porous materials exhibit vast structural diversity and support critical applications in gas storage, separations, and catalysis. Predictive modeling remains difficult because their structure-property relationships are multiscale and cage-like, governed by both local chemical environments and global pore-network topology. These challenges, together with sparse and unevenly distributed labeled data, hinder generalization across material families. We develop an interaction topology theory and propose the interaction topological transformer (ITT), a data-efficient framework that captures materials information across multiple scales and levels, including structural, elemental, atomic, and pairwise-elemental organization. ITT extracts scale-aware features reflecting both compositional and relational structures in complex porous frameworks and integrates them through a transformer architecture for joint reasoning across scales. Using self-supervised pretraining on more than 0.6 million unlabeled structures followed by supervised fine-tuning, ITT achieves accurate, transferable, state-of-the-art predictions for adsorption, transport, and stability properties across 17 tasks, providing a principled and scalable strategy for learning-guided discovery in diverse MOF-like materials.</w:t>
      </w:r>
    </w:p>
    <w:p>
      <w:pPr>
        <w:spacing w:before="120" w:after="120"/>
      </w:pPr>
      <w:r>
        <w:rPr>
          <w:sz w:val="18"/>
        </w:rPr>
        <w:t>——————————————————————————————————————————————————————————————————————</w:t>
      </w:r>
    </w:p>
    <w:p>
      <w:pPr>
        <w:spacing w:before="160" w:after="40" w:line="240" w:lineRule="auto"/>
      </w:pPr>
      <w:r>
        <w:rPr>
          <w:b/>
        </w:rPr>
        <w:t xml:space="preserve">[114] </w:t>
      </w:r>
      <w:hyperlink r:id="rId712">
        <w:r>
          <w:rPr>
            <w:color w:val="1155CC"/>
            <w:u w:val="single"/>
          </w:rPr>
          <w:t>正交 DNA 条形码可实现亚群解析的细胞外囊泡 miRNA 分析</w:t>
        </w:r>
      </w:hyperlink>
    </w:p>
    <w:p>
      <w:pPr>
        <w:spacing w:before="0" w:after="80"/>
      </w:pPr>
      <w:r>
        <w:rPr>
          <w:i/>
          <w:sz w:val="20"/>
        </w:rPr>
        <w:t>EN: Orthogonal DNA barcoding enables subpopulation-resolved extracellular vesicle miRNA profiling</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13">
        <w:r>
          <w:rPr>
            <w:color w:val="1155CC"/>
            <w:u w:val="single"/>
          </w:rPr>
          <w:t>10.1126/sciadv.aef8133</w:t>
        </w:r>
      </w:hyperlink>
    </w:p>
    <w:p>
      <w:pPr>
        <w:spacing w:before="0" w:after="120"/>
      </w:pPr>
      <w:r>
        <w:rPr>
          <w:b/>
        </w:rPr>
        <w:t xml:space="preserve">Notes: </w:t>
      </w:r>
      <w:r>
        <w:t>abstract_source=crossref</w:t>
      </w:r>
    </w:p>
    <w:p>
      <w:pPr>
        <w:spacing w:before="0" w:after="80" w:lineRule="auto" w:line="276"/>
      </w:pPr>
      <w:r>
        <w:rPr>
          <w:b/>
        </w:rPr>
        <w:t xml:space="preserve">摘要（ZH）: </w:t>
      </w:r>
      <w:r>
        <w:t>细胞外囊泡相关 microRNA (EV-miRNA) 有望用于液体活检，但其临床应用受到 EV 异质性的阻碍。在这里，我们报告了 DEEPER，一个 DNA 编码的正交识别平台，用于对肿瘤来源的 EV 亚群进行选择性条形码和原位 miRNA 分析。 DEEPER 使用四种针对分化簇 44 (CD44)、表皮生长因子受体 (EGFR)、人表皮生长因子受体 2 (HER2) 和程序性死亡配体 1 (PD-L1) 的适体来生成区分 15 个 EV 亚群的正交条形码。然后，带有条形码的 EV 与脂质体探针进行靶向膜融合，从而能够对亚群特异性 miRNA 进行灵敏的原位分析。在由 60 个胃癌患者 (GC) 和健康捐赠者 (HD) 组成的样本队列中，DEEPER 确定了一个高性能特征 GC-EV miRNA Prime，其中包含 EGFR</w:t>
      </w:r>
      <w:r>
        <w:t xml:space="preserve"> </w:t>
      </w:r>
      <w:r>
        <w:t>+</w:t>
      </w:r>
      <w:r>
        <w:t xml:space="preserve"> </w:t>
      </w:r>
      <w:r>
        <w:t>,EGFR</w:t>
      </w:r>
      <w:r>
        <w:t xml:space="preserve"> </w:t>
      </w:r>
      <w:r>
        <w:t>+</w:t>
      </w:r>
      <w:r>
        <w:t xml:space="preserve"> </w:t>
      </w:r>
      <w:r>
        <w:t>HER2</w:t>
      </w:r>
      <w:r>
        <w:t xml:space="preserve"> </w:t>
      </w:r>
      <w:r>
        <w:t>+</w:t>
      </w:r>
      <w:r>
        <w:t xml:space="preserve"> </w:t>
      </w:r>
      <w:r>
        <w:t>，和EGFR</w:t>
      </w:r>
      <w:r>
        <w:t xml:space="preserve"> </w:t>
      </w:r>
      <w:r>
        <w:t>+</w:t>
      </w:r>
      <w:r>
        <w:t xml:space="preserve"> </w:t>
      </w:r>
      <w:r>
        <w:t>HER2</w:t>
      </w:r>
      <w:r>
        <w:t xml:space="preserve"> </w:t>
      </w:r>
      <w:r>
        <w:t>+</w:t>
      </w:r>
      <w:r>
        <w:t xml:space="preserve"> </w:t>
      </w:r>
      <w:r>
        <w:t>CD44</w:t>
      </w:r>
      <w:r>
        <w:t xml:space="preserve"> </w:t>
      </w:r>
      <w:r>
        <w:t>+</w:t>
      </w:r>
      <w:r>
        <w:t xml:space="preserve"> </w:t>
      </w:r>
      <w:r>
        <w:t>EV，诊断准确率高达 98.3%。相同的分析框架还以 95.5% 的准确度评估肿瘤侵袭性。机制研究进一步表明这些 EV-miRNA 有助于肿瘤进展。总之，DEEPER不仅证实了基于EV-miRNA的液体活检的临床应用价值，而且还通过EV亚群对驱动癌症发展的机制提供了独特的见解。</w:t>
      </w:r>
    </w:p>
    <w:p>
      <w:pPr>
        <w:spacing w:before="0" w:after="200" w:lineRule="auto" w:line="276"/>
      </w:pPr>
      <w:r>
        <w:rPr>
          <w:b/>
        </w:rPr>
        <w:t xml:space="preserve">Abstract (EN): </w:t>
      </w:r>
      <w:r>
        <w:t>Extracellular vesicle–associated microRNAs (EV-miRNAs) hold promise for liquid biopsy, but their clinical utility is hindered by EV heterogeneity. Here, we report DEEPER, a DNA-encoded orthogonal recognition platform for selective barcoding of tumor-derived EV subpopulations and in situ miRNA profiling. DEEPER uses four aptamers targeting Cluster of Differentiation 44 (CD44), Epidermal Growth Factor Receptor‌ (EGFR), Human Epidermal Growth Factor Receptor 2‌ (HER2), and ‌Programmed Death-Ligand 1(PD-L1) to generate orthogonal barcodes that distinguish 15 EV subpopulations. Barcoded EVs then undergo targeted membrane fusion with liposome probes, enabling sensitive in situ analysis of subpopulation-specific miRNAs. In a 60-sample cohort of patients with gastric cancer (GC) and healthy donors (HDs), DEEPER identified a high-performing signature, GC-EV miRNA Prime, comprising EGFR</w:t>
      </w:r>
      <w:r>
        <w:t xml:space="preserve"> </w:t>
      </w:r>
      <w:r>
        <w:t>+</w:t>
      </w:r>
      <w:r>
        <w:t xml:space="preserve"> </w:t>
      </w:r>
      <w:r>
        <w:t>, EGFR</w:t>
      </w:r>
      <w:r>
        <w:t xml:space="preserve"> </w:t>
      </w:r>
      <w:r>
        <w:t>+</w:t>
      </w:r>
      <w:r>
        <w:t xml:space="preserve"> </w:t>
      </w:r>
      <w:r>
        <w:t>HER2</w:t>
      </w:r>
      <w:r>
        <w:t xml:space="preserve"> </w:t>
      </w:r>
      <w:r>
        <w:t>+</w:t>
      </w:r>
      <w:r>
        <w:t xml:space="preserve"> </w:t>
      </w:r>
      <w:r>
        <w:t>, and EGFR</w:t>
      </w:r>
      <w:r>
        <w:t xml:space="preserve"> </w:t>
      </w:r>
      <w:r>
        <w:t>+</w:t>
      </w:r>
      <w:r>
        <w:t xml:space="preserve"> </w:t>
      </w:r>
      <w:r>
        <w:t>HER2</w:t>
      </w:r>
      <w:r>
        <w:t xml:space="preserve"> </w:t>
      </w:r>
      <w:r>
        <w:t>+</w:t>
      </w:r>
      <w:r>
        <w:t xml:space="preserve"> </w:t>
      </w:r>
      <w:r>
        <w:t>CD44</w:t>
      </w:r>
      <w:r>
        <w:t xml:space="preserve"> </w:t>
      </w:r>
      <w:r>
        <w:t>+</w:t>
      </w:r>
      <w:r>
        <w:t xml:space="preserve"> </w:t>
      </w:r>
      <w:r>
        <w:t>EVs, which achieved 98.3% diagnostic accuracy. The same profiling framework also assessed tumor invasiveness with 95.5% accuracy. Mechanistic studies further showed that these EV-miRNAs contribute to tumor progression. In summary, DEEPER not only confirmed the clinical application value of EV-miRNA–based liquid biopsy but also provided unique insights through the EV subpopulations into the mechanisms driving cancer development.</w:t>
      </w:r>
    </w:p>
    <w:p>
      <w:pPr>
        <w:spacing w:before="120" w:after="120"/>
      </w:pPr>
      <w:r>
        <w:rPr>
          <w:sz w:val="18"/>
        </w:rPr>
        <w:t>——————————————————————————————————————————————————————————————————————</w:t>
      </w:r>
    </w:p>
    <w:p>
      <w:pPr>
        <w:spacing w:before="160" w:after="40" w:line="240" w:lineRule="auto"/>
      </w:pPr>
      <w:r>
        <w:rPr>
          <w:b/>
        </w:rPr>
        <w:t xml:space="preserve">[115] </w:t>
      </w:r>
      <w:hyperlink r:id="rId714">
        <w:r>
          <w:rPr>
            <w:color w:val="1155CC"/>
            <w:u w:val="single"/>
          </w:rPr>
          <w:t>利用雷暴产生的地震波对地球地下进行成像</w:t>
        </w:r>
      </w:hyperlink>
    </w:p>
    <w:p>
      <w:pPr>
        <w:spacing w:before="0" w:after="80"/>
      </w:pPr>
      <w:r>
        <w:rPr>
          <w:i/>
          <w:sz w:val="20"/>
        </w:rPr>
        <w:t>EN: Imaging Earth’s subsurface with thunderstorm-generated seismic waves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15">
        <w:r>
          <w:rPr>
            <w:color w:val="1155CC"/>
            <w:u w:val="single"/>
          </w:rPr>
          <w:t>10.1126/sciadv.aeg8096</w:t>
        </w:r>
      </w:hyperlink>
    </w:p>
    <w:p>
      <w:pPr>
        <w:spacing w:before="0" w:after="120"/>
      </w:pPr>
      <w:r>
        <w:rPr>
          <w:b/>
        </w:rPr>
        <w:t xml:space="preserve">Notes: </w:t>
      </w:r>
      <w:r>
        <w:t>abstract_source=crossref</w:t>
      </w:r>
    </w:p>
    <w:p>
      <w:pPr>
        <w:spacing w:before="0" w:after="80" w:lineRule="auto" w:line="276"/>
      </w:pPr>
      <w:r>
        <w:rPr>
          <w:b/>
        </w:rPr>
        <w:t xml:space="preserve">摘要（ZH）: </w:t>
      </w:r>
      <w:r>
        <w:t>雷声产生大气声波，耦合到地面，产生称为“雷震”的地震信号。尽管被广泛观察到，但这种大气-固体地球转换很少被用于成像，因为耦合波场很复杂，而且其控制物理场约束很差。在这里，我们表明，使用分布式声学传感（DAS）的现有电信光纤电缆记录的雷震包含相干空气耦合瑞利波，可以作为近地表层析成像的地震能源。我们使用三维谱元模拟和雷震的色散模型验证了这一机制。我们分析了 2.5 年的连续 DAS 数据和经闪电记录验证的 458 次高保真雷震目录。互相关虚拟源干涉测量和叠加产生分散的表面波，我们从中反演城市喀斯特环境下约 100 米深度的剪切波速度结构。由此产生的断层扫描图像揭示了几个以前未检测到的薄弱区域，其中一些区域与干涉合成孔径雷达测量的表面变形一致。层析成像结果通过独立的钻孔测井和工程测量得到进一步验证。我们的研究结果表明，雷能可以转化为固体地球中的色散地震波场，并且雷震可以作为新颖的气象驱动源，在传统地震源有限的地区进行地震成像。</w:t>
      </w:r>
    </w:p>
    <w:p>
      <w:pPr>
        <w:spacing w:before="0" w:after="200" w:lineRule="auto" w:line="276"/>
      </w:pPr>
      <w:r>
        <w:rPr>
          <w:b/>
        </w:rPr>
        <w:t xml:space="preserve">Abstract (EN): </w:t>
      </w:r>
      <w:r>
        <w:t>Thunder generates atmospheric acoustic waves that couple into the ground, producing seismic signals called “thunderquakes.” Although widely observed, this atmosphere-solid Earth conversion has rarely been exploited for imaging because the coupled wavefield is complex and its governing physics are poorly constrained. Here, we show that thunderquakes recorded by preexisting telecommunication fiber-optic cables using distributed acoustic sensing (DAS) contain coherent air-coupled Rayleigh waves that can serve as seismic energy sources for near-surface tomography. We validate this mechanism using three-dimensional spectral-element simulations and dispersion modeling of thunderquakes. We analyze 2.5 years of continuous DAS data and a catalog of 458 high-fidelity thunderquakes validated by lightning records. Cross-correlation virtual-source interferometry and stacking yield dispersed surface waves from which we invert shear-wave velocity structure to ∼100-meter-depth beneath an urban karst setting. The resulting tomographic image reveals several previously undetected weak zones, some coinciding with surface deformation measured by Interferometric Synthetic Aperture Radar. The tomographic results are further validated by independent borehole logs and engineering surveys. Our results establish that thunder energy can be converted into dispersive seismic wavefields in the solid Earth and that thunderquakes can act as novel, meteorologically driven sources for seismic imaging in regions with limited access to traditional seismic sources.</w:t>
      </w:r>
    </w:p>
    <w:p>
      <w:pPr>
        <w:spacing w:before="120" w:after="120"/>
      </w:pPr>
      <w:r>
        <w:rPr>
          <w:sz w:val="18"/>
        </w:rPr>
        <w:t>——————————————————————————————————————————————————————————————————————</w:t>
      </w:r>
    </w:p>
    <w:p>
      <w:pPr>
        <w:spacing w:before="160" w:after="40" w:line="240" w:lineRule="auto"/>
      </w:pPr>
      <w:r>
        <w:rPr>
          <w:b/>
        </w:rPr>
        <w:t xml:space="preserve">[116] </w:t>
      </w:r>
      <w:hyperlink r:id="rId716">
        <w:r>
          <w:rPr>
            <w:color w:val="1155CC"/>
            <w:u w:val="single"/>
          </w:rPr>
          <w:t>抗原经历过的气道CD8+效应记忆T细胞促进脾脏中分枝杆菌杀灭的迂回途径</w:t>
        </w:r>
      </w:hyperlink>
    </w:p>
    <w:p>
      <w:pPr>
        <w:spacing w:before="0" w:after="80"/>
      </w:pPr>
      <w:r>
        <w:rPr>
          <w:i/>
          <w:sz w:val="20"/>
        </w:rPr>
        <w:t>EN: Antigen-experienced airway CD8+ effector memory T cells promote a detour pathway for mycobacterial killing in the spleen</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17">
        <w:r>
          <w:rPr>
            <w:color w:val="1155CC"/>
            <w:u w:val="single"/>
          </w:rPr>
          <w:t>10.1126/sciadv.aec7792</w:t>
        </w:r>
      </w:hyperlink>
    </w:p>
    <w:p>
      <w:pPr>
        <w:spacing w:before="0" w:after="120"/>
      </w:pPr>
      <w:r>
        <w:rPr>
          <w:b/>
        </w:rPr>
        <w:t xml:space="preserve">Notes: </w:t>
      </w:r>
      <w:r>
        <w:t>abstract_source=crossref</w:t>
      </w:r>
    </w:p>
    <w:p>
      <w:pPr>
        <w:spacing w:before="0" w:after="80" w:lineRule="auto" w:line="276"/>
      </w:pPr>
      <w:r>
        <w:rPr>
          <w:b/>
        </w:rPr>
        <w:t xml:space="preserve">摘要（ZH）: </w:t>
      </w:r>
      <w:r>
        <w:t>T细胞免疫反应延迟3周</w:t>
      </w:r>
      <w:r>
        <w:t xml:space="preserve"> </w:t>
      </w:r>
      <w:r>
        <w:t>结核分枝杆菌</w:t>
      </w:r>
      <w:r>
        <w:t xml:space="preserve"> </w:t>
      </w:r>
      <w:r>
        <w:t>（</w:t>
      </w:r>
      <w:r>
        <w:t xml:space="preserve"> </w:t>
      </w:r>
      <w:r>
        <w:t>山地车</w:t>
      </w:r>
      <w:r>
        <w:t xml:space="preserve"> </w:t>
      </w:r>
      <w:r>
        <w:t>）感染会损害肺部细菌控制，导致结核病 (TB)。恢复T细胞功能是当务之急。我们如何确定气道 CD44</w:t>
      </w:r>
      <w:r>
        <w:t xml:space="preserve"> </w:t>
      </w:r>
      <w:r>
        <w:t>+</w:t>
      </w:r>
      <w:r>
        <w:t xml:space="preserve"> </w:t>
      </w:r>
      <w:r>
        <w:t>CD62L</w:t>
      </w:r>
      <w:r>
        <w:t xml:space="preserve"> </w:t>
      </w:r>
      <w:r>
        <w:t>-</w:t>
      </w:r>
      <w:r>
        <w:t>KLRG1</w:t>
      </w:r>
      <w:r>
        <w:t xml:space="preserve"> </w:t>
      </w:r>
      <w:r>
        <w:t>+</w:t>
      </w:r>
      <w:r>
        <w:t xml:space="preserve"> </w:t>
      </w:r>
      <w:r>
        <w:t>CD8</w:t>
      </w:r>
      <w:r>
        <w:t xml:space="preserve"> </w:t>
      </w:r>
      <w:r>
        <w:t>+</w:t>
      </w:r>
      <w:r>
        <w:t xml:space="preserve"> </w:t>
      </w:r>
      <w:r>
        <w:t>效应记忆T细胞（T</w:t>
      </w:r>
      <w:r>
        <w:t xml:space="preserve"> </w:t>
      </w:r>
      <w:r>
        <w:t>EM</w:t>
      </w:r>
      <w:r>
        <w:t xml:space="preserve"> </w:t>
      </w:r>
      <w:r>
        <w:t>）在肺中通过脾脏增强分枝杆菌清除率。出乎意料的是，小鼠反复接触卡介苗后产生的二次免疫反应产生了较低数量的 T</w:t>
      </w:r>
      <w:r>
        <w:t xml:space="preserve"> </w:t>
      </w:r>
      <w:r>
        <w:t>EM</w:t>
      </w:r>
      <w:r>
        <w:t xml:space="preserve"> </w:t>
      </w:r>
      <w:r>
        <w:t>与初级。矛盾的是，由于次级 T 的运输增强，较低的数量与更快的细菌清除相关</w:t>
      </w:r>
      <w:r>
        <w:t xml:space="preserve"> </w:t>
      </w:r>
      <w:r>
        <w:t>EM</w:t>
      </w:r>
      <w:r>
        <w:t xml:space="preserve"> </w:t>
      </w:r>
      <w:r>
        <w:t>到脾脏，在那里它们对抗原做出反应。此外，次级T</w:t>
      </w:r>
      <w:r>
        <w:t xml:space="preserve"> </w:t>
      </w:r>
      <w:r>
        <w:t>EM</w:t>
      </w:r>
      <w:r>
        <w:t xml:space="preserve"> </w:t>
      </w:r>
      <w:r>
        <w:t>招募树突状细胞，加速细菌从肺到脾的转移。用阈值数量的气道源性继发 T 治疗小鼠</w:t>
      </w:r>
      <w:r>
        <w:t xml:space="preserve"> </w:t>
      </w:r>
      <w:r>
        <w:t>EM</w:t>
      </w:r>
      <w:r>
        <w:t xml:space="preserve"> </w:t>
      </w:r>
      <w:r>
        <w:t>显着减少</w:t>
      </w:r>
      <w:r>
        <w:t xml:space="preserve"> </w:t>
      </w:r>
      <w:r>
        <w:t>山地车</w:t>
      </w:r>
      <w:r>
        <w:t xml:space="preserve"> </w:t>
      </w:r>
      <w:r>
        <w:t>肺和脾的负担。值得注意的是，</w:t>
      </w:r>
      <w:r>
        <w:t xml:space="preserve"> </w:t>
      </w:r>
      <w:r>
        <w:t>山地车</w:t>
      </w:r>
      <w:r>
        <w:t xml:space="preserve"> </w:t>
      </w:r>
      <w:r>
        <w:t>杀戮速度至少加快了15天。重复的抗原遭遇绕过了启动要求并增强了 T</w:t>
      </w:r>
      <w:r>
        <w:t xml:space="preserve"> </w:t>
      </w:r>
      <w:r>
        <w:t>EM</w:t>
      </w:r>
    </w:p>
    <w:p>
      <w:pPr>
        <w:spacing w:before="0" w:after="200" w:lineRule="auto" w:line="276"/>
      </w:pPr>
      <w:r>
        <w:rPr>
          <w:b/>
        </w:rPr>
        <w:t xml:space="preserve">Abstract (EN): </w:t>
      </w:r>
      <w:r>
        <w:t>A 3-week delay in the onset of T cell immunity to</w:t>
      </w:r>
      <w:r>
        <w:t xml:space="preserve"> </w:t>
      </w:r>
      <w:r>
        <w:t>Mycobacterium tuberculosis</w:t>
      </w:r>
      <w:r>
        <w:t xml:space="preserve"> </w:t>
      </w:r>
      <w:r>
        <w:t>(</w:t>
      </w:r>
      <w:r>
        <w:t xml:space="preserve"> </w:t>
      </w:r>
      <w:r>
        <w:t>Mtb</w:t>
      </w:r>
      <w:r>
        <w:t xml:space="preserve"> </w:t>
      </w:r>
      <w:r>
        <w:t>) infection compromises lung bacterial control, resulting in tuberculosis (TB). Restoring T cell function is a priority. We identified how airway CD44</w:t>
      </w:r>
      <w:r>
        <w:t xml:space="preserve"> </w:t>
      </w:r>
      <w:r>
        <w:t>+</w:t>
      </w:r>
      <w:r>
        <w:t xml:space="preserve"> </w:t>
      </w:r>
      <w:r>
        <w:t>CD62L</w:t>
      </w:r>
      <w:r>
        <w:t xml:space="preserve"> </w:t>
      </w:r>
      <w:r>
        <w:t>−</w:t>
      </w:r>
      <w:r>
        <w:t>KLRG1</w:t>
      </w:r>
      <w:r>
        <w:t xml:space="preserve"> </w:t>
      </w:r>
      <w:r>
        <w:t>+</w:t>
      </w:r>
      <w:r>
        <w:t xml:space="preserve"> </w:t>
      </w:r>
      <w:r>
        <w:t>CD8</w:t>
      </w:r>
      <w:r>
        <w:t xml:space="preserve"> </w:t>
      </w:r>
      <w:r>
        <w:t>+</w:t>
      </w:r>
      <w:r>
        <w:t xml:space="preserve"> </w:t>
      </w:r>
      <w:r>
        <w:t>effector memory T cells (T</w:t>
      </w:r>
      <w:r>
        <w:t xml:space="preserve"> </w:t>
      </w:r>
      <w:r>
        <w:t>EM</w:t>
      </w:r>
      <w:r>
        <w:t xml:space="preserve"> </w:t>
      </w:r>
      <w:r>
        <w:t>) in the lung enhance mycobacterial clearance via the spleen. Unexpectedly, a secondary immune response following repeated exposure of mice to Bacille Calmette-Guérin generated lower numbers of T</w:t>
      </w:r>
      <w:r>
        <w:t xml:space="preserve"> </w:t>
      </w:r>
      <w:r>
        <w:t>EM</w:t>
      </w:r>
      <w:r>
        <w:t xml:space="preserve"> </w:t>
      </w:r>
      <w:r>
        <w:t>versus primary. Paradoxically, lower numbers correlated with faster bacterial clearance, due to enhanced trafficking of secondary T</w:t>
      </w:r>
      <w:r>
        <w:t xml:space="preserve"> </w:t>
      </w:r>
      <w:r>
        <w:t>EM</w:t>
      </w:r>
      <w:r>
        <w:t xml:space="preserve"> </w:t>
      </w:r>
      <w:r>
        <w:t>to the spleen, where they responded to antigen. Further, secondary T</w:t>
      </w:r>
      <w:r>
        <w:t xml:space="preserve"> </w:t>
      </w:r>
      <w:r>
        <w:t>EM</w:t>
      </w:r>
      <w:r>
        <w:t xml:space="preserve"> </w:t>
      </w:r>
      <w:r>
        <w:t>recruited dendritic cells, which accelerated bacterial translocation from the lung to the spleen. Treating mice with a threshold number of airway-derived secondary T</w:t>
      </w:r>
      <w:r>
        <w:t xml:space="preserve"> </w:t>
      </w:r>
      <w:r>
        <w:t>EM</w:t>
      </w:r>
      <w:r>
        <w:t xml:space="preserve"> </w:t>
      </w:r>
      <w:r>
        <w:t>significantly reduced</w:t>
      </w:r>
      <w:r>
        <w:t xml:space="preserve"> </w:t>
      </w:r>
      <w:r>
        <w:t>Mtb</w:t>
      </w:r>
      <w:r>
        <w:t xml:space="preserve"> </w:t>
      </w:r>
      <w:r>
        <w:t>burden in the lung and spleen. Notably,</w:t>
      </w:r>
      <w:r>
        <w:t xml:space="preserve"> </w:t>
      </w:r>
      <w:r>
        <w:t>Mtb</w:t>
      </w:r>
      <w:r>
        <w:t xml:space="preserve"> </w:t>
      </w:r>
      <w:r>
        <w:t>killing was expedited by at least 15 days. Repeated antigen encounter bypassed priming requirements and enhanced T</w:t>
      </w:r>
      <w:r>
        <w:t xml:space="preserve"> </w:t>
      </w:r>
      <w:r>
        <w:t>EM</w:t>
      </w:r>
      <w:r>
        <w:t xml:space="preserve"> </w:t>
      </w:r>
      <w:r>
        <w:t>durability, uncovering a spleen-centered protective mechanism with implications for improved TB vaccines and therapies.</w:t>
      </w:r>
    </w:p>
    <w:p>
      <w:pPr>
        <w:spacing w:before="120" w:after="120"/>
      </w:pPr>
      <w:r>
        <w:rPr>
          <w:sz w:val="18"/>
        </w:rPr>
        <w:t>——————————————————————————————————————————————————————————————————————</w:t>
      </w:r>
    </w:p>
    <w:p>
      <w:pPr>
        <w:spacing w:before="160" w:after="40" w:line="240" w:lineRule="auto"/>
      </w:pPr>
      <w:r>
        <w:rPr>
          <w:b/>
        </w:rPr>
        <w:t xml:space="preserve">[117] </w:t>
      </w:r>
      <w:hyperlink r:id="rId718">
        <w:r>
          <w:rPr>
            <w:color w:val="1155CC"/>
            <w:u w:val="single"/>
          </w:rPr>
          <w:t>应力引起的撕裂能够制造尺寸小于所用光刻分辨率极限的纳米孔</w:t>
        </w:r>
      </w:hyperlink>
    </w:p>
    <w:p>
      <w:pPr>
        <w:spacing w:before="0" w:after="80"/>
      </w:pPr>
      <w:r>
        <w:rPr>
          <w:i/>
          <w:sz w:val="20"/>
        </w:rPr>
        <w:t>EN: Stress-induced ripping enables fabrication of nanopores with dimensions smaller than the resolution limit of the employed lithography</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19">
        <w:r>
          <w:rPr>
            <w:color w:val="1155CC"/>
            <w:u w:val="single"/>
          </w:rPr>
          <w:t>10.1126/sciadv.aee8946</w:t>
        </w:r>
      </w:hyperlink>
    </w:p>
    <w:p>
      <w:pPr>
        <w:spacing w:before="0" w:after="120"/>
      </w:pPr>
      <w:r>
        <w:rPr>
          <w:b/>
        </w:rPr>
        <w:t xml:space="preserve">Notes: </w:t>
      </w:r>
      <w:r>
        <w:t>abstract_source=crossref</w:t>
      </w:r>
    </w:p>
    <w:p>
      <w:pPr>
        <w:spacing w:before="0" w:after="80" w:lineRule="auto" w:line="276"/>
      </w:pPr>
      <w:r>
        <w:rPr>
          <w:b/>
        </w:rPr>
        <w:t xml:space="preserve">摘要（ZH）: </w:t>
      </w:r>
      <w:r>
        <w:t>超薄膜中的纳米孔是单分子传感、过滤和能量转换应用的核心，但固态纳米孔的制造仍然受到分辨率、通量和工具复杂性之间基本权衡的限制。在这里，我们报告了一种可扩展的纳米孔制造工艺，该工艺利用应力诱导的机械撕裂从横向尺寸为纳米级的膜上分离碎片，形成直径低至亚10纳米的孔，这远低于所用光刻的分辨率极限。使用这种方法，我们演示了密度超过 10 的纳米孔的晶圆级制造</w:t>
      </w:r>
      <w:r>
        <w:rPr>
          <w:vertAlign w:val="subscript"/>
        </w:rPr>
        <w:t>5</w:t>
      </w:r>
      <w:r>
        <w:t>每厘米孔径</w:t>
      </w:r>
      <w:r>
        <w:rPr>
          <w:vertAlign w:val="subscript"/>
        </w:rPr>
        <w:t>2</w:t>
      </w:r>
      <w:r>
        <w:t>在电介质中（HfO</w:t>
      </w:r>
      <w:r>
        <w:rPr>
          <w:vertAlign w:val="subscript"/>
        </w:rPr>
        <w:t>2</w:t>
      </w:r>
      <w:r>
        <w:t>)、半导体 (SiGe) 和金属 (Cr) 膜，包括悬浮 HfO</w:t>
      </w:r>
      <w:r>
        <w:rPr>
          <w:vertAlign w:val="subscript"/>
        </w:rPr>
        <w:t>2</w:t>
      </w:r>
      <w:r>
        <w:t>膜薄至2纳米。我们展示了制造的纳米孔在单分子易位的高性能表面增强拉曼读数中的实用性。除了纳米孔制造之外，这种基于断裂的方法还为超薄材料的纳米和原子级结构提供了更广泛的机会。</w:t>
      </w:r>
    </w:p>
    <w:p>
      <w:pPr>
        <w:spacing w:before="0" w:after="200" w:lineRule="auto" w:line="276"/>
      </w:pPr>
      <w:r>
        <w:rPr>
          <w:b/>
        </w:rPr>
        <w:t xml:space="preserve">Abstract (EN): </w:t>
      </w:r>
      <w:r>
        <w:t>Nanopores in ultrathin membranes are central to single-molecule sensing, filtration, and energy conversion applications, yet fabrication of solid-state nanopores remains limited by fundamental trade-off between resolution, throughput, and tool complexity. Here, we report a scalable nanopore fabrication process that exploits stress-induced mechanical ripping to detach a fragment from a membrane with lateral dimensions in the nm-scale, forming pores with diameters down to the sub-10 nm regime, which is well below the resolution limit of the employed lithography. Using this approach, we demonstrate wafer-scale fabrication of nanopores at densities exceeding 10</w:t>
      </w:r>
      <w:r>
        <w:rPr>
          <w:vertAlign w:val="subscript"/>
        </w:rPr>
        <w:t>5</w:t>
      </w:r>
      <w:r>
        <w:t>pores per cm</w:t>
      </w:r>
      <w:r>
        <w:rPr>
          <w:vertAlign w:val="subscript"/>
        </w:rPr>
        <w:t>2</w:t>
      </w:r>
      <w:r>
        <w:t>in dielectric (HfO</w:t>
      </w:r>
      <w:r>
        <w:rPr>
          <w:vertAlign w:val="subscript"/>
        </w:rPr>
        <w:t>2</w:t>
      </w:r>
      <w:r>
        <w:t>), semiconducting (SiGe), and metallic (Cr) membranes, including suspended HfO</w:t>
      </w:r>
      <w:r>
        <w:rPr>
          <w:vertAlign w:val="subscript"/>
        </w:rPr>
        <w:t>2</w:t>
      </w:r>
      <w:r>
        <w:t>membranes as thin as 2 nm. We demonstrate the utility of the fabricated nanopores for high-performance surface enhanced Raman readouts of single molecule translocations. Beyond nanopore fabrication, this fracture-based approach points to broader opportunities for nanometer- and atomic-scale structuring of ultrathin materials.</w:t>
      </w:r>
    </w:p>
    <w:p>
      <w:pPr>
        <w:spacing w:before="120" w:after="120"/>
      </w:pPr>
      <w:r>
        <w:rPr>
          <w:sz w:val="18"/>
        </w:rPr>
        <w:t>——————————————————————————————————————————————————————————————————————</w:t>
      </w:r>
    </w:p>
    <w:p>
      <w:pPr>
        <w:spacing w:before="160" w:after="40" w:line="240" w:lineRule="auto"/>
      </w:pPr>
      <w:r>
        <w:rPr>
          <w:b/>
        </w:rPr>
        <w:t xml:space="preserve">[118] </w:t>
      </w:r>
      <w:hyperlink r:id="rId720">
        <w:r>
          <w:rPr>
            <w:color w:val="1155CC"/>
            <w:u w:val="single"/>
          </w:rPr>
          <w:t>模拟气候风险对全球灵长类动物的影响：保护优先事项的新视角</w:t>
        </w:r>
      </w:hyperlink>
    </w:p>
    <w:p>
      <w:pPr>
        <w:spacing w:before="0" w:after="80"/>
      </w:pPr>
      <w:r>
        <w:rPr>
          <w:i/>
          <w:sz w:val="20"/>
        </w:rPr>
        <w:t>EN: Modeling the effects of climate risk on primates globally: New perspectives on conservation priorities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21">
        <w:r>
          <w:rPr>
            <w:color w:val="1155CC"/>
            <w:u w:val="single"/>
          </w:rPr>
          <w:t>10.1126/sciadv.aeg0031</w:t>
        </w:r>
      </w:hyperlink>
    </w:p>
    <w:p>
      <w:pPr>
        <w:spacing w:before="0" w:after="120"/>
      </w:pPr>
      <w:r>
        <w:rPr>
          <w:b/>
        </w:rPr>
        <w:t xml:space="preserve">Notes: </w:t>
      </w:r>
      <w:r>
        <w:t>abstract_source=crossref</w:t>
      </w:r>
    </w:p>
    <w:p>
      <w:pPr>
        <w:spacing w:before="0" w:after="80" w:lineRule="auto" w:line="276"/>
      </w:pPr>
      <w:r>
        <w:rPr>
          <w:b/>
        </w:rPr>
        <w:t xml:space="preserve">摘要（ZH）: </w:t>
      </w:r>
      <w:r>
        <w:t>快速的气候变化对生物多样性构成严重威胁，而系统发育多样性（衡量进化独特性和适应潜力的关键指标）对于保护至关重要。我们整合了 424 个灵长类动物的系统发育树，将空间分析和气候风险模型结合起来，探索灵长类动物的全球时空模式，并评估它们在未来气候情景下的脆弱性。结果表明，灵长类动物分布存在明显的纬度模式，等温性和年平均降水量是关键驱动因素。美洲热带地区（墨西哥、中美洲和南美洲）和中国南部的灵长类物种表现出较晚的分化时间和较低的系统发育多样性，成为灵长类动物的新热点。在未来的气候变化下，这些新热点地区的物种将比灵长类多样性古热点地区的物种面临更高的气候风险。此外，人类压力大、气候风险高以及保护区覆盖范围有限，增加了热点地区物种和种群的生存风险。总体而言，这项全球研究加深了我们对当前气候变化情景下生物多样性保护的理解，并协同推进对生态系统健康和人类福祉至关重要的众多自然服务的保护。我们的研究提供了一个空间明确的框架来实现昆明-蒙特利尔全球生物多样性框架的目标 3 和 8。</w:t>
      </w:r>
    </w:p>
    <w:p>
      <w:pPr>
        <w:spacing w:before="0" w:after="200" w:lineRule="auto" w:line="276"/>
      </w:pPr>
      <w:r>
        <w:rPr>
          <w:b/>
        </w:rPr>
        <w:t xml:space="preserve">Abstract (EN): </w:t>
      </w:r>
      <w:r>
        <w:t>Rapid climate change poses a severe threat to biodiversity, and phylogenetic diversity—a key metric capturing evolutionary uniqueness and adaptive potential—is critical for conservation. Integrating a well-resolved phylogenetic tree of 424 primate species, we combined spatial analysis and climate risk modeling to explore global spatiotemporal patterns of primates and assess their vulnerability under future climate scenarios. The results suggest a pronounced latitudinal pattern in primate distribution, with isothermality and annual mean precipitation as key drivers. Primate species in the American tropics (Mexico, Central, and South America) and southern China showed later divergence times and lower phylogenetic diversity, emerging as neo-hotspots for primates. Under future climate change, species in these neo-hotspots will face higher climate risks than those in paleo-hotspots of primate diversity. In addition, high human pressure, high climate risk, and limited protected area coverage increase species and population survival risks in hotspot regions. Overall, this global study deepens our understanding of biodiversity conservation under current climate change scenarios and synergistically advances the preservation of numerous natural services essential to ecosystem health and human well-being. Our study provides a spatially explicit framework to fulfill Targets 3 and 8 of the Kunming-Montreal Global Biodiversity Framework.</w:t>
      </w:r>
    </w:p>
    <w:p>
      <w:pPr>
        <w:spacing w:before="120" w:after="120"/>
      </w:pPr>
      <w:r>
        <w:rPr>
          <w:sz w:val="18"/>
        </w:rPr>
        <w:t>——————————————————————————————————————————————————————————————————————</w:t>
      </w:r>
    </w:p>
    <w:p>
      <w:pPr>
        <w:spacing w:before="160" w:after="40" w:line="240" w:lineRule="auto"/>
      </w:pPr>
      <w:r>
        <w:rPr>
          <w:b/>
        </w:rPr>
        <w:t xml:space="preserve">[119] </w:t>
      </w:r>
      <w:hyperlink r:id="rId722">
        <w:r>
          <w:rPr>
            <w:color w:val="1155CC"/>
            <w:u w:val="single"/>
          </w:rPr>
          <w:t>单细胞定量揭示了海洋聚球藻生态位划分的不同混合营养策略</w:t>
        </w:r>
      </w:hyperlink>
    </w:p>
    <w:p>
      <w:pPr>
        <w:spacing w:before="0" w:after="80"/>
      </w:pPr>
      <w:r>
        <w:rPr>
          <w:i/>
          <w:sz w:val="20"/>
        </w:rPr>
        <w:t>EN: Single-cell quantification reveals divergent mixotrophic strategies underlying niche partitioning in marine Synechococcus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23">
        <w:r>
          <w:rPr>
            <w:color w:val="1155CC"/>
            <w:u w:val="single"/>
          </w:rPr>
          <w:t>10.1126/sciadv.aef8347</w:t>
        </w:r>
      </w:hyperlink>
    </w:p>
    <w:p>
      <w:pPr>
        <w:spacing w:before="0" w:after="120"/>
      </w:pPr>
      <w:r>
        <w:rPr>
          <w:b/>
        </w:rPr>
        <w:t xml:space="preserve">Notes: </w:t>
      </w:r>
      <w:r>
        <w:t>abstract_source=crossref</w:t>
      </w:r>
    </w:p>
    <w:p>
      <w:pPr>
        <w:spacing w:before="0" w:after="80" w:lineRule="auto" w:line="276"/>
      </w:pPr>
      <w:r>
        <w:rPr>
          <w:b/>
        </w:rPr>
        <w:t xml:space="preserve">摘要（ZH）: </w:t>
      </w:r>
      <w:r>
        <w:t>海洋</w:t>
      </w:r>
      <w:r>
        <w:t xml:space="preserve"> </w:t>
      </w:r>
      <w:r>
        <w:t>聚球藻属</w:t>
      </w:r>
      <w:r>
        <w:t xml:space="preserve"> </w:t>
      </w:r>
      <w:r>
        <w:t>是海洋中分布最广、生产力最高的自养生物之一，但混合营养在不同谱系中的数量作用仍然很少受到限制。在这里，我们比较了营养贫乏与营养丰富的有机氮（尿素和亮氨酸）和碳（葡萄糖）利用率</w:t>
      </w:r>
      <w:r>
        <w:t xml:space="preserve"> </w:t>
      </w:r>
      <w:r>
        <w:t>聚球藻属</w:t>
      </w:r>
      <w:r>
        <w:t xml:space="preserve"> </w:t>
      </w:r>
      <w:r>
        <w:t>通过将来自现场和实验室孵化的基于 NanoSIMS 的单细胞测量与组学分析相结合。我们的研究结果揭示了不同谱系中不同的混合营养策略。在营养耗尽的谱系中，尿素吸收量的增加提供了估计总氮需求量的大约 40-63%。这种模式与尿素转运增强的基因组证据一致，特别是高亲和力尿素转运蛋白的上调</w:t>
      </w:r>
      <w:r>
        <w:t xml:space="preserve"> </w:t>
      </w:r>
      <w:r>
        <w:t>杜尔3</w:t>
      </w:r>
      <w:r>
        <w:t xml:space="preserve"> </w:t>
      </w:r>
      <w:r>
        <w:t>在低氮环境下。相比之下，营养丰富的谱系表现出更大的葡萄糖吸收，尽管修正后的有机底物仅占估计细胞碳需求的 2% 至 4%。这些谱系特异性的混合营养策略支撑了海洋生物的生态位划分</w:t>
      </w:r>
      <w:r>
        <w:t xml:space="preserve"> </w:t>
      </w:r>
      <w:r>
        <w:t>聚球藻属</w:t>
      </w:r>
      <w:r>
        <w:t xml:space="preserve"> </w:t>
      </w:r>
      <w:r>
        <w:t>，加深了我们对它们的营养分化及其对海洋生物地球化学循环的影响的理解。</w:t>
      </w:r>
    </w:p>
    <w:p>
      <w:pPr>
        <w:spacing w:before="0" w:after="200" w:lineRule="auto" w:line="276"/>
      </w:pPr>
      <w:r>
        <w:rPr>
          <w:b/>
        </w:rPr>
        <w:t xml:space="preserve">Abstract (EN): </w:t>
      </w:r>
      <w:r>
        <w:t>Marine</w:t>
      </w:r>
      <w:r>
        <w:t xml:space="preserve"> </w:t>
      </w:r>
      <w:r>
        <w:t>Synechococcus</w:t>
      </w:r>
      <w:r>
        <w:t xml:space="preserve"> </w:t>
      </w:r>
      <w:r>
        <w:t>is among the most widespread and productive autotrophs in the ocean, yet the quantitative role of mixotrophy in different lineages remains poorly constrained. Here, we compared organic nitrogen (urea and leucine) and carbon (glucose) utilization in nutrient-depleted versus nutrient-rich</w:t>
      </w:r>
      <w:r>
        <w:t xml:space="preserve"> </w:t>
      </w:r>
      <w:r>
        <w:t>Synechococcus</w:t>
      </w:r>
      <w:r>
        <w:t xml:space="preserve"> </w:t>
      </w:r>
      <w:r>
        <w:t>lineages by combining NanoSIMS-based single-cell measurements from field and laboratory incubations with omics analyses. Our findings revealed distinct mixotrophic strategies in different lineages. In nutrient-depleted lineages, elevated urea uptake supplied approximately 40–63% of the estimated total nitrogen demand. This pattern aligned with genomic evidence of enhanced urea transport, particularly the up-regulation of the high-affinity urea transporter</w:t>
      </w:r>
      <w:r>
        <w:t xml:space="preserve"> </w:t>
      </w:r>
      <w:r>
        <w:t>DUR3</w:t>
      </w:r>
      <w:r>
        <w:t xml:space="preserve"> </w:t>
      </w:r>
      <w:r>
        <w:t>in low-nitrogen environments. In contrast, nutrient-rich lineages exhibited greater glucose uptake, although the amended organic substrates contributed only 2 to 4% to the estimated cellular carbon demand. These lineage-specific mixotrophic strategies underpinned niche partitioning in marine</w:t>
      </w:r>
      <w:r>
        <w:t xml:space="preserve"> </w:t>
      </w:r>
      <w:r>
        <w:t>Synechococcus</w:t>
      </w:r>
      <w:r>
        <w:t xml:space="preserve"> </w:t>
      </w:r>
      <w:r>
        <w:t>, refining our understanding of their trophic differentiation and its implications for marine biogeochemical cycling.</w:t>
      </w:r>
    </w:p>
    <w:p>
      <w:pPr>
        <w:spacing w:before="120" w:after="120"/>
      </w:pPr>
      <w:r>
        <w:rPr>
          <w:sz w:val="18"/>
        </w:rPr>
        <w:t>——————————————————————————————————————————————————————————————————————</w:t>
      </w:r>
    </w:p>
    <w:p>
      <w:pPr>
        <w:spacing w:before="160" w:after="40" w:line="240" w:lineRule="auto"/>
      </w:pPr>
      <w:r>
        <w:rPr>
          <w:b/>
        </w:rPr>
        <w:t xml:space="preserve">[120] </w:t>
      </w:r>
      <w:hyperlink r:id="rId724">
        <w:r>
          <w:rPr>
            <w:color w:val="1155CC"/>
            <w:u w:val="single"/>
          </w:rPr>
          <w:t>用于多模式流入集体操作的纤毛血管内软毫机器人</w:t>
        </w:r>
      </w:hyperlink>
    </w:p>
    <w:p>
      <w:pPr>
        <w:spacing w:before="0" w:after="80"/>
      </w:pPr>
      <w:r>
        <w:rPr>
          <w:i/>
          <w:sz w:val="20"/>
        </w:rPr>
        <w:t>EN: A ciliated intravascular soft millirobot for multimodal in-flow collective manipulation</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25">
        <w:r>
          <w:rPr>
            <w:color w:val="1155CC"/>
            <w:u w:val="single"/>
          </w:rPr>
          <w:t>10.1126/sciadv.aeg3333</w:t>
        </w:r>
      </w:hyperlink>
    </w:p>
    <w:p>
      <w:pPr>
        <w:spacing w:before="0" w:after="120"/>
      </w:pPr>
      <w:r>
        <w:rPr>
          <w:b/>
        </w:rPr>
        <w:t xml:space="preserve">Notes: </w:t>
      </w:r>
      <w:r>
        <w:t>abstract_source=crossref</w:t>
      </w:r>
    </w:p>
    <w:p>
      <w:pPr>
        <w:spacing w:before="0" w:after="80" w:lineRule="auto" w:line="276"/>
      </w:pPr>
      <w:r>
        <w:rPr>
          <w:b/>
        </w:rPr>
        <w:t xml:space="preserve">摘要（ZH）: </w:t>
      </w:r>
      <w:r>
        <w:t>血流的层流性质和由此产生的边界层对血管中的横向质量运输提出了巨大的挑战，限制了血管内生物医学应用，例如靶向输送、溶栓和生物标志物富集。在这里，我们开发了一种纤毛血管内微型机器人 CiliaVine，用于通过流量调节主动操纵颗粒和细胞集合。在定制磁场的驱动下，机器人上的软纤毛以不同模式振荡，产生用于流量调节的所需流动模式。 CiliaVine 增强了在层流下受到抑制的横向运输，驱动循环集合体从血管中心向血管壁移动以实现药物渗透，或反向运输以清除血栓残留物。使用荧光示踪粒子在血管模型中研究流量调节。机器人增强的靶向药物输送和加速溶栓功能已得到验证。使用癌症患者血液和荷瘤兔子对循环肿瘤细胞 (CTC) 富集进行了评估，揭示了其在生理环境中的有效性及其血管内稀有细胞富集的潜力。</w:t>
      </w:r>
    </w:p>
    <w:p>
      <w:pPr>
        <w:spacing w:before="0" w:after="200" w:lineRule="auto" w:line="276"/>
      </w:pPr>
      <w:r>
        <w:rPr>
          <w:b/>
        </w:rPr>
        <w:t xml:space="preserve">Abstract (EN): </w:t>
      </w:r>
      <w:r>
        <w:t>The laminar nature of blood flow and the resulting boundary layer pose substantial challenges for transverse mass transport in blood vessels, limiting intravascular biomedical applications such as targeted delivery, thrombolysis and biomarker enrichment. Herein, we develop a ciliated intravascular millirobot, CiliaVine, for active manipulation of particle and cell collectives through flow regulation. Actuated by tailored magnetic fields, soft cilia on the robot oscillate in different modes, generating desired flow patterns for flow regulation. CiliaVine enhances the transverse transport that is otherwise suppressed under laminar flow, driving circulating collectives from the vessel center toward the vessel wall for drug penetration, or reversing transport for thrombus residue clearance. Flow regulation is investigated in a vascular model using fluorescent tracer particles. Enhanced targeted drug delivery and accelerated thrombolysis enabled by the robot are validated. Circulating tumor cell (CTC) enrichment is evaluated using cancer patient blood and in tumor-bearing rabbits, revealing its effectiveness in physiological environments and its potential for intravascular rare-cell enrichment.</w:t>
      </w:r>
    </w:p>
    <w:p>
      <w:pPr>
        <w:spacing w:before="120" w:after="120"/>
      </w:pPr>
      <w:r>
        <w:rPr>
          <w:sz w:val="18"/>
        </w:rPr>
        <w:t>——————————————————————————————————————————————————————————————————————</w:t>
      </w:r>
    </w:p>
    <w:p>
      <w:pPr>
        <w:spacing w:before="160" w:after="40" w:line="240" w:lineRule="auto"/>
      </w:pPr>
      <w:r>
        <w:rPr>
          <w:b/>
        </w:rPr>
        <w:t xml:space="preserve">[121] </w:t>
      </w:r>
      <w:hyperlink r:id="rId726">
        <w:r>
          <w:rPr>
            <w:color w:val="1155CC"/>
            <w:u w:val="single"/>
          </w:rPr>
          <w:t>基质应力松弛驱动粘弹性生物材料中的胶质母细胞瘤细胞反应</w:t>
        </w:r>
      </w:hyperlink>
    </w:p>
    <w:p>
      <w:pPr>
        <w:spacing w:before="0" w:after="80"/>
      </w:pPr>
      <w:r>
        <w:rPr>
          <w:i/>
          <w:sz w:val="20"/>
        </w:rPr>
        <w:t>EN: Matrix stress relaxation drives glioblastoma cell response in viscoelastic biomaterials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27">
        <w:r>
          <w:rPr>
            <w:color w:val="1155CC"/>
            <w:u w:val="single"/>
          </w:rPr>
          <w:t>10.1126/sciadv.aef7087</w:t>
        </w:r>
      </w:hyperlink>
    </w:p>
    <w:p>
      <w:pPr>
        <w:spacing w:before="0" w:after="120"/>
      </w:pPr>
      <w:r>
        <w:rPr>
          <w:b/>
        </w:rPr>
        <w:t xml:space="preserve">Notes: </w:t>
      </w:r>
      <w:r>
        <w:t>abstract_source=crossref</w:t>
      </w:r>
    </w:p>
    <w:p>
      <w:pPr>
        <w:spacing w:before="0" w:after="80" w:lineRule="auto" w:line="276"/>
      </w:pPr>
      <w:r>
        <w:rPr>
          <w:b/>
        </w:rPr>
        <w:t xml:space="preserve">摘要（ZH）: </w:t>
      </w:r>
      <w:r>
        <w:t>已知胶质母细胞瘤 (GBM) 的细胞外基质 (ECM) 可以调节细胞行为，但基质生化和生物力学信号传导的具体贡献仍知之甚少。为了解决这个问题，我们设计了一种可调节的透明质酸弹性蛋白样蛋白（HELP）水凝胶来独立控制配体呈递和基质粘弹性。两种模拟纤连蛋白 (FBN) 和腱生蛋白-C (TNC) 的肽与透明质酸一起被纳入 HELP，所有这些肽在 GBM 中均高度上调。利用动态共价化学，我们开发了具有匹配刚度但具有不同应力松弛曲线的水凝胶。缓慢的应激松弛基质促进细胞聚集并提高 P-选择素（GBM 侵袭标记物）的表达。这些基质还导致新生 ECM 产生增加、脂滴储存增加和细胞因子分泌改变。我们的结果强调了蛋白质工程粘弹性生物材料在肿瘤微环境建模方面的优势，并揭示了基质粘弹性作为 GBM 细胞状态的关键调节因子，为识别以前未识别的治疗靶点提供了工具。</w:t>
      </w:r>
    </w:p>
    <w:p>
      <w:pPr>
        <w:spacing w:before="0" w:after="200" w:lineRule="auto" w:line="276"/>
      </w:pPr>
      <w:r>
        <w:rPr>
          <w:b/>
        </w:rPr>
        <w:t xml:space="preserve">Abstract (EN): </w:t>
      </w:r>
      <w:r>
        <w:t>The extracellular matrix (ECM) of glioblastoma (GBM) is known to modulate cell behavior, yet the specific contributions of matrix biochemical and biomechanical signaling remain poorly understood. To address this, we engineer a tunable hyaluronan-elastin-like protein (HELP) hydrogel to independently control ligand presentation and matrix viscoelasticity. Two peptides mimicking fibronectin (FBN) and tenascin-C (TNC) are incorporated into HELP along with hyaluronan, all of which are highly up-regulated in GBM. Using dynamic covalent chemistry, we develop hydrogels with matched stiffness but distinct stress relaxation profiles. Slow stress-relaxing matrices promote cell clustering and elevated expression of P-selectin, a GBM invasion marker. These matrices also result in increased nascent ECM production, increased lipid droplet storage, and altered cytokine secretion. Our results highlight the benefit of protein-engineered, viscoelastic biomaterials for modeling the tumor microenvironment and reveal matrix viscoelasticity as a critical regulator of GBM cell state, offering a tool for identifying previously unrecognized therapeutic targets.</w:t>
      </w:r>
    </w:p>
    <w:p>
      <w:pPr>
        <w:spacing w:before="120" w:after="120"/>
      </w:pPr>
      <w:r>
        <w:rPr>
          <w:sz w:val="18"/>
        </w:rPr>
        <w:t>——————————————————————————————————————————————————————————————————————</w:t>
      </w:r>
    </w:p>
    <w:p>
      <w:pPr>
        <w:spacing w:before="160" w:after="40" w:line="240" w:lineRule="auto"/>
      </w:pPr>
      <w:r>
        <w:rPr>
          <w:b/>
        </w:rPr>
        <w:t xml:space="preserve">[122] </w:t>
      </w:r>
      <w:hyperlink r:id="rId728">
        <w:r>
          <w:rPr>
            <w:color w:val="1155CC"/>
            <w:u w:val="single"/>
          </w:rPr>
          <w:t>脉搏测量：用于补偿电位探头信号漂移的差分读数</w:t>
        </w:r>
      </w:hyperlink>
    </w:p>
    <w:p>
      <w:pPr>
        <w:spacing w:before="0" w:after="80"/>
      </w:pPr>
      <w:r>
        <w:rPr>
          <w:i/>
          <w:sz w:val="20"/>
        </w:rPr>
        <w:t>EN: Pulseometry: A differential readout to compensate signal drift of potentiometric probes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29">
        <w:r>
          <w:rPr>
            <w:color w:val="1155CC"/>
            <w:u w:val="single"/>
          </w:rPr>
          <w:t>10.1126/sciadv.aef5993</w:t>
        </w:r>
      </w:hyperlink>
    </w:p>
    <w:p>
      <w:pPr>
        <w:spacing w:before="0" w:after="120"/>
      </w:pPr>
      <w:r>
        <w:rPr>
          <w:b/>
        </w:rPr>
        <w:t xml:space="preserve">Notes: </w:t>
      </w:r>
      <w:r>
        <w:t>abstract_source=crossref</w:t>
      </w:r>
    </w:p>
    <w:p>
      <w:pPr>
        <w:spacing w:before="0" w:after="80" w:lineRule="auto" w:line="276"/>
      </w:pPr>
      <w:r>
        <w:rPr>
          <w:b/>
        </w:rPr>
        <w:t xml:space="preserve">摘要（ZH）: </w:t>
      </w:r>
      <w:r>
        <w:t>离子选择性电极广泛用于即时检测设备中的传感器，用于测定全血样本中的电解质。对于一次性系统，第一次溶液接触通常会导致重要的信号漂移，从而对测量精度产生负面影响。在这项工作中，我们提出了一种创造脉冲测量法来补偿信号漂移的方法。电位信号通过包含不同时间常数的 RC 组件的差分电路进行处理。对于缓慢漂移的基线，差分电势将保持恒定，而快速的电势变化将产生峰形差异信号，可以减去基线并积分该信号以提取成分信息。该方法已成功集成到商用血气电解质分析仪中使用的大规模制造的微流体测试卡中。测量了三个个体的血钙水平，SD 为 0.008 至 0.024 mM，与电位法相比，精度提高了 36% 至 67%。这些结果展示了脉搏测定法在提高临床诊断中电化学传感性能方面的潜力。</w:t>
      </w:r>
    </w:p>
    <w:p>
      <w:pPr>
        <w:spacing w:before="0" w:after="200" w:lineRule="auto" w:line="276"/>
      </w:pPr>
      <w:r>
        <w:rPr>
          <w:b/>
        </w:rPr>
        <w:t xml:space="preserve">Abstract (EN): </w:t>
      </w:r>
      <w:r>
        <w:t>Ion selective electrodes are widely used sensors in point-of-care testing devices to assay electrolytes in whole blood samples. With single-use system, the first solution contact normally results in an important signal drift that negatively affects measurement accuracy. In this work, we propose an approach coined pulseometry to compensate for signal drift. The potentiometric signal is processed through a differential circuit incorporating RC components of different time constants. The differential potential will remain constant for a slowly drifting baseline, while a rapid potential change will result in a peak-shaped difference signal that may be baseline subtracted and integrated to extract the components information. The method was successfully integrated into mass fabricated, microfluidic test cards used in commercial blood gas electrolyte analyzers. Blood calcium levels from three individuals were measured, giving SDs of 0.008 to 0.024 mM, improving precision by 36 to 67% compared to potentiometry. These results showcase the potential of pulseometry for improving the performance of electrochemical sensing in clinical diagnostics.</w:t>
      </w:r>
    </w:p>
    <w:p>
      <w:pPr>
        <w:spacing w:before="120" w:after="120"/>
      </w:pPr>
      <w:r>
        <w:rPr>
          <w:sz w:val="18"/>
        </w:rPr>
        <w:t>——————————————————————————————————————————————————————————————————————</w:t>
      </w:r>
    </w:p>
    <w:p>
      <w:pPr>
        <w:spacing w:before="160" w:after="40" w:line="240" w:lineRule="auto"/>
      </w:pPr>
      <w:r>
        <w:rPr>
          <w:b/>
        </w:rPr>
        <w:t xml:space="preserve">[123] </w:t>
      </w:r>
      <w:hyperlink r:id="rId730">
        <w:r>
          <w:rPr>
            <w:color w:val="1155CC"/>
            <w:u w:val="single"/>
          </w:rPr>
          <w:t>二维半导体中传播声应变下激子动力学的多维谱时成像</w:t>
        </w:r>
      </w:hyperlink>
    </w:p>
    <w:p>
      <w:pPr>
        <w:spacing w:before="0" w:after="80"/>
      </w:pPr>
      <w:r>
        <w:rPr>
          <w:i/>
          <w:sz w:val="20"/>
        </w:rPr>
        <w:t>EN: Multidimensional spectro-temporal imaging of exciton dynamics under propagating acoustic strain in two-dimensional semiconductors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31">
        <w:r>
          <w:rPr>
            <w:color w:val="1155CC"/>
            <w:u w:val="single"/>
          </w:rPr>
          <w:t>10.1126/sciadv.aef5458</w:t>
        </w:r>
      </w:hyperlink>
    </w:p>
    <w:p>
      <w:pPr>
        <w:spacing w:before="0" w:after="120"/>
      </w:pPr>
      <w:r>
        <w:rPr>
          <w:b/>
        </w:rPr>
        <w:t xml:space="preserve">Notes: </w:t>
      </w:r>
      <w:r>
        <w:t>abstract_source=crossref</w:t>
      </w:r>
    </w:p>
    <w:p>
      <w:pPr>
        <w:spacing w:before="0" w:after="80" w:lineRule="auto" w:line="276"/>
      </w:pPr>
      <w:r>
        <w:rPr>
          <w:b/>
        </w:rPr>
        <w:t xml:space="preserve">摘要（ZH）: </w:t>
      </w:r>
      <w:r>
        <w:t>动态应变为操纵二维半导体中紧密束缚的激子提供了一条有前途的途径。然而，迄今为止，其影响主要是通过时间平均或空间综合测量来推断的。特别是，对于表面声波（SAW）驱动​​的动态应变，相对较小的应变幅度和竞争压电效应阻碍了直接获取单个声循环内激子发射能量和复合动力学的实时演化。在这里，我们报告了由传播声表面波驱动的单层二硒化钨中激子发射的完全相位同步、多维光谱时空可视化。通过集成相位分辨显微镜和干涉表面位移测量，我们实现了激子发射能量、光致发光强度、线宽和衰变动力学的同步映射，并将它们与动态应变场直接关联。我们的工作将传播声应变建立为确定性激子控制的强大平台，并为探索低维材料中的非平衡激子动力学提供了全面的框架。</w:t>
      </w:r>
    </w:p>
    <w:p>
      <w:pPr>
        <w:spacing w:before="0" w:after="200" w:lineRule="auto" w:line="276"/>
      </w:pPr>
      <w:r>
        <w:rPr>
          <w:b/>
        </w:rPr>
        <w:t xml:space="preserve">Abstract (EN): </w:t>
      </w:r>
      <w:r>
        <w:t>Dynamic strain offers a promising route to manipulate tightly bound excitons in two-dimensional semiconductors. Its impact, however, has so far been inferred primarily from time-averaged or spatially integrated measurements. In particular, for dynamic strain driven by surface acoustic waves (SAWs), the relatively small strain amplitude and competing piezoelectric effects have hindered direct access to the real-time evolution of exciton emission energy and recombination dynamics within a single acoustic cycle. Here we report a fully phase-synchronized, multidimensional spectro-temporal-spatial visualization of exciton emission in monolayer tungsten diselenide driven by propagating SAWs. By integrating phase-resolved microscopy and interferometric surface displacement measurements, we achieve simultaneous mapping of exciton emission energy, photoluminescence intensity, linewidth, and decay dynamics and directly correlate them with the dynamic strain field. Our work establishes propagating acoustic strain as a powerful platform for deterministic exciton control and provides a comprehensive framework for exploring nonequilibrium exciton dynamics in low-dimensional materials.</w:t>
      </w:r>
    </w:p>
    <w:p>
      <w:pPr>
        <w:spacing w:before="120" w:after="120"/>
      </w:pPr>
      <w:r>
        <w:rPr>
          <w:sz w:val="18"/>
        </w:rPr>
        <w:t>——————————————————————————————————————————————————————————————————————</w:t>
      </w:r>
    </w:p>
    <w:p>
      <w:pPr>
        <w:spacing w:before="160" w:after="40" w:line="240" w:lineRule="auto"/>
      </w:pPr>
      <w:r>
        <w:rPr>
          <w:b/>
        </w:rPr>
        <w:t xml:space="preserve">[124] </w:t>
      </w:r>
      <w:hyperlink r:id="rId732">
        <w:r>
          <w:rPr>
            <w:color w:val="1155CC"/>
            <w:u w:val="single"/>
          </w:rPr>
          <w:t>高时空分辨率氘代谢成像能够对肿瘤内和肿瘤间异质性进行体内表型分析</w:t>
        </w:r>
      </w:hyperlink>
    </w:p>
    <w:p>
      <w:pPr>
        <w:spacing w:before="0" w:after="80"/>
      </w:pPr>
      <w:r>
        <w:rPr>
          <w:i/>
          <w:sz w:val="20"/>
        </w:rPr>
        <w:t>EN: High–spatiotemporal resolution deuterium metabolic imaging enables in vivo phenotyping of intra- and intertumoral heterogeneity</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33">
        <w:r>
          <w:rPr>
            <w:color w:val="1155CC"/>
            <w:u w:val="single"/>
          </w:rPr>
          <w:t>10.1126/sciadv.aef4377</w:t>
        </w:r>
      </w:hyperlink>
    </w:p>
    <w:p>
      <w:pPr>
        <w:spacing w:before="0" w:after="120"/>
      </w:pPr>
      <w:r>
        <w:rPr>
          <w:b/>
        </w:rPr>
        <w:t xml:space="preserve">Notes: </w:t>
      </w:r>
      <w:r>
        <w:t>abstract_source=crossref</w:t>
      </w:r>
    </w:p>
    <w:p>
      <w:pPr>
        <w:spacing w:before="0" w:after="80" w:lineRule="auto" w:line="276"/>
      </w:pPr>
      <w:r>
        <w:rPr>
          <w:b/>
        </w:rPr>
        <w:t xml:space="preserve">摘要（ZH）: </w:t>
      </w:r>
      <w:r>
        <w:t>肿瘤内和肿瘤间的异质性提出了基本的生物学问题，并对准确的癌症诊断、预后和治疗具有重要意义。这些异质性反映了肿瘤的复杂性，包括代谢表型和概况的显着多样性。这项研究表明，以足够高的时空分辨率获取的体内氘代谢成像（DMI）数据提供了一种微创方法来评估这些异质性。多频率 DMI 方法用于检查结肠癌模型内和之间的肿瘤异质性。因此可以检测高和低葡萄糖富集区域以及标记的乳酸积累；使用基于以下内容的无监督聚类策略对这些进行了分析：</w:t>
      </w:r>
      <w:r>
        <w:t xml:space="preserve"> </w:t>
      </w:r>
      <w:r>
        <w:t>k</w:t>
      </w:r>
      <w:r>
        <w:t xml:space="preserve"> </w:t>
      </w:r>
      <w:r>
        <w:t>-曲线下面积信息的均值聚类，以及使用高斯混合建模的主成分分析。这些成像衍生簇的空间对齐</w:t>
      </w:r>
      <w:r>
        <w:rPr>
          <w:vertAlign w:val="subscript"/>
        </w:rPr>
        <w:t>2</w:t>
      </w:r>
      <w:r>
        <w:t>H-葡萄糖和</w:t>
      </w:r>
      <w:r>
        <w:rPr>
          <w:vertAlign w:val="subscript"/>
        </w:rPr>
        <w:t>2</w:t>
      </w:r>
      <w:r>
        <w:t>H-乳酸彼此之间以及与组织学切片都表现出良好的一致性，验证了所识别的分区的生物学相关性。免疫组织化学分析显示，葡萄糖富集的亚区域与 GLUT1 和 DLAT 的表达呈正相关，而乳酸富集的区域则显示 LDHA 和 MCT4 的表达升高。这些结果表明，体内 DMI 可以区分活肿瘤内和肿瘤模型之间代谢上不同的亚区域。 DMI-bas</w:t>
      </w:r>
    </w:p>
    <w:p>
      <w:pPr>
        <w:spacing w:before="0" w:after="200" w:lineRule="auto" w:line="276"/>
      </w:pPr>
      <w:r>
        <w:rPr>
          <w:b/>
        </w:rPr>
        <w:t xml:space="preserve">Abstract (EN): </w:t>
      </w:r>
      <w:r>
        <w:t>Intra- and intertumoral heterogeneities raise fundamental biological questions and have important implications for accurate cancer diagnosis, prognosis, and treatment. These heterogeneities reflect tumor complexity, including a pronounced diversity in metabolic phenotypes and profiles. This study demonstrates that in vivo deuterium metabolic imaging (DMI) data acquired with sufficiently high spatiotemporal resolution provide a minimally invasive approach to assess these heterogeneities. A multifrequency DMI approach was used to examine tumor heterogeneities within and between colon cancer models. Regions of high and low glucose enrichment and labeled lactate accumulation could thus be detected; these were analyzed using unsupervised clustering strategies based on</w:t>
      </w:r>
      <w:r>
        <w:t xml:space="preserve"> </w:t>
      </w:r>
      <w:r>
        <w:t>k</w:t>
      </w:r>
      <w:r>
        <w:t xml:space="preserve"> </w:t>
      </w:r>
      <w:r>
        <w:t>-means clustering of area-under-the-curve information, and principal components analysis with Gaussian mixture modeling. Spatial alignment of these imaging-derived clusters for</w:t>
      </w:r>
      <w:r>
        <w:rPr>
          <w:vertAlign w:val="subscript"/>
        </w:rPr>
        <w:t>2</w:t>
      </w:r>
      <w:r>
        <w:t>H-glucose and</w:t>
      </w:r>
      <w:r>
        <w:rPr>
          <w:vertAlign w:val="subscript"/>
        </w:rPr>
        <w:t>2</w:t>
      </w:r>
      <w:r>
        <w:t>H-lactate showed good agreement with each other as well as with histological sections, validating the biological relevance of the identified subregions. Immunohistochemical analyses showed that glucose-enriched subregions were positively correlated with the expression of GLUT1 and DLAT, while lactate-enriched areas showed elevated expression of LDHA and MCT4. These results demonstrate that in vivo DMI can distinguish metabolically distinct subregions within viable tumors and between tumor models. DMI-based metabolic maps could thus provide the means to characterize intra- and intertumoral heterogeneities, paving the way for imaging-based metabolic phenotyping in precision oncology.</w:t>
      </w:r>
    </w:p>
    <w:p>
      <w:pPr>
        <w:spacing w:before="120" w:after="120"/>
      </w:pPr>
      <w:r>
        <w:rPr>
          <w:sz w:val="18"/>
        </w:rPr>
        <w:t>——————————————————————————————————————————————————————————————————————</w:t>
      </w:r>
    </w:p>
    <w:p>
      <w:pPr>
        <w:spacing w:before="160" w:after="40" w:line="240" w:lineRule="auto"/>
      </w:pPr>
      <w:r>
        <w:rPr>
          <w:b/>
        </w:rPr>
        <w:t xml:space="preserve">[125] </w:t>
      </w:r>
      <w:hyperlink r:id="rId734">
        <w:r>
          <w:rPr>
            <w:color w:val="1155CC"/>
            <w:u w:val="single"/>
          </w:rPr>
          <w:t>3D 打印可生物降解多功能颅骨装置，用于骨修复和愈合评估</w:t>
        </w:r>
      </w:hyperlink>
    </w:p>
    <w:p>
      <w:pPr>
        <w:spacing w:before="0" w:after="80"/>
      </w:pPr>
      <w:r>
        <w:rPr>
          <w:i/>
          <w:sz w:val="20"/>
        </w:rPr>
        <w:t>EN: 3D-Printed biodegradable and multifunctional cranial device for bone repair and healing assessment</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35">
        <w:r>
          <w:rPr>
            <w:color w:val="1155CC"/>
            <w:u w:val="single"/>
          </w:rPr>
          <w:t>10.1126/sciadv.adz2632</w:t>
        </w:r>
      </w:hyperlink>
    </w:p>
    <w:p>
      <w:pPr>
        <w:spacing w:before="0" w:after="120"/>
      </w:pPr>
      <w:r>
        <w:rPr>
          <w:b/>
        </w:rPr>
        <w:t xml:space="preserve">Notes: </w:t>
      </w:r>
      <w:r>
        <w:t>abstract_source=crossref</w:t>
      </w:r>
    </w:p>
    <w:p>
      <w:pPr>
        <w:spacing w:before="0" w:after="80" w:lineRule="auto" w:line="276"/>
      </w:pPr>
      <w:r>
        <w:rPr>
          <w:b/>
        </w:rPr>
        <w:t xml:space="preserve">摘要（ZH）: </w:t>
      </w:r>
      <w:r>
        <w:t>临界尺寸的骨缺损带来了巨大的临床挑战，需要再生和诊断策略来进行有效的治疗。在这里，我们报告了一种基于三维打印的可生物降解的多功能颅骨装置。该设备集成了基于瞬态锌钼电池的自带电支架和阻抗传感器，可同时进行电刺激和持续评估骨愈合情况。电信号的有益作用归因于钙离子流入量的增加、活性氧信号传导以及成骨相关基因的上调。在啮齿动物颅骨缺损模型中，该设备促进成骨，同时通过阻抗测量动态跟踪早期组织再生。阻抗的增加与胶原沉积和基质矿化的增强有关。通过将治疗刺激与原位监测相结合，这项工作为智能骨修复提供了一个平台，在再生医学领域具有广泛的潜力。</w:t>
      </w:r>
    </w:p>
    <w:p>
      <w:pPr>
        <w:spacing w:before="0" w:after="200" w:lineRule="auto" w:line="276"/>
      </w:pPr>
      <w:r>
        <w:rPr>
          <w:b/>
        </w:rPr>
        <w:t xml:space="preserve">Abstract (EN): </w:t>
      </w:r>
      <w:r>
        <w:t>Critical-sized bone defects pose substantial clinical challenges, requiring both regenerative and diagnostic strategies for effective treatment. Here, we report a biodegradable, multifunctional cranial device based on three-dimensional printing. The device integrates a self-electrified scaffold based on a transient zinc-molybdenum battery and an impedance sensor for simultaneous electrical stimulation and continuous assessment of bone healing. The beneficial effects of electrical cues are attributed to elevated calcium ion influx, reactive oxygen species signaling, and up-regulated osteogenesis-related genes. In a rodent cranial defect model, the device promotes osteogenesis while enabling dynamic tracking of early tissue regeneration through impedance measurements. The increase in impedance is associated with enhanced collagen deposition and matrix mineralization. By uniting therapeutic stimulation with in situ monitoring, this work offers a platform for intelligent bone repair with broad potential in regenerative medicine.</w:t>
      </w:r>
    </w:p>
    <w:p>
      <w:pPr>
        <w:spacing w:before="120" w:after="120"/>
      </w:pPr>
      <w:r>
        <w:rPr>
          <w:sz w:val="18"/>
        </w:rPr>
        <w:t>——————————————————————————————————————————————————————————————————————</w:t>
      </w:r>
    </w:p>
    <w:p>
      <w:pPr>
        <w:spacing w:before="160" w:after="40" w:line="240" w:lineRule="auto"/>
      </w:pPr>
      <w:r>
        <w:rPr>
          <w:b/>
        </w:rPr>
        <w:t xml:space="preserve">[126] </w:t>
      </w:r>
      <w:hyperlink r:id="rId736">
        <w:r>
          <w:rPr>
            <w:color w:val="1155CC"/>
            <w:u w:val="single"/>
          </w:rPr>
          <w:t>使用改变电荷的可释放转运蛋白将 RNA 递送至角膜内皮</w:t>
        </w:r>
      </w:hyperlink>
    </w:p>
    <w:p>
      <w:pPr>
        <w:spacing w:before="0" w:after="80"/>
      </w:pPr>
      <w:r>
        <w:rPr>
          <w:i/>
          <w:sz w:val="20"/>
        </w:rPr>
        <w:t>EN: RNA delivery to the corneal endothelium using charge-altering releasable transporters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37">
        <w:r>
          <w:rPr>
            <w:color w:val="1155CC"/>
            <w:u w:val="single"/>
          </w:rPr>
          <w:t>10.1126/sciadv.ady8161</w:t>
        </w:r>
      </w:hyperlink>
    </w:p>
    <w:p>
      <w:pPr>
        <w:spacing w:before="0" w:after="120"/>
      </w:pPr>
      <w:r>
        <w:rPr>
          <w:b/>
        </w:rPr>
        <w:t xml:space="preserve">Notes: </w:t>
      </w:r>
      <w:r>
        <w:t>abstract_source=crossref</w:t>
      </w:r>
    </w:p>
    <w:p>
      <w:pPr>
        <w:spacing w:before="0" w:after="80" w:lineRule="auto" w:line="276"/>
      </w:pPr>
      <w:r>
        <w:rPr>
          <w:b/>
        </w:rPr>
        <w:t xml:space="preserve">摘要（ZH）: </w:t>
      </w:r>
      <w:r>
        <w:t>RNA疗法在治疗遗传性眼病方面具有巨大前景。然而，由于缺乏可以针对特定眼部细胞类型的非病毒传递平台，它们的发展受到限制。在这里，我们描述了一种电荷改变可释放转运蛋白（CART），它可以选择性地将 RNA 递送到角膜内皮细胞，角膜内皮细胞是一种非再生细胞层，其功能障碍是多种致盲情况的基础。我们表征了 CART-RNA 纳米粒子在小鼠体内的安全性，并表明它们有助于将多种 RNA 货物递送至角膜内皮，包括环状 RNA 和 CRISPR/Cas9。我们验证了这些纳米颗粒可以重新剂量并应用它们来实现角膜基因编辑。我们进一步证明 CART 可以在体外转染人类供体角膜内皮细胞，并在体内转染非人灵长类动物，支持临床转化的可行性。我们的研究结果将 CART 确立为将非病毒基因传递到眼睛的平台，具有治疗角膜营养不良和其他视力障碍的潜力。</w:t>
      </w:r>
    </w:p>
    <w:p>
      <w:pPr>
        <w:spacing w:before="0" w:after="200" w:lineRule="auto" w:line="276"/>
      </w:pPr>
      <w:r>
        <w:rPr>
          <w:b/>
        </w:rPr>
        <w:t xml:space="preserve">Abstract (EN): </w:t>
      </w:r>
      <w:r>
        <w:t>RNA therapies hold tremendous promise for treating genetic eye diseases. However, their development is limited by the lack of non-viral delivery platforms that can target specific ocular cell types. Here, we describe a charge-altering releasable transporter (CART) that delivers RNA selectively to the corneal endothelium, a non-regenerative cell layer whose dysfunction underlies several blinding conditions. We characterize the safety of CART-RNA nanoparticles in mice and show that they facilitate delivery of diverse RNA cargoes to the corneal endothelium, including circular RNA and CRISPR/Cas9. We verify that these nanoparticles can be redosed and apply them to achieve corneal gene editing. We further demonstrate CART transfection of corneal endothelial cells from a human donor in vitro and in a non-human primate in vivo, supporting the feasibility of clinical translation. Our findings establish CARTs as a platform for non-viral gene delivery to the eye, with the potential to treat corneal dystrophies and other vision disorders.</w:t>
      </w:r>
    </w:p>
    <w:p>
      <w:pPr>
        <w:spacing w:before="120" w:after="120"/>
      </w:pPr>
      <w:r>
        <w:rPr>
          <w:sz w:val="18"/>
        </w:rPr>
        <w:t>——————————————————————————————————————————————————————————————————————</w:t>
      </w:r>
    </w:p>
    <w:p>
      <w:pPr>
        <w:spacing w:before="160" w:after="40" w:line="240" w:lineRule="auto"/>
      </w:pPr>
      <w:r>
        <w:rPr>
          <w:b/>
        </w:rPr>
        <w:t xml:space="preserve">[127] </w:t>
      </w:r>
      <w:hyperlink r:id="rId738">
        <w:r>
          <w:rPr>
            <w:color w:val="1155CC"/>
            <w:u w:val="single"/>
          </w:rPr>
          <w:t>凯瑟琳·约翰逊 (Catherine L. Johnson) 的 QnAs</w:t>
        </w:r>
      </w:hyperlink>
    </w:p>
    <w:p>
      <w:pPr>
        <w:spacing w:before="0" w:after="80"/>
      </w:pPr>
      <w:r>
        <w:rPr>
          <w:i/>
          <w:sz w:val="20"/>
        </w:rPr>
        <w:t>EN: QnAs with Catherine L. Johnson</w:t>
      </w:r>
    </w:p>
    <w:p>
      <w:pPr>
        <w:spacing w:before="0" w:after="120"/>
      </w:pPr>
      <w:r>
        <w:rPr>
          <w:b/>
        </w:rPr>
        <w:t xml:space="preserve">Source: </w:t>
      </w:r>
      <w:r>
        <w:t>Proceedings of the National Academy of Sciences: Keyword search for query</w:t>
      </w:r>
      <w:r>
        <w:t xml:space="preserve">    </w:t>
      </w:r>
      <w:r>
        <w:rPr>
          <w:b/>
        </w:rPr>
        <w:t xml:space="preserve">Pub date: </w:t>
      </w:r>
      <w:r>
        <w:t>2026-08-21 07:00:00+00:00</w:t>
      </w:r>
      <w:r>
        <w:t xml:space="preserve">    </w:t>
      </w:r>
      <w:r>
        <w:rPr>
          <w:b/>
        </w:rPr>
        <w:t xml:space="preserve">DOI: </w:t>
      </w:r>
      <w:hyperlink r:id="rId739">
        <w:r>
          <w:rPr>
            <w:color w:val="1155CC"/>
            <w:u w:val="single"/>
          </w:rPr>
          <w:t>10.1073/pnas.2626540123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[128] </w:t>
      </w:r>
      <w:hyperlink r:id="rId740">
        <w:r>
          <w:rPr>
            <w:color w:val="1155CC"/>
            <w:u w:val="single"/>
          </w:rPr>
          <w:t>T. Dillehay 等人的研究文章“秘鲁沿海瓦卡普列塔的更新世晚期和全新世早期的简单技术和多样化食物策略”的勘误表。</w:t>
        </w:r>
      </w:hyperlink>
    </w:p>
    <w:p>
      <w:pPr>
        <w:spacing w:before="0" w:after="80"/>
      </w:pPr>
      <w:r>
        <w:rPr>
          <w:i/>
          <w:sz w:val="20"/>
        </w:rPr>
        <w:t>EN: Erratum for the Research Article “Simple technologies and diverse food strategies of the Late Pleistocene and Early Holocene at Huaca Prieta, Coastal Peru” by T. Dillehay et al.</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41">
        <w:r>
          <w:rPr>
            <w:color w:val="1155CC"/>
            <w:u w:val="single"/>
          </w:rPr>
          <w:t>10.1126/sciadv.aek2171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[129] </w:t>
      </w:r>
      <w:hyperlink r:id="rId742">
        <w:r>
          <w:rPr>
            <w:color w:val="1155CC"/>
            <w:u w:val="single"/>
          </w:rPr>
          <w:t>Tox 调节小鼠和斑马鱼毛细胞静纤毛发育和 Cdh23 表达</w:t>
        </w:r>
      </w:hyperlink>
    </w:p>
    <w:p>
      <w:pPr>
        <w:spacing w:before="0" w:after="80"/>
      </w:pPr>
      <w:r>
        <w:rPr>
          <w:i/>
          <w:sz w:val="20"/>
        </w:rPr>
        <w:t>EN: Tox regulates hair cell stereocilia development and Cdh23 expression in mice and zebrafish</w:t>
      </w:r>
    </w:p>
    <w:p>
      <w:pPr>
        <w:spacing w:before="0" w:after="120"/>
      </w:pPr>
      <w:r>
        <w:rPr>
          <w:b/>
        </w:rPr>
        <w:t xml:space="preserve">Source: </w:t>
      </w:r>
      <w:r>
        <w:t>Proceedings of the National Academy of Sciences: Keyword search for query</w:t>
      </w:r>
      <w:r>
        <w:t xml:space="preserve">    </w:t>
      </w:r>
      <w:r>
        <w:rPr>
          <w:b/>
        </w:rPr>
        <w:t xml:space="preserve">Pub date: </w:t>
      </w:r>
      <w:r>
        <w:t>2026-08-21 07:00:00+00:00</w:t>
      </w:r>
      <w:r>
        <w:t xml:space="preserve">    </w:t>
      </w:r>
      <w:r>
        <w:rPr>
          <w:b/>
        </w:rPr>
        <w:t xml:space="preserve">DOI: </w:t>
      </w:r>
      <w:hyperlink r:id="rId743">
        <w:r>
          <w:rPr>
            <w:color w:val="1155CC"/>
            <w:u w:val="single"/>
          </w:rPr>
          <w:t>10.1073/pnas.2607359123</w:t>
        </w:r>
      </w:hyperlink>
    </w:p>
    <w:p>
      <w:pPr>
        <w:spacing w:before="0" w:after="120"/>
      </w:pPr>
      <w:r>
        <w:rPr>
          <w:b/>
        </w:rPr>
        <w:t xml:space="preserve">Notes: </w:t>
      </w:r>
      <w:r>
        <w:t>abstract_source=crossref</w:t>
      </w:r>
    </w:p>
    <w:p>
      <w:pPr>
        <w:spacing w:before="0" w:after="80" w:lineRule="auto" w:line="276"/>
      </w:pPr>
      <w:r>
        <w:rPr>
          <w:b/>
        </w:rPr>
        <w:t xml:space="preserve">摘要（ZH）: </w:t>
      </w:r>
      <w:r>
        <w:t>听觉毛细胞（HC）是声音检测的关键感觉单位，其发育需要精确的转录调控。迄今为止，许多对 HC 发育至关重要的转录因子已得到表征；然而，监管网络仍不清楚，需要进一步调查。在这项研究中，我们鉴定了转录因子</w:t>
      </w:r>
      <w:r>
        <w:t xml:space="preserve"> </w:t>
      </w:r>
      <w:r>
        <w:t>毒物</w:t>
      </w:r>
      <w:r>
        <w:t xml:space="preserve"> </w:t>
      </w:r>
      <w:r>
        <w:t>，在HC发展中发挥着重要作用。</w:t>
      </w:r>
      <w:r>
        <w:t xml:space="preserve"> </w:t>
      </w:r>
      <w:r>
        <w:t>毒物</w:t>
      </w:r>
      <w:r>
        <w:t xml:space="preserve"> </w:t>
      </w:r>
      <w:r>
        <w:t>在斑马鱼和小鼠的 HC 中高表达，并且其表达随着发育假时间的增加而增加，</w:t>
      </w:r>
      <w:r>
        <w:t xml:space="preserve"> </w:t>
      </w:r>
      <w:r>
        <w:t>阿托1</w:t>
      </w:r>
      <w:r>
        <w:t xml:space="preserve"> </w:t>
      </w:r>
      <w:r>
        <w:t>和前面的</w:t>
      </w:r>
      <w:r>
        <w:t xml:space="preserve"> </w:t>
      </w:r>
      <w:r>
        <w:t>肌7a</w:t>
      </w:r>
      <w:r>
        <w:t xml:space="preserve"> </w:t>
      </w:r>
      <w:r>
        <w:t>，表明在发展中的潜在作用。利用</w:t>
      </w:r>
      <w:r>
        <w:t xml:space="preserve"> </w:t>
      </w:r>
      <w:r>
        <w:t>毒物</w:t>
      </w:r>
      <w:r>
        <w:t xml:space="preserve"> </w:t>
      </w:r>
      <w:r>
        <w:t>在斑马鱼和小鼠的突变模型中，我们发现</w:t>
      </w:r>
      <w:r>
        <w:t xml:space="preserve"> </w:t>
      </w:r>
      <w:r>
        <w:t>毒物</w:t>
      </w:r>
      <w:r>
        <w:t xml:space="preserve"> </w:t>
      </w:r>
      <w:r>
        <w:t>对于 HC 功能维持和静纤毛稳定性至关重要。通过多组学综合分析，我们证实</w:t>
      </w:r>
      <w:r>
        <w:t xml:space="preserve"> </w:t>
      </w:r>
      <w:r>
        <w:t>毒物</w:t>
      </w:r>
      <w:r>
        <w:t xml:space="preserve"> </w:t>
      </w:r>
      <w:r>
        <w:t>直接与保守基序结合</w:t>
      </w:r>
      <w:r>
        <w:t xml:space="preserve"> </w:t>
      </w:r>
      <w:r>
        <w:t>CDH23</w:t>
      </w:r>
      <w:r>
        <w:t xml:space="preserve"> </w:t>
      </w:r>
      <w:r>
        <w:t>启动子，驱动其转录，并确保 Cdh23 在静纤毛尖端的精确定位，从而在维持听觉功能中发挥关键作用。总之，我们的研究结果表明</w:t>
      </w:r>
      <w:r>
        <w:t xml:space="preserve"> </w:t>
      </w:r>
      <w:r>
        <w:t>毒物</w:t>
      </w:r>
      <w:r>
        <w:t xml:space="preserve"> </w:t>
      </w:r>
      <w:r>
        <w:t>通过调节转录和翻译来影响 HC 的发育</w:t>
      </w:r>
      <w:r>
        <w:t xml:space="preserve"> </w:t>
      </w:r>
      <w:r>
        <w:t>CDH23</w:t>
      </w:r>
      <w:r>
        <w:t xml:space="preserve"> </w:t>
      </w:r>
      <w:r>
        <w:t>, 丰富</w:t>
      </w:r>
    </w:p>
    <w:p>
      <w:pPr>
        <w:spacing w:before="0" w:after="200" w:lineRule="auto" w:line="276"/>
      </w:pPr>
      <w:r>
        <w:rPr>
          <w:b/>
        </w:rPr>
        <w:t xml:space="preserve">Abstract (EN): </w:t>
      </w:r>
      <w:r>
        <w:t>Auditory hair cells (HCs) are critical sensory units for sound detection, and their development requires precise transcriptional regulation. To date, numerous transcription factors crucial for HC development have been characterized; however, the governing regulatory network remains unclear and warrants further investigation. In this study, we identified the transcription factor</w:t>
      </w:r>
      <w:r>
        <w:t xml:space="preserve"> </w:t>
      </w:r>
      <w:r>
        <w:t>Tox</w:t>
      </w:r>
      <w:r>
        <w:t xml:space="preserve"> </w:t>
      </w:r>
      <w:r>
        <w:t>, which plays a significant role in HC development.</w:t>
      </w:r>
      <w:r>
        <w:t xml:space="preserve"> </w:t>
      </w:r>
      <w:r>
        <w:t>Tox</w:t>
      </w:r>
      <w:r>
        <w:t xml:space="preserve"> </w:t>
      </w:r>
      <w:r>
        <w:t>is highly expressed in HCs in both zebrafish and mice, and its expression increases along developmental pseudotime, rising after</w:t>
      </w:r>
      <w:r>
        <w:t xml:space="preserve"> </w:t>
      </w:r>
      <w:r>
        <w:t>Atoh1</w:t>
      </w:r>
      <w:r>
        <w:t xml:space="preserve"> </w:t>
      </w:r>
      <w:r>
        <w:t>and preceding</w:t>
      </w:r>
      <w:r>
        <w:t xml:space="preserve"> </w:t>
      </w:r>
      <w:r>
        <w:t>Myo7a</w:t>
      </w:r>
      <w:r>
        <w:t xml:space="preserve"> </w:t>
      </w:r>
      <w:r>
        <w:t>, suggesting a potential role in development. Utilizing</w:t>
      </w:r>
      <w:r>
        <w:t xml:space="preserve"> </w:t>
      </w:r>
      <w:r>
        <w:t>Tox</w:t>
      </w:r>
      <w:r>
        <w:t xml:space="preserve"> </w:t>
      </w:r>
      <w:r>
        <w:t>mutant models in zebrafish and mice, we found that</w:t>
      </w:r>
      <w:r>
        <w:t xml:space="preserve"> </w:t>
      </w:r>
      <w:r>
        <w:t>Tox</w:t>
      </w:r>
      <w:r>
        <w:t xml:space="preserve"> </w:t>
      </w:r>
      <w:r>
        <w:t>is essential for HC functional maintenance and stereocilia stability. Through multiomics integrated analysis, we confirmed that</w:t>
      </w:r>
      <w:r>
        <w:t xml:space="preserve"> </w:t>
      </w:r>
      <w:r>
        <w:t>Tox</w:t>
      </w:r>
      <w:r>
        <w:t xml:space="preserve"> </w:t>
      </w:r>
      <w:r>
        <w:t>directly binds to conserved motifs in the</w:t>
      </w:r>
      <w:r>
        <w:t xml:space="preserve"> </w:t>
      </w:r>
      <w:r>
        <w:t>Cdh23</w:t>
      </w:r>
      <w:r>
        <w:t xml:space="preserve"> </w:t>
      </w:r>
      <w:r>
        <w:t>promoter, drives its transcription, and ensures the precise localization of Cdh23 at the tips of stereocilia, thereby playing a key role in maintaining auditory function. In conclusion, our findings indicate that</w:t>
      </w:r>
      <w:r>
        <w:t xml:space="preserve"> </w:t>
      </w:r>
      <w:r>
        <w:t>Tox</w:t>
      </w:r>
      <w:r>
        <w:t xml:space="preserve"> </w:t>
      </w:r>
      <w:r>
        <w:t>influences HC development by regulating the transcription and translation of</w:t>
      </w:r>
      <w:r>
        <w:t xml:space="preserve"> </w:t>
      </w:r>
      <w:r>
        <w:t>Cdh23</w:t>
      </w:r>
      <w:r>
        <w:t xml:space="preserve"> </w:t>
      </w:r>
      <w:r>
        <w:t>, enriches the regulatory network of HC development, and may serve as a target for clinical gene therapy for deafness.</w:t>
      </w:r>
    </w:p>
    <w:p>
      <w:pPr>
        <w:spacing w:before="120" w:after="120"/>
      </w:pPr>
      <w:r>
        <w:rPr>
          <w:sz w:val="18"/>
        </w:rPr>
        <w:t>——————————————————————————————————————————————————————————————————————</w:t>
      </w:r>
    </w:p>
    <w:p>
      <w:pPr>
        <w:spacing w:before="160" w:after="40" w:line="240" w:lineRule="auto"/>
      </w:pPr>
      <w:r>
        <w:rPr>
          <w:b/>
        </w:rPr>
        <w:t xml:space="preserve">[130] </w:t>
      </w:r>
      <w:hyperlink r:id="rId744">
        <w:r>
          <w:rPr>
            <w:color w:val="1155CC"/>
            <w:u w:val="single"/>
          </w:rPr>
          <w:t>通过光束传播实现生物样品中的逆散射</w:t>
        </w:r>
      </w:hyperlink>
    </w:p>
    <w:p>
      <w:pPr>
        <w:spacing w:before="0" w:after="80"/>
      </w:pPr>
      <w:r>
        <w:rPr>
          <w:i/>
          <w:sz w:val="20"/>
        </w:rPr>
        <w:t>EN: Inverse scattering in biological samples via beam propagation</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45">
        <w:r>
          <w:rPr>
            <w:color w:val="1155CC"/>
            <w:u w:val="single"/>
          </w:rPr>
          <w:t>10.1126/sciadv.aec8678</w:t>
        </w:r>
      </w:hyperlink>
    </w:p>
    <w:p>
      <w:pPr>
        <w:spacing w:before="0" w:after="120"/>
      </w:pPr>
      <w:r>
        <w:rPr>
          <w:b/>
        </w:rPr>
        <w:t xml:space="preserve">Notes: </w:t>
      </w:r>
      <w:r>
        <w:t>abstract_source=crossref</w:t>
      </w:r>
    </w:p>
    <w:p>
      <w:pPr>
        <w:spacing w:before="0" w:after="80" w:lineRule="auto" w:line="276"/>
      </w:pPr>
      <w:r>
        <w:rPr>
          <w:b/>
        </w:rPr>
        <w:t xml:space="preserve">摘要（ZH）: </w:t>
      </w:r>
      <w:r>
        <w:t>多重散射通过扰乱样本特定信息来限制厚生物样本中的光学成像。基于物理的逆散射方法旨在通过使用非凸优化求解器来通过计算来解读这些信息。然而，它们固有的非凸性通常会导致高度依赖样本的性能和不准确的重建，特别是在强散射样本中。在这里，我们介绍了一种基于多层光束传播（MSBP）的新型逆散射框架，该框架可以在各种散射生物样本中稳健地实现高质量的散射校正和无标记体积成像。我们使用散射校准体模和生物样本对多个 MSBP 求解器实现的成像性能进行了严格的基准测试。我们发现逆解算器中的仅振幅成本函数与散射测量中的角度和散焦多样性相结合，可以实现具有高质量和亚细胞级散射校正的体积、无标记成像。总之，这些结果为逆散射的可靠应用奠定了基础，以在越来越厚的多细胞样本中实现生物可解释的三维成像，从而为深层组织计算成像引入新的范例。</w:t>
      </w:r>
    </w:p>
    <w:p>
      <w:pPr>
        <w:spacing w:before="0" w:after="200" w:lineRule="auto" w:line="276"/>
      </w:pPr>
      <w:r>
        <w:rPr>
          <w:b/>
        </w:rPr>
        <w:t xml:space="preserve">Abstract (EN): </w:t>
      </w:r>
      <w:r>
        <w:t>Multiple scattering limits optical imaging in thick biological samples by scrambling sample-specific information. Physics-based inverse-scattering methods aim to computationally unscramble this information often by using nonconvex optimization solvers. However, their inherent nonconvexity often leads to highly sample-dependent performance and inaccurate reconstructions, particularly in strongly scattering specimens. Here, we introduce a novel inverse-scattering framework based on multislice beam propagation (MSBP) that robustly achieves high-quality scatter correction and label-free volumetric imaging across a diverse range of scattering biological samples. We rigorously benchmarked imaging performance across multiple MSBP solver implementations using both scattering calibration phantoms and biological specimens. We found that an amplitude-only cost function in the inverse solver, combined with angular and defocus diversity in the scattering measurements, enabled volumetric, label-free imaging with high-quality and subcellular-level scatter correction. Together, these results establish a foundation for the reliable application of inverse scattering to achieve biologically interpretable three-dimensional imaging in increasingly thick, multicellular samples, thus introducing a new paradigm for deep-tissue computational imaging.</w:t>
      </w:r>
    </w:p>
    <w:p>
      <w:pPr>
        <w:spacing w:before="120" w:after="120"/>
      </w:pPr>
      <w:r>
        <w:rPr>
          <w:sz w:val="18"/>
        </w:rPr>
        <w:t>——————————————————————————————————————————————————————————————————————</w:t>
      </w:r>
    </w:p>
    <w:p>
      <w:pPr>
        <w:spacing w:before="160" w:after="40" w:line="240" w:lineRule="auto"/>
      </w:pPr>
      <w:r>
        <w:rPr>
          <w:b/>
        </w:rPr>
        <w:t xml:space="preserve">[131] </w:t>
      </w:r>
      <w:hyperlink r:id="rId746">
        <w:r>
          <w:rPr>
            <w:color w:val="1155CC"/>
            <w:u w:val="single"/>
          </w:rPr>
          <w:t>设计仿生多相缝合锚钉系统以增强肩袖附着点再生</w:t>
        </w:r>
      </w:hyperlink>
    </w:p>
    <w:p>
      <w:pPr>
        <w:spacing w:before="0" w:after="80"/>
      </w:pPr>
      <w:r>
        <w:rPr>
          <w:i/>
          <w:sz w:val="20"/>
        </w:rPr>
        <w:t>EN: Engineering a biomimetic multiphasic suture anchor system for enhanced rotator cuff enthesis regeneration</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47">
        <w:r>
          <w:rPr>
            <w:color w:val="1155CC"/>
            <w:u w:val="single"/>
          </w:rPr>
          <w:t>10.1126/sciadv.aea3128</w:t>
        </w:r>
      </w:hyperlink>
    </w:p>
    <w:p>
      <w:pPr>
        <w:spacing w:before="0" w:after="120"/>
      </w:pPr>
      <w:r>
        <w:rPr>
          <w:b/>
        </w:rPr>
        <w:t xml:space="preserve">Notes: </w:t>
      </w:r>
      <w:r>
        <w:t>abstract_source=crossref</w:t>
      </w:r>
    </w:p>
    <w:p>
      <w:pPr>
        <w:spacing w:before="0" w:after="80" w:lineRule="auto" w:line="276"/>
      </w:pPr>
      <w:r>
        <w:rPr>
          <w:b/>
        </w:rPr>
        <w:t xml:space="preserve">摘要（ZH）: </w:t>
      </w:r>
      <w:r>
        <w:t>肩袖对于肩部运动和关节稳定性起着至关重要的作用。不幸的是，肩袖附着点处的撕裂很常见，并且经常导致手术干预后的重新撕裂，特别是在缝合位置及其锚定部位。这些失败通常是由于当前的手术治疗无法模拟天然组织的复杂性并为有效的附着点再生提供必要的代谢、生物活性和生物物理线索。在这项研究中，我们设计了一种仿生多相支架系统（BMS），与传统的缝合锚钉系统集成，并提供空间组织的结构和生物线索，以增强附着点再生。 BMS 由三个不同的阶段组成：第 1 阶段的特点是排列整齐的纳米纤维脱细胞肌腱细胞外基质 (dECM) 与“刚性”甲基丙烯酸透明质酸 (MeHA) 相结合；第 2 阶段将非排列纳米纤维 dECM 与“软”MeHA 相结合；第三阶段使用多孔、生物能、柠檬酸盐复合支架进行骨整合。在体外，BMS 显着增强了肌腱分化、纤维软骨分化和软骨分化，促进特定区域的肩袖附着点再生。此外，在体内，BMS 促进了成功的综合愈合，在修复部位形成了明显的肌腱、纤维软骨和骨骼区域。这种先进的多相支架紧密复制了天然组织特性，为改善肩袖修复提供了一种有前景的策略。它与传统缝合锚钉的集成提供了一种创新设计，</w:t>
      </w:r>
    </w:p>
    <w:p>
      <w:pPr>
        <w:spacing w:before="0" w:after="200" w:lineRule="auto" w:line="276"/>
      </w:pPr>
      <w:r>
        <w:rPr>
          <w:b/>
        </w:rPr>
        <w:t xml:space="preserve">Abstract (EN): </w:t>
      </w:r>
      <w:r>
        <w:t>The rotator cuff plays a vital role in shoulder movement and joint stability. Unfortunately, tears at the rotator cuff enthesis are common and frequently lead to retears after surgical intervention, particularly at the suture location and its anchor sites. These failures are typically due to the inability of current surgical treatments to mimic the native tissue complexity and provide the necessary metabolic, bioactive, and biophysical cues for effective enthesis regeneration. In this study, we engineered a biomimetic multiphasic scaffold system (BMS) to integrate with conventional suture anchor systems and deliver spatially organized structural and biological cues to enhance enthesis regeneration. The BMS consists of three distinct phases: Phase 1 features an aligned, nanofibrous decellularized tendon extracellular matrix (dECM) combined with “stiff” methacrylated hyaluronic acid (MeHA); phase 2 incorporates nonaligned, nanofibrous dECM with “soft” MeHA; and phase 3 uses a porous, bioenergetic, citrate-based composite scaffold for bone integration. In vitro, the BMS notably enhanced tenogenic, fibrochondrogenic, and chondrogenic differentiation, facilitating zone-specific rotator cuff enthesis regeneration. Further, in vivo, the BMS promoted successful integrative healing, forming distinct tendon, fibrocartilage, and bone regions at the repair site. This advanced multiphasic scaffold closely replicates native tissue properties, offering a promising strategy to improve rotator cuff repair. Its integration with conventional suture anchors provides an innovative design that enhances mechanical fixation and guides enthesis healing to reduce retear rates. Broadly, this platform offers a versatile solution for biointegrative repair strategies across complex soft-to-hard tissue interfaces.</w:t>
      </w:r>
    </w:p>
    <w:p>
      <w:pPr>
        <w:spacing w:before="120" w:after="120"/>
      </w:pPr>
      <w:r>
        <w:rPr>
          <w:sz w:val="18"/>
        </w:rPr>
        <w:t>——————————————————————————————————————————————————————————————————————</w:t>
      </w:r>
    </w:p>
    <w:p>
      <w:pPr>
        <w:spacing w:before="160" w:after="40" w:line="240" w:lineRule="auto"/>
      </w:pPr>
      <w:r>
        <w:rPr>
          <w:b/>
        </w:rPr>
        <w:t xml:space="preserve">[132] </w:t>
      </w:r>
      <w:hyperlink r:id="rId748">
        <w:r>
          <w:rPr>
            <w:color w:val="1155CC"/>
            <w:u w:val="single"/>
          </w:rPr>
          <w:t>C. 罗宾·布尔 (C. Robin Buell) 简介</w:t>
        </w:r>
      </w:hyperlink>
    </w:p>
    <w:p>
      <w:pPr>
        <w:spacing w:before="0" w:after="80"/>
      </w:pPr>
      <w:r>
        <w:rPr>
          <w:i/>
          <w:sz w:val="20"/>
        </w:rPr>
        <w:t>EN: Profile of C. Robin Buell</w:t>
      </w:r>
    </w:p>
    <w:p>
      <w:pPr>
        <w:spacing w:before="0" w:after="120"/>
      </w:pPr>
      <w:r>
        <w:rPr>
          <w:b/>
        </w:rPr>
        <w:t xml:space="preserve">Source: </w:t>
      </w:r>
      <w:r>
        <w:t>Proceedings of the National Academy of Sciences: Keyword search for query</w:t>
      </w:r>
      <w:r>
        <w:t xml:space="preserve">    </w:t>
      </w:r>
      <w:r>
        <w:rPr>
          <w:b/>
        </w:rPr>
        <w:t xml:space="preserve">Pub date: </w:t>
      </w:r>
      <w:r>
        <w:t>2026-08-21 07:00:00+00:00</w:t>
      </w:r>
      <w:r>
        <w:t xml:space="preserve">    </w:t>
      </w:r>
      <w:r>
        <w:rPr>
          <w:b/>
        </w:rPr>
        <w:t xml:space="preserve">DOI: </w:t>
      </w:r>
      <w:hyperlink r:id="rId749">
        <w:r>
          <w:rPr>
            <w:color w:val="1155CC"/>
            <w:u w:val="single"/>
          </w:rPr>
          <w:t>10.1073/pnas.2625944123</w:t>
        </w:r>
      </w:hyperlink>
    </w:p>
    <w:p>
      <w:pPr>
        <w:spacing w:before="0" w:after="120"/>
      </w:pPr>
      <w:r>
        <w:rPr>
          <w:b/>
        </w:rPr>
        <w:t xml:space="preserve">Notes: </w:t>
      </w:r>
      <w:r>
        <w:t>abstract_source=crossref</w:t>
      </w:r>
    </w:p>
    <w:p>
      <w:pPr>
        <w:spacing w:before="0" w:after="80" w:lineRule="auto" w:line="276"/>
      </w:pPr>
      <w:r>
        <w:rPr>
          <w:b/>
        </w:rPr>
        <w:t xml:space="preserve">摘要（ZH）: </w:t>
      </w:r>
      <w:r>
        <w:t>自 DNA 测序技术出现以来，C. Robin Buell 一直是植物基因组学领域的领军人物。她帮助领导多个联盟在世纪之交对一些首批作物基因组进行了测序。此后，她利用基因组来解决基础生物学、植物进化和农业方面的问题。最近，她应用单细胞技术来揭示复杂的生物合成途径如何在不同的稀有植物细胞类型中划分。现在在佐治亚大学，布尔在她的首篇文章中探讨了块茎如何在植物谱系中反复出现。</w:t>
      </w:r>
    </w:p>
    <w:p>
      <w:pPr>
        <w:spacing w:before="0" w:after="200" w:lineRule="auto" w:line="276"/>
      </w:pPr>
      <w:r>
        <w:rPr>
          <w:b/>
        </w:rPr>
        <w:t xml:space="preserve">Abstract (EN): </w:t>
      </w:r>
      <w:r>
        <w:t>C. Robin Buell has been a leading figure in plant genomics since the advent of DNA sequencing technology. She helped lead multiple consortia to sequence some of the first crop genomes at the turn of the millennium. She has since used the genomes to tackle questions in fundamental biology, plant evolution, and agriculture. Recently, she applied single-cell technologies to uncover how complex biosynthetic pathways are compartmentalized across different rare plant cell types. Now at the University of Georgia, Buell explores in her Inaugural Article how tubers arose repeatedly in the plant family tree.</w:t>
      </w:r>
    </w:p>
    <w:p>
      <w:pPr>
        <w:spacing w:before="120" w:after="120"/>
      </w:pPr>
      <w:r>
        <w:rPr>
          <w:sz w:val="18"/>
        </w:rPr>
        <w:t>——————————————————————————————————————————————————————————————————————</w:t>
      </w:r>
    </w:p>
    <w:p>
      <w:pPr>
        <w:spacing w:before="160" w:after="40" w:line="240" w:lineRule="auto"/>
      </w:pPr>
      <w:r>
        <w:rPr>
          <w:b/>
        </w:rPr>
        <w:t xml:space="preserve">[133] </w:t>
      </w:r>
      <w:hyperlink r:id="rId750">
        <w:r>
          <w:rPr>
            <w:color w:val="1155CC"/>
            <w:u w:val="single"/>
          </w:rPr>
          <w:t>快速制造可拉伸、超韧和刚性的聚合物材料</w:t>
        </w:r>
      </w:hyperlink>
    </w:p>
    <w:p>
      <w:pPr>
        <w:spacing w:before="0" w:after="80"/>
      </w:pPr>
      <w:r>
        <w:rPr>
          <w:i/>
          <w:sz w:val="20"/>
        </w:rPr>
        <w:t>EN: Rapid fabrication of stretchable, ultratough, and rigid polymer materials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51">
        <w:r>
          <w:rPr>
            <w:color w:val="1155CC"/>
            <w:u w:val="single"/>
          </w:rPr>
          <w:t>10.1126/sciadv.aeh7273</w:t>
        </w:r>
      </w:hyperlink>
    </w:p>
    <w:p>
      <w:pPr>
        <w:spacing w:before="0" w:after="120"/>
      </w:pPr>
      <w:r>
        <w:rPr>
          <w:b/>
        </w:rPr>
        <w:t xml:space="preserve">Notes: </w:t>
      </w:r>
      <w:r>
        <w:t>abstract_source=crossref</w:t>
      </w:r>
    </w:p>
    <w:p>
      <w:pPr>
        <w:spacing w:before="0" w:after="80" w:lineRule="auto" w:line="276"/>
      </w:pPr>
      <w:r>
        <w:rPr>
          <w:b/>
        </w:rPr>
        <w:t xml:space="preserve">摘要（ZH）: </w:t>
      </w:r>
      <w:r>
        <w:t>聚合物材料在各种应用中具有广阔的前景，但面临着刚度、韧性、拉伸性和可扩展制造之间的权衡。在这里，我们报告了一种策略，通过丙烯酰胺基和羟基封端丙烯酸酯单体的光固化共聚，将能够构象转变的致密侧链氢键基序集成到高度缠结的柔性聚合物网络中，从而能够快速制造坚硬、坚韧和可拉伸的聚合物。密集的交联结构限制了链的流动性，而具有部分低旋转能垒的分层氢键在应变下可逆解离，从而允许缠结网络的可扩展性和连续的能量耗散。所得聚合物具有高杨氏模量（515.0 ± 100.9 兆帕）和屈服强度（57.8 ± 1.8 兆帕），同时保持出色的韧性（135.7 ± 10.7 兆焦耳每立方米）和断裂应变（400.1 ± 46.1%）以及加热后的完全应变恢复。这些聚合物可以通过三维打印制造成复杂的结构，并具有形状记忆、抗冲击和粘合性能。这项工作建立了一种通过简单的光聚合设计高性能聚合物材料的通用策略。</w:t>
      </w:r>
    </w:p>
    <w:p>
      <w:pPr>
        <w:spacing w:before="0" w:after="200" w:lineRule="auto" w:line="276"/>
      </w:pPr>
      <w:r>
        <w:rPr>
          <w:b/>
        </w:rPr>
        <w:t xml:space="preserve">Abstract (EN): </w:t>
      </w:r>
      <w:r>
        <w:t>Polymer materials hold great promise for various applications but face trade-offs among stiffness, toughness, stretchability, and scalable fabrication. Here, we report a strategy that integrates dense side-chain hydrogen-bonding motifs capable of conformational transitions into a highly entangled flexible polymer network through photocuring copolymerization of acrylamide-based and hydroxyl-terminated acrylate monomers, enabling the rapid fabrication of stiff, tough, and stretchable polymers. The densely cross-linked structure restricts chain mobility, while hierarchical hydrogen bonds with partially low rotational energy barriers reversibly dissociate under strain, allowing the extensibility of the entangled network and continuous energy dissipation. The resulting polymers exhibit high Young’s modulus (515.0 ± 100.9 megapascals) and yield strength (57.8 ± 1.8 megapascals) while maintaining exceptional toughness (135.7 ± 10.7 megajoules per cubic meter) and fracture strain (400.1 ± 46.1%) and full strain recovery upon heating. These polymers can be fabricated into complex structures via three-dimensional printing and exhibit shape-memory, impact-resistant, and adhesive properties. This work establishes a generalizable strategy for designing high-performance polymer materials through simple photopolymerization.</w:t>
      </w:r>
    </w:p>
    <w:p>
      <w:pPr>
        <w:spacing w:before="120" w:after="120"/>
      </w:pPr>
      <w:r>
        <w:rPr>
          <w:sz w:val="18"/>
        </w:rPr>
        <w:t>——————————————————————————————————————————————————————————————————————</w:t>
      </w:r>
    </w:p>
    <w:p>
      <w:pPr>
        <w:spacing w:before="160" w:after="40" w:line="240" w:lineRule="auto"/>
      </w:pPr>
      <w:r>
        <w:rPr>
          <w:b/>
        </w:rPr>
        <w:t xml:space="preserve">[134] </w:t>
      </w:r>
      <w:hyperlink r:id="rId752">
        <w:r>
          <w:rPr>
            <w:color w:val="1155CC"/>
            <w:u w:val="single"/>
          </w:rPr>
          <w:t>祖先茎调节器的共同选择推动了地下储存器官的循环进化</w:t>
        </w:r>
      </w:hyperlink>
    </w:p>
    <w:p>
      <w:pPr>
        <w:spacing w:before="0" w:after="80"/>
      </w:pPr>
      <w:r>
        <w:rPr>
          <w:i/>
          <w:sz w:val="20"/>
        </w:rPr>
        <w:t>EN: Co-option of ancestral stem regulators drove recurrent evolution of underground storage organs</w:t>
      </w:r>
    </w:p>
    <w:p>
      <w:pPr>
        <w:spacing w:before="0" w:after="120"/>
      </w:pPr>
      <w:r>
        <w:rPr>
          <w:b/>
        </w:rPr>
        <w:t xml:space="preserve">Source: </w:t>
      </w:r>
      <w:r>
        <w:t>Proceedings of the National Academy of Sciences: Keyword search for query</w:t>
      </w:r>
      <w:r>
        <w:t xml:space="preserve">    </w:t>
      </w:r>
      <w:r>
        <w:rPr>
          <w:b/>
        </w:rPr>
        <w:t xml:space="preserve">Pub date: </w:t>
      </w:r>
      <w:r>
        <w:t>2026-08-21 07:00:00+00:00</w:t>
      </w:r>
      <w:r>
        <w:t xml:space="preserve">    </w:t>
      </w:r>
      <w:r>
        <w:rPr>
          <w:b/>
        </w:rPr>
        <w:t xml:space="preserve">DOI: </w:t>
      </w:r>
      <w:hyperlink r:id="rId753">
        <w:r>
          <w:rPr>
            <w:color w:val="1155CC"/>
            <w:u w:val="single"/>
          </w:rPr>
          <w:t>10.1073/pnas.2606323123</w:t>
        </w:r>
      </w:hyperlink>
    </w:p>
    <w:p>
      <w:pPr>
        <w:spacing w:before="0" w:after="120"/>
      </w:pPr>
      <w:r>
        <w:rPr>
          <w:b/>
        </w:rPr>
        <w:t xml:space="preserve">Notes: </w:t>
      </w:r>
      <w:r>
        <w:t>abstract_source=crossref</w:t>
      </w:r>
    </w:p>
    <w:p>
      <w:pPr>
        <w:spacing w:before="0" w:after="80" w:lineRule="auto" w:line="276"/>
      </w:pPr>
      <w:r>
        <w:rPr>
          <w:b/>
        </w:rPr>
        <w:t xml:space="preserve">摘要（ZH）: </w:t>
      </w:r>
      <w:r>
        <w:t>土生植物是产生地下储存器官（如块茎、根茎和球茎）的植物，以促进无性繁殖并承受无数的环境挑战。虽然土豆（</w:t>
      </w:r>
      <w:r>
        <w:t xml:space="preserve"> </w:t>
      </w:r>
      <w:r>
        <w:t>马铃薯</w:t>
      </w:r>
      <w:r>
        <w:t xml:space="preserve"> </w:t>
      </w:r>
      <w:r>
        <w:t>L.）是研究块茎化的主要模型，但不同被子植物谱系中编码这一性状的遗传机制仍不清楚。这项研究采用系统发育-转录组学方法来比较九个块茎物种与五个非块茎姐妹类群的块茎发育。我们鉴定了关键马铃薯块茎化基因的直向同源物，这些基因在这些远亲的匍匐茎或块茎中表现出相似的表达。在非块茎物种中，这些直系同源物表现出独特的表达谱并且主要在茎中表达。这表明被子植物中块茎的独立进化是由于先前存在的基因表达的变化导致了它们的共同选择。当现有的基因组被招募来实现全新的生物功能时，这个过程也称为外适应（exaptation）。这种机制与基因的反复丢失或获得形成鲜明对比，后者与其他适应性植物性状的起源有关。此外，在具有其他茎衍生储存器官（例如根茎和匍匐茎）的物种中观察到相同基因的共选择。这些发现揭示了茎源性土生植物器官发育的保守进化模型，这些器官在过去 160 My 年间在开花植物中独立进化。</w:t>
      </w:r>
    </w:p>
    <w:p>
      <w:pPr>
        <w:spacing w:before="0" w:after="200" w:lineRule="auto" w:line="276"/>
      </w:pPr>
      <w:r>
        <w:rPr>
          <w:b/>
        </w:rPr>
        <w:t xml:space="preserve">Abstract (EN): </w:t>
      </w:r>
      <w:r>
        <w:t>Geophytes are plants that produce underground storage organs such as tubers, rhizomes, and bulbs, to facilitate asexual reproduction and withstand a myriad of environmental challenges. While the potato (</w:t>
      </w:r>
      <w:r>
        <w:t xml:space="preserve"> </w:t>
      </w:r>
      <w:r>
        <w:t>Solanum tuberosum</w:t>
      </w:r>
      <w:r>
        <w:t xml:space="preserve"> </w:t>
      </w:r>
      <w:r>
        <w:t>L.) serves as the primary model for studying tuberization, the genetic mechanisms encoding this trait across diverse angiosperm lineages remains unclear. This study utilized a phylogenomic-transcriptomic approach to compare tuber development across nine tuberizing species with five nontuberizing sister taxa. We identified orthologs of key potato tuberization genes that exhibit similar expression in the stolons or tubers of these distant relatives. In nontuberizing species, these orthologs exhibit distinct expression profiles and are primarily expressed in the stem. This suggests that the independent evolution of tubers across angiosperms resulted from shifts in the expression of preexisting genes that led to their co-option. This process, also known as exaptation, occurs when existing genetic suites are recruited for entirely new biological functions. This mechanism stands in contrast to the repeated loss or gain of genes, which has been associated with the origin of other adaptive plant traits. Furthermore, the co-option of the same genes was observed in species with other stem-derived storage organs, such as rhizomes and runners. These findings reveal a conserved evolutionary model for the development of stem-derived geophyte organs that evolved independently across the flowering plants over the past 160 My.</w:t>
      </w:r>
    </w:p>
    <w:p>
      <w:pPr>
        <w:spacing w:before="120" w:after="120"/>
      </w:pPr>
      <w:r>
        <w:rPr>
          <w:sz w:val="18"/>
        </w:rPr>
        <w:t>——————————————————————————————————————————————————————————————————————</w:t>
      </w:r>
    </w:p>
    <w:p>
      <w:pPr>
        <w:spacing w:before="160" w:after="40" w:line="240" w:lineRule="auto"/>
      </w:pPr>
      <w:r>
        <w:rPr>
          <w:b/>
        </w:rPr>
        <w:t xml:space="preserve">[135] </w:t>
      </w:r>
      <w:hyperlink r:id="rId754">
        <w:r>
          <w:rPr>
            <w:color w:val="1155CC"/>
            <w:u w:val="single"/>
          </w:rPr>
          <w:t>YBX1 调节 RNA 聚合酶 III 转录物以预防炎症</w:t>
        </w:r>
      </w:hyperlink>
    </w:p>
    <w:p>
      <w:pPr>
        <w:spacing w:before="0" w:after="80"/>
      </w:pPr>
      <w:r>
        <w:rPr>
          <w:i/>
          <w:sz w:val="20"/>
        </w:rPr>
        <w:t>EN: YBX1 regulates RNA polymerase III transcripts to prevent inflammation</w:t>
      </w:r>
    </w:p>
    <w:p>
      <w:pPr>
        <w:spacing w:before="0" w:after="120"/>
      </w:pPr>
      <w:r>
        <w:rPr>
          <w:b/>
        </w:rPr>
        <w:t xml:space="preserve">Source: </w:t>
      </w:r>
      <w:r>
        <w:t>Proceedings of the National Academy of Sciences: Keyword search for query</w:t>
      </w:r>
      <w:r>
        <w:t xml:space="preserve">    </w:t>
      </w:r>
      <w:r>
        <w:rPr>
          <w:b/>
        </w:rPr>
        <w:t xml:space="preserve">Pub date: </w:t>
      </w:r>
      <w:r>
        <w:t>2026-08-21 07:00:00+00:00</w:t>
      </w:r>
      <w:r>
        <w:t xml:space="preserve">    </w:t>
      </w:r>
      <w:r>
        <w:rPr>
          <w:b/>
        </w:rPr>
        <w:t xml:space="preserve">DOI: </w:t>
      </w:r>
      <w:hyperlink r:id="rId755">
        <w:r>
          <w:rPr>
            <w:color w:val="1155CC"/>
            <w:u w:val="single"/>
          </w:rPr>
          <w:t>10.1073/pnas.2605741123</w:t>
        </w:r>
      </w:hyperlink>
    </w:p>
    <w:p>
      <w:pPr>
        <w:spacing w:before="0" w:after="120"/>
      </w:pPr>
      <w:r>
        <w:rPr>
          <w:b/>
        </w:rPr>
        <w:t xml:space="preserve">Notes: </w:t>
      </w:r>
      <w:r>
        <w:t>abstract_source=crossref</w:t>
      </w:r>
    </w:p>
    <w:p>
      <w:pPr>
        <w:spacing w:before="0" w:after="80" w:lineRule="auto" w:line="276"/>
      </w:pPr>
      <w:r>
        <w:rPr>
          <w:b/>
        </w:rPr>
        <w:t xml:space="preserve">摘要（ZH）: </w:t>
      </w:r>
      <w:r>
        <w:t>内源性核酸的耐受性对于细胞稳态至关重要，当受到干扰时可能导致免疫失调。 RNA 结合蛋白 (RBP) 结合、修饰和分隔内源性 RNA，以防止其被先天免疫系统识别。我们发现，高度丰富的 RBP（包含 Y 盒结合蛋白 1 (YBX1) 的冷休克结构域）的丢失会导致自发诱导 IL6/STAT3 炎症反应和干扰素刺激基因的上调。对其他研究的荟萃分析表明，YBX1 直向同源物和旁系同源物的消耗会导致类似的促炎基因特征，表明 Y-box 蛋白在维持先天免疫稳态中的保守作用。在与 YBX1 相互作用的 RNA 中，我们测试了当 YBX1 耗尽时内源性 RNA 聚合酶 III (RNAP III) 转录物是否会刺激先天免疫信号传导。我们证明，通过抑制 RNAP III 转录和 RIG-I 信号传导可以消除 YBX1 缺失引起的炎症反应。因此，我们假设通过调节 RNAP III 转录本，YBX1 阻止先天免疫系统识别它们，从而揭示了该 RBP 在维持细胞稳态和对内源性 RNA 的耐受性中的作用。这种表型在 YBX1 直向同源物和旁系同源物中的保守性表明，冷休克结构域蛋白的 RNA 屏蔽代表了内源性 RNA 免疫原性问题的进化保守解决方案。</w:t>
      </w:r>
    </w:p>
    <w:p>
      <w:pPr>
        <w:spacing w:before="0" w:after="200" w:lineRule="auto" w:line="276"/>
      </w:pPr>
      <w:r>
        <w:rPr>
          <w:b/>
        </w:rPr>
        <w:t xml:space="preserve">Abstract (EN): </w:t>
      </w:r>
      <w:r>
        <w:t>Tolerance of endogenous nucleic acids is crucial for cellular homeostasis and when perturbed can lead to immune dysregulation. RNA-binding proteins (RBPs) bind, modify, and compartmentalize endogenous RNAs to prevent their recognition by the innate immune system. We found that loss of a highly abundant RBP, the cold shock domain containing Y-box binding protein 1 (YBX1), results in the spontaneous induction of an IL6/STAT3 inflammatory response and the upregulation of interferon-stimulated genes. A meta-analysis of other studies reveals that the depletion of YBX1 orthologs and paralogs results in a similar proinflammatory gene signature, suggesting a conserved role of Y-box proteins in maintaining innate immune homeostasis. Among RNAs that interact with YBX1, we tested whether endogenous RNA polymerase III (RNAP III) transcripts stimulate innate immune signaling when YBX1 is depleted. We demonstrate that the inflammatory responses induced by the loss of YBX1 are abrogated by inhibiting RNAP III transcription and RIG-I signaling. Hence, we hypothesize that by regulating RNAP III transcripts, YBX1 prevents their recognition by the innate immune system, uncovering a role of this RBP in maintaining cellular homeostasis and tolerance to endogenous RNAs. The conservation of this phenotype across YBX1 orthologs and paralogs argues that RNA shielding by cold shock domain proteins represents an evolutionarily conserved solution to the problem of endogenous RNA immunogenicity.</w:t>
      </w:r>
    </w:p>
    <w:p>
      <w:pPr>
        <w:spacing w:before="120" w:after="120"/>
      </w:pPr>
      <w:r>
        <w:rPr>
          <w:sz w:val="18"/>
        </w:rPr>
        <w:t>——————————————————————————————————————————————————————————————————————</w:t>
      </w:r>
    </w:p>
    <w:p>
      <w:pPr>
        <w:spacing w:before="160" w:after="40" w:line="240" w:lineRule="auto"/>
      </w:pPr>
      <w:r>
        <w:rPr>
          <w:b/>
        </w:rPr>
        <w:t xml:space="preserve">[136] </w:t>
      </w:r>
      <w:hyperlink r:id="rId756">
        <w:r>
          <w:rPr>
            <w:color w:val="1155CC"/>
            <w:u w:val="single"/>
          </w:rPr>
          <w:t>Sox10 的缺失可防止体内肿瘤的发生，并诱导 Neu+ 肿瘤细胞从管腔到基底层的重编程</w:t>
        </w:r>
      </w:hyperlink>
    </w:p>
    <w:p>
      <w:pPr>
        <w:spacing w:before="0" w:after="80"/>
      </w:pPr>
      <w:r>
        <w:rPr>
          <w:i/>
          <w:sz w:val="20"/>
        </w:rPr>
        <w:t>EN: Loss of Sox10 prevents tumor initiation in vivo and induces luminal-to-basal reprogramming in Neu+ tumor cells</w:t>
      </w:r>
    </w:p>
    <w:p>
      <w:pPr>
        <w:spacing w:before="0" w:after="120"/>
      </w:pPr>
      <w:r>
        <w:rPr>
          <w:b/>
        </w:rPr>
        <w:t xml:space="preserve">Source: </w:t>
      </w:r>
      <w:r>
        <w:t>Proceedings of the National Academy of Sciences: Keyword search for query</w:t>
      </w:r>
      <w:r>
        <w:t xml:space="preserve">    </w:t>
      </w:r>
      <w:r>
        <w:rPr>
          <w:b/>
        </w:rPr>
        <w:t xml:space="preserve">Pub date: </w:t>
      </w:r>
      <w:r>
        <w:t>2026-08-21 07:00:00+00:00</w:t>
      </w:r>
      <w:r>
        <w:t xml:space="preserve">    </w:t>
      </w:r>
      <w:r>
        <w:rPr>
          <w:b/>
        </w:rPr>
        <w:t xml:space="preserve">DOI: </w:t>
      </w:r>
      <w:hyperlink r:id="rId757">
        <w:r>
          <w:rPr>
            <w:color w:val="1155CC"/>
            <w:u w:val="single"/>
          </w:rPr>
          <w:t>10.1073/pnas.2520063123</w:t>
        </w:r>
      </w:hyperlink>
    </w:p>
    <w:p>
      <w:pPr>
        <w:spacing w:before="0" w:after="120"/>
      </w:pPr>
      <w:r>
        <w:rPr>
          <w:b/>
        </w:rPr>
        <w:t xml:space="preserve">Notes: </w:t>
      </w:r>
      <w:r>
        <w:t>abstract_source=crossref</w:t>
      </w:r>
    </w:p>
    <w:p>
      <w:pPr>
        <w:spacing w:before="0" w:after="80" w:lineRule="auto" w:line="276"/>
      </w:pPr>
      <w:r>
        <w:rPr>
          <w:b/>
        </w:rPr>
        <w:t xml:space="preserve">摘要（ZH）: </w:t>
      </w:r>
      <w:r>
        <w:t>SRY-HMG-Box转录因子SOX10在神经嵴发育中发挥着关键作用，但其在上皮肿瘤发生中的功能仍不清楚。在这里，我们确定 SOX10 是 Neu 驱动的乳腺癌肿瘤起始活性的关键调节因子。 MMTV-Neu (NIC) 小鼠管腔内 Sox10 的基因消融导致乳腺发育延迟但正常。 Sox10 缺失导致乳腺祖细胞减少，并且 Sox10 缺陷型管腔细胞中肿瘤起始完全丧失。 Neu 转化肿瘤细胞中 CRISPR/Cas9 介导的 Sox10 失活导致乳腺球实验中自我更新能力减弱，原位移植模型中生长明显受损，尾静脉注射后肺部定植显着减少，表明癌症干细胞活性下降。转录组分析显示，Neu+ 肿瘤细胞中的 Sox10 缺陷会诱导管腔向基底/间质样转变，以及与调节干性的遗传网络相关的多个基因的下调。总的来说，这些发现表明 Sox10 是 Neu 驱动的肿瘤起始的允许的管腔细胞状态所必需的，并且它对于癌症干细胞活性和转移的建立至关重要。</w:t>
      </w:r>
    </w:p>
    <w:p>
      <w:pPr>
        <w:spacing w:before="0" w:after="200" w:lineRule="auto" w:line="276"/>
      </w:pPr>
      <w:r>
        <w:rPr>
          <w:b/>
        </w:rPr>
        <w:t xml:space="preserve">Abstract (EN): </w:t>
      </w:r>
      <w:r>
        <w:t>The SRY-HMG-Box transcription factor SOX10 plays a critical role in neural crest development, but its function in epithelial tumorigenesis remains unclear. Here, we identify SOX10 as a key regulator of tumor-initiating activity in Neu-driven mammary cancers. Genetic ablation of Sox10 in the luminal compartment of MMTV-Neu (NIC) mice resulted in delayed but normal mammary gland development. Sox10 deletion resulted in a reduction in mammary progenitors and a complete loss of tumor initiation in Sox10-deficient luminal cells. CRISPR/Cas9-mediated Sox10 inactivation in Neu-transformed tumor cells led to diminished self-renewal in mammosphere assays, markedly impaired growth in orthotopic transplant models and profoundly reduced lung colonization following tail vein injection, suggesting a depletion of cancer stem cell activity. Transcriptomic profiling revealed that Sox10-deficiency in Neu+ tumor cells induces a luminal-to-basal/mesenchymal-like shift and the downregulation of several genes associated with genetic networks regulating stemness. Collectively, these findings demonstrate that Sox10 is required for a permissive luminal cell state for Neu-driven tumor initiation and that it is critical for cancer stem cell activity and the establishment of metastases.</w:t>
      </w:r>
    </w:p>
    <w:p>
      <w:pPr>
        <w:spacing w:before="120" w:after="120"/>
      </w:pPr>
      <w:r>
        <w:rPr>
          <w:sz w:val="18"/>
        </w:rPr>
        <w:t>——————————————————————————————————————————————————————————————————————</w:t>
      </w:r>
    </w:p>
    <w:p>
      <w:pPr>
        <w:spacing w:before="160" w:after="40" w:line="240" w:lineRule="auto"/>
      </w:pPr>
      <w:r>
        <w:rPr>
          <w:b/>
        </w:rPr>
        <w:t xml:space="preserve">[137] </w:t>
      </w:r>
      <w:hyperlink r:id="rId758">
        <w:r>
          <w:rPr>
            <w:color w:val="1155CC"/>
            <w:u w:val="single"/>
          </w:rPr>
          <w:t>在缺乏全国人口普查数据的情况下小区域人口估算的进展</w:t>
        </w:r>
      </w:hyperlink>
    </w:p>
    <w:p>
      <w:pPr>
        <w:spacing w:before="0" w:after="80"/>
      </w:pPr>
      <w:r>
        <w:rPr>
          <w:i/>
          <w:sz w:val="20"/>
        </w:rPr>
        <w:t>EN: Advances in small area population estimation in the absence of national census data</w:t>
      </w:r>
    </w:p>
    <w:p>
      <w:pPr>
        <w:spacing w:before="0" w:after="120"/>
      </w:pPr>
      <w:r>
        <w:rPr>
          <w:b/>
        </w:rPr>
        <w:t xml:space="preserve">Source: </w:t>
      </w:r>
      <w:r>
        <w:t>Proceedings of the National Academy of Sciences: Keyword search for query</w:t>
      </w:r>
      <w:r>
        <w:t xml:space="preserve">    </w:t>
      </w:r>
      <w:r>
        <w:rPr>
          <w:b/>
        </w:rPr>
        <w:t xml:space="preserve">Pub date: </w:t>
      </w:r>
      <w:r>
        <w:t>2026-08-21 07:00:00+00:00</w:t>
      </w:r>
      <w:r>
        <w:t xml:space="preserve">    </w:t>
      </w:r>
      <w:r>
        <w:rPr>
          <w:b/>
        </w:rPr>
        <w:t xml:space="preserve">DOI: </w:t>
      </w:r>
      <w:hyperlink r:id="rId759">
        <w:r>
          <w:rPr>
            <w:color w:val="1155CC"/>
            <w:u w:val="single"/>
          </w:rPr>
          <w:t>10.1073/pnas.2413993123</w:t>
        </w:r>
      </w:hyperlink>
    </w:p>
    <w:p>
      <w:pPr>
        <w:spacing w:before="0" w:after="120"/>
      </w:pPr>
      <w:r>
        <w:rPr>
          <w:b/>
        </w:rPr>
        <w:t xml:space="preserve">Notes: </w:t>
      </w:r>
      <w:r>
        <w:t>abstract_source=crossref</w:t>
      </w:r>
    </w:p>
    <w:p>
      <w:pPr>
        <w:spacing w:before="0" w:after="80" w:lineRule="auto" w:line="276"/>
      </w:pPr>
      <w:r>
        <w:rPr>
          <w:b/>
        </w:rPr>
        <w:t xml:space="preserve">摘要（ZH）: </w:t>
      </w:r>
      <w:r>
        <w:t>小区域规模的人口数据对于有效决策、影响公共卫生、灾害应对和资源分配等至关重要。虽然全国人口普查仍然是人口数据的基石，但它们往往受到成本高、收集周期不频繁和覆盖范围差距的限制，这些都可能阻碍数据的及时提供。为了应对这些挑战，使用有限的微观普查的地理空间统计方法已被证明是一种可靠的来源，但近年来该领域取得了长足的进步，数据源和建模方法都取得了重大发展。现在，新方法利用常规健康干预活动数据、卫星衍生的定居点地图和定制建模方法，在计数困难或过时的情况下生成可靠的小区域人口估计。各个国家正在应用这些技术来支持人口普查行动、卫生计划规划和人道主义响应。本手稿回顾了“自下而上”人口绘图方法的最新进展，强调了输入数据、建模方法和验证技术方面的创新。我们研究了持续存在的挑战，包括对森林冠层下建筑物的部分观察、人口流离失所和机构吸收。最后，我们讨论了通过与传统数据生态系统更好地整合、能力加强以及与国家机构合作生产来增强这些方法的新机会。</w:t>
      </w:r>
    </w:p>
    <w:p>
      <w:pPr>
        <w:spacing w:before="0" w:after="200" w:lineRule="auto" w:line="276"/>
      </w:pPr>
      <w:r>
        <w:rPr>
          <w:b/>
        </w:rPr>
        <w:t xml:space="preserve">Abstract (EN): </w:t>
      </w:r>
      <w:r>
        <w:t>Population data at small area scales are essential for effective decision-making, influencing public health, disaster response, and resource allocation, among others. While national censuses remain the cornerstone of population data, they are often constrained by high costs, infrequent collection cycles, and coverage gaps, which can hinder timely data availability. To address these challenges, geospatial statistical approaches using limited microcensus surveys have been demonstrated as a reliable source, but the field has advanced substantially in recent years, with significant developments in both data sources and modeling methodologies. New approaches now leverage routine health intervention campaign data, satellite-derived settlement maps, and bespoke modeling approaches to produce reliable small area population estimates where enumeration is difficult or outdated. Various countries are applying these techniques to support census operations, health program planning, and humanitarian response. This manuscript reviews recent advances in “bottom-up” population mapping approaches, highlighting innovations in input data, modeling methods, and validation techniques. We examine ongoing challenges, including partial observation of buildings under forest canopy, population displacement, and institutional uptake. Finally, we discuss emerging opportunities to enhance these approaches through better integration with traditional data ecosystems, capacity strengthening, and coproduction with national institutions.</w:t>
      </w:r>
    </w:p>
    <w:p>
      <w:pPr>
        <w:spacing w:before="120" w:after="120"/>
      </w:pPr>
      <w:r>
        <w:rPr>
          <w:sz w:val="18"/>
        </w:rPr>
        <w:t>——————————————————————————————————————————————————————————————————————</w:t>
      </w:r>
    </w:p>
    <w:p>
      <w:pPr>
        <w:spacing w:before="160" w:after="40" w:line="240" w:lineRule="auto"/>
      </w:pPr>
      <w:r>
        <w:rPr>
          <w:b/>
        </w:rPr>
        <w:t xml:space="preserve">[138] </w:t>
      </w:r>
      <w:hyperlink r:id="rId760">
        <w:r>
          <w:rPr>
            <w:color w:val="1155CC"/>
            <w:u w:val="single"/>
          </w:rPr>
          <w:t>使用光子集成电路的端到端全光传感器内计算系统</w:t>
        </w:r>
      </w:hyperlink>
    </w:p>
    <w:p>
      <w:pPr>
        <w:spacing w:before="0" w:after="80"/>
      </w:pPr>
      <w:r>
        <w:rPr>
          <w:i/>
          <w:sz w:val="20"/>
        </w:rPr>
        <w:t>EN: End-to-end all-optical in-sensor computing system using photonic integrated circuits</w:t>
      </w:r>
    </w:p>
    <w:p>
      <w:pPr>
        <w:spacing w:before="0" w:after="120"/>
      </w:pPr>
      <w:r>
        <w:rPr>
          <w:b/>
        </w:rPr>
        <w:t xml:space="preserve">Source: </w:t>
      </w:r>
      <w:r>
        <w:t>AAAS: Science Advances: Table of Contents</w:t>
      </w:r>
      <w:r>
        <w:t xml:space="preserve">    </w:t>
      </w:r>
      <w:r>
        <w:rPr>
          <w:b/>
        </w:rPr>
        <w:t xml:space="preserve">Pub date: </w:t>
      </w:r>
      <w:r>
        <w:t>2026-08-21 07:00:00+00:00</w:t>
      </w:r>
      <w:r>
        <w:t xml:space="preserve">    </w:t>
      </w:r>
      <w:r>
        <w:rPr>
          <w:b/>
        </w:rPr>
        <w:t xml:space="preserve">DOI: </w:t>
      </w:r>
      <w:hyperlink r:id="rId761">
        <w:r>
          <w:rPr>
            <w:color w:val="1155CC"/>
            <w:u w:val="single"/>
          </w:rPr>
          <w:t>10.1126/sciadv.aef8657</w:t>
        </w:r>
      </w:hyperlink>
    </w:p>
    <w:p>
      <w:pPr>
        <w:spacing w:before="0" w:after="120"/>
      </w:pPr>
      <w:r>
        <w:rPr>
          <w:b/>
        </w:rPr>
        <w:t xml:space="preserve">Notes: </w:t>
      </w:r>
      <w:r>
        <w:t>abstract_source=crossref</w:t>
      </w:r>
    </w:p>
    <w:p>
      <w:pPr>
        <w:spacing w:before="0" w:after="80" w:lineRule="auto" w:line="276"/>
      </w:pPr>
      <w:r>
        <w:rPr>
          <w:b/>
        </w:rPr>
        <w:t xml:space="preserve">摘要（ZH）: </w:t>
      </w:r>
      <w:r>
        <w:t>光子传感器在化学分析中发挥着越来越重要的作用，但传统系统依赖于顺序波长扫描和广泛的电子后处理，导致大量数据冗余、高延迟和过多的能耗。在这里，我们介绍了一种基于光子集成电路的端到端全光传感器内计算系统，该系统融合了光域中的传感和计算。该系统在单芯片上集成了光子波导传感器和微环配重块，用于线性处理，同时使用掺铒光纤放大器实现非线性激活。通过执行光谱压缩，该系统能够实现高达 6 位精度的实时光域计算。该系统在 27 个液体混合物类别和混合物化学品的浓度预测中实现了 94.2% 的分类准确率。与传统的光子传感系统相比，所提出的架构将推理延迟降低了 4.48 倍，将能耗降低了 11.47 倍。这些结果为边缘智能光子传感建立了紧凑、低冗余和节能的范例。</w:t>
      </w:r>
    </w:p>
    <w:p>
      <w:pPr>
        <w:spacing w:before="0" w:after="200" w:lineRule="auto" w:line="276"/>
      </w:pPr>
      <w:r>
        <w:rPr>
          <w:b/>
        </w:rPr>
        <w:t xml:space="preserve">Abstract (EN): </w:t>
      </w:r>
      <w:r>
        <w:t>Photonic sensors play an increasingly important role in chemical analysis, but conventional systems rely on sequential wavelength scanning and extensive electronic post-processing, leading to large data redundancy, high latency, and excessive energy consumption. Here, we introduce an end-to-end all-optical in-sensor computing system based on photonic integrated circuits that merges sensing and computing in the optical domain. The system integrates a photonic waveguide sensor and a microring weight bank on a single chip for linear processing, while nonlinear activation is implemented using an erbium-doped fiber amplifier. By performing spectral compression, this system enables real-time optical-domain computing with up to 6-bit precision. The system achieves a classification accuracy of 94.2% across 27 liquid-mixture classes and concentration prediction for mixture chemicals. Compared with conventional photonic sensing systems, the proposed architecture reduces inference latency by a factor of 4.48 and energy consumption by a factor of 11.47. These results establish a compact, low-redundancy, and energy-efficient paradigm for intelligent photonic sensing at the edge.</w:t>
      </w:r>
    </w:p>
    <w:p>
      <w:pPr>
        <w:spacing w:before="120" w:after="120"/>
      </w:pPr>
      <w:r>
        <w:rPr>
          <w:sz w:val="18"/>
        </w:rPr>
        <w:t>——————————————————————————————————————————————————————————————————————</w:t>
      </w:r>
    </w:p>
    <w:p>
      <w:pPr>
        <w:spacing w:before="160" w:after="40" w:line="240" w:lineRule="auto"/>
      </w:pPr>
      <w:r>
        <w:rPr>
          <w:b/>
        </w:rPr>
        <w:t xml:space="preserve">[139] </w:t>
      </w:r>
      <w:hyperlink r:id="rId762">
        <w:r>
          <w:rPr>
            <w:color w:val="1155CC"/>
            <w:u w:val="single"/>
          </w:rPr>
          <w:t>低收入和中等收入国家的城市树冠破碎化和儿童死亡率</w:t>
        </w:r>
      </w:hyperlink>
    </w:p>
    <w:p>
      <w:pPr>
        <w:spacing w:before="0" w:after="80"/>
      </w:pPr>
      <w:r>
        <w:rPr>
          <w:i/>
          <w:sz w:val="20"/>
        </w:rPr>
        <w:t>EN: Urban tree canopy fragmentation and child mortality in low- and middle-income countries</w:t>
      </w:r>
    </w:p>
    <w:p>
      <w:pPr>
        <w:spacing w:before="0" w:after="120"/>
      </w:pPr>
      <w:r>
        <w:rPr>
          <w:b/>
        </w:rPr>
        <w:t xml:space="preserve">Source: </w:t>
      </w:r>
      <w:r>
        <w:t>Proceedings of the National Academy of Sciences: Keyword search for query</w:t>
      </w:r>
      <w:r>
        <w:t xml:space="preserve">    </w:t>
      </w:r>
      <w:r>
        <w:rPr>
          <w:b/>
        </w:rPr>
        <w:t xml:space="preserve">Pub date: </w:t>
      </w:r>
      <w:r>
        <w:t>2026-08-21 07:00:00+00:00</w:t>
      </w:r>
      <w:r>
        <w:t xml:space="preserve">    </w:t>
      </w:r>
      <w:r>
        <w:rPr>
          <w:b/>
        </w:rPr>
        <w:t xml:space="preserve">DOI: </w:t>
      </w:r>
      <w:hyperlink r:id="rId763">
        <w:r>
          <w:rPr>
            <w:color w:val="1155CC"/>
            <w:u w:val="single"/>
          </w:rPr>
          <w:t>10.1073/pnas.2606669123</w:t>
        </w:r>
      </w:hyperlink>
    </w:p>
    <w:p>
      <w:pPr>
        <w:spacing w:before="0" w:after="120"/>
      </w:pPr>
      <w:r>
        <w:rPr>
          <w:b/>
        </w:rPr>
        <w:t xml:space="preserve">Notes: </w:t>
      </w:r>
      <w:r>
        <w:t>abstract_source=crossref</w:t>
      </w:r>
    </w:p>
    <w:p>
      <w:pPr>
        <w:spacing w:before="0" w:after="80" w:lineRule="auto" w:line="276"/>
      </w:pPr>
      <w:r>
        <w:rPr>
          <w:b/>
        </w:rPr>
        <w:t xml:space="preserve">摘要（ZH）: </w:t>
      </w:r>
      <w:r>
        <w:t>接触城市绿地可以降低 5 岁以下儿童 (U5M) 死亡的几个主要原因的风险。虽然城市发展改善了基础设施、医疗保健服务和社会经济条件，但低收入和中等收入国家 (LMIC) 的快速城市化也加速了绿色空间的损失和破碎。这种碎片化可能会削弱对儿童健康至关重要的生态系统服务，并增加媒介传播感染的风险，但其对五岁以下儿童的影响仍知之甚少，必须与城市化的好处进行权衡。在这里，我们使用 57 个中低收入国家 2000 年至 2019 年间的个人纵向死亡率数据，量化了城市树冠覆盖度和树冠聚集与全因 U5M 之间的关联，并使用反事实情景分析确定了 98 个中低收入国家扩大树冠覆盖和改善树冠聚集的优先领域。树冠覆盖度与 U5M 之间的关联是非线性的，在低至中等树冠覆盖度水平下，风险急剧下降。在给定的树冠覆盖水平下，树与树的邻接度每增加 1%，死亡风险就会降低 0.17%（风险比：0.9983，95% CI：0.9972 至 0.9995）。最大的连续高优先地区集中在西苏丹稀树草原、巴基斯坦东部旁遮普地区和孟加拉国恒河-雅鲁藏布江三角洲，这些地区的 U5M 负担较高，且具有改善树冠的巨大潜力。本研究在中低收入国家的树冠特征和 U5M 之间建立了强有力的关联。瓦</w:t>
      </w:r>
    </w:p>
    <w:p>
      <w:pPr>
        <w:spacing w:before="0" w:after="200" w:lineRule="auto" w:line="276"/>
      </w:pPr>
      <w:r>
        <w:rPr>
          <w:b/>
        </w:rPr>
        <w:t xml:space="preserve">Abstract (EN): </w:t>
      </w:r>
      <w:r>
        <w:t>Exposure to urban green spaces is associated with lower risks of several leading causes of under-5 mortality (U5M). While urban development improves infrastructure, healthcare access, and socioeconomic conditions, rapid urbanization in low- and middle-income countries (LMICs) has also accelerated the loss and fragmentation of green spaces. Such fragmentation may weaken ecosystem services critical for child health and increase exposure to vector-borne infections, yet its implications for U5M remain poorly understood and must be weighed against the benefits of urbanization. Here, we quantified associations between urban tree canopy cover and canopy aggregation with all-cause U5M using individual-level longitudinal mortality data between 2000 and 2019 from 57 LMICs, and identified priority areas for expanding canopy cover and improving canopy aggregation across 98 LMICs using counterfactual scenario analyses. The association between canopy cover and U5M was nonlinear, with risk declining steeply at low-to-intermediate levels of canopy cover. At a given level of canopy cover, every 1% increase in tree-to-tree adjacency was associated with a 0.17% reduction in mortality risk (hazard ratio: 0.9983, 95% CI: 0.9972 to 0.9995). The largest contiguous high-priority areas were concentrated in the West Sudanian Savanna, the eastern Punjab region of Pakistan, and the Ganges–Brahmaputra Delta in Bangladesh, where high U5M burdens align with substantial potential to improve tree canopy. This study establishes a robust association between tree canopy characteristics and U5M across LMICs. We identify canopy cover and fragmentation as potentially modifiable risk factors, highlighting important implications of urban greening design for delivering cobenefits for child health and climate mitigation.</w:t>
      </w:r>
    </w:p>
    <w:p>
      <w:pPr>
        <w:spacing w:before="120" w:after="120"/>
      </w:pPr>
      <w:r>
        <w:rPr>
          <w:sz w:val="18"/>
        </w:rPr>
        <w:t>——————————————————————————————————————————————————————————————————————</w:t>
      </w:r>
    </w:p>
    <w:p>
      <w:pPr>
        <w:spacing w:before="160" w:after="40" w:line="240" w:lineRule="auto"/>
      </w:pPr>
      <w:r>
        <w:rPr>
          <w:b/>
        </w:rPr>
        <w:t xml:space="preserve">[140] </w:t>
      </w:r>
      <w:hyperlink r:id="rId764">
        <w:r>
          <w:rPr>
            <w:color w:val="1155CC"/>
            <w:u w:val="single"/>
          </w:rPr>
          <w:t>巨噬细胞分化为促纤维化 SAM 和促分解 ReM2 细胞以调节肝纤维化</w:t>
        </w:r>
      </w:hyperlink>
    </w:p>
    <w:p>
      <w:pPr>
        <w:spacing w:before="0" w:after="80"/>
      </w:pPr>
      <w:r>
        <w:rPr>
          <w:i/>
          <w:sz w:val="20"/>
        </w:rPr>
        <w:t>EN: Macrophages diverge into profibrotic SAMs and proresolving ReM2 cells to regulate liver fibrosis</w:t>
      </w:r>
    </w:p>
    <w:p>
      <w:pPr>
        <w:spacing w:before="0" w:after="120"/>
      </w:pPr>
      <w:r>
        <w:rPr>
          <w:b/>
        </w:rPr>
        <w:t xml:space="preserve">Source: </w:t>
      </w:r>
      <w:r>
        <w:t>Proceedings of the National Academy of Sciences: Keyword search for query</w:t>
      </w:r>
      <w:r>
        <w:t xml:space="preserve">    </w:t>
      </w:r>
      <w:r>
        <w:rPr>
          <w:b/>
        </w:rPr>
        <w:t xml:space="preserve">Pub date: </w:t>
      </w:r>
      <w:r>
        <w:t>2026-08-21 07:00:00+00:00</w:t>
      </w:r>
      <w:r>
        <w:t xml:space="preserve">    </w:t>
      </w:r>
      <w:r>
        <w:rPr>
          <w:b/>
        </w:rPr>
        <w:t xml:space="preserve">DOI: </w:t>
      </w:r>
      <w:hyperlink r:id="rId765">
        <w:r>
          <w:rPr>
            <w:color w:val="1155CC"/>
            <w:u w:val="single"/>
          </w:rPr>
          <w:t>10.1073/pnas.2611441123</w:t>
        </w:r>
      </w:hyperlink>
    </w:p>
    <w:p>
      <w:pPr>
        <w:spacing w:before="0" w:after="120"/>
      </w:pPr>
      <w:r>
        <w:rPr>
          <w:b/>
        </w:rPr>
        <w:t xml:space="preserve">Notes: </w:t>
      </w:r>
      <w:r>
        <w:t>abstract_source=crossref</w:t>
      </w:r>
    </w:p>
    <w:p>
      <w:pPr>
        <w:spacing w:before="0" w:after="80" w:lineRule="auto" w:line="276"/>
      </w:pPr>
      <w:r>
        <w:rPr>
          <w:b/>
        </w:rPr>
        <w:t xml:space="preserve">摘要（ZH）: </w:t>
      </w:r>
      <w:r>
        <w:t>肝纤维化的一个核心问题是巨噬细胞（炎症和组织修复的关键调节因子）如何通过不同的编程来促进疤痕形成或推动其消退。在这里，我们确定了控制这种平衡的巨噬细胞轴。虽然疤痕相关巨噬细胞 (SAM) 通过细胞因子介导的肝星状细胞激活促进纤维化，但以前未表征的巨噬细胞亚群（称为 ReM2）可协调纤维化消退。 ReM2 由肝损伤后的循环单核细胞产生，在纤维形成过程中积累，并在消退阶段达到峰值。从机制上讲，ReM2依赖性纤维化消退需要特定受体的表达，包括FCGR4和ITGA4，它们可能通过直接识别和吞噬清除细胞外基质中的胶原蛋白I和纤连蛋白来介导这种效应。这些发现揭示了单核细胞来源的巨噬细胞在控制纤维化进展与消退方面的功能差异，并表明 SAM-ReM2 轴的治疗性重新平衡可能是治疗肝纤维化的一种有前景的策略。</w:t>
      </w:r>
    </w:p>
    <w:p>
      <w:pPr>
        <w:spacing w:before="0" w:after="200" w:lineRule="auto" w:line="276"/>
      </w:pPr>
      <w:r>
        <w:rPr>
          <w:b/>
        </w:rPr>
        <w:t xml:space="preserve">Abstract (EN): </w:t>
      </w:r>
      <w:r>
        <w:t>A central question in liver fibrosis is how macrophages, key regulators of inflammation and tissue repair, are divergently programmed to either promote scar formation or drive its resolution. Here, we identify a macrophage axis that governs this balance. While scar-associated macrophages (SAMs) promote fibrogenesis through cytokine-mediated activation of hepatic stellate cells, a previously uncharacterized macrophage subset, termed ReM2, orchestrates fibrosis regression. ReM2 arises from circulating monocytes following liver injury, accumulates during fibrogenesis, and peaks during the resolution phase. Mechanistically, ReM2-dependent fibrosis regression requires the expression of specific receptors, including FCGR4 and ITGA4, which may mediate this effect by enabling direct recognition and phagocytic clearance of collagen I and fibronectin from the extracellular matrix. These findings reveal a functional divergence of monocyte-derived macrophages that governs fibrosis progression vs. resolution and suggest that therapeutic rebalancing of the SAM–ReM2 axis may represent a promising strategy for treating liver fibrosis.</w:t>
      </w:r>
    </w:p>
    <w:p>
      <w:pPr>
        <w:spacing w:before="120" w:after="120"/>
      </w:pPr>
      <w:r>
        <w:rPr>
          <w:sz w:val="18"/>
        </w:rPr>
        <w:t>——————————————————————————————————————————————————————————————————————</w:t>
      </w:r>
    </w:p>
    <w:p>
      <w:pPr>
        <w:spacing w:before="160" w:after="40" w:line="240" w:lineRule="auto"/>
      </w:pPr>
      <w:r>
        <w:rPr>
          <w:b/>
        </w:rPr>
        <w:t xml:space="preserve">[141] </w:t>
      </w:r>
      <w:hyperlink r:id="rId766">
        <w:r>
          <w:rPr>
            <w:color w:val="1155CC"/>
            <w:u w:val="single"/>
          </w:rPr>
          <w:t>智能响应抗菌纤维：机理、制造和生物医学应用</w:t>
        </w:r>
      </w:hyperlink>
    </w:p>
    <w:p>
      <w:pPr>
        <w:spacing w:before="0" w:after="80"/>
      </w:pPr>
      <w:r>
        <w:rPr>
          <w:i/>
          <w:sz w:val="20"/>
        </w:rPr>
        <w:t>EN: Smart‐Responsive Antibacterial Fibers: Mechanisms, Fabrication, and Biomedical Applications</w:t>
      </w:r>
    </w:p>
    <w:p>
      <w:pPr>
        <w:spacing w:before="0" w:after="120"/>
      </w:pPr>
      <w:r>
        <w:rPr>
          <w:b/>
        </w:rPr>
        <w:t xml:space="preserve">Source: </w:t>
      </w:r>
      <w:r>
        <w:t>Wiley: Advanced Materials: Table of Contents</w:t>
      </w:r>
      <w:r>
        <w:t xml:space="preserve">    </w:t>
      </w:r>
      <w:r>
        <w:rPr>
          <w:b/>
        </w:rPr>
        <w:t xml:space="preserve">Pub date: </w:t>
      </w:r>
      <w:r>
        <w:t>2026-08-21 07:36:19+00:00</w:t>
      </w:r>
      <w:r>
        <w:t xml:space="preserve">    </w:t>
      </w:r>
      <w:r>
        <w:rPr>
          <w:b/>
        </w:rPr>
        <w:t xml:space="preserve">DOI: </w:t>
      </w:r>
      <w:hyperlink r:id="rId767">
        <w:r>
          <w:rPr>
            <w:color w:val="1155CC"/>
            <w:u w:val="single"/>
          </w:rPr>
          <w:t>10.1002/adma.74601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重耐药细菌感染的患病率不断上升，对全球健康提出了严峻的挑战，凸显了依赖被动释放机制的传统抗菌材料的局限性。本文全面回顾了刺激响应型智能抗菌纤维（SAF）的新兴前沿，它体现了向按需和有针对性的主动抗菌功能的范式转变。根据反应机制，SAF感知的特定刺激分为内源性感染微环境（即pH、失调的酶活性和氧化还原电位等）和外源性物理激活（即光、超声、机械力和磁等）。此外，本文还系统阐述了SAF的基本设计原理（如何实现“智能”）、抗菌机制（如何实现“抗菌活性”）以及在各个领域的创新应用。随后，深入讨论了当前的挑战，并概述了有前景的未来研究方向。至关重要的是，人工智能被强调为集成多功能、仿生设计范式和嵌入式传感功能的关键推动者，从而促进与数字健康平台的无缝互操作。本综述旨在建立一个基础框架，激发开发具有卓越治疗精度和功能复杂性的下一代抗菌纤维的创新。</w:t>
      </w:r>
    </w:p>
    <w:p>
      <w:pPr>
        <w:spacing w:before="0" w:after="200" w:lineRule="auto" w:line="276"/>
      </w:pPr>
      <w:r>
        <w:rPr>
          <w:b/>
        </w:rPr>
        <w:t xml:space="preserve">Abstract (EN): </w:t>
      </w:r>
      <w:r>
        <w:t>The escalating prevalence of multidrug‐resistant bacterial infections presents a grave global health challenge, highlighting the limitations of traditional antibacterial materials that rely on passive release mechanisms. This paper comprehensively reviews the emerging frontier of stimuli‐responsive smart antibacterial fibers (SAFs), which embody a paradigm shift towards on‐demand and targeted proactive antimicrobial functionality. Based on response mechanisms, the specific stimuli sensed by SAFs are classified as endogenous infection microenvironments (i.e., pH, dysregulated enzyme activity, and redox potential, etc.) and exogenous physical activation (i.e., light, ultrasound, mechanical force, and magnetic, etc.). Furthermore, this review systematically expounds on the fundamental design principles of SAFs (how to achieve “smartness”), antibacterial mechanisms (how to achieve “antibacterial activity”), and innovative applications in various fields. Subsequently, current challenges are thoroughly discussed, and promising future research directions are outlined. Crucially, artificial intelligence is highlighted as a pivotal enabler for integrating multifunctionality, biomimetic design paradigms, and embedded sensing capabilities, thereby facilitating seamless interoperability with digital health platforms. This review aims to establish a foundational framework inspiring innovation in developing next‐generation antibacterial fibers with superior therapeutic precision and functional sophistication.</w:t>
      </w:r>
    </w:p>
    <w:p>
      <w:pPr>
        <w:spacing w:before="120" w:after="120"/>
      </w:pPr>
      <w:r>
        <w:rPr>
          <w:sz w:val="18"/>
        </w:rPr>
        <w:t>——————————————————————————————————————————————————————————————————————</w:t>
      </w:r>
    </w:p>
    <w:p>
      <w:pPr>
        <w:spacing w:before="160" w:after="40" w:line="240" w:lineRule="auto"/>
      </w:pPr>
      <w:r>
        <w:rPr>
          <w:b/>
        </w:rPr>
        <w:t xml:space="preserve">[142] </w:t>
      </w:r>
      <w:hyperlink r:id="rId768">
        <w:r>
          <w:rPr>
            <w:color w:val="1155CC"/>
            <w:u w:val="single"/>
          </w:rPr>
          <w:t>勘误：从稳定性中提取与模型无关的核水平密度[Phys。修订版 C 107，L011602 (2023)]</w:t>
        </w:r>
      </w:hyperlink>
    </w:p>
    <w:p>
      <w:pPr>
        <w:spacing w:before="0" w:after="80"/>
      </w:pPr>
      <w:r>
        <w:rPr>
          <w:i/>
          <w:sz w:val="20"/>
        </w:rPr>
        <w:t>EN: Erratum: Extracting model-independent nuclear level densities away from stability [Phys. Rev. C 107, L011602 (2023)]</w:t>
      </w:r>
    </w:p>
    <w:p>
      <w:pPr>
        <w:spacing w:before="0" w:after="120"/>
      </w:pPr>
      <w:r>
        <w:rPr>
          <w:b/>
        </w:rPr>
        <w:t xml:space="preserve">Source: </w:t>
      </w:r>
      <w:r>
        <w:t>Recent Articles in Phys. Rev. C</w:t>
      </w:r>
      <w:r>
        <w:t xml:space="preserve">    </w:t>
      </w:r>
      <w:r>
        <w:rPr>
          <w:b/>
        </w:rPr>
        <w:t xml:space="preserve">Pub date: </w:t>
      </w:r>
      <w:r>
        <w:t>2026-08-21 10:00:00+00:00</w:t>
      </w:r>
      <w:r>
        <w:t xml:space="preserve">    </w:t>
      </w:r>
      <w:r>
        <w:rPr>
          <w:b/>
        </w:rPr>
        <w:t xml:space="preserve">DOI: </w:t>
      </w:r>
      <w:hyperlink r:id="rId769">
        <w:r>
          <w:rPr>
            <w:color w:val="1155CC"/>
            <w:u w:val="single"/>
          </w:rPr>
          <w:t>10.1103/zyhv-p7f4</w:t>
        </w:r>
      </w:hyperlink>
    </w:p>
    <w:p>
      <w:pPr>
        <w:spacing w:before="0" w:after="120"/>
      </w:pPr>
      <w:r>
        <w:rPr>
          <w:b/>
        </w:rPr>
        <w:t xml:space="preserve">Notes: </w:t>
      </w:r>
      <w:r>
        <w:t>abstract_source=rss_description</w:t>
      </w:r>
    </w:p>
    <w:p>
      <w:pPr>
        <w:spacing w:before="0" w:after="80" w:lineRule="auto" w:line="276"/>
      </w:pPr>
      <w:r>
        <w:rPr>
          <w:b/>
        </w:rPr>
        <w:t xml:space="preserve">摘要（ZH）: </w:t>
      </w:r>
      <w:r>
        <w:t>作者：D. Mücher、A. Spyrou、M. Wiedeking、M. Guttormsen、A. C. Larsen、F. Zeiser、C. Harris、A. L. Richard、M. K. Smith、A. Görgen、S. N. Liddick、S. Siem、H. C. Berg、J. A. Clark、P. A. DeYoung、A. C. Doombos、B. Greaves、L. Hicks、R. Kelmar、S. Lyons、J. Owens-Fryar、A. Palmisano、D. Santiago-Gonzalez、G. Savard 和 W. W. von Seeger[物理学。 Rev. C 114, 029901] 发布于 2026 年 8 月 21 日星期五</w:t>
      </w:r>
    </w:p>
    <w:p>
      <w:pPr>
        <w:spacing w:before="0" w:after="200" w:lineRule="auto" w:line="276"/>
      </w:pPr>
      <w:r>
        <w:rPr>
          <w:b/>
        </w:rPr>
        <w:t xml:space="preserve">Abstract (EN): </w:t>
      </w:r>
      <w:r>
        <w:t>Author(s): D. Mücher, A. Spyrou, M. Wiedeking, M. Guttormsen, A. C. Larsen, F. Zeiser, C. Harris, A. L. Richard, M. K. Smith, A. Görgen, S. N. Liddick, S. Siem, H. C. Berg, J. A. Clark, P. A. DeYoung, A. C. Dombos, B. Greaves, L. Hicks, R. Kelmar, S. Lyons, J. Owens-Fryar, A. Palmisano, D. Santiago-Gonzalez, G. Savard, and W. W. von Seeger[Phys. Rev. C 114, 029901] Published Fri Aug 21, 2026</w:t>
      </w:r>
    </w:p>
    <w:p>
      <w:pPr>
        <w:spacing w:before="120" w:after="120"/>
      </w:pPr>
      <w:r>
        <w:rPr>
          <w:sz w:val="18"/>
        </w:rPr>
        <w:t>——————————————————————————————————————————————————————————————————————</w:t>
      </w:r>
    </w:p>
    <w:p>
      <w:pPr>
        <w:spacing w:before="160" w:after="40" w:line="240" w:lineRule="auto"/>
      </w:pPr>
      <w:r>
        <w:rPr>
          <w:b/>
        </w:rPr>
        <w:t xml:space="preserve">[143] </w:t>
      </w:r>
      <w:hyperlink r:id="rId770">
        <w:r>
          <w:rPr>
            <w:color w:val="1155CC"/>
            <w:u w:val="single"/>
          </w:rPr>
          <w:t>超越 Hgedorn：$T\overline{T}$ 变形的谐波方法</w:t>
        </w:r>
      </w:hyperlink>
    </w:p>
    <w:p>
      <w:pPr>
        <w:spacing w:before="0" w:after="80"/>
      </w:pPr>
      <w:r>
        <w:rPr>
          <w:i/>
          <w:sz w:val="20"/>
        </w:rPr>
        <w:t>EN: Beyond Hagedorn: A Harmonic Approach to $T\overline{T}$ Deformation</w:t>
      </w:r>
    </w:p>
    <w:p>
      <w:pPr>
        <w:spacing w:before="0" w:after="120"/>
      </w:pPr>
      <w:r>
        <w:rPr>
          <w:b/>
        </w:rPr>
        <w:t xml:space="preserve">Source: </w:t>
      </w:r>
      <w:r>
        <w:t>Recent Articles in Phys. Rev. Lett.</w:t>
      </w:r>
      <w:r>
        <w:t xml:space="preserve">    </w:t>
      </w:r>
      <w:r>
        <w:rPr>
          <w:b/>
        </w:rPr>
        <w:t xml:space="preserve">Pub date: </w:t>
      </w:r>
      <w:r>
        <w:t>2026-08-21 10:00:00+00:00</w:t>
      </w:r>
      <w:r>
        <w:t xml:space="preserve">    </w:t>
      </w:r>
      <w:r>
        <w:rPr>
          <w:b/>
        </w:rPr>
        <w:t xml:space="preserve">DOI: </w:t>
      </w:r>
      <w:hyperlink r:id="rId771">
        <w:r>
          <w:rPr>
            <w:color w:val="1155CC"/>
            <w:u w:val="single"/>
          </w:rPr>
          <w:t>10.1103/kcs1-7q6n</w:t>
        </w:r>
      </w:hyperlink>
    </w:p>
    <w:p>
      <w:pPr>
        <w:spacing w:before="0" w:after="120"/>
      </w:pPr>
      <w:r>
        <w:rPr>
          <w:b/>
        </w:rPr>
        <w:t xml:space="preserve">Notes: </w:t>
      </w:r>
      <w:r>
        <w:t>abstract_source=rss_description</w:t>
      </w:r>
    </w:p>
    <w:p>
      <w:pPr>
        <w:spacing w:before="0" w:after="80" w:lineRule="auto" w:line="276"/>
      </w:pPr>
      <w:r>
        <w:rPr>
          <w:b/>
        </w:rPr>
        <w:t xml:space="preserve">摘要（ZH）: </w:t>
      </w:r>
      <w:r>
        <w:t>作者：顾杰、侯珏、蒋云峰我们利用调和分析来研究$T\overline{T}$变形环面配分函数。我们首先用 Maass 波形来表达 CFT 配分函数，包括爱森斯坦级数和尖点形式。这些基函数在 $T\overline{T}$…[Phys.莱特牧师。 137, 081603] 发布于 2026 年 8 月 21 日星期五</w:t>
      </w:r>
    </w:p>
    <w:p>
      <w:pPr>
        <w:spacing w:before="0" w:after="200" w:lineRule="auto" w:line="276"/>
      </w:pPr>
      <w:r>
        <w:rPr>
          <w:b/>
        </w:rPr>
        <w:t xml:space="preserve">Abstract (EN): </w:t>
      </w:r>
      <w:r>
        <w:t>Author(s): Jie Gu, Jue Hou, and Yunfeng JiangWe apply harmonic analysis to study the $T\overline{T}$-deformed torus partition function. We first express the CFT partition functions in terms of Maass waveforms, including the Eisenstein series and cusp forms. These basis functions turn out to deform in a very simple way under the $T\overline{T}$…[Phys. Rev. Lett. 137, 081603] Published Fri Aug 21, 2026</w:t>
      </w:r>
    </w:p>
    <w:p>
      <w:pPr>
        <w:spacing w:before="120" w:after="120"/>
      </w:pPr>
      <w:r>
        <w:rPr>
          <w:sz w:val="18"/>
        </w:rPr>
        <w:t>——————————————————————————————————————————————————————————————————————</w:t>
      </w:r>
    </w:p>
    <w:p>
      <w:pPr>
        <w:spacing w:before="160" w:after="40" w:line="240" w:lineRule="auto"/>
      </w:pPr>
      <w:r>
        <w:rPr>
          <w:b/>
        </w:rPr>
        <w:t xml:space="preserve">[144] </w:t>
      </w:r>
      <w:hyperlink r:id="rId772">
        <w:r>
          <w:rPr>
            <w:color w:val="1155CC"/>
            <w:u w:val="single"/>
          </w:rPr>
          <w:t>有效核子质量和多中子态对核心塌陷超新星状态方程的影响</w:t>
        </w:r>
      </w:hyperlink>
    </w:p>
    <w:p>
      <w:pPr>
        <w:spacing w:before="0" w:after="80"/>
      </w:pPr>
      <w:r>
        <w:rPr>
          <w:i/>
          <w:sz w:val="20"/>
        </w:rPr>
        <w:t>EN: Impact of effective nucleon mass and multineutron states on the equation of state for core-collapse supernovae</w:t>
      </w:r>
    </w:p>
    <w:p>
      <w:pPr>
        <w:spacing w:before="0" w:after="120"/>
      </w:pPr>
      <w:r>
        <w:rPr>
          <w:b/>
        </w:rPr>
        <w:t xml:space="preserve">Source: </w:t>
      </w:r>
      <w:r>
        <w:t>Recent Articles in Phys. Rev. C</w:t>
      </w:r>
      <w:r>
        <w:t xml:space="preserve">    </w:t>
      </w:r>
      <w:r>
        <w:rPr>
          <w:b/>
        </w:rPr>
        <w:t xml:space="preserve">Pub date: </w:t>
      </w:r>
      <w:r>
        <w:t>2026-08-21 10:00:00+00:00</w:t>
      </w:r>
      <w:r>
        <w:t xml:space="preserve">    </w:t>
      </w:r>
      <w:r>
        <w:rPr>
          <w:b/>
        </w:rPr>
        <w:t xml:space="preserve">DOI: </w:t>
      </w:r>
      <w:hyperlink r:id="rId773">
        <w:r>
          <w:rPr>
            <w:color w:val="1155CC"/>
            <w:u w:val="single"/>
          </w:rPr>
          <w:t>10.1103/hxcx-f9sy</w:t>
        </w:r>
      </w:hyperlink>
    </w:p>
    <w:p>
      <w:pPr>
        <w:spacing w:before="0" w:after="120"/>
      </w:pPr>
      <w:r>
        <w:rPr>
          <w:b/>
        </w:rPr>
        <w:t xml:space="preserve">Notes: </w:t>
      </w:r>
      <w:r>
        <w:t>abstract_source=rss_description</w:t>
      </w:r>
    </w:p>
    <w:p>
      <w:pPr>
        <w:spacing w:before="0" w:after="80" w:lineRule="auto" w:line="276"/>
      </w:pPr>
      <w:r>
        <w:rPr>
          <w:b/>
        </w:rPr>
        <w:t xml:space="preserve">摘要（ZH）: </w:t>
      </w:r>
      <w:r>
        <w:t>作者：Tatsuya Matsuki、Shun Furusawa、Kohsuke Sumiyoshi、Hong Shen 和 Katsuhiko Suzuki 在这项研究中，我们通过构建新的状态方程来研究有效核子质量以及双中子和四中子的存在对热力学性质和核组成的影响。我们的结果表明，具有较大有效核子质量的模型…[Phys。 Rev. C 114, 025805] 2026 年 8 月 21 日星期五发布</w:t>
      </w:r>
    </w:p>
    <w:p>
      <w:pPr>
        <w:spacing w:before="0" w:after="200" w:lineRule="auto" w:line="276"/>
      </w:pPr>
      <w:r>
        <w:rPr>
          <w:b/>
        </w:rPr>
        <w:t xml:space="preserve">Abstract (EN): </w:t>
      </w:r>
      <w:r>
        <w:t>Author(s): Tatsuya Matsuki, Shun Furusawa, Kohsuke Sumiyoshi, Hong Shen, and Katsuhiko SuzukiIn this study, we investigate the impact of the effective nucleon mass and the existence of the dineutron and the tetraneutron on the thermodynamic properties and nuclear composition by constructing new equations of state. Our results indicate that the model with a larger effective nucleon mass slig…[Phys. Rev. C 114, 025805] Published Fri Aug 21, 2026</w:t>
      </w:r>
    </w:p>
    <w:p>
      <w:pPr>
        <w:spacing w:before="120" w:after="120"/>
      </w:pPr>
      <w:r>
        <w:rPr>
          <w:sz w:val="18"/>
        </w:rPr>
        <w:t>——————————————————————————————————————————————————————————————————————</w:t>
      </w:r>
    </w:p>
    <w:p>
      <w:pPr>
        <w:spacing w:before="160" w:after="40" w:line="240" w:lineRule="auto"/>
      </w:pPr>
      <w:r>
        <w:rPr>
          <w:b/>
        </w:rPr>
        <w:t xml:space="preserve">[145] </w:t>
      </w:r>
      <w:hyperlink r:id="rId774">
        <w:r>
          <w:rPr>
            <w:color w:val="1155CC"/>
            <w:u w:val="single"/>
          </w:rPr>
          <w:t>$^{125}\mathrm{I}$ 中的中子排列和可能的手性双峰带</w:t>
        </w:r>
      </w:hyperlink>
    </w:p>
    <w:p>
      <w:pPr>
        <w:spacing w:before="0" w:after="80"/>
      </w:pPr>
      <w:r>
        <w:rPr>
          <w:i/>
          <w:sz w:val="20"/>
        </w:rPr>
        <w:t>EN: Neutron alignment and possible chiral doublet bands in $^{125}\mathrm{I}$</w:t>
      </w:r>
    </w:p>
    <w:p>
      <w:pPr>
        <w:spacing w:before="0" w:after="120"/>
      </w:pPr>
      <w:r>
        <w:rPr>
          <w:b/>
        </w:rPr>
        <w:t xml:space="preserve">Source: </w:t>
      </w:r>
      <w:r>
        <w:t>Recent Articles in Phys. Rev. C</w:t>
      </w:r>
      <w:r>
        <w:t xml:space="preserve">    </w:t>
      </w:r>
      <w:r>
        <w:rPr>
          <w:b/>
        </w:rPr>
        <w:t xml:space="preserve">Pub date: </w:t>
      </w:r>
      <w:r>
        <w:t>2026-08-21 10:00:00+00:00</w:t>
      </w:r>
      <w:r>
        <w:t xml:space="preserve">    </w:t>
      </w:r>
      <w:r>
        <w:rPr>
          <w:b/>
        </w:rPr>
        <w:t xml:space="preserve">DOI: </w:t>
      </w:r>
      <w:hyperlink r:id="rId775">
        <w:r>
          <w:rPr>
            <w:color w:val="1155CC"/>
            <w:u w:val="single"/>
          </w:rPr>
          <w:t>10.1103/kl5g-myp6</w:t>
        </w:r>
      </w:hyperlink>
    </w:p>
    <w:p>
      <w:pPr>
        <w:spacing w:before="0" w:after="120"/>
      </w:pPr>
      <w:r>
        <w:rPr>
          <w:b/>
        </w:rPr>
        <w:t xml:space="preserve">Notes: </w:t>
      </w:r>
      <w:r>
        <w:t>abstract_source=rss_description</w:t>
      </w:r>
    </w:p>
    <w:p>
      <w:pPr>
        <w:spacing w:before="0" w:after="80" w:lineRule="auto" w:line="276"/>
      </w:pPr>
      <w:r>
        <w:rPr>
          <w:b/>
        </w:rPr>
        <w:t xml:space="preserve">摘要（ZH）: </w:t>
      </w:r>
      <w:r>
        <w:t>作者：W. Z. Xu (许文政) et al. $^{125}\mathrm{I}$ 的高自旋态已使用 $^{122}\mathrm{Sn}(^{7}\mathrm{Li},\phantom{\rule{4pt}{0ex}}4n)^{125}\mathrm{I}$ 反应在 44 MeV 的束流能量下填充。观察到源自中子排列的四个三准粒子旋转带。一对近德哥……【物理。 Rev. C 114, 024335] 2026 年 8 月 21 日星期五发布</w:t>
      </w:r>
    </w:p>
    <w:p>
      <w:pPr>
        <w:spacing w:before="0" w:after="200" w:lineRule="auto" w:line="276"/>
      </w:pPr>
      <w:r>
        <w:rPr>
          <w:b/>
        </w:rPr>
        <w:t xml:space="preserve">Abstract (EN): </w:t>
      </w:r>
      <w:r>
        <w:t>Author(s): W. Z. Xu (许文政) et al.High-spin states of $^{125}\mathrm{I}$ have been populated using the $^{122}\mathrm{Sn}(^{7}\mathrm{Li},\phantom{\rule{4pt}{0ex}}4n)^{125}\mathrm{I}$ reaction at a beam energy of 44 MeV. Four three-quasiparticle rotational bands originating from neutron alignment were observed. A pair of nearly dege…[Phys. Rev. C 114, 024335] Published Fri Aug 21, 2026</w:t>
      </w:r>
    </w:p>
    <w:p>
      <w:pPr>
        <w:spacing w:before="120" w:after="120"/>
      </w:pPr>
      <w:r>
        <w:rPr>
          <w:sz w:val="18"/>
        </w:rPr>
        <w:t>——————————————————————————————————————————————————————————————————————</w:t>
      </w:r>
    </w:p>
    <w:p>
      <w:pPr>
        <w:spacing w:before="160" w:after="40" w:line="240" w:lineRule="auto"/>
      </w:pPr>
      <w:r>
        <w:rPr>
          <w:b/>
        </w:rPr>
        <w:t xml:space="preserve">[146] </w:t>
      </w:r>
      <w:hyperlink r:id="rId776">
        <w:r>
          <w:rPr>
            <w:color w:val="1155CC"/>
            <w:u w:val="single"/>
          </w:rPr>
          <w:t>后闵可夫斯基第五阶和第二自力阶的保守黑洞散射</w:t>
        </w:r>
      </w:hyperlink>
    </w:p>
    <w:p>
      <w:pPr>
        <w:spacing w:before="0" w:after="80"/>
      </w:pPr>
      <w:r>
        <w:rPr>
          <w:i/>
          <w:sz w:val="20"/>
        </w:rPr>
        <w:t>EN: Conservative Black Hole Scattering at Fifth Post-Minkowskian and Second Self-Force Order</w:t>
      </w:r>
    </w:p>
    <w:p>
      <w:pPr>
        <w:spacing w:before="0" w:after="120"/>
      </w:pPr>
      <w:r>
        <w:rPr>
          <w:b/>
        </w:rPr>
        <w:t xml:space="preserve">Source: </w:t>
      </w:r>
      <w:r>
        <w:t>Recent Articles in Phys. Rev. Lett.</w:t>
      </w:r>
      <w:r>
        <w:t xml:space="preserve">    </w:t>
      </w:r>
      <w:r>
        <w:rPr>
          <w:b/>
        </w:rPr>
        <w:t xml:space="preserve">Pub date: </w:t>
      </w:r>
      <w:r>
        <w:t>2026-08-21 10:00:00+00:00</w:t>
      </w:r>
      <w:r>
        <w:t xml:space="preserve">    </w:t>
      </w:r>
      <w:r>
        <w:rPr>
          <w:b/>
        </w:rPr>
        <w:t xml:space="preserve">DOI: </w:t>
      </w:r>
      <w:hyperlink r:id="rId777">
        <w:r>
          <w:rPr>
            <w:color w:val="1155CC"/>
            <w:u w:val="single"/>
          </w:rPr>
          <w:t>10.1103/4dvk-nglx</w:t>
        </w:r>
      </w:hyperlink>
    </w:p>
    <w:p>
      <w:pPr>
        <w:spacing w:before="0" w:after="120"/>
      </w:pPr>
      <w:r>
        <w:rPr>
          <w:b/>
        </w:rPr>
        <w:t xml:space="preserve">Notes: </w:t>
      </w:r>
      <w:r>
        <w:t>abstract_source=rss_description</w:t>
      </w:r>
    </w:p>
    <w:p>
      <w:pPr>
        <w:spacing w:before="0" w:after="80" w:lineRule="auto" w:line="276"/>
      </w:pPr>
      <w:r>
        <w:rPr>
          <w:b/>
        </w:rPr>
        <w:t xml:space="preserve">摘要（ZH）: </w:t>
      </w:r>
      <w:r>
        <w:t>作者：Mathias Driesse、Gustav Uhre Jakobsen、Gustav Mogull、Christoph Nega、Jan Plefka、Benjamin Sauer 和 Johann Usovitsch 使用世界线量子场论形式主义，我们计算了后闵可夫斯基第五阶和第二自力阶经典黑洞散射的散射角和冲量的保守贡献。这种四环计算涉及非平面费曼积分，需要高级......[Phys。莱特牧师。 137, 081402] 发表于 2026 年 8 月 21 日星期五</w:t>
      </w:r>
    </w:p>
    <w:p>
      <w:pPr>
        <w:spacing w:before="0" w:after="200" w:lineRule="auto" w:line="276"/>
      </w:pPr>
      <w:r>
        <w:rPr>
          <w:b/>
        </w:rPr>
        <w:t xml:space="preserve">Abstract (EN): </w:t>
      </w:r>
      <w:r>
        <w:t>Author(s): Mathias Driesse, Gustav Uhre Jakobsen, Gustav Mogull, Christoph Nega, Jan Plefka, Benjamin Sauer, and Johann UsovitschUsing the worldline quantum field theory formalism, we compute conservative contributions to the scattering angle and impulse for classical black hole scattering at fifth post-Minkowskian and second self-force order. This four-loop calculation involves nonplanar Feynman integrals and requires advanc…[Phys. Rev. Lett. 137, 081402] Published Fri Aug 21, 2026</w:t>
      </w:r>
    </w:p>
    <w:p>
      <w:pPr>
        <w:spacing w:before="120" w:after="120"/>
      </w:pPr>
      <w:r>
        <w:rPr>
          <w:sz w:val="18"/>
        </w:rPr>
        <w:t>——————————————————————————————————————————————————————————————————————</w:t>
      </w:r>
    </w:p>
    <w:p>
      <w:pPr>
        <w:spacing w:before="160" w:after="40" w:line="240" w:lineRule="auto"/>
      </w:pPr>
      <w:r>
        <w:rPr>
          <w:b/>
        </w:rPr>
        <w:t xml:space="preserve">[147] </w:t>
      </w:r>
      <w:hyperlink r:id="rId778">
        <w:r>
          <w:rPr>
            <w:color w:val="1155CC"/>
            <w:u w:val="single"/>
          </w:rPr>
          <w:t>首次测量 ${B}_{s}^{0}→{D}_{s}^{−}{π}^{+}$ 衰减中的衰减时间积分 $CP$ 不对称性</w:t>
        </w:r>
      </w:hyperlink>
    </w:p>
    <w:p>
      <w:pPr>
        <w:spacing w:before="0" w:after="80"/>
      </w:pPr>
      <w:r>
        <w:rPr>
          <w:i/>
          <w:sz w:val="20"/>
        </w:rPr>
        <w:t>EN: First Measurement of the Decay-Time-Integrated $CP$ Asymmetry in ${B}_{s}^{0}→{D}_{s}^{−}{π}^{+}$ Decays</w:t>
      </w:r>
    </w:p>
    <w:p>
      <w:pPr>
        <w:spacing w:before="0" w:after="120"/>
      </w:pPr>
      <w:r>
        <w:rPr>
          <w:b/>
        </w:rPr>
        <w:t xml:space="preserve">Source: </w:t>
      </w:r>
      <w:r>
        <w:t>Recent Articles in Phys. Rev. Lett.</w:t>
      </w:r>
      <w:r>
        <w:t xml:space="preserve">    </w:t>
      </w:r>
      <w:r>
        <w:rPr>
          <w:b/>
        </w:rPr>
        <w:t xml:space="preserve">Pub date: </w:t>
      </w:r>
      <w:r>
        <w:t>2026-08-21 10:00:00+00:00</w:t>
      </w:r>
      <w:r>
        <w:t xml:space="preserve">    </w:t>
      </w:r>
      <w:r>
        <w:rPr>
          <w:b/>
        </w:rPr>
        <w:t xml:space="preserve">DOI: </w:t>
      </w:r>
      <w:hyperlink r:id="rId779">
        <w:r>
          <w:rPr>
            <w:color w:val="1155CC"/>
            <w:u w:val="single"/>
          </w:rPr>
          <w:t>10.1103/ljtv-y278</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合作）使用 LHCb 实验在 2016 年和 2016 年期间收集的质子-质子碰撞数据，对特定风味衰变 ${B}_{s}^{0}→{D}_{s}^{−}{π}^{+}$、$⟨{A}_{\text{untagged}}^{s}⟩$ 中风味未标记的衰变时间积分 $CP$ 不对称性进行测量2018 年的质心能量为……[物理。莱特牧师。 137, 081802] 发布于 2026 年 8 月 21 日星期五</w:t>
      </w:r>
    </w:p>
    <w:p>
      <w:pPr>
        <w:spacing w:before="0" w:after="200" w:lineRule="auto" w:line="276"/>
      </w:pPr>
      <w:r>
        <w:rPr>
          <w:b/>
        </w:rPr>
        <w:t xml:space="preserve">Abstract (EN): </w:t>
      </w:r>
      <w:r>
        <w:t>Author(s): R. Aaij et al. (LHCb Collaboration)A measurement of the flavor-untagged decay-time-integrated $CP$ asymmetry in the flavor-specific decay ${B}_{s}^{0}→{D}_{s}^{−}{π}^{+}$, $⟨{A}_{\text{untagged}}^{s}⟩$, is performed using proton-proton collision data collected by the LHCb experiment between 2016 and 2018 at a center-of-mass energy of…[Phys. Rev. Lett. 137, 081802] Published Fri Aug 21, 2026</w:t>
      </w:r>
    </w:p>
    <w:p>
      <w:pPr>
        <w:spacing w:before="120" w:after="120"/>
      </w:pPr>
      <w:r>
        <w:rPr>
          <w:sz w:val="18"/>
        </w:rPr>
        <w:t>——————————————————————————————————————————————————————————————————————</w:t>
      </w:r>
    </w:p>
    <w:p>
      <w:pPr>
        <w:spacing w:before="160" w:after="40" w:line="240" w:lineRule="auto"/>
      </w:pPr>
      <w:r>
        <w:rPr>
          <w:b/>
        </w:rPr>
        <w:t xml:space="preserve">[148] </w:t>
      </w:r>
      <w:hyperlink r:id="rId780">
        <w:r>
          <w:rPr>
            <w:color w:val="1155CC"/>
            <w:u w:val="single"/>
          </w:rPr>
          <w:t>有限横向动量下深非弹性散射强子产生的次次次前导 QCD 修正</w:t>
        </w:r>
      </w:hyperlink>
    </w:p>
    <w:p>
      <w:pPr>
        <w:spacing w:before="0" w:after="80"/>
      </w:pPr>
      <w:r>
        <w:rPr>
          <w:i/>
          <w:sz w:val="20"/>
        </w:rPr>
        <w:t>EN: Next-to-Next-to-Leading-Order QCD Corrections to Hadron Production in Deep-Inelastic Scattering at Finite Transverse Momentum</w:t>
      </w:r>
    </w:p>
    <w:p>
      <w:pPr>
        <w:spacing w:before="0" w:after="120"/>
      </w:pPr>
      <w:r>
        <w:rPr>
          <w:b/>
        </w:rPr>
        <w:t xml:space="preserve">Source: </w:t>
      </w:r>
      <w:r>
        <w:t>Recent Articles in Phys. Rev. Lett.</w:t>
      </w:r>
      <w:r>
        <w:t xml:space="preserve">    </w:t>
      </w:r>
      <w:r>
        <w:rPr>
          <w:b/>
        </w:rPr>
        <w:t xml:space="preserve">Pub date: </w:t>
      </w:r>
      <w:r>
        <w:t>2026-08-21 10:00:00+00:00</w:t>
      </w:r>
      <w:r>
        <w:t xml:space="preserve">    </w:t>
      </w:r>
      <w:r>
        <w:rPr>
          <w:b/>
        </w:rPr>
        <w:t xml:space="preserve">DOI: </w:t>
      </w:r>
      <w:hyperlink r:id="rId781">
        <w:r>
          <w:rPr>
            <w:color w:val="1155CC"/>
            <w:u w:val="single"/>
          </w:rPr>
          <w:t>10.1103/bf1g-9hq7</w:t>
        </w:r>
      </w:hyperlink>
    </w:p>
    <w:p>
      <w:pPr>
        <w:spacing w:before="0" w:after="120"/>
      </w:pPr>
      <w:r>
        <w:rPr>
          <w:b/>
        </w:rPr>
        <w:t xml:space="preserve">Notes: </w:t>
      </w:r>
      <w:r>
        <w:t>abstract_source=rss_description</w:t>
      </w:r>
    </w:p>
    <w:p>
      <w:pPr>
        <w:spacing w:before="0" w:after="80" w:lineRule="auto" w:line="276"/>
      </w:pPr>
      <w:r>
        <w:rPr>
          <w:b/>
        </w:rPr>
        <w:t xml:space="preserve">摘要（ZH）: </w:t>
      </w:r>
      <w:r>
        <w:t>作者：梁栋、沉芳、高军、李海涛、邵丁宇和朱玉娇我们提出了微扰 QCD 中有限横向动量至次次次先导阶 (NNLO) 下深非弹性散射 (DIS) 强子产生的首次计算。为了克服半包容过程中红外发散的长期挑战并确定最终状态……[物理。莱特牧师。 137, 081902] 发表于 2026 年 8 月 21 日星期五</w:t>
      </w:r>
    </w:p>
    <w:p>
      <w:pPr>
        <w:spacing w:before="0" w:after="200" w:lineRule="auto" w:line="276"/>
      </w:pPr>
      <w:r>
        <w:rPr>
          <w:b/>
        </w:rPr>
        <w:t xml:space="preserve">Abstract (EN): </w:t>
      </w:r>
      <w:r>
        <w:t>Author(s): Liang Dong, Shen Fang, Jun Gao, Hai Tao Li, Ding Yu Shao, and Yu Jiao ZhuWe present the first calculation of hadron production in deep-inelastic scattering (DIS) at finite transverse momentum to next-to-next-to-leading order (NNLO) in perturbative QCD. To overcome the long-standing challenge of infrared divergences in semi-inclusive processes with identified final state …[Phys. Rev. Lett. 137, 081902] Published Fri Aug 21, 2026</w:t>
      </w:r>
    </w:p>
    <w:p>
      <w:pPr>
        <w:spacing w:before="120" w:after="120"/>
      </w:pPr>
      <w:r>
        <w:rPr>
          <w:sz w:val="18"/>
        </w:rPr>
        <w:t>——————————————————————————————————————————————————————————————————————</w:t>
      </w:r>
    </w:p>
    <w:p>
      <w:pPr>
        <w:spacing w:before="160" w:after="40" w:line="240" w:lineRule="auto"/>
      </w:pPr>
      <w:r>
        <w:rPr>
          <w:b/>
        </w:rPr>
        <w:t xml:space="preserve">[149] </w:t>
      </w:r>
      <w:hyperlink r:id="rId782">
        <w:r>
          <w:rPr>
            <w:color w:val="1155CC"/>
            <w:u w:val="single"/>
          </w:rPr>
          <w:t>非热吸引子的绝热水动力化和拟正规模式</w:t>
        </w:r>
      </w:hyperlink>
    </w:p>
    <w:p>
      <w:pPr>
        <w:spacing w:before="0" w:after="80"/>
      </w:pPr>
      <w:r>
        <w:rPr>
          <w:i/>
          <w:sz w:val="20"/>
        </w:rPr>
        <w:t>EN: Adiabatic Hydrodynamization and Quasinormal Modes of Nonthermal Attractors</w:t>
      </w:r>
    </w:p>
    <w:p>
      <w:pPr>
        <w:spacing w:before="0" w:after="120"/>
      </w:pPr>
      <w:r>
        <w:rPr>
          <w:b/>
        </w:rPr>
        <w:t xml:space="preserve">Source: </w:t>
      </w:r>
      <w:r>
        <w:t>Recent Articles in Phys. Rev. Lett.</w:t>
      </w:r>
      <w:r>
        <w:t xml:space="preserve">    </w:t>
      </w:r>
      <w:r>
        <w:rPr>
          <w:b/>
        </w:rPr>
        <w:t xml:space="preserve">Pub date: </w:t>
      </w:r>
      <w:r>
        <w:t>2026-08-21 10:00:00+00:00</w:t>
      </w:r>
      <w:r>
        <w:t xml:space="preserve">    </w:t>
      </w:r>
      <w:r>
        <w:rPr>
          <w:b/>
        </w:rPr>
        <w:t xml:space="preserve">DOI: </w:t>
      </w:r>
      <w:hyperlink r:id="rId783">
        <w:r>
          <w:rPr>
            <w:color w:val="1155CC"/>
            <w:u w:val="single"/>
          </w:rPr>
          <w:t>10.1103/262r-xh1p</w:t>
        </w:r>
      </w:hyperlink>
    </w:p>
    <w:p>
      <w:pPr>
        <w:spacing w:before="0" w:after="120"/>
      </w:pPr>
      <w:r>
        <w:rPr>
          <w:b/>
        </w:rPr>
        <w:t xml:space="preserve">Notes: </w:t>
      </w:r>
      <w:r>
        <w:t>abstract_source=rss_description</w:t>
      </w:r>
    </w:p>
    <w:p>
      <w:pPr>
        <w:spacing w:before="0" w:after="80" w:lineRule="auto" w:line="276"/>
      </w:pPr>
      <w:r>
        <w:rPr>
          <w:b/>
        </w:rPr>
        <w:t xml:space="preserve">摘要（ZH）: </w:t>
      </w:r>
      <w:r>
        <w:t>作者：Matisse De Lescluze、Michal P. Heller、Aleksas Mazeliauskas、Bruno Scheihing-Hitschfeld 和 Clemens Werthmann 非热吸引子控制着远离平衡量子系统的新兴自相似动力学，从超相对论核碰撞到冷原子实验。在绝热水动力化的框架内，非热吸引子的方法是通过激发的衰变来描述的……[物理。莱特牧师。 137, 082303] 发表于 2026 年 8 月 21 日星期五</w:t>
      </w:r>
    </w:p>
    <w:p>
      <w:pPr>
        <w:spacing w:before="0" w:after="200" w:lineRule="auto" w:line="276"/>
      </w:pPr>
      <w:r>
        <w:rPr>
          <w:b/>
        </w:rPr>
        <w:t xml:space="preserve">Abstract (EN): </w:t>
      </w:r>
      <w:r>
        <w:t>Author(s): Matisse De Lescluze, Michal P. Heller, Aleksas Mazeliauskas, Bruno Scheihing-Hitschfeld, and Clemens WerthmannNonthermal attractors govern the emergent self-similar dynamics of far-from-equilibrium quantum systems, from ultrarelativistic nuclear collisions to cold-atom experiments. Within the framework of adiabatic hydrodynamization, the approach to a nonthermal attractor is described by the decay of excite…[Phys. Rev. Lett. 137, 082303] Published Fri Aug 21, 2026</w:t>
      </w:r>
    </w:p>
    <w:p>
      <w:pPr>
        <w:spacing w:before="120" w:after="120"/>
      </w:pPr>
      <w:r>
        <w:rPr>
          <w:sz w:val="18"/>
        </w:rPr>
        <w:t>——————————————————————————————————————————————————————————————————————</w:t>
      </w:r>
    </w:p>
    <w:p>
      <w:pPr>
        <w:spacing w:before="160" w:after="40" w:line="240" w:lineRule="auto"/>
      </w:pPr>
      <w:r>
        <w:rPr>
          <w:b/>
        </w:rPr>
        <w:t xml:space="preserve">[150] </w:t>
      </w:r>
      <w:hyperlink r:id="rId784">
        <w:r>
          <w:rPr>
            <w:color w:val="1155CC"/>
            <w:u w:val="single"/>
          </w:rPr>
          <w:t>旋农单重态配对：部分填充条纹中 $d$ 波符号结构的起源</w:t>
        </w:r>
      </w:hyperlink>
    </w:p>
    <w:p>
      <w:pPr>
        <w:spacing w:before="0" w:after="80"/>
      </w:pPr>
      <w:r>
        <w:rPr>
          <w:i/>
          <w:sz w:val="20"/>
        </w:rPr>
        <w:t>EN: Spinon Singlet Pairing: Origin of $d$-Wave Sign Structure in a Partially Filled Stripe</w:t>
      </w:r>
    </w:p>
    <w:p>
      <w:pPr>
        <w:spacing w:before="0" w:after="120"/>
      </w:pPr>
      <w:r>
        <w:rPr>
          <w:b/>
        </w:rPr>
        <w:t xml:space="preserve">Source: </w:t>
      </w:r>
      <w:r>
        <w:t>Recent Articles in Phys. Rev. Lett.</w:t>
      </w:r>
      <w:r>
        <w:t xml:space="preserve">    </w:t>
      </w:r>
      <w:r>
        <w:rPr>
          <w:b/>
        </w:rPr>
        <w:t xml:space="preserve">Pub date: </w:t>
      </w:r>
      <w:r>
        <w:t>2026-08-21 10:00:00+00:00</w:t>
      </w:r>
      <w:r>
        <w:t xml:space="preserve">    </w:t>
      </w:r>
      <w:r>
        <w:rPr>
          <w:b/>
        </w:rPr>
        <w:t xml:space="preserve">DOI: </w:t>
      </w:r>
      <w:hyperlink r:id="rId785">
        <w:r>
          <w:rPr>
            <w:color w:val="1155CC"/>
            <w:u w:val="single"/>
          </w:rPr>
          <w:t>10.1103/wcqv-pcls</w:t>
        </w:r>
      </w:hyperlink>
    </w:p>
    <w:p>
      <w:pPr>
        <w:spacing w:before="0" w:after="120"/>
      </w:pPr>
      <w:r>
        <w:rPr>
          <w:b/>
        </w:rPr>
        <w:t xml:space="preserve">Notes: </w:t>
      </w:r>
      <w:r>
        <w:t>abstract_source=rss_description</w:t>
      </w:r>
    </w:p>
    <w:p>
      <w:pPr>
        <w:spacing w:before="0" w:after="80" w:lineRule="auto" w:line="276"/>
      </w:pPr>
      <w:r>
        <w:rPr>
          <w:b/>
        </w:rPr>
        <w:t xml:space="preserve">摘要（ZH）: </w:t>
      </w:r>
      <w:r>
        <w:t>作者：王家龙、胡世杰和张学峰重大研究进展已达成共识，即费米-哈伯德模型及其扩展变体是阐明空穴掺杂高${T}_{c}$材料中条纹序与超导性之间相互交织关系的典型框架。值得注意的是，哈伯德量子模拟……[物理。莱特牧师。 137, 086702] 发布于 2026 年 8 月 21 日星期五</w:t>
      </w:r>
    </w:p>
    <w:p>
      <w:pPr>
        <w:spacing w:before="0" w:after="200" w:lineRule="auto" w:line="276"/>
      </w:pPr>
      <w:r>
        <w:rPr>
          <w:b/>
        </w:rPr>
        <w:t xml:space="preserve">Abstract (EN): </w:t>
      </w:r>
      <w:r>
        <w:t>Author(s): Jia-Long Wang, Shi-Jie Hu, and Xue-Feng ZhangSignificant research advances have led to a consensus that the Fermi-Hubbard model and its extended variants are archetypical frameworks for elucidating the intertwined relationship between stripe orders and superconductivity in hole-doped high-${T}_{c}$ materials. Notably, the Hubbard quantum simul…[Phys. Rev. Lett. 137, 086702] Published Fri Aug 21, 2026</w:t>
      </w:r>
    </w:p>
    <w:p>
      <w:pPr>
        <w:spacing w:before="120" w:after="120"/>
      </w:pPr>
      <w:r>
        <w:rPr>
          <w:sz w:val="18"/>
        </w:rPr>
        <w:t>——————————————————————————————————————————————————————————————————————</w:t>
      </w:r>
    </w:p>
    <w:p>
      <w:pPr>
        <w:spacing w:before="160" w:after="40" w:line="240" w:lineRule="auto"/>
      </w:pPr>
      <w:r>
        <w:rPr>
          <w:b/>
        </w:rPr>
        <w:t xml:space="preserve">[151] </w:t>
      </w:r>
      <w:hyperlink r:id="rId786">
        <w:r>
          <w:rPr>
            <w:color w:val="1155CC"/>
            <w:u w:val="single"/>
          </w:rPr>
          <w:t>通过局部操作和经典通信下的可提取工作测试热状态的等效性</w:t>
        </w:r>
      </w:hyperlink>
    </w:p>
    <w:p>
      <w:pPr>
        <w:spacing w:before="0" w:after="80"/>
      </w:pPr>
      <w:r>
        <w:rPr>
          <w:i/>
          <w:sz w:val="20"/>
        </w:rPr>
        <w:t>EN: Testing the Equivalence to Thermal States via Extractable Work under Local Operations and Classical Communication</w:t>
      </w:r>
    </w:p>
    <w:p>
      <w:pPr>
        <w:spacing w:before="0" w:after="120"/>
      </w:pPr>
      <w:r>
        <w:rPr>
          <w:b/>
        </w:rPr>
        <w:t xml:space="preserve">Source: </w:t>
      </w:r>
      <w:r>
        <w:t>Recent Articles in Phys. Rev. Lett.</w:t>
      </w:r>
      <w:r>
        <w:t xml:space="preserve">    </w:t>
      </w:r>
      <w:r>
        <w:rPr>
          <w:b/>
        </w:rPr>
        <w:t xml:space="preserve">Pub date: </w:t>
      </w:r>
      <w:r>
        <w:t>2026-08-21 10:00:00+00:00</w:t>
      </w:r>
      <w:r>
        <w:t xml:space="preserve">    </w:t>
      </w:r>
      <w:r>
        <w:rPr>
          <w:b/>
        </w:rPr>
        <w:t xml:space="preserve">DOI: </w:t>
      </w:r>
      <w:hyperlink r:id="rId787">
        <w:r>
          <w:rPr>
            <w:color w:val="1155CC"/>
            <w:u w:val="single"/>
          </w:rPr>
          <w:t>10.1103/zsb1-gx7f</w:t>
        </w:r>
      </w:hyperlink>
    </w:p>
    <w:p>
      <w:pPr>
        <w:spacing w:before="0" w:after="120"/>
      </w:pPr>
      <w:r>
        <w:rPr>
          <w:b/>
        </w:rPr>
        <w:t xml:space="preserve">Notes: </w:t>
      </w:r>
      <w:r>
        <w:t>abstract_source=rss_description</w:t>
      </w:r>
    </w:p>
    <w:p>
      <w:pPr>
        <w:spacing w:before="0" w:after="80" w:lineRule="auto" w:line="276"/>
      </w:pPr>
      <w:r>
        <w:rPr>
          <w:b/>
        </w:rPr>
        <w:t xml:space="preserve">摘要（ZH）: </w:t>
      </w:r>
      <w:r>
        <w:t>作者：Toshihiro Yada、Nobuyuki Yoshioka 和 Takahiro Sakawa 了解量子多体纯态的热行为是量子热力学中最基本的问题之一。众所周知，当人们限制无法访问相关性的局部操作时，典型的纯状态会产生消失功，就像热状态一样……[物理。莱特牧师。 137, 080401] 发布于 2026 年 8 月 21 日星期五</w:t>
      </w:r>
    </w:p>
    <w:p>
      <w:pPr>
        <w:spacing w:before="0" w:after="200" w:lineRule="auto" w:line="276"/>
      </w:pPr>
      <w:r>
        <w:rPr>
          <w:b/>
        </w:rPr>
        <w:t xml:space="preserve">Abstract (EN): </w:t>
      </w:r>
      <w:r>
        <w:t>Author(s): Toshihiro Yada, Nobuyuki Yoshioka, and Takahiro SagawaUnderstanding the thermal behavior of quantum many-body pure states is one of the most fundamental issues in quantum thermodynamics. It is widely known that typical pure states yield vanishing work, just as thermal states do, when one restricts to local operations that cannot access correlations amo…[Phys. Rev. Lett. 137, 080401] Published Fri Aug 21, 2026</w:t>
      </w:r>
    </w:p>
    <w:p>
      <w:pPr>
        <w:spacing w:before="120" w:after="120"/>
      </w:pPr>
      <w:r>
        <w:rPr>
          <w:sz w:val="18"/>
        </w:rPr>
        <w:t>——————————————————————————————————————————————————————————————————————</w:t>
      </w:r>
    </w:p>
    <w:p>
      <w:pPr>
        <w:spacing w:before="160" w:after="40" w:line="240" w:lineRule="auto"/>
      </w:pPr>
      <w:r>
        <w:rPr>
          <w:b/>
        </w:rPr>
        <w:t xml:space="preserve">[152] </w:t>
      </w:r>
      <w:hyperlink r:id="rId788">
        <w:r>
          <w:rPr>
            <w:color w:val="1155CC"/>
            <w:u w:val="single"/>
          </w:rPr>
          <w:t>用于选择性级联催化的单原子 COF 纳米酶的金属口袋协同性工程</w:t>
        </w:r>
      </w:hyperlink>
    </w:p>
    <w:p>
      <w:pPr>
        <w:spacing w:before="0" w:after="80"/>
      </w:pPr>
      <w:r>
        <w:rPr>
          <w:i/>
          <w:sz w:val="20"/>
        </w:rPr>
        <w:t>EN: Engineering Metal‐Pocket Cooperativity in Single‐Atom COF Nanozymes for Selective Cascade Catalysis</w:t>
      </w:r>
    </w:p>
    <w:p>
      <w:pPr>
        <w:spacing w:before="0" w:after="120"/>
      </w:pPr>
      <w:r>
        <w:rPr>
          <w:b/>
        </w:rPr>
        <w:t xml:space="preserve">Source: </w:t>
      </w:r>
      <w:r>
        <w:t>Wiley: Advanced Materials: Table of Contents</w:t>
      </w:r>
      <w:r>
        <w:t xml:space="preserve">    </w:t>
      </w:r>
      <w:r>
        <w:rPr>
          <w:b/>
        </w:rPr>
        <w:t xml:space="preserve">Pub date: </w:t>
      </w:r>
      <w:r>
        <w:t>2026-08-21 11:32:23+00:00</w:t>
      </w:r>
      <w:r>
        <w:t xml:space="preserve">    </w:t>
      </w:r>
      <w:r>
        <w:rPr>
          <w:b/>
        </w:rPr>
        <w:t xml:space="preserve">DOI: </w:t>
      </w:r>
      <w:hyperlink r:id="rId789">
        <w:r>
          <w:rPr>
            <w:color w:val="1155CC"/>
            <w:u w:val="single"/>
          </w:rPr>
          <w:t>10.1002/adma.74678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酶已成为天然酶的强大且可扩展的替代品，具有高催化活性和结构稳定性。然而，再现酶催化的精致选择性，特别是它们在复杂反应系统中高精度运行的能力，仍然是一个核心挑战。在此，受血红素口袋结构和细胞色素P450协同调节的启发，我们报告了一种基于单原子共价有机框架（COF）平台的纳米酶多级编程策略，该平台由类血红素金属卟啉节点和带有手性氨基酸残基的连接体构建，能够选择性编辑金属催化中心和酶模拟口袋，以控制催化活性、化学选择性和立体化学结果。作为概念证明，我们采用仿生手性级联，将类似甲醇脱氢酶的醇氧化与木瓜凝乳蛋白酶启发的不对称羟醛反应耦合起来，以探测和优化纳米酶内的金属口袋协同性。编程的基于 MnPor-Pro 的纳米酶在级联反应中具有高产率、优异的化学和立体选择性以及出色的可回收性，表明了该策略的有效性。这项工作为工程高选择性纳米酶提供了合理的设计见解，能够解决复杂的多步骤转化，显着缩小人工和天然酶系统之间的差距。</w:t>
      </w:r>
    </w:p>
    <w:p>
      <w:pPr>
        <w:spacing w:before="0" w:after="200" w:lineRule="auto" w:line="276"/>
      </w:pPr>
      <w:r>
        <w:rPr>
          <w:b/>
        </w:rPr>
        <w:t xml:space="preserve">Abstract (EN): </w:t>
      </w:r>
      <w:r>
        <w:t>Nanozymes have emerged as robust and scalable alternatives to natural enzymes, offering high catalytic activity and structural stability. However, reproducing the exquisite selectivity of enzymatic catalysis, particularly their ability to operate with high precision in complex reaction systems, remains a central challenge. Herein, inspired by the heme–pocket architecture and cooperative regulation in cytochrome P450, we report a nanozyme multilevel programming strategy based on a single‐atom covalent organic framework (COF) platform constructed from heme‐like metal–porphyrin nodes and linkers bearing chiral amino‐acid residues, enabling selective editing of metal catalytic centers and enzyme‐mimetic pockets to control catalytic activity, chemoselectivity, and stereochemical outcomes. As a proof of concept, we employ a biomimetic chiral cascade that couples methanol dehydrogenase‐like alcohol oxidation with a chymopapain‑inspired asymmetric aldol reaction to probe and optimize metal–pocket cooperativity within the nanozyme. The programmed MnPor‐Pro‐based nanozyme delivers high product yields, excellent chemo‐ and stereoselectivity, and outstanding recyclability in the cascade reactions, indicating the effectiveness of this strategy. This work provides a rational design insight for engineering highly selective nanozymes capable of addressing complex, multistep transformations, significantly bridging the gap between artificial and natural enzymatic systems.</w:t>
      </w:r>
    </w:p>
    <w:p>
      <w:pPr>
        <w:spacing w:before="120" w:after="120"/>
      </w:pPr>
      <w:r>
        <w:rPr>
          <w:sz w:val="18"/>
        </w:rPr>
        <w:t>——————————————————————————————————————————————————————————————————————</w:t>
      </w:r>
    </w:p>
    <w:p>
      <w:pPr>
        <w:spacing w:before="160" w:after="40" w:line="240" w:lineRule="auto"/>
      </w:pPr>
      <w:r>
        <w:rPr>
          <w:b/>
        </w:rPr>
        <w:t xml:space="preserve">[153] </w:t>
      </w:r>
      <w:hyperlink r:id="rId790">
        <w:r>
          <w:rPr>
            <w:color w:val="1155CC"/>
            <w:u w:val="single"/>
          </w:rPr>
          <w:t>用于无泄漏大气水收集的静电协调盐锁和各向异性热高速公路</w:t>
        </w:r>
      </w:hyperlink>
    </w:p>
    <w:p>
      <w:pPr>
        <w:spacing w:before="0" w:after="80"/>
      </w:pPr>
      <w:r>
        <w:rPr>
          <w:i/>
          <w:sz w:val="20"/>
        </w:rPr>
        <w:t>EN: Electrostatic Coordination Salt‐Locking and Anisotropic Thermal Highways for Leakage‐Free Atmospheric Water Harvesting</w:t>
      </w:r>
    </w:p>
    <w:p>
      <w:pPr>
        <w:spacing w:before="0" w:after="120"/>
      </w:pPr>
      <w:r>
        <w:rPr>
          <w:b/>
        </w:rPr>
        <w:t xml:space="preserve">Source: </w:t>
      </w:r>
      <w:r>
        <w:t>Wiley: Advanced Materials: Table of Contents</w:t>
      </w:r>
      <w:r>
        <w:t xml:space="preserve">    </w:t>
      </w:r>
      <w:r>
        <w:rPr>
          <w:b/>
        </w:rPr>
        <w:t xml:space="preserve">Pub date: </w:t>
      </w:r>
      <w:r>
        <w:t>2026-08-21 11:35:51+00:00</w:t>
      </w:r>
      <w:r>
        <w:t xml:space="preserve">    </w:t>
      </w:r>
      <w:r>
        <w:rPr>
          <w:b/>
        </w:rPr>
        <w:t xml:space="preserve">DOI: </w:t>
      </w:r>
      <w:hyperlink r:id="rId791">
        <w:r>
          <w:rPr>
            <w:color w:val="1155CC"/>
            <w:u w:val="single"/>
          </w:rPr>
          <w:t>10.1002/adma.74757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基于吸附的大气水收集（AWH）提供了一种分散的策略来缓解全球水资源短缺。然而，AWH 吸附剂材料的高盐负载量和结构稳定性之间的权衡仍然是一个关键瓶颈。在这里，我们报告了一种分层复合凝胶（D-HKPB@LiCl），它可以解决持续的盐泄漏挑战，同时提高太阳能热效率。通过将硫酸化κ-卡拉胶（KC）整合到热响应性羟丙基纤维素（HPC）基质中，硫酸基团和锂离子之间的强配位以化学方式将吸湿盐锚定在聚合物网络内，从而赋予该系统卓越的循环稳定性。为了克服动力学限制，定向冷冻垂直排列涂有聚多巴胺的羟基氮化硼 (PDA@BNO) 晶须，形成各向异性的热路径，其平面电导率为 0.49 W m</w:t>
      </w:r>
      <w:r>
        <w:t xml:space="preserve"> </w:t>
      </w:r>
      <w:r>
        <w:t>−1</w:t>
      </w:r>
      <w:r>
        <w:t xml:space="preserve"> </w:t>
      </w:r>
      <w:r>
        <w:t>K</w:t>
      </w:r>
      <w:r>
        <w:t xml:space="preserve"> </w:t>
      </w:r>
      <w:r>
        <w:t>−1</w:t>
      </w:r>
      <w:r>
        <w:t xml:space="preserve"> </w:t>
      </w:r>
      <w:r>
        <w:t>沿着冰生长方向。这种架构与 HPC 的光热触发疏水相变相结合，可实现 3.1 kg m 的最大解吸率</w:t>
      </w:r>
      <w:r>
        <w:t xml:space="preserve"> </w:t>
      </w:r>
      <w:r>
        <w:t>−2</w:t>
      </w:r>
      <w:r>
        <w:t xml:space="preserve"> </w:t>
      </w:r>
      <w:r>
        <w:t>小时</w:t>
      </w:r>
      <w:r>
        <w:t xml:space="preserve"> </w:t>
      </w:r>
      <w:r>
        <w:t>−1</w:t>
      </w:r>
      <w:r>
        <w:t xml:space="preserve"> </w:t>
      </w:r>
      <w:r>
        <w:t>在一颗太阳的照射下。 D-HKPB@LiCl 凝胶的吸水量为 0.91–4.32 g g</w:t>
      </w:r>
      <w:r>
        <w:t xml:space="preserve"> </w:t>
      </w:r>
      <w:r>
        <w:t>−1</w:t>
      </w:r>
      <w:r>
        <w:t xml:space="preserve"> </w:t>
      </w:r>
      <w:r>
        <w:t>相对湿度 30%–90%。在中国兰州，在充满挑战的冬季条件下（平均 4.3 °C，&lt;0.5 Sun）使用定制的活性物质进行户外现场验证</w:t>
      </w:r>
    </w:p>
    <w:p>
      <w:pPr>
        <w:spacing w:before="0" w:after="200" w:lineRule="auto" w:line="276"/>
      </w:pPr>
      <w:r>
        <w:rPr>
          <w:b/>
        </w:rPr>
        <w:t xml:space="preserve">Abstract (EN): </w:t>
      </w:r>
      <w:r>
        <w:t>Sorption‐based atmospheric water harvesting (AWH) offers a decentralized strategy to alleviate global water scarcity. However, the trade‐off between high salt loading and structural stability in AWH sorbent materials remains a critical bottleneck. Here, we report a hierarchical composite gel (D‐HKPB@LiCl) that addresses the persistent salt‐leakage challenge while enhancing solar‐thermal efficiency. By integrating sulfated κ‐carrageenan (KC) into a thermoresponsive hydroxypropyl cellulose (HPC) matrix, strong coordination between sulfate groups and lithium ions chemically anchors the hygroscopic salts within the polymer network, endowing the system with exceptional cycling stability. To overcome kinetic limitations, directional freezing vertically aligns polydopamine‐coated hydroxylated boron nitride (PDA@BNO) whiskers, creating anisotropic thermal pathways with through‐plane conductivity of 0.49 W m</w:t>
      </w:r>
      <w:r>
        <w:t xml:space="preserve"> </w:t>
      </w:r>
      <w:r>
        <w:t>−1</w:t>
      </w:r>
      <w:r>
        <w:t xml:space="preserve"> </w:t>
      </w:r>
      <w:r>
        <w:t>K</w:t>
      </w:r>
      <w:r>
        <w:t xml:space="preserve"> </w:t>
      </w:r>
      <w:r>
        <w:t>−1</w:t>
      </w:r>
      <w:r>
        <w:t xml:space="preserve"> </w:t>
      </w:r>
      <w:r>
        <w:t>along the ice‐growth direction. This architecture, coupled with the photothermally triggered hydrophobic phase transition of HPC, enables a maximum desorption rate of 3.1 kg m</w:t>
      </w:r>
      <w:r>
        <w:t xml:space="preserve"> </w:t>
      </w:r>
      <w:r>
        <w:t>−2</w:t>
      </w:r>
      <w:r>
        <w:t xml:space="preserve"> </w:t>
      </w:r>
      <w:r>
        <w:t>h</w:t>
      </w:r>
      <w:r>
        <w:t xml:space="preserve"> </w:t>
      </w:r>
      <w:r>
        <w:t>−1</w:t>
      </w:r>
      <w:r>
        <w:t xml:space="preserve"> </w:t>
      </w:r>
      <w:r>
        <w:t>under one Sun illumination. The D‐HKPB@LiCl gel exhibits a water uptake of 0.91–4.32 g g</w:t>
      </w:r>
      <w:r>
        <w:t xml:space="preserve"> </w:t>
      </w:r>
      <w:r>
        <w:t>−1</w:t>
      </w:r>
      <w:r>
        <w:t xml:space="preserve"> </w:t>
      </w:r>
      <w:r>
        <w:t>across 30%–90% RH. Outdoor field validation in Lanzhou, China, under challenging winter conditions (average 4.3 °C, &amp;lt;0.5 Sun) using a customized active condensation harvester yields a freshwater output of 0.78 g g</w:t>
      </w:r>
      <w:r>
        <w:t xml:space="preserve"> </w:t>
      </w:r>
      <w:r>
        <w:t>−1</w:t>
      </w:r>
      <w:r>
        <w:t xml:space="preserve"> </w:t>
      </w:r>
      <w:r>
        <w:t>, establishing a reliable design framework for high‐performance freshwater generation across diverse climatic conditions.</w:t>
      </w:r>
    </w:p>
    <w:p>
      <w:pPr>
        <w:spacing w:before="120" w:after="120"/>
      </w:pPr>
      <w:r>
        <w:rPr>
          <w:sz w:val="18"/>
        </w:rPr>
        <w:t>——————————————————————————————————————————————————————————————————————</w:t>
      </w:r>
    </w:p>
    <w:p>
      <w:pPr>
        <w:spacing w:before="160" w:after="40" w:line="240" w:lineRule="auto"/>
      </w:pPr>
      <w:r>
        <w:rPr>
          <w:b/>
        </w:rPr>
        <w:t xml:space="preserve">[154] </w:t>
      </w:r>
      <w:hyperlink r:id="rId792">
        <w:r>
          <w:rPr>
            <w:color w:val="1155CC"/>
            <w:u w:val="single"/>
          </w:rPr>
          <w:t>神经网络支持实时等离子体成像，用于超快激光微/纳米结构逆向设计制造（Adv. Mater. 47/2026）</w:t>
        </w:r>
      </w:hyperlink>
    </w:p>
    <w:p>
      <w:pPr>
        <w:spacing w:before="0" w:after="80"/>
      </w:pPr>
      <w:r>
        <w:rPr>
          <w:i/>
          <w:sz w:val="20"/>
        </w:rPr>
        <w:t>EN: Neural Network Enabled Real‐Time Plasma Imaging for Inverse Designed Fabrication of Micro/Nano Structures with Ultrafast Laser (Adv. Mater. 47/2026)</w:t>
      </w:r>
    </w:p>
    <w:p>
      <w:pPr>
        <w:spacing w:before="0" w:after="120"/>
      </w:pPr>
      <w:r>
        <w:rPr>
          <w:b/>
        </w:rPr>
        <w:t xml:space="preserve">Source: </w:t>
      </w:r>
      <w:r>
        <w:t>Wiley: Advanced Materials: Table of Contents</w:t>
      </w:r>
      <w:r>
        <w:t xml:space="preserve">    </w:t>
      </w:r>
      <w:r>
        <w:rPr>
          <w:b/>
        </w:rPr>
        <w:t xml:space="preserve">Pub date: </w:t>
      </w:r>
      <w:r>
        <w:t>2026-08-21 14:11:32+00:00</w:t>
      </w:r>
      <w:r>
        <w:t xml:space="preserve">    </w:t>
      </w:r>
      <w:r>
        <w:rPr>
          <w:b/>
        </w:rPr>
        <w:t xml:space="preserve">DOI: </w:t>
      </w:r>
      <w:hyperlink r:id="rId793">
        <w:r>
          <w:rPr>
            <w:color w:val="1155CC"/>
            <w:u w:val="single"/>
          </w:rPr>
          <w:t>10.1002/adma.74650</w:t>
        </w:r>
      </w:hyperlink>
    </w:p>
    <w:p>
      <w:pPr>
        <w:spacing w:before="0" w:after="120"/>
      </w:pPr>
      <w:r>
        <w:rPr>
          <w:b/>
        </w:rPr>
        <w:t xml:space="preserve">Notes: </w:t>
      </w:r>
      <w:r>
        <w:t>abstract_source=openalex</w:t>
      </w:r>
    </w:p>
    <w:p>
      <w:pPr>
        <w:spacing w:before="0" w:after="80" w:lineRule="auto" w:line="276"/>
      </w:pPr>
      <w:r>
        <w:rPr>
          <w:b/>
        </w:rPr>
        <w:t xml:space="preserve">摘要（ZH）: </w:t>
      </w:r>
      <w:r>
        <w:t>神经网络支持的实时等离子体成像在他们的研究文章（DOI：10.1002/adma.73601）中，Jianfeng Yan 和同事提出了一种神经网络支持的实时等离子体成像策略和逆向设计微/纳米制造方法。神经网络包含用于实时成像的条件生成对抗网络（cGAN）和用于逆向设计制造的多层感知器（MLP）。这项工作提供了一种支持神经网络的实时过程监控策略，推动了智能激光制造的发展。</w:t>
      </w:r>
    </w:p>
    <w:p>
      <w:pPr>
        <w:spacing w:before="0" w:after="200" w:lineRule="auto" w:line="276"/>
      </w:pPr>
      <w:r>
        <w:rPr>
          <w:b/>
        </w:rPr>
        <w:t xml:space="preserve">Abstract (EN): </w:t>
      </w:r>
      <w:r>
        <w:t>Neural Network Enabled Real-Time Plasma Imaging In their Research Article (DOI: 10.1002/adma.73601), Jianfeng Yan and co-workers propose a neural network enabled real-time plasma imaging strategy and inverse design micro/nano fabrication method. The neural networks contain a conditional generative adversarial network (cGAN) for real-time imaging and a multilayer perceptron (MLP) for inverse-designed fabrication. This work provides a neural network enabled strategy for real-time process monitoring, advancing the development of intelligent laser fabrication.</w:t>
      </w:r>
    </w:p>
    <w:p>
      <w:pPr>
        <w:spacing w:before="120" w:after="120"/>
      </w:pPr>
      <w:r>
        <w:rPr>
          <w:sz w:val="18"/>
        </w:rPr>
        <w:t>——————————————————————————————————————————————————————————————————————</w:t>
      </w:r>
    </w:p>
    <w:p>
      <w:pPr>
        <w:spacing w:before="160" w:after="40" w:line="240" w:lineRule="auto"/>
      </w:pPr>
      <w:r>
        <w:rPr>
          <w:b/>
        </w:rPr>
        <w:t xml:space="preserve">[155] </w:t>
      </w:r>
      <w:hyperlink r:id="rId794">
        <w:r>
          <w:rPr>
            <w:color w:val="1155CC"/>
            <w:u w:val="single"/>
          </w:rPr>
          <w:t>气泡形成控制：通过过氧化氢酶涂层释氧水凝胶制造厘米大小的组织状结构（Adv. Mater. 47/2026）</w:t>
        </w:r>
      </w:hyperlink>
    </w:p>
    <w:p>
      <w:pPr>
        <w:spacing w:before="0" w:after="80"/>
      </w:pPr>
      <w:r>
        <w:rPr>
          <w:i/>
          <w:sz w:val="20"/>
        </w:rPr>
        <w:t>EN: Bubble Formation Control: Fabrication of Centimeter‐Sized Tissue‐Like Constructs by Catalase‐Coated Oxygen‐Releasing Hydrogel (Adv. Mater. 47/2026)</w:t>
      </w:r>
    </w:p>
    <w:p>
      <w:pPr>
        <w:spacing w:before="0" w:after="120"/>
      </w:pPr>
      <w:r>
        <w:rPr>
          <w:b/>
        </w:rPr>
        <w:t xml:space="preserve">Source: </w:t>
      </w:r>
      <w:r>
        <w:t>Wiley: Advanced Materials: Table of Contents</w:t>
      </w:r>
      <w:r>
        <w:t xml:space="preserve">    </w:t>
      </w:r>
      <w:r>
        <w:rPr>
          <w:b/>
        </w:rPr>
        <w:t xml:space="preserve">Pub date: </w:t>
      </w:r>
      <w:r>
        <w:t>2026-08-21 14:11:32+00:00</w:t>
      </w:r>
      <w:r>
        <w:t xml:space="preserve">    </w:t>
      </w:r>
      <w:r>
        <w:rPr>
          <w:b/>
        </w:rPr>
        <w:t xml:space="preserve">DOI: </w:t>
      </w:r>
      <w:hyperlink r:id="rId795">
        <w:r>
          <w:rPr>
            <w:color w:val="1155CC"/>
            <w:u w:val="single"/>
          </w:rPr>
          <w:t>10.1002/adma.74649</w:t>
        </w:r>
      </w:hyperlink>
    </w:p>
    <w:p>
      <w:pPr>
        <w:spacing w:before="0" w:after="120"/>
      </w:pPr>
      <w:r>
        <w:rPr>
          <w:b/>
        </w:rPr>
        <w:t xml:space="preserve">Notes: </w:t>
      </w:r>
      <w:r>
        <w:t>abstract_source=openalex</w:t>
      </w:r>
    </w:p>
    <w:p>
      <w:pPr>
        <w:spacing w:before="0" w:after="80" w:lineRule="auto" w:line="276"/>
      </w:pPr>
      <w:r>
        <w:rPr>
          <w:b/>
        </w:rPr>
        <w:t xml:space="preserve">摘要（ZH）: </w:t>
      </w:r>
      <w:r>
        <w:t>过氧化氢酶涂覆的释氧水凝胶 选择性聚（γ-谷氨酸）介导的与 CaO2 纳米颗粒的相互作用能够形成释氧水凝胶。过氧化氢酶纳米涂层在水凝胶表面将 H2O2 转化为 O2 和 H2O，最大限度地减少内部气泡的形成，为厚组织工程创造一个支持氧气的微环境。更多详细信息，请参阅 Sukulya Bunuasunthon、Isabel F. Amaral、Ana P. Pêgo 和 Michiya Matsusaki 撰写的研究文章（DOI：10.1002/adma.202523593）。</w:t>
      </w:r>
    </w:p>
    <w:p>
      <w:pPr>
        <w:spacing w:before="0" w:after="200" w:lineRule="auto" w:line="276"/>
      </w:pPr>
      <w:r>
        <w:rPr>
          <w:b/>
        </w:rPr>
        <w:t xml:space="preserve">Abstract (EN): </w:t>
      </w:r>
      <w:r>
        <w:t>Catalase-Coated Oxygen-Releasing Hydrogel Selective poly(γ-glutamic acid)-mediated interaction with CaO2 nanoparticles enables the formation of an oxygen-releasing hydrogel. A catalase nanocoating converts H2O2 into O2 and H2O at the hydrogel surface, minimizing internal bubble formation creating an oxygen-supportive microenvironment for thick tissue engineering. More details can be found in the Research Article by Sukulya Bunuasunthon, Isabel F. Amaral, Ana P. Pêgo, and Michiya Matsusaki (DOI: 10.1002/adma.202523593).</w:t>
      </w:r>
    </w:p>
    <w:p>
      <w:pPr>
        <w:spacing w:before="120" w:after="120"/>
      </w:pPr>
      <w:r>
        <w:rPr>
          <w:sz w:val="18"/>
        </w:rPr>
        <w:t>——————————————————————————————————————————————————————————————————————</w:t>
      </w:r>
    </w:p>
    <w:p>
      <w:pPr>
        <w:spacing w:before="160" w:after="40" w:line="240" w:lineRule="auto"/>
      </w:pPr>
      <w:r>
        <w:rPr>
          <w:b/>
        </w:rPr>
        <w:t xml:space="preserve">[156] </w:t>
      </w:r>
      <w:hyperlink r:id="rId796">
        <w:r>
          <w:rPr>
            <w:color w:val="1155CC"/>
            <w:u w:val="single"/>
          </w:rPr>
          <w:t>有序聚合物纳米结构的增材制造（Adv. Mater. 47/2026）</w:t>
        </w:r>
      </w:hyperlink>
    </w:p>
    <w:p>
      <w:pPr>
        <w:spacing w:before="0" w:after="80"/>
      </w:pPr>
      <w:r>
        <w:rPr>
          <w:i/>
          <w:sz w:val="20"/>
        </w:rPr>
        <w:t>EN: Additive Manufacturing of Ordered Polymer Nanostructures (Adv. Mater. 47/2026)</w:t>
      </w:r>
    </w:p>
    <w:p>
      <w:pPr>
        <w:spacing w:before="0" w:after="120"/>
      </w:pPr>
      <w:r>
        <w:rPr>
          <w:b/>
        </w:rPr>
        <w:t xml:space="preserve">Source: </w:t>
      </w:r>
      <w:r>
        <w:t>Wiley: Advanced Materials: Table of Contents</w:t>
      </w:r>
      <w:r>
        <w:t xml:space="preserve">    </w:t>
      </w:r>
      <w:r>
        <w:rPr>
          <w:b/>
        </w:rPr>
        <w:t xml:space="preserve">Pub date: </w:t>
      </w:r>
      <w:r>
        <w:t>2026-08-21 14:11:32+00:00</w:t>
      </w:r>
      <w:r>
        <w:t xml:space="preserve">    </w:t>
      </w:r>
      <w:r>
        <w:rPr>
          <w:b/>
        </w:rPr>
        <w:t xml:space="preserve">DOI: </w:t>
      </w:r>
      <w:hyperlink r:id="rId797">
        <w:r>
          <w:rPr>
            <w:color w:val="1155CC"/>
            <w:u w:val="single"/>
          </w:rPr>
          <w:t>10.1002/adma.74648</w:t>
        </w:r>
      </w:hyperlink>
    </w:p>
    <w:p>
      <w:pPr>
        <w:spacing w:before="0" w:after="120"/>
      </w:pPr>
      <w:r>
        <w:rPr>
          <w:b/>
        </w:rPr>
        <w:t xml:space="preserve">Notes: </w:t>
      </w:r>
      <w:r>
        <w:t>abstract_source=openalex</w:t>
      </w:r>
    </w:p>
    <w:p>
      <w:pPr>
        <w:spacing w:before="0" w:after="80" w:lineRule="auto" w:line="276"/>
      </w:pPr>
      <w:r>
        <w:rPr>
          <w:b/>
        </w:rPr>
        <w:t xml:space="preserve">摘要（ZH）: </w:t>
      </w:r>
      <w:r>
        <w:t>有序聚合物纳米结构的增材制造一种新的 3D 打印策略，即具有有序可调性的聚合诱导纳米结构排列 (PIANO)，能够在聚合物材料中形成有序纳米结构。通过增强光聚合期间的链迁移率，PIANO 克服了通常会导致传统聚合诱导微相分离 (PIMS) 3D 打印系统中无序形态的动力学停滞。更多详细信息，请参阅 Cyrille Boyer 及其同事的研究文章 (DOI: 10.1002/adma.73395)。</w:t>
      </w:r>
    </w:p>
    <w:p>
      <w:pPr>
        <w:spacing w:before="0" w:after="200" w:lineRule="auto" w:line="276"/>
      </w:pPr>
      <w:r>
        <w:rPr>
          <w:b/>
        </w:rPr>
        <w:t xml:space="preserve">Abstract (EN): </w:t>
      </w:r>
      <w:r>
        <w:t>Additive Manufacturing of Ordered Polymer Nanostructures A new 3D printing strategy, polymerization-induced arrangement of nanostructures with order-tunability (PIANO), enables the formation of ordered nanostructures in polymer materials. By enhancing chain mobility during photopolymerization, PIANO overcomes the kinetic arrest that typically leads to disordered morphologies in conventional polymerization-induced microphase separation (PIMS) 3D printing systems. More details can be found in the Research Article by Cyrille Boyer and co-workers (DOI: 10.1002/adma.73395).</w:t>
      </w:r>
    </w:p>
    <w:p>
      <w:pPr>
        <w:spacing w:before="120" w:after="120"/>
      </w:pPr>
      <w:r>
        <w:rPr>
          <w:sz w:val="18"/>
        </w:rPr>
        <w:t>——————————————————————————————————————————————————————————————————————</w:t>
      </w:r>
    </w:p>
    <w:p>
      <w:pPr>
        <w:spacing w:before="160" w:after="40" w:line="240" w:lineRule="auto"/>
      </w:pPr>
      <w:r>
        <w:rPr>
          <w:b/>
        </w:rPr>
        <w:t xml:space="preserve">[157] </w:t>
      </w:r>
      <w:hyperlink r:id="rId798">
        <w:r>
          <w:rPr>
            <w:color w:val="1155CC"/>
            <w:u w:val="single"/>
          </w:rPr>
          <w:t>使用双发射纳米传感器对活植物进行比例式霉菌毒素检测（Adv. Mater. 47/2026）</w:t>
        </w:r>
      </w:hyperlink>
    </w:p>
    <w:p>
      <w:pPr>
        <w:spacing w:before="0" w:after="80"/>
      </w:pPr>
      <w:r>
        <w:rPr>
          <w:i/>
          <w:sz w:val="20"/>
        </w:rPr>
        <w:t>EN: Ratiometric Mycotoxin Detection in Living Plants With Dual‐Emissive Nanosensors (Adv. Mater. 47/2026)</w:t>
      </w:r>
    </w:p>
    <w:p>
      <w:pPr>
        <w:spacing w:before="0" w:after="120"/>
      </w:pPr>
      <w:r>
        <w:rPr>
          <w:b/>
        </w:rPr>
        <w:t xml:space="preserve">Source: </w:t>
      </w:r>
      <w:r>
        <w:t>Wiley: Advanced Materials: Table of Contents</w:t>
      </w:r>
      <w:r>
        <w:t xml:space="preserve">    </w:t>
      </w:r>
      <w:r>
        <w:rPr>
          <w:b/>
        </w:rPr>
        <w:t xml:space="preserve">Pub date: </w:t>
      </w:r>
      <w:r>
        <w:t>2026-08-21 14:11:32+00:00</w:t>
      </w:r>
      <w:r>
        <w:t xml:space="preserve">    </w:t>
      </w:r>
      <w:r>
        <w:rPr>
          <w:b/>
        </w:rPr>
        <w:t xml:space="preserve">DOI: </w:t>
      </w:r>
      <w:hyperlink r:id="rId799">
        <w:r>
          <w:rPr>
            <w:color w:val="1155CC"/>
            <w:u w:val="single"/>
          </w:rPr>
          <w:t>10.1002/adma.74647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800">
        <w:r>
          <w:rPr>
            <w:color w:val="1155CC"/>
            <w:u w:val="single"/>
          </w:rPr>
          <w:t>软微凝胶网络稳定并延长无喷嘴水射流</w:t>
        </w:r>
      </w:hyperlink>
    </w:p>
    <w:p>
      <w:pPr>
        <w:spacing w:before="0" w:after="80"/>
      </w:pPr>
      <w:r>
        <w:rPr>
          <w:i/>
          <w:sz w:val="20"/>
        </w:rPr>
        <w:t>EN: Soft microgel networks stabilize and extend nozzle-free water jets</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高速液体射流的稳定性对于从精密打印到无针药物输送等应用至关重要，但它从根本上受到毛细管驱动分解的限制。我们发现，调整聚（N-异丙基丙烯酰胺）（PNIPAM）微凝胶的纳米级柔软度提供了一种稳健的生物相容性策略来克服这一限制。柔软、低交联剂密度的微凝胶在空气-水界面形成弹性界面网络，抑制表面张力恢复，延迟瑞利-普拉托不稳定性，并将表面声波 (SAW) 驱动的射流长度延长高达 44%。相反，较硬的微凝胶在应变下会失去网络内聚力，导致射流快速破裂。为了获得分子水平的见解，我们进行了耗散粒子动力学模拟，结果表明软微凝胶中的聚合物桥在伸长过程中保持缠结，从而保持有效表面张力的降低。最后，通过简单的缩放分析，平衡赋予液滴的 SAW 驱动动能与形成射流所需的表面能，定量预测观察到的长度增加。</w:t>
      </w:r>
    </w:p>
    <w:p>
      <w:pPr>
        <w:spacing w:before="0" w:after="200" w:lineRule="auto" w:line="276"/>
      </w:pPr>
      <w:r>
        <w:rPr>
          <w:b/>
        </w:rPr>
        <w:t xml:space="preserve">Abstract (EN): </w:t>
      </w:r>
      <w:r>
        <w:t>The stability of high-speed liquid jets is crucial for applications ranging from precision printing to needle-free drug delivery, yet it is fundamentally limited by capillary-driven breakup. We find that tuning the nanoscale softness of Poly(N-Isopropylacrylamide) (PNIPAM) microgels provides a robust, biocompatible strategy to overcome this limitation. Soft, low-cross-linker-density microgels form elastic interfacial networks at the air–water interface that suppress surface tension recovery, delay Rayleigh–Plateau instabilities, and extend Surface Acoustic Wave (SAW)-driven jet lengths by up to 44%. In contrast, stiffer microgels lose network cohesion under strain, leading to rapid jet breakup. To gain molecular-level insights, we perform dissipative particle dynamics simulations, which reveal that polymer bridges in soft microgels remain entangled during elongation, maintaining a reduced effective surface tension. Finally, a simple scaling analysis, balancing the SAW-driven kinetic energy imparted to the droplet against the surface energy required to form a jet, quantitatively predicts the observed length enhancement.</w:t>
      </w:r>
    </w:p>
    <w:p>
      <w:pPr>
        <w:spacing w:before="120" w:after="120"/>
      </w:pPr>
      <w:r>
        <w:rPr>
          <w:sz w:val="18"/>
        </w:rPr>
        <w:t>——————————————————————————————————————————————————————————————————————</w:t>
      </w:r>
    </w:p>
    <w:p>
      <w:pPr>
        <w:spacing w:before="160" w:after="40" w:line="240" w:lineRule="auto"/>
      </w:pPr>
      <w:r>
        <w:rPr>
          <w:b/>
        </w:rPr>
        <w:t xml:space="preserve">[159] </w:t>
      </w:r>
      <w:hyperlink r:id="rId801">
        <w:r>
          <w:rPr>
            <w:color w:val="1155CC"/>
            <w:u w:val="single"/>
          </w:rPr>
          <w:t>基于 CRISPR 的“溃坝排水”传感架构，可实现快速、经济且超灵敏的病原体检测</w:t>
        </w:r>
      </w:hyperlink>
    </w:p>
    <w:p>
      <w:pPr>
        <w:spacing w:before="0" w:after="80"/>
      </w:pPr>
      <w:r>
        <w:rPr>
          <w:i/>
          <w:sz w:val="20"/>
        </w:rPr>
        <w:t>EN: A CRISPR-based ‘dam-break drainage’ sensing architecture for rapid, affordable and ultrasensitive pathogen detection</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核酸检测对于传染病诊断很重要，但将高灵敏度与易于检测相结合仍然具有挑战性。在这里，我们展示了一种基于芯片的视觉检测策略，用于检测一个或两个病毒 RNA 靶标，仅涉及样本加载，无需进一步的仪器或手动驱动。靶标激活的 CRISPR-Cas13a 改变分子屏障的润湿性，导致液体跨越预设阈值并产生溃坝排水信号。该芯片可在 2 分钟内检测到上午 10 点的单个目标，并在 5 分钟内检测到上午 100 点的两个目标，每次测试的成本分别为 0.20 美元和 0.30 美元。我们进一步建立了一个实用的临床样本工作流程，将室温裂解与 RNase 抑制相结合，并在 40 个鼻拭子样本中验证了该平台，测试了 SARS-CoV-2、甲型流感病毒和乙型流感病毒，结果与 RT-PCR 一致。这种基于阈值的流体策略提供了一条在集中实验室之外进行快速、低成本和无仪器分子测试的途径。</w:t>
      </w:r>
    </w:p>
    <w:p>
      <w:pPr>
        <w:spacing w:before="0" w:after="200" w:lineRule="auto" w:line="276"/>
      </w:pPr>
      <w:r>
        <w:rPr>
          <w:b/>
        </w:rPr>
        <w:t xml:space="preserve">Abstract (EN): </w:t>
      </w:r>
      <w:r>
        <w:t>Nucleic acid testing is important for infectious-disease diagnosis, but combining high sensitivity with accessible testing remains challenging. Here we show a chip-based visual detection strategy for one or two viral RNA targets that involves only sample loading, without further instrumentation or manual actuation. Target-activated CRISPR-Cas13a alters the wettability of a molecular barrier, causing liquid to cross a preset threshold and generate a dam-break drainage signal. The chip detects a single target at 10 aM within 2 min and two targets at 100 aM within 5 min, with costs of $0.20 and $0.30 per test, respectively. We further establish a practical clinical-sample workflow combining room-temperature lysis with RNase inhibition and validate the platform across 40 nasal-swab samples tested for SARS-CoV-2, influenza A virus and influenza B virus, with results concordant with RT–PCR. This threshold-based fluidic strategy provides a route towards rapid, low-cost and instrument-free molecular testing outside centralized laboratories.</w:t>
      </w:r>
    </w:p>
    <w:p>
      <w:pPr>
        <w:spacing w:before="120" w:after="120"/>
      </w:pPr>
      <w:r>
        <w:rPr>
          <w:sz w:val="18"/>
        </w:rPr>
        <w:t>——————————————————————————————————————————————————————————————————————</w:t>
      </w:r>
    </w:p>
    <w:p>
      <w:pPr>
        <w:spacing w:before="160" w:after="40" w:line="240" w:lineRule="auto"/>
      </w:pPr>
      <w:r>
        <w:rPr>
          <w:b/>
        </w:rPr>
        <w:t xml:space="preserve">[160] </w:t>
      </w:r>
      <w:hyperlink r:id="rId802">
        <w:r>
          <w:rPr>
            <w:color w:val="1155CC"/>
            <w:u w:val="single"/>
          </w:rPr>
          <w:t>基于电中性自组装肽的无毒 mRNA 载体</w:t>
        </w:r>
      </w:hyperlink>
    </w:p>
    <w:p>
      <w:pPr>
        <w:spacing w:before="0" w:after="80"/>
      </w:pPr>
      <w:r>
        <w:rPr>
          <w:i/>
          <w:sz w:val="20"/>
        </w:rPr>
        <w:t>EN: Nontoxic mRNA vehicles based on electrically neutral self-assembling peptides</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非病毒基因传递载体中常用的阳离子分子和低分子量两亲物通常会引起不利的非特异性效应，特别是细胞毒性和类似去污剂的不利膜活性。为了解决这些限制，我们在此报告了一种基于电中性自组装肽（ENSP）的无毒 mRNA 缩合剂的开发。在协同氢键和疏水相互作用的驱动下，ENSP 与 mRNA 共同组装成离散的纳米管状复合物。与传统的递送载体不同，基于 ENSP 的 mRNA 载体对哺乳动物细胞几乎无毒，并且在体外和体内对红细胞表现出可忽略不计的去污剂样膜活性。与目前的标准方法相比，电中性、基于肽的 mRNA 缩合剂的毒性较低，代表了一种潜在的更安全的递送选择。</w:t>
      </w:r>
    </w:p>
    <w:p>
      <w:pPr>
        <w:spacing w:before="0" w:after="200" w:lineRule="auto" w:line="276"/>
      </w:pPr>
      <w:r>
        <w:rPr>
          <w:b/>
        </w:rPr>
        <w:t xml:space="preserve">Abstract (EN): </w:t>
      </w:r>
      <w:r>
        <w:t>The cationic molecules and low-molecular-weight amphiphiles commonly used in nonviral gene delivery vehicles often induce adverse nonspecific effects, notably cytotoxicity and detergent-like unfavourable membrane activity. To address these limitations, here we report the development of a nontoxic mRNA-condensing agent based on electrically neutral self-assembling peptides (ENSPs). Driven by cooperative hydrogen bonding and hydrophobic interactions, ENSPs coassemble with mRNA into discrete nanotube-shaped complexes. ENSP-based mRNA vehicles are almost nontoxic to mammalian cells and exhibit negligible detergent-like membrane activity toward red blood cells both in vitro and in vivo, unlike conventional delivery vehicles. The lower toxicity of the electrically neutral, peptide-based mRNA-condensing agents represents a potentially safer delivery option compared to current standard methods.</w:t>
      </w:r>
    </w:p>
    <w:p>
      <w:pPr>
        <w:spacing w:before="120" w:after="120"/>
      </w:pPr>
      <w:r>
        <w:rPr>
          <w:sz w:val="18"/>
        </w:rPr>
        <w:t>——————————————————————————————————————————————————————————————————————</w:t>
      </w:r>
    </w:p>
    <w:p>
      <w:pPr>
        <w:spacing w:before="160" w:after="40" w:line="240" w:lineRule="auto"/>
      </w:pPr>
      <w:r>
        <w:rPr>
          <w:b/>
        </w:rPr>
        <w:t xml:space="preserve">[161] </w:t>
      </w:r>
      <w:hyperlink r:id="rId803">
        <w:r>
          <w:rPr>
            <w:color w:val="1155CC"/>
            <w:u w:val="single"/>
          </w:rPr>
          <w:t>组合神经符号表示可实现有效的主动探索</w:t>
        </w:r>
      </w:hyperlink>
    </w:p>
    <w:p>
      <w:pPr>
        <w:spacing w:before="0" w:after="80"/>
      </w:pPr>
      <w:r>
        <w:rPr>
          <w:i/>
          <w:sz w:val="20"/>
        </w:rPr>
        <w:t>EN: Compositional neurosymbolic representations enable efficient active exploration</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长期学习和探索的自主系统面临着一个问题。标准方法在观察数量 n 方面扩展性较差，无法在有限的硬件上持续运行。我们证明，受神经计算启发的组合高维向量表示可以解决这些限制。我们使用这些表示来构建贝叶斯优化 (BO) 算法，该算法在复杂的空间中运行，并且与各种任务上最先进的 BO 算法相比，减少了时间和内存需求。标准方法会产生 O(n3) 时间和 O(n2) 内存复杂度，而我们的方法在嵌入维度上保持 O(d2)，并且在算法的生命周期内保持不变。我们的算法将计算时间减少了 60-200 倍，且精度没有损失。在神经形态硬件上的实现可将每个样本的能耗降低 30–188 × 。这些效率源于将样本选择转化为紧凑域上的连续优化，可通过梯度方法或神经动力学实现，从而实现长期、资源受限的自主探索。</w:t>
      </w:r>
    </w:p>
    <w:p>
      <w:pPr>
        <w:spacing w:before="0" w:after="200" w:lineRule="auto" w:line="276"/>
      </w:pPr>
      <w:r>
        <w:rPr>
          <w:b/>
        </w:rPr>
        <w:t xml:space="preserve">Abstract (EN): </w:t>
      </w:r>
      <w:r>
        <w:t>Autonomous systems that learn and explore over long horizons face a problem. Standard methods scale poorly in the number of observations, n, precluding sustained operation on bounded hardware. We show that compositional, high-dimensional vector representations inspired by neural computation address these constraints. We use these representations to construct a Bayesian optimization (BO) algorithm that operates in complex spaces and reduces the time and memory requirements compared to state-of-the-art BO algorithms on diverse tasks. Whereas standard methods incur O(n3) time and O(n2) memory complexity, our approach holds both at O(d2) in the embedding dimension, which remains constant over the algorithm’s lifetime. Our algorithm reduces compute time by 60–200 × without loss in accuracy. Implementation on neuromorphic hardware reduces energy consumption per sample by 30–188 × . These efficiencies stem from converting sample selection into continuous optimization on a compact domain, implementable by gradient methods or neural dynamics, enabling long-term, resource-bound, autonomous exploration.</w:t>
      </w:r>
    </w:p>
    <w:p>
      <w:pPr>
        <w:spacing w:before="120" w:after="120"/>
      </w:pPr>
      <w:r>
        <w:rPr>
          <w:sz w:val="18"/>
        </w:rPr>
        <w:t>——————————————————————————————————————————————————————————————————————</w:t>
      </w:r>
    </w:p>
    <w:p>
      <w:pPr>
        <w:spacing w:before="160" w:after="40" w:line="240" w:lineRule="auto"/>
      </w:pPr>
      <w:r>
        <w:rPr>
          <w:b/>
        </w:rPr>
        <w:t xml:space="preserve">[162] </w:t>
      </w:r>
      <w:hyperlink r:id="rId804">
        <w:r>
          <w:rPr>
            <w:color w:val="1155CC"/>
            <w:u w:val="single"/>
          </w:rPr>
          <w:t>在光系统 II 的 S3 态形成过程中，额外的水被引入锰簇中</w:t>
        </w:r>
      </w:hyperlink>
    </w:p>
    <w:p>
      <w:pPr>
        <w:spacing w:before="0" w:after="80"/>
      </w:pPr>
      <w:r>
        <w:rPr>
          <w:i/>
          <w:sz w:val="20"/>
        </w:rPr>
        <w:t>EN: An additional water is introduced into the manganese cluster during the formation of the S3 state of photosystem II</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在光合水氧化过程中，光系统 II 中的 Mn4Ca 簇经历五个中间 Si (i = 0–4) 状态。 X 射线晶体学研究报告了在 S3 态形成过程中插入了一种新的 O 配体，但最近的研究基于冷冻电镜和早期的室温晶体学数据质疑这种额外配体的存在。关于 O-O 键相互作用是否已经发生在 S3 态或随后的 S3 到 S0 转变中也存在争议。在这里，我们报告了 S1、S2 和 S3 态的传统高分辨率数据，分辨率约为 1.9 Å，以及两种能量（9.5 keV 和 7 keV）的异常衍射数据，用于模拟 Mn 位置，然后使用高分辨率图确定氧位置。我们发现，处于 S3 状态的新氧原子 OX（或 O6）可以观察到是一个不受任何限制的明显峰，证实了它与 Mn1 和 Ca 的连接。 OX-O5 距离约为 2.1 Å，表明在 S3 状态下它们之间没有强相互作用，表明如果这是 O-O 键形成位点，那么它是在簇的最终氧化引发的 S3 到 S0 转变过程中形成的。</w:t>
      </w:r>
    </w:p>
    <w:p>
      <w:pPr>
        <w:spacing w:before="0" w:after="200" w:lineRule="auto" w:line="276"/>
      </w:pPr>
      <w:r>
        <w:rPr>
          <w:b/>
        </w:rPr>
        <w:t xml:space="preserve">Abstract (EN): </w:t>
      </w:r>
      <w:r>
        <w:t>During photosynthetic water oxidation, the Mn4Ca cluster in Photosystem II progresses through five intermediate Si (i = 0–4) states. X-ray crystallography studies have reported the insertion of one new O ligand during the formation of the S3 state, but recent studies question the presence of this additional ligand based on cryo-EM and earlier room-temperature crystallography data. There is also controversy about whether the O-O bond interaction already occurs in the S3 state or in the subsequent S3 to S0 transition. Here we report conventional high-resolution data for the S1, S2, and S3 states to a resolution of ~1.9 Å, and anomalous diffraction data at two energies (9.5 keV and 7 keV), that was used to model the Mn positions, followed by determination of oxygen positions using the high-resolution maps. We show that the new oxygen atom, OX (or O6), in the S3 state is observable as a distinct peak without any restraints, confirming its ligation to Mn1 and Ca. The OX-O5 distance is ~2.1 Å, supporting no strong interaction between them in the S3 state, suggesting that if this is the O-O bond formation site, it is formed during the S3 to S0 transition initiated by the final oxidation of the cluster.</w:t>
      </w:r>
    </w:p>
    <w:p>
      <w:pPr>
        <w:spacing w:before="120" w:after="120"/>
      </w:pPr>
      <w:r>
        <w:rPr>
          <w:sz w:val="18"/>
        </w:rPr>
        <w:t>——————————————————————————————————————————————————————————————————————</w:t>
      </w:r>
    </w:p>
    <w:p>
      <w:pPr>
        <w:spacing w:before="160" w:after="40" w:line="240" w:lineRule="auto"/>
      </w:pPr>
      <w:r>
        <w:rPr>
          <w:b/>
        </w:rPr>
        <w:t xml:space="preserve">[163] </w:t>
      </w:r>
      <w:hyperlink r:id="rId805">
        <w:r>
          <w:rPr>
            <w:color w:val="1155CC"/>
            <w:u w:val="single"/>
          </w:rPr>
          <w:t>亚马逊流域碳通量和水通量的去关联</w:t>
        </w:r>
      </w:hyperlink>
    </w:p>
    <w:p>
      <w:pPr>
        <w:spacing w:before="0" w:after="80"/>
      </w:pPr>
      <w:r>
        <w:rPr>
          <w:i/>
          <w:sz w:val="20"/>
        </w:rPr>
        <w:t>EN: Decorrelating carbon and water fluxes in the Amazon Basin</w:t>
      </w:r>
    </w:p>
    <w:p>
      <w:pPr>
        <w:spacing w:before="0" w:after="120"/>
      </w:pPr>
      <w:r>
        <w:rPr>
          <w:b/>
        </w:rPr>
        <w:t xml:space="preserve">Source: </w:t>
      </w:r>
      <w:r>
        <w:t>Earth and environmental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假设热带碳通量和水通量紧密耦合——当植物通过气孔将水交换为碳时，表现出很强的正相关性。然而，对亚马逊流域 40 年来基于卫星的初级生产总值 (GPP) 和蒸散量 (ET) 估计的分析表明，这种耦合存在明显的空间和时间差异。在这里，我们表明，流域的 64% 表现出弱正相关 (R&lt;0.3" role="presentation"&gt;R0.3R ) 或负 GPP-ET 相关性，特别是在基线可用水量较高的森林中 (R=−0.03±0.14)" role="presentation"&gt;(R=−0.03±0.14)(R=-0.03\pm 0.14)。弱耦合是由旱季不同的 GPP 和 ET 行为驱动的，这意味着生理和水文驱动因素使水分胁迫有限的森林中的碳和水通量解耦。此外，自 1982 年以来，相关强度有所下降，特别是在完整​​的森林中，同时蒸气压赤字 (VPD) 上升。我们假设 VPD 上升会抑制冠层导度和 GPP，同时增加大气对 ET 的需求。持续的脱钩可能会增加相对于碳增益的水流失，从而削弱亚马逊作为持续碳汇的能力。</w:t>
      </w:r>
    </w:p>
    <w:p>
      <w:pPr>
        <w:spacing w:before="0" w:after="200" w:lineRule="auto" w:line="276"/>
      </w:pPr>
      <w:r>
        <w:rPr>
          <w:b/>
        </w:rPr>
        <w:t xml:space="preserve">Abstract (EN): </w:t>
      </w:r>
      <w:r>
        <w:t>Tropical carbon and water fluxes are assumed tightly coupled - exhibiting strong positive correlations as plants exchange water for carbon through stomata. However, analysis of 40 years of satellite-based estimates of gross primary production (GPP) and evapotranspiration (ET) across the Amazon Basin reveals pronounced spatial and temporal divergence in that coupling. Here we show that 64% of the Basin exhibits weakly positive (R&amp;lt;0.3" role="presentation"&gt;R0.3R ) or negative GPP-ET correlations, particularly in forests with high baseline water availability (R=&amp;#x2212;0.03&amp;#x00B1;0.14)" role="presentation"&gt;(R=−0.03±0.14)(R=-0.03\pm 0.14). Weak coupling is driven by divergent GPP and ET behavior during the dry season, implying physiological and hydrologic drivers decouple carbon and water fluxes in forests where water stress is limited. Moreover, correlation strength has declined since 1982, especially in intact forests, concurrent with rising vapor pressure deficit (VPD). We hypothesize that rising VPD suppresses canopy conductance and GPP, while elevating atmospheric demand for ET. Continued decoupling could increase water loss relative to carbon gain, undermining the Amazon capacity as a sustained carbon sink.</w:t>
      </w:r>
    </w:p>
    <w:p>
      <w:pPr>
        <w:spacing w:before="120" w:after="120"/>
      </w:pPr>
      <w:r>
        <w:rPr>
          <w:sz w:val="18"/>
        </w:rPr>
        <w:t>——————————————————————————————————————————————————————————————————————</w:t>
      </w:r>
    </w:p>
    <w:p>
      <w:pPr>
        <w:spacing w:before="160" w:after="40" w:line="240" w:lineRule="auto"/>
      </w:pPr>
      <w:r>
        <w:rPr>
          <w:b/>
        </w:rPr>
        <w:t xml:space="preserve">[164] </w:t>
      </w:r>
      <w:hyperlink r:id="rId806">
        <w:r>
          <w:rPr>
            <w:color w:val="1155CC"/>
            <w:u w:val="single"/>
          </w:rPr>
          <w:t>用于概率计算的不稳定驱动电流体动力学神经元</w:t>
        </w:r>
      </w:hyperlink>
    </w:p>
    <w:p>
      <w:pPr>
        <w:spacing w:before="0" w:after="80"/>
      </w:pPr>
      <w:r>
        <w:rPr>
          <w:i/>
          <w:sz w:val="20"/>
        </w:rPr>
        <w:t>EN: Instability-driven electrohydrodynamic neurons for probabilistic computing</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流体忆阻器为半导体硬件提供了一种液态替代方案，用于节能神经形态计算。然而，尽管突触可塑性取得了进展，流体平台仍然缺乏阈值激活的泄漏积分激发（LIF）尖峰原语——神经元计算的核心构建模块。在这里，我们介绍了一种基于浮动液桥的电流体动力学神经元，其中电阻切换是由可逆界面不稳定性驱动的，而不是现有器件中的离子迁移或缺陷演化。这种不稳定性驱动的机制实现了 LIF 与明确定义的激活阈值的集成，产生有节奏的尖峰，并表现出兴奋-不应循环。阈值积分尖峰编码通过将噪声模拟信号转换为稀疏尖峰事件，从低信噪比输入中检索图像内容，其内在波动进一步实现了概率计算的随机触发。连同其增强的性能，这些结果将界面流体动力学确立为基于流体的尖峰神经形态硬件的设备物理途径。</w:t>
      </w:r>
    </w:p>
    <w:p>
      <w:pPr>
        <w:spacing w:before="0" w:after="200" w:lineRule="auto" w:line="276"/>
      </w:pPr>
      <w:r>
        <w:rPr>
          <w:b/>
        </w:rPr>
        <w:t xml:space="preserve">Abstract (EN): </w:t>
      </w:r>
      <w:r>
        <w:t>Fluidic memristors provide a liquid-state alternative to semiconductor hardware for energy-efficient neuromorphic computing. Yet, despite progress in synaptic plasticity, fluidic platforms have lacked a threshold-activated leaky integrate-and-fire (LIF) spiking primitive-the core building block of neuronal computation. Here we introduce an electrohydrodynamic neuron based on a floating liquid bridge, where resistance switching is driven by reversible interfacial instability rather than ionic migration or defect evolution in prior devices. This instability-driven mechanism implements LIF integration with a well-defined activation threshold, generates rhythmic spiking, and exhibits an excitation-refractory cycle. The threshold-integration spike encoding retrieves image content from low-signal-to-noise inputs by converting noisy analog signals into sparse spike events, and its intrinsic fluctuations further enable stochastic firing for probabilistic computation. Together with its enhanced performance, these results establish interfacial hydrodynamics as a device-physics route to fluid-based spiking neuromorphic hardware.</w:t>
      </w:r>
    </w:p>
    <w:p>
      <w:pPr>
        <w:spacing w:before="120" w:after="120"/>
      </w:pPr>
      <w:r>
        <w:rPr>
          <w:sz w:val="18"/>
        </w:rPr>
        <w:t>——————————————————————————————————————————————————————————————————————</w:t>
      </w:r>
    </w:p>
    <w:p>
      <w:pPr>
        <w:spacing w:before="160" w:after="40" w:line="240" w:lineRule="auto"/>
      </w:pPr>
      <w:r>
        <w:rPr>
          <w:b/>
        </w:rPr>
        <w:t xml:space="preserve">[165] </w:t>
      </w:r>
      <w:hyperlink r:id="rId807">
        <w:r>
          <w:rPr>
            <w:color w:val="1155CC"/>
            <w:u w:val="single"/>
          </w:rPr>
          <w:t>真实竞价激励和合理消费者支付的混合定价方式</w:t>
        </w:r>
      </w:hyperlink>
    </w:p>
    <w:p>
      <w:pPr>
        <w:spacing w:before="0" w:after="80"/>
      </w:pPr>
      <w:r>
        <w:rPr>
          <w:i/>
          <w:sz w:val="20"/>
        </w:rPr>
        <w:t>EN: Hybrid pricing method with truthful bidding incentives and reasonable consumer payment</w:t>
      </w:r>
    </w:p>
    <w:p>
      <w:pPr>
        <w:spacing w:before="0" w:after="120"/>
      </w:pPr>
      <w:r>
        <w:rPr>
          <w:b/>
        </w:rPr>
        <w:t xml:space="preserve">Source: </w:t>
      </w:r>
      <w:r>
        <w:t>ScienceDirect Publication: Applied Energy</w:t>
      </w:r>
      <w:r>
        <w:t xml:space="preserve">    </w:t>
      </w:r>
      <w:r>
        <w:rPr>
          <w:b/>
        </w:rPr>
        <w:t xml:space="preserve">Pub date: </w:t>
      </w:r>
      <w:r>
        <w:t>2026-08-22 00:00:00+00:00</w:t>
      </w:r>
      <w:r>
        <w:t xml:space="preserve">    </w:t>
      </w:r>
      <w:r>
        <w:rPr>
          <w:b/>
        </w:rPr>
        <w:t xml:space="preserve">DOI: </w:t>
      </w:r>
      <w:hyperlink r:id="rId808">
        <w:r>
          <w:rPr>
            <w:color w:val="1155CC"/>
            <w:u w:val="single"/>
          </w:rPr>
          <w:t>10.1016/j.apenergy.2026.128696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809">
        <w:r>
          <w:rPr>
            <w:color w:val="1155CC"/>
            <w:u w:val="single"/>
          </w:rPr>
          <w:t>亚洲夏季季风轨道变化直接由二氧化碳和进动而非偏心率决定</w:t>
        </w:r>
      </w:hyperlink>
    </w:p>
    <w:p>
      <w:pPr>
        <w:spacing w:before="0" w:after="80"/>
      </w:pPr>
      <w:r>
        <w:rPr>
          <w:i/>
          <w:sz w:val="20"/>
        </w:rPr>
        <w:t>EN: Asian summer monsoon orbital variability directly paced by CO2 and precession, not eccentricity</w:t>
      </w:r>
    </w:p>
    <w:p>
      <w:pPr>
        <w:spacing w:before="0" w:after="120"/>
      </w:pPr>
      <w:r>
        <w:rPr>
          <w:b/>
        </w:rPr>
        <w:t xml:space="preserve">Source: </w:t>
      </w:r>
      <w:r>
        <w:t>Earth and environmental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亚洲夏季风的节奏和强度长期以来一直存在争议。地质记录表明主要进动或偏心率变化，而建模研究主要强调季风强度而不是其时间节奏。在这里，我们使用一组独特的四个系列的全复杂性气候模型平衡模拟来研究亚洲夏季风的时间变化和强度变化，跨越过去 800 kyr，分辨率为 4 kyr。这些模拟具有不同的日照、温室气体和冰盖强迫。在这里，我们表明温室气体的变化通过亚洲夏季季风环流的热强迫对 100 kyr 的变率发挥主导控制，而岁差则直接影响 20 kyr 的变率。相比之下，偏心强迫和冰盖变化的直接贡献较小。季风动力学的空间异质性揭示了对强加强迫的不同敏感性，这可能有助于协调相互冲突的代理记录。</w:t>
      </w:r>
    </w:p>
    <w:p>
      <w:pPr>
        <w:spacing w:before="0" w:after="200" w:lineRule="auto" w:line="276"/>
      </w:pPr>
      <w:r>
        <w:rPr>
          <w:b/>
        </w:rPr>
        <w:t xml:space="preserve">Abstract (EN): </w:t>
      </w:r>
      <w:r>
        <w:t>The pacing and intensity of the Asian summer monsoon have long been debated. Geological records indicate either a dominant precession or eccentricity variability, while modelling studies have largely emphasised monsoon intensity rather than its temporal pacing. Here, we investigate both the temporal variability and changes in intensity of the Asian summer monsoon using a unique set of four series of full-complexity climate model equilibrium simulations spanning the last 800 kyr at 4-kyr resolution. The simulations have differing insolation, greenhouse gases, and ice sheet forcing. Here, we show that variations in greenhouse gases exert the dominant control on the 100-kyr variability via the thermal forcing of the Asian summer monsoon circulation, while precession directly impacts the 20-kyr variability. In contrast, the direct contributions of eccentricity forcing and ice sheet variability are smaller. Spatial heterogeneity in monsoon dynamics reveals different sensitivities to imposed forcings, which may help reconcile conflicting proxy records.</w:t>
      </w:r>
    </w:p>
    <w:p>
      <w:pPr>
        <w:spacing w:before="120" w:after="120"/>
      </w:pPr>
      <w:r>
        <w:rPr>
          <w:sz w:val="18"/>
        </w:rPr>
        <w:t>——————————————————————————————————————————————————————————————————————</w:t>
      </w:r>
    </w:p>
    <w:p>
      <w:pPr>
        <w:spacing w:before="160" w:after="40" w:line="240" w:lineRule="auto"/>
      </w:pPr>
      <w:r>
        <w:rPr>
          <w:b/>
        </w:rPr>
        <w:t xml:space="preserve">[167] </w:t>
      </w:r>
      <w:hyperlink r:id="rId810">
        <w:r>
          <w:rPr>
            <w:color w:val="1155CC"/>
            <w:u w:val="single"/>
          </w:rPr>
          <w:t>加压 UTe2 中的多个超导相和有序参数演化</w:t>
        </w:r>
      </w:hyperlink>
    </w:p>
    <w:p>
      <w:pPr>
        <w:spacing w:before="0" w:after="80"/>
      </w:pPr>
      <w:r>
        <w:rPr>
          <w:i/>
          <w:sz w:val="20"/>
        </w:rPr>
        <w:t>EN: Multiple superconducting phases and order-parameter evolution in pressurized UTe2</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最近发现的重费米子自旋三重态超导体候选UTe2为非常规配对和拓扑现象提供了丰富的平台。然而，人们对其超导有序参数及其随控制参数的演化知之甚少，这很大程度上是由于缺乏适当的对称敏感检测方法。在这里，我们报告了 (0 0 1) 表面上加压 UTe2 的全面点接触光谱测量。安德烈夫束缚态的观察强烈表明超导有序参数中存在 pz 分量。基于扩展的 Blonder-Tinkham-Klapwijk 模型的定量分析揭示了环境和加压 UTe2 具有有限奇数 kz 分量（例如 B2u 或 B3u）的超导有序参数。值得注意的是，多个超导相可以通过单个参数 &lt;Δz&gt;/&lt;Δx(y)&gt; 来区分，即 pz 波和 px(y) 波配对之间的相对权重。这些发现对配对对称性施加了严格的限制，并为区分 UTe2 中压力诱导的多个超导相提供了必要的光谱特征。</w:t>
      </w:r>
    </w:p>
    <w:p>
      <w:pPr>
        <w:spacing w:before="0" w:after="200" w:lineRule="auto" w:line="276"/>
      </w:pPr>
      <w:r>
        <w:rPr>
          <w:b/>
        </w:rPr>
        <w:t xml:space="preserve">Abstract (EN): </w:t>
      </w:r>
      <w:r>
        <w:t>The recently discovered heavy-fermion spin-triplet superconductor candidate UTe2 provides a rich platform for unconventional pairing and topological phenomena. However, limited has been known about its superconducting order parameters and their evolution with control parameters, largely due to the lack of appropriate symmetry-sensitive detection methods. Here, we report comprehensive point-contact spectroscopy measurements of pressurized UTe2 on the (0 0 1) surface. The observation of Andreev bound states strongly suggests the presence of a pz component in the superconducting order parameters. Quantitative analysis based on an extended Blonder-Tinkham-Klapwijk model unveils the superconducting order parameters with a finite odd-kz component (e.g., B2u or B3u) for both ambient and pressurized UTe2. Remarkably, the multiple superconducting phases can be distinguished by a single parameter 〈Δz〉/〈Δx(y)〉, the relative weight between the pz-wave and px(y)-wave pairings. These findings place stringent constraints on the pairing symmetry and provide essential spectroscopic signatures for distinguishing pressure-induced multiple superconducting phases in UTe2.</w:t>
      </w:r>
    </w:p>
    <w:p>
      <w:pPr>
        <w:spacing w:before="120" w:after="120"/>
      </w:pPr>
      <w:r>
        <w:rPr>
          <w:sz w:val="18"/>
        </w:rPr>
        <w:t>——————————————————————————————————————————————————————————————————————</w:t>
      </w:r>
    </w:p>
    <w:p>
      <w:pPr>
        <w:spacing w:before="160" w:after="40" w:line="240" w:lineRule="auto"/>
      </w:pPr>
      <w:r>
        <w:rPr>
          <w:b/>
        </w:rPr>
        <w:t xml:space="preserve">[168] </w:t>
      </w:r>
      <w:hyperlink r:id="rId811">
        <w:r>
          <w:rPr>
            <w:color w:val="1155CC"/>
            <w:u w:val="single"/>
          </w:rPr>
          <w:t>数据驱动构建亚胺还原酶库，能够在等摩尔底物浓度下进行广泛的还原胺化</w:t>
        </w:r>
      </w:hyperlink>
    </w:p>
    <w:p>
      <w:pPr>
        <w:spacing w:before="0" w:after="80"/>
      </w:pPr>
      <w:r>
        <w:rPr>
          <w:i/>
          <w:sz w:val="20"/>
        </w:rPr>
        <w:t>EN: Data-driven construction of an imine reductase library capable of broad-scope reductive amination at equimolar substrate concentrations</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由亚胺还原酶和还原胺酶催化的还原胺化已成为手性胺不对称合成的有效方法，但这些酶的普遍性和实际局限性仍知之甚少。在这里，我们结合大规模、迭代活性筛选、序列分析和机器学习引导的探索，系统地分析 175 种酶和结构多样的底物组的还原胺化性能。我们表明，等摩尔底物浓度下的不对称还原胺化在该酶家族中广泛存在，并组装了具有广泛范围、高比活性和优异立体选择性的催化剂。序列水平分析可识别与广泛还原性氨基酶相关的特征，并查明控制立体选择性的关键残基，而根据筛选数据训练的机器学习模型能够成功预测先前未经测试的底物组合的酶活性。将选定的反应调整至制备批量大小，提供克数量的光学纯胺产物。</w:t>
      </w:r>
    </w:p>
    <w:p>
      <w:pPr>
        <w:spacing w:before="0" w:after="200" w:lineRule="auto" w:line="276"/>
      </w:pPr>
      <w:r>
        <w:rPr>
          <w:b/>
        </w:rPr>
        <w:t xml:space="preserve">Abstract (EN): </w:t>
      </w:r>
      <w:r>
        <w:t>Reductive amination catalysed by imine reductases and reductive aminases has emerged as a powerful method for the asymmetric synthesis of chiral amines, yet the generality and practical limitations of these enzymes remain poorly understood. Here, we combine large-scale, iterative activity screening, sequence analysis and machine-learning-guided exploration to systematically profile reductive amination performance across 175 enzymes and structurally diverse substrate panels. We show that asymmetric reductive amination at equimolar substrate concentrations is widespread within this enzyme family and assemble catalysts that display broad scope, high specific activity and excellent stereoselectivity. Sequence-level analysis identifies characteristic features associated with broad-scope reductive aminases and pinpoints key residues governing stereoselectivity, while machine-learning models trained on the screening data enable successful prediction of enzyme activity for previously untested substrate combinations. Selected reactions were scaled to a preparative batch size, affording gram quantities of optically pure amine products.</w:t>
      </w:r>
    </w:p>
    <w:p>
      <w:pPr>
        <w:spacing w:before="120" w:after="120"/>
      </w:pPr>
      <w:r>
        <w:rPr>
          <w:sz w:val="18"/>
        </w:rPr>
        <w:t>——————————————————————————————————————————————————————————————————————</w:t>
      </w:r>
    </w:p>
    <w:p>
      <w:pPr>
        <w:spacing w:before="160" w:after="40" w:line="240" w:lineRule="auto"/>
      </w:pPr>
      <w:r>
        <w:rPr>
          <w:b/>
        </w:rPr>
        <w:t xml:space="preserve">[169] </w:t>
      </w:r>
      <w:hyperlink r:id="rId812">
        <w:r>
          <w:rPr>
            <w:color w:val="1155CC"/>
            <w:u w:val="single"/>
          </w:rPr>
          <w:t>使用氢键协调光电开关热反向转换来重塑能源景观</w:t>
        </w:r>
      </w:hyperlink>
    </w:p>
    <w:p>
      <w:pPr>
        <w:spacing w:before="0" w:after="80"/>
      </w:pPr>
      <w:r>
        <w:rPr>
          <w:i/>
          <w:sz w:val="20"/>
        </w:rPr>
        <w:t>EN: Orchestrating photoswitch thermal backconversion using hydrogen bonds to reshape energy landscapes</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分子光电开关的热力学控制仍然是一个基本挑战，其核心是高能亚稳态的稳定。受麦克斯韦类恶魔系统中发现的选择性动力学调节概念的启发，我们探索氢键作为分子级选择器，用于调节四环烷（QC）到降冰片二烯（NBD）的热逆转换。通过战略性地结合氢键供体和受体，我们表明这些相互作用建立了一座限制旋转自由度的水“桥”。该桥显着提高了动力学势垒，并沿着替代反应坐标重新定向异构化。通过这种方式，氢键系统选择性地调节热反向转换动力学，并能够定向控制异构化动力学，实现热半衰期延长 5000 倍。这项工作说明了氢键如何促进分子光开关中反向转换动力学和分子热稳定性的精确控制。</w:t>
      </w:r>
    </w:p>
    <w:p>
      <w:pPr>
        <w:spacing w:before="0" w:after="200" w:lineRule="auto" w:line="276"/>
      </w:pPr>
      <w:r>
        <w:rPr>
          <w:b/>
        </w:rPr>
        <w:t xml:space="preserve">Abstract (EN): </w:t>
      </w:r>
      <w:r>
        <w:t>Thermodynamic control of molecular photoswitches remains a fundamental challenge, centered on the stabilization of high-energy metastable states. Inspired by concepts of selective kinetic regulation found in Maxwell’s demon-like systems, we explore hydrogen bonding as a molecular-level selector for modulating the thermal back-conversion of quadricyclane (QC) to norbornadiene (NBD). By strategically incorporating hydrogen-bond donors and acceptors, we show that these interactions build a water “bridge” that restricts rotational degrees of freedom. This bridge significantly elevates the kinetic barrier and redirects the isomerization along an alternative reaction coordinate. In this manner, the hydrogen-bonding system selectively regulates the thermal back-conversion dynamics and enables directional control over the isomerization kinetics, achieving up to a 5000-fold extension of the thermal half-life. This work illustrates how hydrogen bonds can facilitate precise control over back-conversion dynamics and molecular thermal stability in molecular photoswitches.</w:t>
      </w:r>
    </w:p>
    <w:p>
      <w:pPr>
        <w:spacing w:before="120" w:after="120"/>
      </w:pPr>
      <w:r>
        <w:rPr>
          <w:sz w:val="18"/>
        </w:rPr>
        <w:t>——————————————————————————————————————————————————————————————————————</w:t>
      </w:r>
    </w:p>
    <w:p>
      <w:pPr>
        <w:spacing w:before="160" w:after="40" w:line="240" w:lineRule="auto"/>
      </w:pPr>
      <w:r>
        <w:rPr>
          <w:b/>
        </w:rPr>
        <w:t xml:space="preserve">[170] </w:t>
      </w:r>
      <w:hyperlink r:id="rId813">
        <w:r>
          <w:rPr>
            <w:color w:val="1155CC"/>
            <w:u w:val="single"/>
          </w:rPr>
          <w:t>具有高强度、可塑性和反常导电性的准晶石墨</w:t>
        </w:r>
      </w:hyperlink>
    </w:p>
    <w:p>
      <w:pPr>
        <w:spacing w:before="0" w:after="80"/>
      </w:pPr>
      <w:r>
        <w:rPr>
          <w:i/>
          <w:sz w:val="20"/>
        </w:rPr>
        <w:t>EN: Paracrystalline graphite with combined high strength, plasticity and anomalous conductivity</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共晶化提供了一种实现超越传统性能权衡的协同性能的途径，但由于强键合各向异性，将其应用于层状材料具有挑战性。在这里，我们报告了通过高压驱动 C60 晶体的“局部石墨化”来合成准晶石墨，这是一种在层状材料中实现的准晶态。结构表征和反向蒙特卡罗模拟揭示了层间角约为 70° 的类石墨簇的三维网络。该架构提供了多种特性的组合，包括 33.7 GPa 的各向同性硬度、通过键转换和簇重组实现的 12% 塑性应变，以及在 4 至 450 K 范围内变化小于 12% 的弱温度依赖性半金属电导率。这种准晶系统弥补了结晶石墨和非晶碳之间的差距，展示了通过工程中程有序设计具有定制多功能特性的材料的可行途径。</w:t>
      </w:r>
    </w:p>
    <w:p>
      <w:pPr>
        <w:spacing w:before="0" w:after="200" w:lineRule="auto" w:line="276"/>
      </w:pPr>
      <w:r>
        <w:rPr>
          <w:b/>
        </w:rPr>
        <w:t xml:space="preserve">Abstract (EN): </w:t>
      </w:r>
      <w:r>
        <w:t>Paracrystallization provides a route to achieving synergistic properties beyond conventional property trade-offs, but applying it to layered materials is challenging due to strong bonding anisotropy. Here, we report the synthesis of paracrystalline graphite, a paracrystalline state realized in a layered material, through a high-pressure-driven “local graphitization” of C60 crystals. Structural characterization and reverse Monte Carlo simulations reveal a three-dimensional network of graphite-like clusters with ~70° interlamellar angles. This architecture delivers a combination of properties, including an isotropic hardness of 33.7 GPa, a plastic strain of 12% enabled by bond conversion and cluster reorganization, and weakly temperature-dependent semimetallic conductivity that varies by less than 12% from 4 to 450 K. Bridging the gap between crystalline graphite and noncrystalline carbon, this paracrystalline system demonstrates a viable pathway for designing materials with tailored multifunctional properties by engineering medium-range order.</w:t>
      </w:r>
    </w:p>
    <w:p>
      <w:pPr>
        <w:spacing w:before="120" w:after="120"/>
      </w:pPr>
      <w:r>
        <w:rPr>
          <w:sz w:val="18"/>
        </w:rPr>
        <w:t>——————————————————————————————————————————————————————————————————————</w:t>
      </w:r>
    </w:p>
    <w:p>
      <w:pPr>
        <w:spacing w:before="160" w:after="40" w:line="240" w:lineRule="auto"/>
      </w:pPr>
      <w:r>
        <w:rPr>
          <w:b/>
        </w:rPr>
        <w:t xml:space="preserve">[171] </w:t>
      </w:r>
      <w:hyperlink r:id="rId814">
        <w:r>
          <w:rPr>
            <w:color w:val="1155CC"/>
            <w:u w:val="single"/>
          </w:rPr>
          <w:t>通过光编码快速膨胀重新配置水凝胶中的手形变形和驱动</w:t>
        </w:r>
      </w:hyperlink>
    </w:p>
    <w:p>
      <w:pPr>
        <w:spacing w:before="0" w:after="80"/>
      </w:pPr>
      <w:r>
        <w:rPr>
          <w:i/>
          <w:sz w:val="20"/>
        </w:rPr>
        <w:t>EN: Reconfiguring handed shape-morphing and actuation in hydrogels via light-encoded rapid expansion</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通过时空控制和可逆行为重新配置合成系统中的手性仍然是仿生机器人和材料科学中的一个基本挑战，特别是在缺乏内在手性的结构均质材料中。在这里，我们展示了均质光敏水凝胶，能够通过空间控制的光照明实现超快、可编程的手形变形，包括螺旋和扭曲。这种转变是由 40 秒内体积增长超过 80,000% 的光膨胀驱动的，这是通过螺吡喃光异构化和定制聚合物网络相互作用的协同组合实现的。照明界面处的确定性应变失配允许按需形成和塑造手性结构，该结构可以在黑暗中擦除并用光可逆地重新编程。我们进一步在单一材料中同步相反的旋手性和复杂的卷须状几何形状，并利用旋手性来实现机器人运动的自驱动旋转。这项工作介绍了一种在均质物质中实现自适应、逼真手性的通用方法，缩小了生物形状变形和工程软机器人之间的关键差距。</w:t>
      </w:r>
    </w:p>
    <w:p>
      <w:pPr>
        <w:spacing w:before="0" w:after="200" w:lineRule="auto" w:line="276"/>
      </w:pPr>
      <w:r>
        <w:rPr>
          <w:b/>
        </w:rPr>
        <w:t xml:space="preserve">Abstract (EN): </w:t>
      </w:r>
      <w:r>
        <w:t>Reconfiguring handedness in synthetic systems with spatiotemporal control and reversible behavior remains a fundamental challenge in bioinspired robotics and materials science—especially in structurally homogeneous materials that lack intrinsic chirality. Here, we demonstrate homogeneous photoactive hydrogels capable of ultrafast, programmable handed shape-morphing, including helices and twists, through spatially controlled light illumination. This transformation is driven by a photoexpansion exceeding 80,000% volumetric growth within 40 seconds, enabled by the synergistic combination of spiropyran photoisomerization and tailored polymer-network interactions. Deterministic strain mismatches at illuminated interfaces allow on-demand forming and shaping of handed architectures, which can be erased in darkness and reprogrammed reversibly with light. We further synchronize opposing handedness and complex tendril-like geometries in a single material, and exploit handedness to achieve self-propelled rotation for robotic locomotion. This work introduces a versatile method for adaptive, lifelike chirality in homogeneous matter, closing a key gap between biological shape-morphing and engineered soft robotics.</w:t>
      </w:r>
    </w:p>
    <w:p>
      <w:pPr>
        <w:spacing w:before="120" w:after="120"/>
      </w:pPr>
      <w:r>
        <w:rPr>
          <w:sz w:val="18"/>
        </w:rPr>
        <w:t>——————————————————————————————————————————————————————————————————————</w:t>
      </w:r>
    </w:p>
    <w:p>
      <w:pPr>
        <w:spacing w:before="160" w:after="40" w:line="240" w:lineRule="auto"/>
      </w:pPr>
      <w:r>
        <w:rPr>
          <w:b/>
        </w:rPr>
        <w:t xml:space="preserve">[172] </w:t>
      </w:r>
      <w:hyperlink r:id="rId815">
        <w:r>
          <w:rPr>
            <w:color w:val="1155CC"/>
            <w:u w:val="single"/>
          </w:rPr>
          <w:t>垂直磁化的全电亚纳秒无场切换，具有高磁场抗扰度</w:t>
        </w:r>
      </w:hyperlink>
    </w:p>
    <w:p>
      <w:pPr>
        <w:spacing w:before="0" w:after="80"/>
      </w:pPr>
      <w:r>
        <w:rPr>
          <w:i/>
          <w:sz w:val="20"/>
        </w:rPr>
        <w:t>EN: All electrical sub-nanosecond field-free switching of perpendicular magnetization with high magnetic field immunity</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自旋轨道扭矩磁随机存取存储器是一种很有前景的下一代非易失性存储技术，具有低功耗、快速运行和高耐用性等特点。然而，传统的自旋轨道扭矩引起的确定性垂直磁化切换通常需要外部磁场的帮助。虽然多种无场开关策略已被证明，但大多数都存在很大的局限性。在这里，我们提出了一种利用两个正交电流进行垂直磁化无场切换的简单且可靠的方法。该方法仅采用传统的重金属作为自旋电流源，并且能够无缝集成到现有的生产线中，因为它与商业化自旋转移矩磁性随机存取存储器的标准制造工艺完全兼容。值得注意的是，该方法还实现了超快磁化切换，并对各个方向的外部磁场具有强大的抗扰性。</w:t>
      </w:r>
    </w:p>
    <w:p>
      <w:pPr>
        <w:spacing w:before="0" w:after="200" w:lineRule="auto" w:line="276"/>
      </w:pPr>
      <w:r>
        <w:rPr>
          <w:b/>
        </w:rPr>
        <w:t xml:space="preserve">Abstract (EN): </w:t>
      </w:r>
      <w:r>
        <w:t>Spin-orbit torque magnetic random-access memory is a promising next-generation non-volatile memory technology featuring low power consumption, rapid operation, and high endurance. Conventional spin-orbit torque-induced deterministic perpendicular magnetization switching, however, typically requires the assistance of an external magnetic field. While multiple field-free switching strategies have been demonstrated, most suffer from significant limitations. Here, we present a straightforward and reliable approach for field-free switching of perpendicular magnetization utilizing two orthogonal electrical currents. The method employs only conventional heavy metals as spin current sources and enables seamless integration into existing manufacturing lines as it is fully compatible with standard fabrication processes for commercialized spin-transfer torque magnetic random-access memory. Notably, the approach also achieves ultrafast magnetization switching with robust immunity against external magnetic fields along all directions.</w:t>
      </w:r>
    </w:p>
    <w:p>
      <w:pPr>
        <w:spacing w:before="120" w:after="120"/>
      </w:pPr>
      <w:r>
        <w:rPr>
          <w:sz w:val="18"/>
        </w:rPr>
        <w:t>——————————————————————————————————————————————————————————————————————</w:t>
      </w:r>
    </w:p>
    <w:p>
      <w:pPr>
        <w:spacing w:before="160" w:after="40" w:line="240" w:lineRule="auto"/>
      </w:pPr>
      <w:r>
        <w:rPr>
          <w:b/>
        </w:rPr>
        <w:t xml:space="preserve">[173] </w:t>
      </w:r>
      <w:hyperlink r:id="rId816">
        <w:r>
          <w:rPr>
            <w:color w:val="1155CC"/>
            <w:u w:val="single"/>
          </w:rPr>
          <w:t>Ru-使α-、β-羟基酸脱水还原胺化成氨基酸</w:t>
        </w:r>
      </w:hyperlink>
    </w:p>
    <w:p>
      <w:pPr>
        <w:spacing w:before="0" w:after="80"/>
      </w:pPr>
      <w:r>
        <w:rPr>
          <w:i/>
          <w:sz w:val="20"/>
        </w:rPr>
        <w:t>EN: Ru-enabled dehydration-reductive amination of α-, β-hydroxy acids into amino acids</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将生物质衍生的α-、β-羟基酸直接转化为氨基酸很有吸引力，但尚未报道。在这里，我们公开了一种原子分散的Ru催化剂，它解锁了以前未被认识的脱水还原胺化机制，用于从α-、β-羟基酸选择性合成氨基酸。结构表征证实了分离的、部分氧化的 Ru 中心的存在，该中心选择性地介导碱辅助的 α-H 提取和 β-OH 消除，同时能够绕过传统的 α-酮酸途径，对所得烯醇/烯醇化物中间体进行直接还原胺化。所确定的脱水还原胺化途径和相关的钌基催化剂为将各种含有相邻羟基的生物质衍生多元醇转化为有用的氨基官能化产品提供了机会。</w:t>
      </w:r>
    </w:p>
    <w:p>
      <w:pPr>
        <w:spacing w:before="0" w:after="200" w:lineRule="auto" w:line="276"/>
      </w:pPr>
      <w:r>
        <w:rPr>
          <w:b/>
        </w:rPr>
        <w:t xml:space="preserve">Abstract (EN): </w:t>
      </w:r>
      <w:r>
        <w:t>The direct transformation of biomass derived α-, β-hydroxy acids into amino acids is attractive but not reported. Here we disclose an atomically dispersed Ru catalyst that unlocks a previously unrecognized dehydration-reductive amination mechanism for the selective synthesis of amino acids from α-, β-hydroxy acids. Structural characterizations confirm the presence of isolated, partially oxidized Ru centers, which selectively mediates base-assisted α-H abstraction and β-OH elimination, while simultaneously enabling direct reductive amination of the resulting enol/enolate intermediates, bypassing the conventional α-keto acid pathway. The identified dehydration-reductive amination pathway and associate Ru-based catalyst opens opportunities for transforming a wide range of biomass-derived polyols containing adjacent hydroxyl groups into useful amino-functionalized products.</w:t>
      </w:r>
    </w:p>
    <w:p>
      <w:pPr>
        <w:spacing w:before="120" w:after="120"/>
      </w:pPr>
      <w:r>
        <w:rPr>
          <w:sz w:val="18"/>
        </w:rPr>
        <w:t>——————————————————————————————————————————————————————————————————————</w:t>
      </w:r>
    </w:p>
    <w:p>
      <w:pPr>
        <w:spacing w:before="160" w:after="40" w:line="240" w:lineRule="auto"/>
      </w:pPr>
      <w:r>
        <w:rPr>
          <w:b/>
        </w:rPr>
        <w:t xml:space="preserve">[174] </w:t>
      </w:r>
      <w:hyperlink r:id="rId817">
        <w:r>
          <w:rPr>
            <w:color w:val="1155CC"/>
            <w:u w:val="single"/>
          </w:rPr>
          <w:t>快速魔角旋转下的质子非共振 R 1ρ 近旋转共振弛豫色散作为构象交换的多功能途径</w:t>
        </w:r>
      </w:hyperlink>
    </w:p>
    <w:p>
      <w:pPr>
        <w:spacing w:before="0" w:after="80"/>
      </w:pPr>
      <w:r>
        <w:rPr>
          <w:i/>
          <w:sz w:val="20"/>
        </w:rPr>
        <w:t>EN: Proton Off-Resonance R 1ρ Near-Rotary-Resonance Relaxation Dispersion under Fast Magic-Angle Spinning as a Versatile Access to Conformational Exchange</w:t>
      </w:r>
    </w:p>
    <w:p>
      <w:pPr>
        <w:spacing w:before="0" w:after="120"/>
      </w:pPr>
      <w:r>
        <w:rPr>
          <w:b/>
        </w:rPr>
        <w:t xml:space="preserve">Source: </w:t>
      </w:r>
      <w:r>
        <w:t>Journal of the American Chemical Society: Latest Articles (ACS Publications)</w:t>
      </w:r>
      <w:r>
        <w:t xml:space="preserve">    </w:t>
      </w:r>
      <w:r>
        <w:rPr>
          <w:b/>
        </w:rPr>
        <w:t xml:space="preserve">Pub date: </w:t>
      </w:r>
      <w:r>
        <w:t>2026-08-22 00:00:00+00:00</w:t>
      </w:r>
      <w:r>
        <w:t xml:space="preserve">    </w:t>
      </w:r>
      <w:r>
        <w:rPr>
          <w:b/>
        </w:rPr>
        <w:t xml:space="preserve">DOI: </w:t>
      </w:r>
      <w:hyperlink r:id="rId818">
        <w:r>
          <w:rPr>
            <w:color w:val="1155CC"/>
            <w:u w:val="single"/>
          </w:rPr>
          <w:t>10.1021/jacs.6c05150</w:t>
        </w:r>
      </w:hyperlink>
    </w:p>
    <w:p>
      <w:pPr>
        <w:spacing w:before="0" w:after="120"/>
      </w:pPr>
      <w:r>
        <w:rPr>
          <w:b/>
        </w:rPr>
        <w:t xml:space="preserve">Notes: </w:t>
      </w:r>
      <w:r>
        <w:t>abstract_source=crossref</w:t>
      </w:r>
    </w:p>
    <w:p>
      <w:pPr>
        <w:spacing w:before="0" w:after="80" w:lineRule="auto" w:line="276"/>
      </w:pPr>
      <w:r>
        <w:rPr>
          <w:b/>
        </w:rPr>
        <w:t xml:space="preserve">摘要（ZH）: </w:t>
      </w:r>
      <w:r>
        <w:t>摘要 弛豫分散技术允许在溶液和固态 NMR 中获取 μs 时间尺度的蛋白质运动。对于快速魔角旋转下的固体，任何旋转共振条件 (NERRD) 周围的自旋锁场的 R1ρ 弛豫色散增加了溶液中不存在的高度通用的可观测值，可以报告各向异性相互作用的特定位点 μs 时间尺度波动。与 15N 或 13C 弛豫色散相反，质子 NERRD 可以报告给定站点周围的区域质子偶极耦合网络内的变化。它与独特的技术机会相关，原则上避免了异核同位素标记的必要性。在这里，我们表明，当前的限制之一——质子 R1ρ 测量期间存在强自旋扩散效应，这可能导致位点特定的 NERRD 配置文件的去个体化，从而导致其运动信息模糊——可以通过非共振自旋锁有效改善。尽管与更孤立的原子核弛豫相比，质子弛豫的基本局限性无法通过技术创新完全克服，但质子-质子串扰的减少有助于在生物学和材料中仅通过质子定性地获得μs时间尺度的运动。</w:t>
      </w:r>
    </w:p>
    <w:p>
      <w:pPr>
        <w:spacing w:before="0" w:after="200" w:lineRule="auto" w:line="276"/>
      </w:pPr>
      <w:r>
        <w:rPr>
          <w:b/>
        </w:rPr>
        <w:t xml:space="preserve">Abstract (EN): </w:t>
      </w:r>
      <w:r>
        <w:t>Relaxation dispersion techniques allow access to μs time-scale protein motion both in solution and in solid-state NMR. For solids under fast magic-angle spinning, R1ρ relaxation dispersion for spin-lock fields around any rotary-resonance conditions (NERRD) adds highly versatile observables absent in solution that can report on site-specific μs time-scale fluctuations of anisotropic interactions. Proton NERRD, as opposed to 15N or 13C relaxation dispersion, can report on changes within the regional proton dipolar-coupling network around a given site. It is associated with distinct technical opportunities and, in principle, avoids the necessity for heteronuclear isotope labeling. Here we show that one of the current limitations─the presence of strong spin diffusion effects during proton R1ρ measurements, which can cause a deindividualization of the site-specific NERRD profiles and hence a blurring of their motional information─can effectively be ameliorated by off-resonance spin locks. Even though the fundamental limitations of proton relaxation compared to relaxation of more isolated nuclei cannot fully be overcome by technical innovations, the reduction of proton–proton crosstalk facilitates qualitative access to μs time-scale motion exclusively through protons in biology and materials.</w:t>
      </w:r>
    </w:p>
    <w:p>
      <w:pPr>
        <w:spacing w:before="120" w:after="120"/>
      </w:pPr>
      <w:r>
        <w:rPr>
          <w:sz w:val="18"/>
        </w:rPr>
        <w:t>——————————————————————————————————————————————————————————————————————</w:t>
      </w:r>
    </w:p>
    <w:p>
      <w:pPr>
        <w:spacing w:before="160" w:after="40" w:line="240" w:lineRule="auto"/>
      </w:pPr>
      <w:r>
        <w:rPr>
          <w:b/>
        </w:rPr>
        <w:t xml:space="preserve">[175] </w:t>
      </w:r>
      <w:hyperlink r:id="rId819">
        <w:r>
          <w:rPr>
            <w:color w:val="1155CC"/>
            <w:u w:val="single"/>
          </w:rPr>
          <w:t>通过自由基有机金属中继直接脱羧硼化</w:t>
        </w:r>
      </w:hyperlink>
    </w:p>
    <w:p>
      <w:pPr>
        <w:spacing w:before="0" w:after="80"/>
      </w:pPr>
      <w:r>
        <w:rPr>
          <w:i/>
          <w:sz w:val="20"/>
        </w:rPr>
        <w:t>EN: Direct Decarboxylative Borylation via Radical-Organometallic Relay</w:t>
      </w:r>
    </w:p>
    <w:p>
      <w:pPr>
        <w:spacing w:before="0" w:after="120"/>
      </w:pPr>
      <w:r>
        <w:rPr>
          <w:b/>
        </w:rPr>
        <w:t xml:space="preserve">Source: </w:t>
      </w:r>
      <w:r>
        <w:t>Journal of the American Chemical Society: Latest Articles (ACS Publications)</w:t>
      </w:r>
      <w:r>
        <w:t xml:space="preserve">    </w:t>
      </w:r>
      <w:r>
        <w:rPr>
          <w:b/>
        </w:rPr>
        <w:t xml:space="preserve">Pub date: </w:t>
      </w:r>
      <w:r>
        <w:t>2026-08-22 00:00:00+00:00</w:t>
      </w:r>
      <w:r>
        <w:t xml:space="preserve">    </w:t>
      </w:r>
      <w:r>
        <w:rPr>
          <w:b/>
        </w:rPr>
        <w:t xml:space="preserve">DOI: </w:t>
      </w:r>
      <w:hyperlink r:id="rId820">
        <w:r>
          <w:rPr>
            <w:color w:val="1155CC"/>
            <w:u w:val="single"/>
          </w:rPr>
          <w:t>10.1021/jacs.6c12595</w:t>
        </w:r>
      </w:hyperlink>
    </w:p>
    <w:p>
      <w:pPr>
        <w:spacing w:before="0" w:after="120"/>
      </w:pPr>
      <w:r>
        <w:rPr>
          <w:b/>
        </w:rPr>
        <w:t xml:space="preserve">Notes: </w:t>
      </w:r>
      <w:r>
        <w:t>abstract_source=crossref</w:t>
      </w:r>
    </w:p>
    <w:p>
      <w:pPr>
        <w:spacing w:before="0" w:after="80" w:lineRule="auto" w:line="276"/>
      </w:pPr>
      <w:r>
        <w:rPr>
          <w:b/>
        </w:rPr>
        <w:t xml:space="preserve">摘要（ZH）: </w:t>
      </w:r>
      <w:r>
        <w:t>摘要 烷基硼酸和酯是合成、药物化学和材料科学中不可或缺的组成部分，但直接获得结构多样的烷基有机硼化合物仍然很少。由于其丰富性和结构多样性，羧酸将成为理想的前体，但它们直接转化为有机硼化合物仍然难以捉摸。这一长期存在的挑战源于氧化脱羧和传统硼化化学之间固有的氧化还原不相容性。在这里，我们报告了通过自由基有机金属中继策略实现的天然羧酸的直接脱羧硼基化。该反应无需底物预活化即可进行，适用于伯、仲和叔羧酸，表现出广泛的官能团耐受性，并可实现药物和肽的后期硼化。通过解决基本的氧化还原不相容性，这项工作建立了一种新的反应范式，其中氧化自由基的生成与有机金属 C-B 键的形成直接结合。</w:t>
      </w:r>
    </w:p>
    <w:p>
      <w:pPr>
        <w:spacing w:before="0" w:after="200" w:lineRule="auto" w:line="276"/>
      </w:pPr>
      <w:r>
        <w:rPr>
          <w:b/>
        </w:rPr>
        <w:t xml:space="preserve">Abstract (EN): </w:t>
      </w:r>
      <w:r>
        <w:t>Alkyl boronic acids and esters are indispensable building blocks in synthesis, medicinal chemistry, and materials science, yet direct access to structurally diverse alkyl organoboron compounds remains scarce. Carboxylic acids would be ideal precursors owing to their abundance and structural diversity, but their direct conversion into organoboron compounds remains elusive. This longstanding challenge stems from an intrinsic redox incompatibility between oxidative decarboxylation and conventional borylation chemistry. Here, we report a direct decarboxylative borylation of native carboxylic acids enabled by a radical-organometallic relay strategy. The reaction proceeds without substrate preactivation and is applicable to primary, secondary, and tertiary carboxylic acids, exhibiting broad functional group tolerance and enabling late-stage borylation of pharmaceuticals and peptides. By resolving a fundamental redox incompatibility, this work establishes a new reaction paradigm in which oxidative radical generation is directly integrated with organometallic C–B bond formation.</w:t>
      </w:r>
    </w:p>
    <w:p>
      <w:pPr>
        <w:spacing w:before="120" w:after="120"/>
      </w:pPr>
      <w:r>
        <w:rPr>
          <w:sz w:val="18"/>
        </w:rPr>
        <w:t>——————————————————————————————————————————————————————————————————————</w:t>
      </w:r>
    </w:p>
    <w:p>
      <w:pPr>
        <w:spacing w:before="160" w:after="40" w:line="240" w:lineRule="auto"/>
      </w:pPr>
      <w:r>
        <w:rPr>
          <w:b/>
        </w:rPr>
        <w:t xml:space="preserve">[176] </w:t>
      </w:r>
      <w:hyperlink r:id="rId821">
        <w:r>
          <w:rPr>
            <w:color w:val="1155CC"/>
            <w:u w:val="single"/>
          </w:rPr>
          <w:t>通过自动第一原理计算和机器学习探索过渡金属簇热力学的化学空间</w:t>
        </w:r>
      </w:hyperlink>
    </w:p>
    <w:p>
      <w:pPr>
        <w:spacing w:before="0" w:after="80"/>
      </w:pPr>
      <w:r>
        <w:rPr>
          <w:i/>
          <w:sz w:val="20"/>
        </w:rPr>
        <w:t>EN: Exploring the chemical space of transition-metal cluster thermodynamics via automated first-principles calculations and machine learning</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原子团簇是材料的胚胎，但其巨大且成分复杂的化学空间长期以来阻碍了对热力学稳定性的系统探索。在这里，我们展示了统一的第一原理和机器学习框架可以实现过渡金属簇热力学的大规模绘制。通过将渐进式采样策略与基于组合的深度学习模型相结合，我们缓解了与呈指数级扩展的化学空间相关的内在采样瓶颈。基于通过自动第一原理计算获得的约 93,000 个全局最小结构，我们的模型（簇-变压器-编码器网络）能够可靠地预测 913 万种金属簇成分的原子化能量（每个原子精度约 40 meV），涵盖 30 种 d 区金属和 4 种化学相关的配体元素（C、N、O 和 S）。由此产生的热力学趋势显示团簇原子化能和体内聚能之间的强相关性，并确定了异核稳定性和贵金属掺杂氧化物团簇的稳定性。这项工作建立了一种可扩展的、成分驱动的策略，用于对化学复杂的小团簇空间进行有效的首次探索，提供对金属系统集体稳定性趋势的见解。</w:t>
      </w:r>
    </w:p>
    <w:p>
      <w:pPr>
        <w:spacing w:before="0" w:after="200" w:lineRule="auto" w:line="276"/>
      </w:pPr>
      <w:r>
        <w:rPr>
          <w:b/>
        </w:rPr>
        <w:t xml:space="preserve">Abstract (EN): </w:t>
      </w:r>
      <w:r>
        <w:t>Atomic clusters serve as the embryos of materials, yet their enormous and compositionally complex chemical space has long hindered systematic exploration of thermodynamic stability. Here, we show that a unified first-principles and machine-learning framework enables large-scale mapping of transition metal cluster thermodynamics. By integrating a progressive sampling strategy with a composition-based deep-learning model, we alleviate the intrinsic sampling bottleneck associated with exponentially expanding chemical spaces. Based on ≈ 93,000 global-minimum structures obtained via automated first-principles calculations, our model—the cluster-transformer-encoder network—enables reliable predictions of atomization energies (≈ 40 meV per atom accuracy) for 9.13 million metal cluster compositions, covering 30 d-block metals and 4 chemically relevant ligand elements (C, N, O, and S). The resulting thermodynamic trends show strong correlations between cluster atomization energies and bulk cohesive energies, and identify heteronuclear stabilization and the stability of noble-metal-doped oxide clusters. This work establishes a scalable, composition-driven strategy for efficient first-pass exploration of chemically complex small-cluster spaces, providing insights into collective stability trends of metal systems.</w:t>
      </w:r>
    </w:p>
    <w:p>
      <w:pPr>
        <w:spacing w:before="120" w:after="120"/>
      </w:pPr>
      <w:r>
        <w:rPr>
          <w:sz w:val="18"/>
        </w:rPr>
        <w:t>——————————————————————————————————————————————————————————————————————</w:t>
      </w:r>
    </w:p>
    <w:p>
      <w:pPr>
        <w:spacing w:before="160" w:after="40" w:line="240" w:lineRule="auto"/>
      </w:pPr>
      <w:r>
        <w:rPr>
          <w:b/>
        </w:rPr>
        <w:t xml:space="preserve">[177] </w:t>
      </w:r>
      <w:hyperlink r:id="rId822">
        <w:r>
          <w:rPr>
            <w:color w:val="1155CC"/>
            <w:u w:val="single"/>
          </w:rPr>
          <w:t>小型哺乳动物的多样化与气候专门化有关，而物种积累则反映了进化时间</w:t>
        </w:r>
      </w:hyperlink>
    </w:p>
    <w:p>
      <w:pPr>
        <w:spacing w:before="0" w:after="80"/>
      </w:pPr>
      <w:r>
        <w:rPr>
          <w:i/>
          <w:sz w:val="20"/>
        </w:rPr>
        <w:t>EN: Diversification in small mammals is associated with climatic specialisation, whereas species accumulation reflects evolutionary time</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气候专业化，即物种对特定气候条件的限制，可能会通过生态分歧和扩散限制促进物种多样性，但也会增加灭绝风险。为了评估气候特化与小型哺乳动物（古生态学研究中广泛使用的脊椎动物群体）的多样化模式之间的关系，我们结合气候、地理和系统发育数据，分析了全世界属于啮齿目、翼手目、真蜱目和兔形目的 4231 个物种。我们发现，近 40% 的小型哺乳动物物种是气候专家（仅限于 5 个主要气候区之一），其中一半是气候超级专家（仅限于 30 个亚气候区之一），揭示了跨类群和地理的广泛但不均匀的生态位限制。在科层面，气候超专业化与多样化密切相关，特别是对于由寿命较短和活动范围较小的物种组成的科。相比之下，家庭年龄是物种丰富度的主要预测因素，这表明年长的家庭通过时间而不是通过本质上更快的多样化逐渐积累物种。总之，这些发现支持了连接生态学和进化的双重宏观进化模式：气候专业化水平似乎是由谱系内的多样化率驱动的，而时间在很大程度上解释了小型哺乳动物家族中物种的积累。</w:t>
      </w:r>
    </w:p>
    <w:p>
      <w:pPr>
        <w:spacing w:before="0" w:after="200" w:lineRule="auto" w:line="276"/>
      </w:pPr>
      <w:r>
        <w:rPr>
          <w:b/>
        </w:rPr>
        <w:t xml:space="preserve">Abstract (EN): </w:t>
      </w:r>
      <w:r>
        <w:t>Climatic specialisation, the restriction of species to particular climate regimes, may promote diversification via ecological divergence and dispersal limitation, but also increase extinction risk. To evaluate how climatic specialisation relates to diversification patterns in small mammals, a vertebrate group widely used in palaeoecological research, we analyse 4231 species belonging to the orders Rodentia, Chiroptera, Eulipotyphla, and Lagomorpha worldwide, combining climatic, geographic, and phylogenetic data. We find that nearly 40% of small mammal species are climatic specialists (restricted to one of five major climatic zones), and that half of these are climatic superspecialists (restricted to one of 30 sub-climatic zones), revealing widespread but uneven niche restriction across taxa and geography. At the family level, climatic superspecialisation is strongly associated with diversification, particularly for families consisting of species with shorter lifespans and smaller ranges. In contrast, family age is the main predictor of species richness, indicating that older families gradually accumulate species through time rather than through intrinsically faster diversification. Together, these findings support a dual macroevolutionary pattern linking ecology and evolution: levels of climatic specialisation are seemingly driven by diversification rates within lineages, whereas time largely explains the accumulation of species in small mammal families.</w:t>
      </w:r>
    </w:p>
    <w:p>
      <w:pPr>
        <w:spacing w:before="120" w:after="120"/>
      </w:pPr>
      <w:r>
        <w:rPr>
          <w:sz w:val="18"/>
        </w:rPr>
        <w:t>——————————————————————————————————————————————————————————————————————</w:t>
      </w:r>
    </w:p>
    <w:p>
      <w:pPr>
        <w:spacing w:before="160" w:after="40" w:line="240" w:lineRule="auto"/>
      </w:pPr>
      <w:r>
        <w:rPr>
          <w:b/>
        </w:rPr>
        <w:t xml:space="preserve">[178] </w:t>
      </w:r>
      <w:hyperlink r:id="rId823">
        <w:r>
          <w:rPr>
            <w:color w:val="1155CC"/>
            <w:u w:val="single"/>
          </w:rPr>
          <w:t>HOMEODOMAIN-LIKE 塑造染色质结构并重新连接叶表皮图案</w:t>
        </w:r>
      </w:hyperlink>
    </w:p>
    <w:p>
      <w:pPr>
        <w:spacing w:before="0" w:after="80"/>
      </w:pPr>
      <w:r>
        <w:rPr>
          <w:i/>
          <w:sz w:val="20"/>
        </w:rPr>
        <w:t>EN: HOMEODOMAIN-LIKE shapes chromatin architecture and rewires leaf epidermal patterns</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在发育过程中，细胞平衡增殖和分化以产生不同的细胞类型，但如何微调这些转变仍不清楚。在拟南芥叶表皮中，气孔通过调节的细胞分裂形成，而路面细胞和毛状体通过分化产生，使该组织成为识别发育决策调节剂的易处理系统。在这里，我们鉴定了一种以前未表征的同源结构域样蛋白 HDL，它是通过与组蛋白脱乙酰酶 HDA6 和甲基转移酶 KRYPTONITE 相互作用来组织染色中心所必需的。 hdl 突变体表现出染色中心破坏和细胞分裂减少，导致气孔减少和毛状体形成增加。染色质免疫沉淀和 ATAC 测序揭示 HDL 相关区域的染色质可及性增加，而气孔谱系相关基因的可及性和表达降低。染色质状态和 H3K9me2 分析进一步表明 HDL 作为染色质组织者发挥作用，在活性和抑制性染色质结构域之间的界面上维持表观遗传平衡，从而塑造全基因组转录程序。总之，这些发现确定 HDL 是一种染色质相关因子，与染色质中心结构和发育可塑性的协调变化相关。</w:t>
      </w:r>
    </w:p>
    <w:p>
      <w:pPr>
        <w:spacing w:before="0" w:after="200" w:lineRule="auto" w:line="276"/>
      </w:pPr>
      <w:r>
        <w:rPr>
          <w:b/>
        </w:rPr>
        <w:t xml:space="preserve">Abstract (EN): </w:t>
      </w:r>
      <w:r>
        <w:t>During development, cells balance proliferation and differentiation to generate diverse cell types, yet how these transitions are fine-tuned remains unclear. In the Arabidopsis leaf epidermis, stomata form through regulated cell division, whereas pavement cells and trichomes arise through differentiation, making this tissue a tractable system for identifying modulators of developmental decisions. Here, we identified a previously uncharacterized homeodomain-like protein HDL, that is required for chromocenter organization through interactions with the histone deacetylase HDA6 and the methyltransferase KRYPTONITE. hdl mutants exhibit disrupted chromocenters and reduced cell division, resulting in fewer stomata and increased trichome formation. Chromatin immunoprecipitation and ATAC-sequencing reveal increased chromatin accessibility at HDL-associated regions and reduced accessibility and expression of stomatal lineage–related genes. Chromatin-state and H3K9me2 analyses further suggest that HDL functions as a chromatin organizer that maintains epigenetic balance at the interface between active and repressive chromatin domains, thereby shaping genome-wide transcriptional programs. Together, these findings identify HDL as a chromatin-associated factor linked to coordinated changes in chromocenter architecture and developmental plasticity.</w:t>
      </w:r>
    </w:p>
    <w:p>
      <w:pPr>
        <w:spacing w:before="120" w:after="120"/>
      </w:pPr>
      <w:r>
        <w:rPr>
          <w:sz w:val="18"/>
        </w:rPr>
        <w:t>——————————————————————————————————————————————————————————————————————</w:t>
      </w:r>
    </w:p>
    <w:p>
      <w:pPr>
        <w:spacing w:before="160" w:after="40" w:line="240" w:lineRule="auto"/>
      </w:pPr>
      <w:r>
        <w:rPr>
          <w:b/>
        </w:rPr>
        <w:t xml:space="preserve">[179] </w:t>
      </w:r>
      <w:hyperlink r:id="rId824">
        <w:r>
          <w:rPr>
            <w:color w:val="1155CC"/>
            <w:u w:val="single"/>
          </w:rPr>
          <w:t>使用非线性薄膜超表面对未检测到的光进行无相位匹配传感</w:t>
        </w:r>
      </w:hyperlink>
    </w:p>
    <w:p>
      <w:pPr>
        <w:spacing w:before="0" w:after="80"/>
      </w:pPr>
      <w:r>
        <w:rPr>
          <w:i/>
          <w:sz w:val="20"/>
        </w:rPr>
        <w:t>EN: Phase-matching-free sensing with undetected light using a nonlinear thin-film metasurface</w:t>
      </w:r>
    </w:p>
    <w:p>
      <w:pPr>
        <w:spacing w:before="0" w:after="120"/>
      </w:pPr>
      <w:r>
        <w:rPr>
          <w:b/>
        </w:rPr>
        <w:t xml:space="preserve">Source: </w:t>
      </w:r>
      <w:r>
        <w:t>Physical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在本文中，我们报告了使用来自等离子体超表面的四波混合在硅相机上以 580 nm 检测到的 1500 nm 波长的未检测到的光的经典传感。由于这种薄非线性材料的固有反射而产生的双向非线性散射改变了它们在非线性干涉仪内的操作。考虑双向性和脉冲照明的能见度理论模型可以准确预测系统中的能见度，作为近红外种子（惰轮）臂中传输的函数。对可见信号发射进行光谱解析可评估干涉仪内的总色散，凸显了利用未检测到的光子进行超快传感的前景。</w:t>
      </w:r>
    </w:p>
    <w:p>
      <w:pPr>
        <w:spacing w:before="0" w:after="200" w:lineRule="auto" w:line="276"/>
      </w:pPr>
      <w:r>
        <w:rPr>
          <w:b/>
        </w:rPr>
        <w:t xml:space="preserve">Abstract (EN): </w:t>
      </w:r>
      <w:r>
        <w:t>In this article, we report classical sensing with undetected light at a wavelength of 1500 nm, detected on a silicon camera at 580 nm, using four-wave mixing from a plasmonic metasurface. The bidirectional nonlinear scattering due to inherent reflections from such thin nonlinear materials modifies their operation within a nonlinear interferometer. The theoretical model for visibility accounting for bidirectionality as well as pulsed illumination accurately predicts visibility in the system as a function of transmission in the near-infrared seed (idler) arm. Spectrally resolving the visible signal emission evaluates the total dispersion within the interferometer, highlighting the prospect of ultrafast sensing with undetected photons.</w:t>
      </w:r>
    </w:p>
    <w:p>
      <w:pPr>
        <w:spacing w:before="120" w:after="120"/>
      </w:pPr>
      <w:r>
        <w:rPr>
          <w:sz w:val="18"/>
        </w:rPr>
        <w:t>——————————————————————————————————————————————————————————————————————</w:t>
      </w:r>
    </w:p>
    <w:p>
      <w:pPr>
        <w:spacing w:before="160" w:after="40" w:line="240" w:lineRule="auto"/>
      </w:pPr>
      <w:r>
        <w:rPr>
          <w:b/>
        </w:rPr>
        <w:t xml:space="preserve">[180] </w:t>
      </w:r>
      <w:hyperlink r:id="rId825">
        <w:r>
          <w:rPr>
            <w:color w:val="1155CC"/>
            <w:u w:val="single"/>
          </w:rPr>
          <w:t>中枢神经元的性别控制肠道生态位信号传导，从而驱动干细胞活性和癌症易感性的性别差异</w:t>
        </w:r>
      </w:hyperlink>
    </w:p>
    <w:p>
      <w:pPr>
        <w:spacing w:before="0" w:after="80"/>
      </w:pPr>
      <w:r>
        <w:rPr>
          <w:i/>
          <w:sz w:val="20"/>
        </w:rPr>
        <w:t>EN: Sex of central neurons controls intestinal niche signalling to drive sex differences in stem cell activity and cancer susceptibility</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非生殖器官中发生的癌症存在广泛的性别差异。虽然性激素和癌细胞的内在性别特征是公认的贡献者，但尚不清楚是否涉及其他机制。在这里，我们揭示了果蝇肿瘤发生模型中性别偏见癌症脆弱性的一个意想不到的来源。通过将遗传诱导的肿瘤与组织和细胞类型特异性的性别逆转相结合，我们发现肿瘤发生中的性别差异可以独立于性腺激素信号传导和肿瘤细胞本身的性别身份而产生。出乎意料的是，我们发现，传统上与​​交配行为相关的性别二态性神经元回路对于驱动性别偏向性肠道肿瘤的发生是必要且充分的。这些肠道支配神经元的性别通过刺激内脏肌肉中胰岛素样生长因子的局部产生来控制肿瘤的生长，内脏肌肉是肠道干细胞生态位的关键组成部分。我们的研究结果揭示了一类以前未被认识的促肿瘤输入：中枢神经元的性别可以重新编程外周肿瘤支持环境。在生理条件下，这种脑肠通路还以性别特异性方式调节干细胞活性和器官大小，以促进生殖。我们的工作开辟了一条新的研究路线，探索神经元性别（尤其是脑肠轴内的神经元性别）如何塑造生理学和疾病，这一领域仍然主要在男性背景下进行研究。</w:t>
      </w:r>
    </w:p>
    <w:p>
      <w:pPr>
        <w:spacing w:before="0" w:after="200" w:lineRule="auto" w:line="276"/>
      </w:pPr>
      <w:r>
        <w:rPr>
          <w:b/>
        </w:rPr>
        <w:t xml:space="preserve">Abstract (EN): </w:t>
      </w:r>
      <w:r>
        <w:t>Sex differences in cancers arising in non-reproductive organs are widespread. While sex hormones and the intrinsic sexual identity of cancer cells are well-established contributors, it is unknown whether other mechanisms are involved. Here, we reveal an unexpected source of sex-biased cancer vulnerability in a Drosophila model of tumorigenesis. By combining genetically induced tumours with tissue- and cell type-specific sex reversals, we show that sex differences in oncogenesis can arise independently of both gonadal hormone signalling and the sexual identity of tumour cells themselves. Unexpectedly, we find that a sexually dimorphic neuronal circuit, classically associated with mating behaviour, is both necessary and sufficient to drive sex-biased intestinal tumorigenesis. The sex of these gut-innervating neurons controls tumour growth by stimulating local production of an insulin-like growth factor in the visceral muscles, a key component of the intestinal stem cell niche. Our findings reveal a previously unrecognised class of tumour-promoting input: the sex of central neurons can reprogram peripheral tumour-supportive environments. Under physiological conditions, this brain–gut pathway also modulates stem cell activity and organ size in a sex-specific manner to promote reproduction. Our work opens a new line of inquiry into how neuronal sex, particularly within the brain–gut axis, shapes physiology and disease, a field still predominantly studied in a male-only context.</w:t>
      </w:r>
    </w:p>
    <w:p>
      <w:pPr>
        <w:spacing w:before="120" w:after="120"/>
      </w:pPr>
      <w:r>
        <w:rPr>
          <w:sz w:val="18"/>
        </w:rPr>
        <w:t>——————————————————————————————————————————————————————————————————————</w:t>
      </w:r>
    </w:p>
    <w:p>
      <w:pPr>
        <w:spacing w:before="160" w:after="40" w:line="240" w:lineRule="auto"/>
      </w:pPr>
      <w:r>
        <w:rPr>
          <w:b/>
        </w:rPr>
        <w:t xml:space="preserve">[181] </w:t>
      </w:r>
      <w:hyperlink r:id="rId826">
        <w:r>
          <w:rPr>
            <w:color w:val="1155CC"/>
            <w:u w:val="single"/>
          </w:rPr>
          <w:t>通过指导性血管 Wnt 信号传导控制分区肝功能的血流动力学</w:t>
        </w:r>
      </w:hyperlink>
    </w:p>
    <w:p>
      <w:pPr>
        <w:spacing w:before="0" w:after="80"/>
      </w:pPr>
      <w:r>
        <w:rPr>
          <w:i/>
          <w:sz w:val="20"/>
        </w:rPr>
        <w:t>EN: Haemodynamic control of zonated liver function via instructive vascular Wnt signalling</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血管内皮形成一个系统性分布的器官，将微环境因素转化为指导性线索，称为血管分泌信号传导。虽然基本上在所有主要器官中都发现了血管控制器官功能的机制，但将环境因素转化为血管分泌信号传导机制的机制在很大程度上仍然难以捉摸。在这里，我们着眼于成熟的血管生成素 Wnt 信号调节肝脏代谢分区范式，将血流诱导的血液动力学应激确定为控制肝窦内皮细胞 (LSEC) 血管生成素表达谱的生物物理传感器。将单细胞 RNA 测序与空间蛋白质组学相结合，我们生成了 LSEC Wnt 缺陷突变小鼠和同窝对照小鼠的 LSEC 和肝细胞的高分辨率串扰图。有趣的是，血管 Wnt 受体与血管分泌 Wnt 配体一样，在中央 LSEC 中特异性富集，增强了血管 Wnt 功能的空间协调。因此，血管 Wnt 以自分泌方式进一步调节血管分泌基因特征、LSEC 形态和间隙连接分子的表达。总而言之，这些数据将 LSEC 定义为动态细胞解码器，通过激活混杂的血管 Wnt 因子将生物物理力转化为指导性血管分泌信号。</w:t>
      </w:r>
    </w:p>
    <w:p>
      <w:pPr>
        <w:spacing w:before="0" w:after="200" w:lineRule="auto" w:line="276"/>
      </w:pPr>
      <w:r>
        <w:rPr>
          <w:b/>
        </w:rPr>
        <w:t xml:space="preserve">Abstract (EN): </w:t>
      </w:r>
      <w:r>
        <w:t>The vascular endothelium forms a systemically disseminated organ that translates micromilieu factors into instructive cues, designated as angiocrine signalling. While vascular control of organ function mechanisms have been discovered in essentially all major organs, the mechanisms of translating milieu factors into angiocrine signalling mechanisms remain largely elusive. Here, focussing on the well-established angiocrine Wnt signalling-regulated liver metabolic zonation paradigm, we identified blood flow-induced haemodynamic stress as a biophysical sensor that governs the angiocrine expression profile of liver sinusoidal endothelial cells (LSEC). Combining single-cell RNA sequencing with spatial proteomics, we generated a high-resolution crosstalk map of LSEC and hepatocytes from LSEC Wnt-deficient mutant mice and littermate controls. Intriguingly, vascular Wnt receptors, in parallel with angiocrine Wnt ligands, were specifically enriched in pericentral LSEC, enforcing the spatially coordinated vascular Wnt functions. Consequently, vascular Wnt further modulated angiocrine gene signatures, LSEC morphology, and the expression of gap junctional molecules in an autocrine manner. Taken together, the data define LSEC as a dynamic cellular decoder that translates biophysical forces into instructive angiocrine signals via activating promiscuous vascular Wnt factors.</w:t>
      </w:r>
    </w:p>
    <w:p>
      <w:pPr>
        <w:spacing w:before="120" w:after="120"/>
      </w:pPr>
      <w:r>
        <w:rPr>
          <w:sz w:val="18"/>
        </w:rPr>
        <w:t>——————————————————————————————————————————————————————————————————————</w:t>
      </w:r>
    </w:p>
    <w:p>
      <w:pPr>
        <w:spacing w:before="160" w:after="40" w:line="240" w:lineRule="auto"/>
      </w:pPr>
      <w:r>
        <w:rPr>
          <w:b/>
        </w:rPr>
        <w:t xml:space="preserve">[182] </w:t>
      </w:r>
      <w:hyperlink r:id="rId827">
        <w:r>
          <w:rPr>
            <w:color w:val="1155CC"/>
            <w:u w:val="single"/>
          </w:rPr>
          <w:t>酒精重塑代谢综合征相关肝细胞癌中的肝区可塑性和免疫代谢重编程</w:t>
        </w:r>
      </w:hyperlink>
    </w:p>
    <w:p>
      <w:pPr>
        <w:spacing w:before="0" w:after="80"/>
      </w:pPr>
      <w:r>
        <w:rPr>
          <w:i/>
          <w:sz w:val="20"/>
        </w:rPr>
        <w:t>EN: Alcohol reshapes liver zonal plasticity and immune-metabolic reprogramming in metabolic-syndrome associated hepatocellular carcinoma</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肝细胞癌 (HCC) 通常出现在代谢功能障碍相关的脂肪性肝炎 (MASH)、酒精相关的肝病 (ALD) 和代谢功能障碍相关的 ALD (MetALD) 中，但区域代谢程序如何控制肿瘤谱系和免疫反应仍不清楚。在这里，使用脂肪性肝炎相关肝癌发生的互补小鼠模型，我们表明 CTNNB1 突变型 MASH-HCC 通过静脉周重编程起源于门静脉周围和小叶中肝细胞。这种转变的特点是 β-连环蛋白激活、门静脉周围代谢功能丧失以及免疫抑制性 IDO1-犬尿氨酸-AhR 轴的诱导。相比之下，乙醇暴露会抑制静脉周围的异生素程序，破坏β-连环蛋白/AhR/CAR轴的稳定性，并通过产生祖细胞/胆汁和肝细胞来源的MetALD-HCC来增加肿瘤异质性，而这些细胞对抗程序性死亡-1（aPD1）疗法仍然敏感。药理学 AhR 抑制或肝细胞特异性 β-连环蛋白缺失可减轻 MASH-HCC 负担并恢复对 aPD1 治疗的敏感性。总之，这些发现确定 AhR 是 β-连环蛋白驱动的肿瘤免疫抑制的中心介质，也是 CTNNB1 突变型 HCC 的潜在治疗靶点，强调了酒精相关 HCC 中免疫逃逸的环境依赖性机制。</w:t>
      </w:r>
    </w:p>
    <w:p>
      <w:pPr>
        <w:spacing w:before="0" w:after="200" w:lineRule="auto" w:line="276"/>
      </w:pPr>
      <w:r>
        <w:rPr>
          <w:b/>
        </w:rPr>
        <w:t xml:space="preserve">Abstract (EN): </w:t>
      </w:r>
      <w:r>
        <w:t>Hepatocellular carcinoma (HCC) commonly arises in metabolic dysfunction-associated steatohepatitis (MASH), alcohol-related liver disease (ALD), and metabolic dysfunction-associated ALD (MetALD), yet how zonal metabolic programs govern tumor lineage and immune responses remains unclear. Here, using complementary murine models of steatohepatitis-associated hepatocarcinogenesis, we show that CTNNB1-mutant MASH-HCC originates from periportal and midlobular hepatocytes through perivenous reprogramming. This transition is characterized by β-catenin activation, loss of periportal metabolic functions, and induction of the immunosuppressive IDO1-kynurenine-AhR axis. In contrast, ethanol exposure suppresses perivenous xenobiotic programs, destabilizes the β-catenin/AhR/CAR axis, and increases tumor heterogeneity by generating both progenitor/biliary- and hepatocyte-derived MetALD-HCC that remain sensitive to anti-programmed death-1 (aPD1) therapy. Pharmacologic AhR inhibition or hepatocyte-specific β-catenin deletion reduces MASH-HCC burden and restores sensitivity to aPD1 treatment. Together, these findings identify AhR as a central mediator of β-catenin-driven tumor immunosuppression and a potential therapeutic target in CTNNB1-mutant HCC, highlighting context-dependent mechanisms of immune escape in alcohol-associated HCC.</w:t>
      </w:r>
    </w:p>
    <w:p>
      <w:pPr>
        <w:spacing w:before="120" w:after="120"/>
      </w:pPr>
      <w:r>
        <w:rPr>
          <w:sz w:val="18"/>
        </w:rPr>
        <w:t>——————————————————————————————————————————————————————————————————————</w:t>
      </w:r>
    </w:p>
    <w:p>
      <w:pPr>
        <w:spacing w:before="160" w:after="40" w:line="240" w:lineRule="auto"/>
      </w:pPr>
      <w:r>
        <w:rPr>
          <w:b/>
        </w:rPr>
        <w:t xml:space="preserve">[183] </w:t>
      </w:r>
      <w:hyperlink r:id="rId828">
        <w:r>
          <w:rPr>
            <w:color w:val="1155CC"/>
            <w:u w:val="single"/>
          </w:rPr>
          <w:t>增强的轴突线粒体运动和神经活动引起的能量缺乏破坏双相情感障碍模型中突触传递的稳定性</w:t>
        </w:r>
      </w:hyperlink>
    </w:p>
    <w:p>
      <w:pPr>
        <w:spacing w:before="0" w:after="80"/>
      </w:pPr>
      <w:r>
        <w:rPr>
          <w:i/>
          <w:sz w:val="20"/>
        </w:rPr>
        <w:t>EN: Enhanced axonal mitochondrial motility and neural activity-induced energy deficits destabilize synaptic transmission in models of bipolar disorder</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突触通讯需要线粒体在突触前末端提供 ATP 和缓冲钙。在双相情感障碍中，躁狂发作与情绪升高和神经活动有关，但潜在的细胞机制仍不清楚。在这里，我们发现，来自双相情感障碍供体的 hiPSC 来源的皮层神经元表现出轴突线粒体运动性增加和频繁的线粒体进出转换，从而减少了突触前末端稳定的线粒体保留。这会破坏局部 ATP 维持和钙缓冲的稳定性，在不改变平均突触强度的情况下增加突触变异性。小鼠神经元中双相情感障碍风险基因 AKAP11 的敲低再现了这些突触能量缺陷。来自患有双相情感障碍的供体的 HiPSC 来源的神经元表现出线粒体锚蛋白亲合蛋白 (SNPH) 的表达减少，并且 snph 敲除小鼠表现出躁狂样行为表型。锂可以恢复突触前线粒体保留，改善 ATP 维持，挽救突触变异性并逆转行为表型。这些发现支持突触前线粒体保留受损和活动诱导的突触能量缺陷是导致双相情感障碍的细胞机制。</w:t>
      </w:r>
    </w:p>
    <w:p>
      <w:pPr>
        <w:spacing w:before="0" w:after="200" w:lineRule="auto" w:line="276"/>
      </w:pPr>
      <w:r>
        <w:rPr>
          <w:b/>
        </w:rPr>
        <w:t xml:space="preserve">Abstract (EN): </w:t>
      </w:r>
      <w:r>
        <w:t>Synaptic communication requires mitochondria to supply ATP and buffer calcium at presynaptic terminals. In bipolar disorder, manic episodes are associated with elevated mood and neural activity, but the underlying cellular mechanisms remain unclear. Here we show that hiPSC-derived cortical neurons from donors with bipolar disorder exhibit increased axonal mitochondrial motility and frequent mitochondrial entry–exit transitions, reducing stable mitochondrial retention at presynaptic terminals. This destabilizes local ATP maintenance and calcium buffering, increasing synaptic variability without altering mean synaptic strength. Knockdown of the bipolar disorder risk gene AKAP11 in mouse neurons reproduced these synaptoenergetic deficits. HiPSC-derived neurons from donors with bipolar disorder exhibited reduced expression of the mitochondrial anchor protein syntaphilin(SNPH), and snph knockout mice displayed manic-like behavioral phenotypes. Lithium restored presynaptic mitochondrial retention, improved ATP maintenance, rescued synaptic variability, and reversed behavioral phenotypes. These findings support impaired presynaptic mitochondrial retention and activity-induced synaptoenergetic deficits as cellular mechanisms contributing to bipolar disorder.</w:t>
      </w:r>
    </w:p>
    <w:p>
      <w:pPr>
        <w:spacing w:before="120" w:after="120"/>
      </w:pPr>
      <w:r>
        <w:rPr>
          <w:sz w:val="18"/>
        </w:rPr>
        <w:t>——————————————————————————————————————————————————————————————————————</w:t>
      </w:r>
    </w:p>
    <w:p>
      <w:pPr>
        <w:spacing w:before="160" w:after="40" w:line="240" w:lineRule="auto"/>
      </w:pPr>
      <w:r>
        <w:rPr>
          <w:b/>
        </w:rPr>
        <w:t xml:space="preserve">[184] </w:t>
      </w:r>
      <w:hyperlink r:id="rId829">
        <w:r>
          <w:rPr>
            <w:color w:val="1155CC"/>
            <w:u w:val="single"/>
          </w:rPr>
          <w:t>III 型聚酮合酶的进化变异性和决定论的案例研究</w:t>
        </w:r>
      </w:hyperlink>
    </w:p>
    <w:p>
      <w:pPr>
        <w:spacing w:before="0" w:after="80"/>
      </w:pPr>
      <w:r>
        <w:rPr>
          <w:i/>
          <w:sz w:val="20"/>
        </w:rPr>
        <w:t>EN: A case study of evolutionary variability and determinism among type III polyketide synthases</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相同酶活性的重复进化代表了跨不同谱系的强大决定论模型，但其潜在的进化轨迹仍然知之甚少。在这里，我们通过体外酶测定从十字花科植物中鉴定出三种形成 3-氧代-戊二酸 (OGA) 的 III 型聚酮合酶 (PKS)。结构-功能分析与比较基因组学相结合表明，在这些 PKS 的进化过程中，OGA 和三乙酸内酯 (TAL) 形成活性之间存在很强的相关性。关键活性位点残基的进化变化使得功能能够从TAL形成活性转变为OGA形成活性。有趣的是，进一步的查耳酮合酶活性测定和对来自其他植物谱系的 PKS 的扩展探索表明，形成 OGA 的 PKS 可能以谱系特异性方式从查尔酮合酶的内在 TAL 形成活性反复进化而来。这种进化特征可能有助于解释维管植物中反复出现的形成OGA的PKS，并提供对植物同源同工酶独立进化轨迹的深入了解。</w:t>
      </w:r>
    </w:p>
    <w:p>
      <w:pPr>
        <w:spacing w:before="0" w:after="200" w:lineRule="auto" w:line="276"/>
      </w:pPr>
      <w:r>
        <w:rPr>
          <w:b/>
        </w:rPr>
        <w:t xml:space="preserve">Abstract (EN): </w:t>
      </w:r>
      <w:r>
        <w:t>Repeated evolution of the same enzymatic activity represents a powerful model of determinism across diverse lineages, yet its underlying evolutionary trajectories remain poorly understood. Here we identified three 3-oxo-glutaric acid (OGA)-forming type III polyketide synthases (PKSs) from Brassicaceae plants through in vitro enzyme assays. Structure–function analysis combined with comparative genomics indicates a strong correlation between OGA- and triacetic acid lactone (TAL)-forming activities during the evolution of these PKSs. An evolutionary change in a key active-site residue enables a functional switch from TAL-forming activity to OGA-forming activity. Intriguingly, further chalcone synthase activity assays and expanded exploration of PKSs from additional plant lineages suggest that OGA-forming PKSs may have evolved repeatedly from the intrinsic TAL-forming activity of chalcone synthases in a lineage-specific manner. This evolutionary feature may help explain the recurrent emergence of OGA-forming PKSs in vascular plants and provide insight into the trajectories underlying the independent evolution of homologous isoenzymes in plants.</w:t>
      </w:r>
    </w:p>
    <w:p>
      <w:pPr>
        <w:spacing w:before="120" w:after="120"/>
      </w:pPr>
      <w:r>
        <w:rPr>
          <w:sz w:val="18"/>
        </w:rPr>
        <w:t>——————————————————————————————————————————————————————————————————————</w:t>
      </w:r>
    </w:p>
    <w:p>
      <w:pPr>
        <w:spacing w:before="160" w:after="40" w:line="240" w:lineRule="auto"/>
      </w:pPr>
      <w:r>
        <w:rPr>
          <w:b/>
        </w:rPr>
        <w:t xml:space="preserve">[185] </w:t>
      </w:r>
      <w:hyperlink r:id="rId830">
        <w:r>
          <w:rPr>
            <w:color w:val="1155CC"/>
            <w:u w:val="single"/>
          </w:rPr>
          <w:t>Zanidatamab 治疗早期 HER2 阳性乳腺癌患者：NeoZanHER 2 期单臂开放标签试验</w:t>
        </w:r>
      </w:hyperlink>
    </w:p>
    <w:p>
      <w:pPr>
        <w:spacing w:before="0" w:after="80"/>
      </w:pPr>
      <w:r>
        <w:rPr>
          <w:i/>
          <w:sz w:val="20"/>
        </w:rPr>
        <w:t>EN: Zanidatamab in patients with early stage HER2-positive breast cancer: the NeoZanHER phase 2 single-arm open-label trial</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需要采取策略来避免早期 HER2 阳性 (HER2 + ) 乳腺癌 (BC) 的化疗。我们对 1-3 cm 淋巴结阴性 HER2 + BC 患者进行了一项使用 zanidatamab（一种针对 HER2 的双特异性抗体）的新辅助治疗试验。主要终点是病理完全缓解（pCR）。次要终点是超声和磁共振成像的放射学反应。 US 和 MRI、残余癌症负荷 (RCB) 的病理反应、不良事件发生率、应计可行性和反应生物标志物。 15 名 HER2 IHC 3 + 患者和 5 名 HER2 IHC 2 + /ISH + BC 患者入组。患者每 2 周接受 zanidatamab 20 mg/kg，共 6 剂（n = 11）或 10 剂（n = 9）。十四名患者还接受了内分泌治疗。 6周时，肿瘤大小和体积显着减小。手术时，6 名患者 (30%) 达到 pCR，达到预先设定的 pCR 目标，4 名患者 RCB 有限 (RCB-1；20%)。治疗耐受性良好。所有 pCR 患者均具有 HER2 IHC 3+ 肿瘤、WES 上的 ERBB2 扩增、PAM50 HER2 高亚型以及 HER2 mRNA 表达较高的趋势 (p = 0.06)。总之，降级至单独 HER2 靶向治疗可能是可行的。需要进一步研究来完善患者选择。该研究已在 ClinicalTrials.gov 上注册 (NCT05035836)。</w:t>
      </w:r>
    </w:p>
    <w:p>
      <w:pPr>
        <w:spacing w:before="0" w:after="200" w:lineRule="auto" w:line="276"/>
      </w:pPr>
      <w:r>
        <w:rPr>
          <w:b/>
        </w:rPr>
        <w:t xml:space="preserve">Abstract (EN): </w:t>
      </w:r>
      <w:r>
        <w:t>Strategies are needed to avoid chemotherapy in early stage HER2-positive (HER2 + ) breast cancer (BC). We conducted a neoadjuvant therapy trial with zanidatamab, a dual HER2-directed bispecific antibody, in patients with 1-3 cm, node-negative HER2 + BC. Primary endpoint was pathologic complete response (pCR). Secondary endpoints were radiographic response by ultrasound and magnetic resonance imaging. US and MRI, pathologic response by residual cancer burden (RCB), rate of adverse events, feasibility of accrual and biomarkers of response. Fifteen patients with HER2 IHC 3 + , and 5 with HER2 IHC 2 + /ISH + BC were enrolled. Patients received zanidatamab 20 mg/kg every 2 weeks for 6 (n = 11) or 10 doses (n = 9). Fourteen patients also received endocrine therapy. At 6 weeks, there was a significant decrease in tumor size and volume. At surgery, six patients (30%) had pCR, meeting the prespecified pCR target, and four had limited RCB (RCB-1; 20%). Treatment was well tolerated. All patients with pCR had HER2 IHC 3+ tumors, ERBB2 amplification on WES, PAM50 HER2-high subtype, and a trend towards higher HER2 mRNA expression (p = 0.06). In conclusion, de-escalation to HER2-targeted therapy alone may be feasible. Further research is needed to refine patient selection. This study is registered at ClinicalTrials.gov (NCT05035836).</w:t>
      </w:r>
    </w:p>
    <w:p>
      <w:pPr>
        <w:spacing w:before="120" w:after="120"/>
      </w:pPr>
      <w:r>
        <w:rPr>
          <w:sz w:val="18"/>
        </w:rPr>
        <w:t>——————————————————————————————————————————————————————————————————————</w:t>
      </w:r>
    </w:p>
    <w:p>
      <w:pPr>
        <w:spacing w:before="160" w:after="40" w:line="240" w:lineRule="auto"/>
      </w:pPr>
      <w:r>
        <w:rPr>
          <w:b/>
        </w:rPr>
        <w:t xml:space="preserve">[186] </w:t>
      </w:r>
      <w:hyperlink r:id="rId831">
        <w:r>
          <w:rPr>
            <w:color w:val="1155CC"/>
            <w:u w:val="single"/>
          </w:rPr>
          <w:t>细胞外基质介导的应激在空间上偏向成肌细胞融合和肌管生长</w:t>
        </w:r>
      </w:hyperlink>
    </w:p>
    <w:p>
      <w:pPr>
        <w:spacing w:before="0" w:after="80"/>
      </w:pPr>
      <w:r>
        <w:rPr>
          <w:i/>
          <w:sz w:val="20"/>
        </w:rPr>
        <w:t>EN: Extracellular-matrix mediated stresses spatially bias myoblast fusion and myotube growth</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成肌细胞融合成多核肌管对于骨骼肌的发育和修复至关重要，但组织尺度力学如何促进这一过程仍知之甚少。在这里，我们证明原代成肌细胞表现为一个不断进化的活跃向列系统，其中肌动球蛋白依赖性应激、细胞外基质（ECM）重塑和融合驱动的肌管生长是动态耦合的。随着成肌细胞融合成细长的肌管，方向顺序增加，向列场逐渐重塑。我们确定了细胞和 ECM 向列组织之间的强耦合，从而依赖于细胞骨架的 ECM 重塑稳定了拓扑缺陷并强化了其相关的应力模式。聚变事件优先聚集在彗星形+1/2缺陷附近，这对应于我们的理论模型预测的高压应力区域。我们的研究结果支持一个模型，其中内在聚变机制提供聚变能力，而 ECM 稳定的向列应力模式在空间上偏置聚变事件的定位。然后，融合驱动的肌管生长反馈给机械景观，增加线虫长度和应力大小。总之，这些结果揭示了一种自我强化的生物力学机制，有助于成肌细胞融合和肌管生长的组织，与发育和再生形态发生具有潜在相关性。</w:t>
      </w:r>
    </w:p>
    <w:p>
      <w:pPr>
        <w:spacing w:before="0" w:after="200" w:lineRule="auto" w:line="276"/>
      </w:pPr>
      <w:r>
        <w:rPr>
          <w:b/>
        </w:rPr>
        <w:t xml:space="preserve">Abstract (EN): </w:t>
      </w:r>
      <w:r>
        <w:t>Myoblast fusion into multinucleated myotubes is essential for skeletal muscle development and repair, yet how tissue-scale mechanics contributes to this process remains poorly understood. Here, we show that primary myoblasts behave as an evolving active nematic system in which actomyosin-dependent stresses, extracellular-matrix (ECM) remodeling and fusion-driven myotube growth are dynamically coupled. As myoblasts fuse into elongated myotubes, orientational order increases and the nematic field is progressively reshaped. We identify a strong coupling between cellular and ECM nematic organization, whereby cytoskeleton-dependent ECM remodeling stabilizes topological defects and reinforces their associated stress patterns. Fusion events preferentially accumulate near comet-shaped +1/2 defects, which correspond to regions of high compressive stress predicted by our theoretical model. Our findings support a model in which the intrinsic fusion machinery provides fusion competence, while ECM-stabilized nematic stress patterns spatially bias the localization of fusion events. Fusion-driven myotube growth then feeds back on the mechanical landscape, increasing nematogen length and stress magnitude. Together, these results reveal a self-reinforcing biomechanical mechanism that contributes to the organization of myoblast fusion and myotube growth, with potential relevance for developmental and regenerative morphogenesis.</w:t>
      </w:r>
    </w:p>
    <w:p>
      <w:pPr>
        <w:spacing w:before="120" w:after="120"/>
      </w:pPr>
      <w:r>
        <w:rPr>
          <w:sz w:val="18"/>
        </w:rPr>
        <w:t>——————————————————————————————————————————————————————————————————————</w:t>
      </w:r>
    </w:p>
    <w:p>
      <w:pPr>
        <w:spacing w:before="160" w:after="40" w:line="240" w:lineRule="auto"/>
      </w:pPr>
      <w:r>
        <w:rPr>
          <w:b/>
        </w:rPr>
        <w:t xml:space="preserve">[187] </w:t>
      </w:r>
      <w:hyperlink r:id="rId832">
        <w:r>
          <w:rPr>
            <w:color w:val="1155CC"/>
            <w:u w:val="single"/>
          </w:rPr>
          <w:t>细胞因子自身抗体的遗传结构和常见疾病的相关风险</w:t>
        </w:r>
      </w:hyperlink>
    </w:p>
    <w:p>
      <w:pPr>
        <w:spacing w:before="0" w:after="80"/>
      </w:pPr>
      <w:r>
        <w:rPr>
          <w:i/>
          <w:sz w:val="20"/>
        </w:rPr>
        <w:t>EN: Genetic architecture of cytokine autoantibodies and associated risk of common diseases</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抗细胞因子自身抗体越来越被认为是免疫功能的调节剂和疾病风险的决定因素，但其遗传基础和人群水平的影响仍不清楚。在这里，我们对来自丹麦献血者研究的 15,000 名个体的 IL-1α、IL-6、IL-10、IFN-α、IFN-β、IFN-γ 和 GM-CSF 自身抗体进行全基因组关联研究。我们鉴定了 52 个全基因组重要位点，涉及抗原呈递途径中丰富的基因。利用这些数据，我们得出了细胞因子特异性多基因风险评分，并评估了哥本哈根医院生物银行 300,000 名个体之间的关联。 IL-1α自身抗体的遗传倾向与类风湿性关节炎和某些癌症的风险降低相关，而IL-6自身抗体的遗传倾向与糖尿病风险增加相关，这反映了先前的临床观察结果。这些发现定义了抗细胞因子自身抗体的遗传结构，并表明它们在人群规模上对人类疾病风险的不同影响，为机制研究和潜在的临床分层提供了框架。</w:t>
      </w:r>
    </w:p>
    <w:p>
      <w:pPr>
        <w:spacing w:before="0" w:after="200" w:lineRule="auto" w:line="276"/>
      </w:pPr>
      <w:r>
        <w:rPr>
          <w:b/>
        </w:rPr>
        <w:t xml:space="preserve">Abstract (EN): </w:t>
      </w:r>
      <w:r>
        <w:t>Anti-cytokine autoantibodies are increasingly recognized as modulators of immune function and determinants of disease risk, yet their genetic basis and population-level impact remain unclear. Here we perform genome-wide association studies of autoantibodies against IL-1α, IL-6, IL-10, IFN-α, IFN-β, IFN-γ and GM-CSF in 15,000 individuals from the Danish Blood Donor Study. We identify 52 genome-wide significant loci, implicating genes enriched in antigen-presentation pathways. Using these data, we derive cytokine-specific polygenic risk scores and evaluate their associations across 300,000 individuals in the Copenhagen Hospital Biobank. Genetic predisposition to IL-1α autoantibodies is associated with reduced risk of rheumatoid arthritis and certain cancers, whereas genetic predisposition to IL-6 autoantibodies is associated with increased risk of diabetes, mirroring prior clinical observations. These findings define the genetic architecture of anti-cytokine autoantibodies and indicate their divergent effects on human disease risk at population scale, providing a framework for mechanistic investigation and potential clinical stratification.</w:t>
      </w:r>
    </w:p>
    <w:p>
      <w:pPr>
        <w:spacing w:before="120" w:after="120"/>
      </w:pPr>
      <w:r>
        <w:rPr>
          <w:sz w:val="18"/>
        </w:rPr>
        <w:t>——————————————————————————————————————————————————————————————————————</w:t>
      </w:r>
    </w:p>
    <w:p>
      <w:pPr>
        <w:spacing w:before="160" w:after="40" w:line="240" w:lineRule="auto"/>
      </w:pPr>
      <w:r>
        <w:rPr>
          <w:b/>
        </w:rPr>
        <w:t xml:space="preserve">[188] </w:t>
      </w:r>
      <w:hyperlink r:id="rId833">
        <w:r>
          <w:rPr>
            <w:color w:val="1155CC"/>
            <w:u w:val="single"/>
          </w:rPr>
          <w:t>具有高分辨率法布里-珀罗滤色器阵列的百万像素快照高光谱成像</w:t>
        </w:r>
      </w:hyperlink>
    </w:p>
    <w:p>
      <w:pPr>
        <w:spacing w:before="0" w:after="80"/>
      </w:pPr>
      <w:r>
        <w:rPr>
          <w:i/>
          <w:sz w:val="20"/>
        </w:rPr>
        <w:t>EN: Megapixel snapshot hyperspectral imaging with high resolution Fabry–Pérot color filter array</w:t>
      </w:r>
    </w:p>
    <w:p>
      <w:pPr>
        <w:spacing w:before="0" w:after="120"/>
      </w:pPr>
      <w:r>
        <w:rPr>
          <w:b/>
        </w:rPr>
        <w:t xml:space="preserve">Source: </w:t>
      </w:r>
      <w:r>
        <w:t>National Science Review Advance Access</w:t>
      </w:r>
      <w:r>
        <w:t xml:space="preserve">    </w:t>
      </w:r>
      <w:r>
        <w:rPr>
          <w:b/>
        </w:rPr>
        <w:t xml:space="preserve">Pub date: </w:t>
      </w:r>
      <w:r>
        <w:t>2026-08-22 00:00:00+00:00</w:t>
      </w:r>
      <w:r>
        <w:t xml:space="preserve">    </w:t>
      </w:r>
      <w:r>
        <w:rPr>
          <w:b/>
        </w:rPr>
        <w:t xml:space="preserve">DOI: </w:t>
      </w:r>
      <w:hyperlink r:id="rId834">
        <w:r>
          <w:rPr>
            <w:color w:val="1155CC"/>
            <w:u w:val="single"/>
          </w:rPr>
          <w:t>10.1093/nsr/nwag526</w:t>
        </w:r>
      </w:hyperlink>
    </w:p>
    <w:p>
      <w:pPr>
        <w:spacing w:before="0" w:after="120"/>
      </w:pPr>
      <w:r>
        <w:rPr>
          <w:b/>
        </w:rPr>
        <w:t xml:space="preserve">Notes: </w:t>
      </w:r>
      <w:r>
        <w:t>abstract_source=rss_oup</w:t>
      </w:r>
    </w:p>
    <w:p>
      <w:pPr>
        <w:spacing w:before="0" w:after="80" w:lineRule="auto" w:line="276"/>
      </w:pPr>
      <w:r>
        <w:rPr>
          <w:b/>
        </w:rPr>
        <w:t xml:space="preserve">摘要（ZH）: </w:t>
      </w:r>
      <w:r>
        <w:t>在快照高光谱成像领域，一个长期的追求目标是开发具有高空间分辨率和大传感器尺寸的先进光谱信息编码元件。在各种策略中，法布里-珀罗（F-P）腔彩色滤光片具有高透过率和窄滤色功能，是一个有前途的平台。然而，利用多层沉积方法制作F-P彩色滤光片极具挑战性。在这里，我们证明了可以通过单步灰度电子束光刻来制造兼容商用传感器的 F-P 腔滤色器阵列。在概念验证实验中，空间分辨率为5.2 µm × 5.2 µm、像素数为126万的银-电介质-银F-P彩色滤光片阵列成功用于演示高光谱成像功能。由于电子束直径为数十纳米级别，F-P腔的像素尺寸可小至3.45 µm × 3.45 µm，甚至更小。该方法在高分辨率快照高光谱成像以及光学检测、遥感、生物医学成像等相关应用中具有巨大潜力。</w:t>
      </w:r>
    </w:p>
    <w:p>
      <w:pPr>
        <w:spacing w:before="0" w:after="200" w:lineRule="auto" w:line="276"/>
      </w:pPr>
      <w:r>
        <w:rPr>
          <w:b/>
        </w:rPr>
        <w:t xml:space="preserve">Abstract (EN): </w:t>
      </w:r>
      <w:r>
        <w:t>In the field of snapshot hyperspectral imaging, a long pursuit objective is to develop advanced spectral information encoding elements with both high spatial resolution and large sensor size. Among various strategies, Fabry–Pérot (F–P) cavity color filter, which has both high transmittance and narrow color filtering function, represents a promising platform. However, it is extremely challenging to make F–P color filters by using multi-layer deposition method. Here, we demonstrate that a commercial sensor compatible F–P cavity color filter array can be fabricated through the single-step grayscale electron beam lithography. In the proof of concept experiment, the silver–dielectric–silver F–P color filter array, which has spatial resolution of 5.2 µm × 5.2 µm and pixel number of 1.26 million, is successfully used to demonstrate the hyperspectral imaging function. As the diameter of the electron beam is at the level of tens of nanometers, the pixel size of the F–P cavity can be down to 3.45 µm × 3.45 µm and even further. The proposed method may have great potential in high-resolution snapshot hyperspectral imaging and related applications in optical inspection, remote sensing, biomedical imaging, and so on.</w:t>
      </w:r>
    </w:p>
    <w:p>
      <w:pPr>
        <w:spacing w:before="120" w:after="120"/>
      </w:pPr>
      <w:r>
        <w:rPr>
          <w:sz w:val="18"/>
        </w:rPr>
        <w:t>——————————————————————————————————————————————————————————————————————</w:t>
      </w:r>
    </w:p>
    <w:p>
      <w:pPr>
        <w:spacing w:before="160" w:after="40" w:line="240" w:lineRule="auto"/>
      </w:pPr>
      <w:r>
        <w:rPr>
          <w:b/>
        </w:rPr>
        <w:t xml:space="preserve">[189] </w:t>
      </w:r>
      <w:hyperlink r:id="rId835">
        <w:r>
          <w:rPr>
            <w:color w:val="1155CC"/>
            <w:u w:val="single"/>
          </w:rPr>
          <w:t>气候驱动的风和热带气旋造成的沿海波浪危害不断上升</w:t>
        </w:r>
      </w:hyperlink>
    </w:p>
    <w:p>
      <w:pPr>
        <w:spacing w:before="0" w:after="80"/>
      </w:pPr>
      <w:r>
        <w:rPr>
          <w:i/>
          <w:sz w:val="20"/>
        </w:rPr>
        <w:t>EN: Rising Coastal Wave Hazards from Climate-Driven Winds and Tropical Cyclones</w:t>
      </w:r>
    </w:p>
    <w:p>
      <w:pPr>
        <w:spacing w:before="0" w:after="120"/>
      </w:pPr>
      <w:r>
        <w:rPr>
          <w:b/>
        </w:rPr>
        <w:t xml:space="preserve">Source: </w:t>
      </w:r>
      <w:r>
        <w:t>National Science Review Advance Access</w:t>
      </w:r>
      <w:r>
        <w:t xml:space="preserve">    </w:t>
      </w:r>
      <w:r>
        <w:rPr>
          <w:b/>
        </w:rPr>
        <w:t xml:space="preserve">Pub date: </w:t>
      </w:r>
      <w:r>
        <w:t>2026-08-22 00:00:00+00:00</w:t>
      </w:r>
      <w:r>
        <w:t xml:space="preserve">    </w:t>
      </w:r>
      <w:r>
        <w:rPr>
          <w:b/>
        </w:rPr>
        <w:t xml:space="preserve">DOI: </w:t>
      </w:r>
      <w:hyperlink r:id="rId836">
        <w:r>
          <w:rPr>
            <w:color w:val="1155CC"/>
            <w:u w:val="single"/>
          </w:rPr>
          <w:t>10.1093/nsr/nwag528</w:t>
        </w:r>
      </w:hyperlink>
    </w:p>
    <w:p>
      <w:pPr>
        <w:spacing w:before="0" w:after="120"/>
      </w:pPr>
      <w:r>
        <w:rPr>
          <w:b/>
        </w:rPr>
        <w:t xml:space="preserve">Notes: </w:t>
      </w:r>
      <w:r>
        <w:t>abstract_source=rss_oup</w:t>
      </w:r>
    </w:p>
    <w:p>
      <w:pPr>
        <w:spacing w:before="0" w:after="80" w:lineRule="auto" w:line="276"/>
      </w:pPr>
      <w:r>
        <w:rPr>
          <w:b/>
        </w:rPr>
        <w:t xml:space="preserve">摘要（ZH）: </w:t>
      </w:r>
      <w:r>
        <w:t>沿海波浪风暴是一种强烈、持久的危害，威胁着全世界人口稠密的海岸线。在全球变暖的情况下，大规模的风型正在改变和改变海洋表面波浪。然而，沿海波浪风暴的长期演变及其变化的驱动因素在全球范围内仍然缺乏量化。在这里，我们使用 1990-2023 年修正的热带气旋风的全球波浪模拟显示，全球沿海波浪风暴频率增加，其中大西洋沿岸的上升幅度最大（约 5%/十年）。这种流域范围内的增强主要是由近岸风增强驱动的，而热带气旋则起到了额外的放大器的作用。结合频率、持续时间和强度的变化，我们将黄海-东海和西北大西洋沿岸确定为快速加剧的波浪危害的新兴热点。我们的研究结果为将沿海波浪风暴趋势归因于风暴环境的变化提供了第一个全球范围的基线，从而为预警系统提供信息并指导持续气候变化下的适应策略。</w:t>
      </w:r>
    </w:p>
    <w:p>
      <w:pPr>
        <w:spacing w:before="0" w:after="200" w:lineRule="auto" w:line="276"/>
      </w:pPr>
      <w:r>
        <w:rPr>
          <w:b/>
        </w:rPr>
        <w:t xml:space="preserve">Abstract (EN): </w:t>
      </w:r>
      <w:r>
        <w:t>Coastal wave storms are intense, long-lasting hazards that threaten populated shorelines worldwide. Under global warming, large-scale wind patterns are changing and modifying ocean surface waves. However, the long-term evolution of coastal wave storms and the drivers of their change remain poorly quantified on global scales. Here, using global wave simulations with corrected tropical-cyclone winds for 1990-2023, we show that coastal wave storm frequency increases worldwide, with the strongest rise along the Atlantic coasts (∼5%/decade). This basin-wide enhancement is primarily driven by intensified nearshore winds, while tropical cyclones act as an additional amplifier. Combining changes in frequency, duration and intensity, we identify the Yellow Sea-East China Sea and the Northwest Atlantic coasts as emerging hotspots of rapidly intensifying wave hazards. Our findings provide the first global-scale baseline for attributing coastal wave-storm trends to changes in the wind-storm environment, thereby informing early-warning systems and guiding adaptation strategies under continued climate change.</w:t>
      </w:r>
    </w:p>
    <w:p>
      <w:pPr>
        <w:spacing w:before="120" w:after="120"/>
      </w:pPr>
      <w:r>
        <w:rPr>
          <w:sz w:val="18"/>
        </w:rPr>
        <w:t>——————————————————————————————————————————————————————————————————————</w:t>
      </w:r>
    </w:p>
    <w:p>
      <w:pPr>
        <w:spacing w:before="160" w:after="40" w:line="240" w:lineRule="auto"/>
      </w:pPr>
      <w:r>
        <w:rPr>
          <w:b/>
        </w:rPr>
        <w:t xml:space="preserve">[190] </w:t>
      </w:r>
      <w:hyperlink r:id="rId837">
        <w:r>
          <w:rPr>
            <w:color w:val="1155CC"/>
            <w:u w:val="single"/>
          </w:rPr>
          <w:t>全球土壤种子库的丰富度和密度存在差异</w:t>
        </w:r>
      </w:hyperlink>
    </w:p>
    <w:p>
      <w:pPr>
        <w:spacing w:before="0" w:after="80"/>
      </w:pPr>
      <w:r>
        <w:rPr>
          <w:i/>
          <w:sz w:val="20"/>
        </w:rPr>
        <w:t>EN: Divergent patterns of richness and density in the global soil seed bank</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土壤种子库是植物种群和群落动态的重要组成部分，可以缓冲时间异质性并允许种群在干扰后恢复。与此同时，土壤种子库的模式可能反映了地上植被的尺度依赖性模式，而世界各地区的模式差异很大。在这里，我们研究了全球生物群落和生态系统土壤种子库多样性的组成部分。我们发现土壤种子库中物种丰富度的模式与种子密度的模式不同，尽管我们的结果表明存在高度的不确定性，特别是在较小的空间尺度上。重要的是，我们表明栖息地退化始终与丰富度降低有关，可能限制未来生态系统的恢复。在生态系统中，地中海和热带地区物种丰富度较高，但湿地和耕地系统土壤中种子密度 m−2 最高。我们发现，以短命种子为特征的高多样性热带生物群落和植被更稳定的低多样性北方和苔原生物群落中的种子密度较低。我们对全球生物群落物种丰富度和种子密度之间差异的发现，以及它们如何受到栖息地退化的影响，为了解全球植物多样性提供了宝贵的见解。</w:t>
      </w:r>
    </w:p>
    <w:p>
      <w:pPr>
        <w:spacing w:before="0" w:after="200" w:lineRule="auto" w:line="276"/>
      </w:pPr>
      <w:r>
        <w:rPr>
          <w:b/>
        </w:rPr>
        <w:t xml:space="preserve">Abstract (EN): </w:t>
      </w:r>
      <w:r>
        <w:t>Soil seed banks are an important component of plant population and community dynamics, buffering temporal heterogeneity and allowing populations to recover following disturbance. At the same time, patterns in soil seed banks are likely to reflect scale-dependent patterns in above-ground vegetation, patterns that differ strongly across world regions. Here, we investigate components of diversity in the soil seed bank across global biomes and ecosystems. We find that patterns of species richness in the soil seed bank diverge from patterns of seed density, although our results indicate high levels of uncertainty, especially at smaller spatial scales. Importantly, we show that habitat degradation is consistently associated with lower richness, potentially limiting future ecosystem recovery. Among ecosystems, Mediterranean and tropical regions exhibit high species richness, but seed density m−2 in the soil is highest in wetlands and arable systems. We identify lower seed densities in both high-diversity tropical biomes that are characterised by short-lived seeds, and low-diversity boreal and tundra biomes with more stable established vegetation. Our findings of divergences between species richness and seed density across global biomes, and how they are impacted by habitat degradation, give valuable insights to the understanding of plant biodiversity worldwide.</w:t>
      </w:r>
    </w:p>
    <w:p>
      <w:pPr>
        <w:spacing w:before="120" w:after="120"/>
      </w:pPr>
      <w:r>
        <w:rPr>
          <w:sz w:val="18"/>
        </w:rPr>
        <w:t>——————————————————————————————————————————————————————————————————————</w:t>
      </w:r>
    </w:p>
    <w:p>
      <w:pPr>
        <w:spacing w:before="160" w:after="40" w:line="240" w:lineRule="auto"/>
      </w:pPr>
      <w:r>
        <w:rPr>
          <w:b/>
        </w:rPr>
        <w:t xml:space="preserve">[191] </w:t>
      </w:r>
      <w:hyperlink r:id="rId838">
        <w:r>
          <w:rPr>
            <w:color w:val="1155CC"/>
            <w:u w:val="single"/>
          </w:rPr>
          <w:t>通过网络分析和核磁共振波谱绘制 p38 α 激酶内的动态变构图</w:t>
        </w:r>
      </w:hyperlink>
    </w:p>
    <w:p>
      <w:pPr>
        <w:spacing w:before="0" w:after="80"/>
      </w:pPr>
      <w:r>
        <w:rPr>
          <w:i/>
          <w:sz w:val="20"/>
        </w:rPr>
        <w:t>EN: Mapping of dynamic allostery within p38 alpha kinase via network analyses and NMR spectroscopy</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激酶是主要的药物靶点，尤其是在癌症治疗中。然而，其活性位点的高度保守阻碍了选择性抑制剂的开发，激发了对激酶构象整体和变构通讯途径的更深入了解。在这里，我们使用动态网络分析来识别参与连接 MAP 激酶 p38α 主要功能单元的 N 叶和 C 叶之间动态变构的关键残基。通过结合核磁共振波谱、活性测定以及在存在或不存在活性位点抑制剂的情况下对野生型蛋白质和突变体进行计算机分析，我们通过实验验证了所获得的整体蛋白质运动和长程变构调节的结构。值得注意的是，所识别的网络突出了跨多个功能位点的通信途径，主要涉及变构位点、激活环，甚至是 C 叶中嵌入隐性口袋的脂质结合域。这些发现提供了对 p38α 变构的机制见解，并为合理设计 MAP 激酶变构调节剂提供了可行的机会。</w:t>
      </w:r>
    </w:p>
    <w:p>
      <w:pPr>
        <w:spacing w:before="0" w:after="200" w:lineRule="auto" w:line="276"/>
      </w:pPr>
      <w:r>
        <w:rPr>
          <w:b/>
        </w:rPr>
        <w:t xml:space="preserve">Abstract (EN): </w:t>
      </w:r>
      <w:r>
        <w:t>Kinases are major drug targets especially in cancer therapy. However, the high degree of conservation of their active sites hinders the development of selective inhibitors, motivating a deeper understanding of kinase conformational ensembles and allosteric communication pathways. Here, we use dynamical network analysis to identify key residues involved in a dynamic allostery between the N- and C-lobes that connects the major functional units of the MAP kinase p38α. By combining NMR spectroscopy, activity assays, and in silico analysis of wildtype protein and mutants in the presence or absence of an active-site inhibitor, we experimentally validate the obtained architecture with respect to global protein motion and long-range allosteric modulation. Notably, the identified network highlights communication pathways across several functional sites, prominently involving the allosteric site, the activation loop, and even the lipid-binding domain with its embedded cryptic pocket in the C-lobe. These findings provide mechanistic insight into p38α allostery and suggest viable opportunities for the rational design of allosteric modulators of MAP kinases.</w:t>
      </w:r>
    </w:p>
    <w:p>
      <w:pPr>
        <w:spacing w:before="120" w:after="120"/>
      </w:pPr>
      <w:r>
        <w:rPr>
          <w:sz w:val="18"/>
        </w:rPr>
        <w:t>——————————————————————————————————————————————————————————————————————</w:t>
      </w:r>
    </w:p>
    <w:p>
      <w:pPr>
        <w:spacing w:before="160" w:after="40" w:line="240" w:lineRule="auto"/>
      </w:pPr>
      <w:r>
        <w:rPr>
          <w:b/>
        </w:rPr>
        <w:t xml:space="preserve">[192] </w:t>
      </w:r>
      <w:hyperlink r:id="rId839">
        <w:r>
          <w:rPr>
            <w:color w:val="1155CC"/>
            <w:u w:val="single"/>
          </w:rPr>
          <w:t>LRR 截短的 NLR 天然变体赋予水稻对干旱和稻瘟病的双重抗性</w:t>
        </w:r>
      </w:hyperlink>
    </w:p>
    <w:p>
      <w:pPr>
        <w:spacing w:before="0" w:after="80"/>
      </w:pPr>
      <w:r>
        <w:rPr>
          <w:i/>
          <w:sz w:val="20"/>
        </w:rPr>
        <w:t>EN: An LRR-truncated NLR natural variant confers dual resistance to drought and blast in rice</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气候变化对水稻等主要作物同时造成非生物和生物胁迫，从而威胁全球粮食安全。具有抗旱和抗稻瘟病双重作用的遗传资源很少，限制了气候适应作物的发展。在这里，通过全基因组关联研究，我们鉴定了 NLR8-Hap2，这是水稻抗性基因 NLR8 的天然等位基因，可增强对干旱和稻瘟病的抵抗力。 NLR8-Hap2 编码序列中的单碱基缺失会产生提前终止密码子，导致蛋白质缺乏 C 端富含亮氨酸的重复 (LRR) 结构域。 NLR8-Hap2 的双重保护作用源于与 OsbHLH148 和 OsBIHD1 的增强关联和稳定性，分别调节耐旱性和稻瘟病防御。 NLR8-Hap2 渗入优良籼稻和粳稻品种可显着提高双胁迫抗性，在正常田间条件下不会出现可检测到的产量损失。总之，这些发现凸显了 NLR8-Hap2 作为开发抗多重胁迫水稻的遗传资源。</w:t>
      </w:r>
    </w:p>
    <w:p>
      <w:pPr>
        <w:spacing w:before="0" w:after="200" w:lineRule="auto" w:line="276"/>
      </w:pPr>
      <w:r>
        <w:rPr>
          <w:b/>
        </w:rPr>
        <w:t xml:space="preserve">Abstract (EN): </w:t>
      </w:r>
      <w:r>
        <w:t>Climate change threatens global food security by imposing concurrent abiotic and biotic stresses on major crops such as rice. Genetic resources conferring dual resistance to drought and blast disease are rare, limiting the development of climate-resilient crops. Here, using a genome-wide association study, we identify NLR8-Hap2, a natural allele of the rice resistance gene NLR8 that enhances resistance to drought and blast disease. A single-base deletion in the NLR8-Hap2 coding sequence generates a premature stop codon, resulting in a protein lacking the C-terminal leucine-rich repeat (LRR) domain. The dual protective effects of NLR8-Hap2 arise from the enhanced association with and stabilization of OsbHLH148 and OsBIHD1, which regulate drought tolerance and blast defense, respectively. Introgression of NLR8-Hap2 into elite indica and japonica rice cultivars significantly improves dual-stress resistance without detectable yield penalties under normal field conditions. Together, these findings highlight NLR8-Hap2 as a genetic resource for developing multi-stress-resilient rice.</w:t>
      </w:r>
    </w:p>
    <w:p>
      <w:pPr>
        <w:spacing w:before="120" w:after="120"/>
      </w:pPr>
      <w:r>
        <w:rPr>
          <w:sz w:val="18"/>
        </w:rPr>
        <w:t>——————————————————————————————————————————————————————————————————————</w:t>
      </w:r>
    </w:p>
    <w:p>
      <w:pPr>
        <w:spacing w:before="160" w:after="40" w:line="240" w:lineRule="auto"/>
      </w:pPr>
      <w:r>
        <w:rPr>
          <w:b/>
        </w:rPr>
        <w:t xml:space="preserve">[193] </w:t>
      </w:r>
      <w:hyperlink r:id="rId840">
        <w:r>
          <w:rPr>
            <w:color w:val="1155CC"/>
            <w:u w:val="single"/>
          </w:rPr>
          <w:t>XPO1介导的TRIM21核输出通过靶向IRF3重新编程TREM2+巨噬细胞极化以增强小细胞肺癌中的抗PD-1功效</w:t>
        </w:r>
      </w:hyperlink>
    </w:p>
    <w:p>
      <w:pPr>
        <w:spacing w:before="0" w:after="80"/>
      </w:pPr>
      <w:r>
        <w:rPr>
          <w:i/>
          <w:sz w:val="20"/>
        </w:rPr>
        <w:t>EN: XPO1-mediated TRIM21 nuclear export reprograms TREM2+ macrophage polarization by targeting IRF3 to augment anti-PD-1 efficacy in small cell lung cancer</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小细胞肺癌（SCLC）是一种侵袭性恶性肿瘤，由于其免疫抑制肿瘤微环境，对免疫检查点抑制剂（ICI）治疗反应不佳。在这里，我们分析了临床前小鼠肿瘤模型和患者来源的 SCLC 样本，并确定 Exportin 1 (XPO1) 作为 SCLC 免疫抑制的调节剂。从机制上讲，XPO1 驱动 TRIM21 的核输出，从而实现 TRIM21 依赖性的 IRF3 蛋白酶体降解并抑制免疫刺激细胞因子 TNFSF15。 TNFSF15 的缺失会促进 TREM2+ 巨噬细胞极化，从而减弱肿瘤细胞中巨噬细胞依赖性 IFN-γ-STAT1 信号传导和 MHC I 类表达。药理学或基因 XPO1 阻断可恢复 TNFSF15，限制 TREM2+ 巨噬细胞分化，重新激活抗原呈递，并增强临床前小鼠模型中的抗 PD-1 功效。因此，我们的研究结果将 XPO1 依赖性核输出与 TREM2+ 巨噬细胞极化联系起来，并支持在 SCLC 中结合 ICI 评估 XPO1 抑制作用。</w:t>
      </w:r>
    </w:p>
    <w:p>
      <w:pPr>
        <w:spacing w:before="0" w:after="200" w:lineRule="auto" w:line="276"/>
      </w:pPr>
      <w:r>
        <w:rPr>
          <w:b/>
        </w:rPr>
        <w:t xml:space="preserve">Abstract (EN): </w:t>
      </w:r>
      <w:r>
        <w:t>Small cell lung cancer (SCLC) is an aggressive malignancy that responds poorly to immune checkpoint inhibitor (ICI) therapy, due to its immunosuppressive tumor microenvironment. Here, we analyse preclinical mouse tumor models and patient-derived SCLC samples and identify Exportin 1 (XPO1) as a regulator of immune suppression in SCLC. Mechanistically, XPO1 drives the nuclear export of TRIM21, enabling TRIM21-dependent proteasomal degradation of IRF3 and repressing the immunostimulatory cytokine TNFSF15. Loss of TNFSF15 promotes TREM2+ macrophage polarization, which subsequently attenuates macrophage-dependent IFN-γ-STAT1 signaling and MHC class I expression in tumor cells. Pharmacological or genetic XPO1 blockade restores TNFSF15, constrains TREM2+ macrophage differentiation, reactivates antigen presentation, and enhances anti-PD-1 efficacy in preclinical mouse models. Thus, our findings link XPO1-dependent nuclear export to TREM2+ macrophage polarization and support evaluation of XPO1 inhibition in combination with ICIs in SCLC.</w:t>
      </w:r>
    </w:p>
    <w:p>
      <w:pPr>
        <w:spacing w:before="120" w:after="120"/>
      </w:pPr>
      <w:r>
        <w:rPr>
          <w:sz w:val="18"/>
        </w:rPr>
        <w:t>——————————————————————————————————————————————————————————————————————</w:t>
      </w:r>
    </w:p>
    <w:p>
      <w:pPr>
        <w:spacing w:before="160" w:after="40" w:line="240" w:lineRule="auto"/>
      </w:pPr>
      <w:r>
        <w:rPr>
          <w:b/>
        </w:rPr>
        <w:t xml:space="preserve">[194] </w:t>
      </w:r>
      <w:hyperlink r:id="rId841">
        <w:r>
          <w:rPr>
            <w:color w:val="1155CC"/>
            <w:u w:val="single"/>
          </w:rPr>
          <w:t>天然 MS 揭示 StARD 磷脂转运蛋白的差异脂质选择性</w:t>
        </w:r>
      </w:hyperlink>
    </w:p>
    <w:p>
      <w:pPr>
        <w:spacing w:before="0" w:after="80"/>
      </w:pPr>
      <w:r>
        <w:rPr>
          <w:i/>
          <w:sz w:val="20"/>
        </w:rPr>
        <w:t>EN: Differential lipid selectivity of StARD phospholipid transporters revealed by native MS</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真核生物的细胞内脂质转运主要由脂质转移蛋白（LTP）介导。脂质种类之间的运输动力学存在显着差异，这意味着相关蛋白质对脂质进行选择性识别。在这里，我们通过多级天然质谱 (MS) 表征了人类磷脂转运蛋白 STARD2、STARD7 和 STARD10 的内源配体。我们的结果表明，它们表现出独特的脂质选择性，STARD7 结合多种磷脂，而 STARD2 和 STARD10 优先分别与多不饱和磷脂和二不饱和磷脂共纯化。我们将这种酰基链选择性与组织特异性 LTP 表达模式联系起来，并表明 LTP 表达水平调节脂质代谢。通过定点诱变和分子动力学模拟，我们进一步鉴定了保守的精氨酸，它对于 STARD7 中的磷脂结合至关重要，但在 STARD2 和 STARD10 中是可有可无的。为了研究 LTP 活性的调节，我们通过天然自上而下 MS 绘制了磷酸化位点，发现 STARD2 和 STARD10 在膜结合区域被磷酸化。基于脂质体的测定表明，磷酸化消除了 STARD10 的脂质转移活性，并且脂质选择性影响不同脂质探针的转移速率。总之，我们的结果表明，LTP 表现出独特的脂质结合偏好，并表明细胞通过调节 LTP 表达水平和活性来微调脂质稳态。</w:t>
      </w:r>
    </w:p>
    <w:p>
      <w:pPr>
        <w:spacing w:before="0" w:after="200" w:lineRule="auto" w:line="276"/>
      </w:pPr>
      <w:r>
        <w:rPr>
          <w:b/>
        </w:rPr>
        <w:t xml:space="preserve">Abstract (EN): </w:t>
      </w:r>
      <w:r>
        <w:t>Intracellular lipid transport in eukaryotes is largely mediated by lipid transfer proteins (LTPs). Transport kinetics differ markedly among lipid species, implying selective lipid recognition by the involved proteins. Here, we characterize endogenous ligands of the human phospholipid transporters STARD2, STARD7, and STARD10 by multistage native mass spectrometry (MS). Our results demonstrate that they exhibit distinct lipid selectivities, with STARD7 binding a broad range of phospholipids, whereas STARD2 and STARD10 preferentially copurify with poly- and di-unsaturated phospholipids, respectively. We link this acyl chain selectivity to tissue-specific LTP expression patterns and show that LTP expression levels modulate lipid metabolism. Through site-directed mutagenesis and molecular dynamics simulations, we further identify a conserved arginine that is essential for phospholipid binding in STARD7 but dispensable in STARD2 and STARD10. To investigate regulation of LTP activity, we mapped phosphorylation sites by native top-down MS and found that STARD2 and STARD10 are phosphorylated in membrane-binding regions. Liposome-based assays revealed that phosphorylation abolishes lipid transfer activity of STARD10 and that lipid selectivity influences the transfer rates of different lipid probes. Together, our results demonstrate that LTPs exhibit distinct lipid binding preferences and suggest that cells finely tune lipid homeostasis by regulating LTP expression levels and activity.</w:t>
      </w:r>
    </w:p>
    <w:p>
      <w:pPr>
        <w:spacing w:before="120" w:after="120"/>
      </w:pPr>
      <w:r>
        <w:rPr>
          <w:sz w:val="18"/>
        </w:rPr>
        <w:t>——————————————————————————————————————————————————————————————————————</w:t>
      </w:r>
    </w:p>
    <w:p>
      <w:pPr>
        <w:spacing w:before="160" w:after="40" w:line="240" w:lineRule="auto"/>
      </w:pPr>
      <w:r>
        <w:rPr>
          <w:b/>
        </w:rPr>
        <w:t xml:space="preserve">[195] </w:t>
      </w:r>
      <w:hyperlink r:id="rId842">
        <w:r>
          <w:rPr>
            <w:color w:val="1155CC"/>
            <w:u w:val="single"/>
          </w:rPr>
          <w:t>垃圾填埋场：塑料垃圾的时间胶囊，但微塑料的产生源</w:t>
        </w:r>
      </w:hyperlink>
    </w:p>
    <w:p>
      <w:pPr>
        <w:spacing w:before="0" w:after="80"/>
      </w:pPr>
      <w:r>
        <w:rPr>
          <w:i/>
          <w:sz w:val="20"/>
        </w:rPr>
        <w:t>EN: Landfill: time capsule of plastic waste but microplastic generation source</w:t>
      </w:r>
    </w:p>
    <w:p>
      <w:pPr>
        <w:spacing w:before="0" w:after="120"/>
      </w:pPr>
      <w:r>
        <w:rPr>
          <w:b/>
        </w:rPr>
        <w:t xml:space="preserve">Source: </w:t>
      </w:r>
      <w:r>
        <w:t>Earth and environmental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垃圾填埋场是微塑料的重要陆地来源，充当“泄漏时间胶囊”，不断将污染物释放到周围的生态系统中。在这里，我们建立了一个预测模型来动态量化垃圾填埋场中微塑料的产生。通过校准大型垃圾填埋场 31 年的原位跟踪以及对全国 37 个垃圾填埋场的实地调查，我们系统地识别了中国微塑料生成的空间模式。华东地区是主要热点地区，占微塑料总量的 45.6%。沿海地区的垃圾填埋场尽管仅占总填埋场总数的 8.3%，但占全国微塑料库存的近三分之一。尽管积极减少源头和就地修复，到2050年将全国微塑料含量减少46.4%，但沿海地区的高风险垃圾填埋场仍然对这些措施不敏感。这些发现凸显了采取差异化区域控制措施以有效减轻垃圾填埋场微塑料污染的必要性。</w:t>
      </w:r>
    </w:p>
    <w:p>
      <w:pPr>
        <w:spacing w:before="0" w:after="200" w:lineRule="auto" w:line="276"/>
      </w:pPr>
      <w:r>
        <w:rPr>
          <w:b/>
        </w:rPr>
        <w:t xml:space="preserve">Abstract (EN): </w:t>
      </w:r>
      <w:r>
        <w:t>Landfills act as critical terrestrial sources of microplastics, functioning as “leaky time capsules” continuously releasing pollutants into surrounding ecosystems. Here, we establish a prediction model to dynamically quantify microplastic generation in landfills. By calibrating 31 years of in-situ tracking at a large-scale landfill together with a nationwide field investigation across 37 landfills, we systematically identify the spatial patterns of microplastic generation in China. East China acts as a primary hotspot contributing 45.6% of the total microplastic stock. Landfills in coastal areas account for nearly one-third of the national microplastic stock despite representing only 8.3% of the total sites. Although aggressive source reduction and in-situ remediation reduce the national microplastic by 46.4% by 2050, high-risk landfills in coastal areas remain insensitive to these measures. These findings highlight the necessity of differentiated regional control measures to effectively mitigate landfill-sourced microplastic pollution.</w:t>
      </w:r>
    </w:p>
    <w:p>
      <w:pPr>
        <w:spacing w:before="120" w:after="120"/>
      </w:pPr>
      <w:r>
        <w:rPr>
          <w:sz w:val="18"/>
        </w:rPr>
        <w:t>——————————————————————————————————————————————————————————————————————</w:t>
      </w:r>
    </w:p>
    <w:p>
      <w:pPr>
        <w:spacing w:before="160" w:after="40" w:line="240" w:lineRule="auto"/>
      </w:pPr>
      <w:r>
        <w:rPr>
          <w:b/>
        </w:rPr>
        <w:t xml:space="preserve">[196] </w:t>
      </w:r>
      <w:hyperlink r:id="rId843">
        <w:r>
          <w:rPr>
            <w:color w:val="1155CC"/>
            <w:u w:val="single"/>
          </w:rPr>
          <w:t>大肠杆菌大电导机械敏感通道门控机制的结构基础</w:t>
        </w:r>
      </w:hyperlink>
    </w:p>
    <w:p>
      <w:pPr>
        <w:spacing w:before="0" w:after="80"/>
      </w:pPr>
      <w:r>
        <w:rPr>
          <w:i/>
          <w:sz w:val="20"/>
        </w:rPr>
        <w:t>EN: Structural basis of the gating mechanism of the large-conductance mechanosensitive channel from Escherichia coli</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大电导机械敏感通道 (MscL) 是一种张力门控、成孔蛋白，可充当安全阀，保护细菌免遭渗透裂解。大肠杆菌 MscL (EcMscL) 是第一个被发现的机械敏感通道，随后作为理解机械传感的模型系统，成为装饰最多和研究最多的系统之一。尽管几十年来对 EcMscL 门控的精确机制进行了广泛的生物物理和功能表征，但由于缺乏高分辨率的结构信息，人们对 EcMscL 门控的精确机制知之甚少。在此，我们通过冷冻电镜解析了 DMPC 和 DOPC 脂质纳米盘中闭合构象的两个 EcMscL 结构。使用 PELDOR/DEER 光谱，我们筛选条件并确定在 DSPC 脂质中，EcMscL 构象整体偏离闭合状态，并且存在类开放状态。我们通过冷冻电镜解析了膨胀状态的结构，揭示了一种具有与之前的电生理学报告一致的孔隙特性的结构。通过结合氢-氘交换质谱和分子动力学模拟，我们研究了脂质双层中 EcMscL 门控的动力学，识别了参与闭合到扩展转变的位点。结合起来，这使我们能够了解 EcMscL 机械敏感通道功能的难以捉摸的结构机制。</w:t>
      </w:r>
    </w:p>
    <w:p>
      <w:pPr>
        <w:spacing w:before="0" w:after="200" w:lineRule="auto" w:line="276"/>
      </w:pPr>
      <w:r>
        <w:rPr>
          <w:b/>
        </w:rPr>
        <w:t xml:space="preserve">Abstract (EN): </w:t>
      </w:r>
      <w:r>
        <w:t>The mechanosensitive channel of large conductance (MscL) is a tension-gated, pore-forming protein that acts as a safety valve to protect bacteria from osmotic lysis. Escherichia coli MscL (EcMscL) was the first mechanosensitive channel discovered and subsequently served as a model system for understanding mechanical sensing, becoming one of the most decorated and well-studied systems. Despite extensive biophysical and functional characterisation spanning several decades, the precise mechanism of EcMscL gating has been poorly understood due to the lack of high-resolution structural information. Herein, we solve two EcMscL structures by cryoEM in the closed conformation in DMPC and DOPC lipid nanodiscs. Using PELDOR/DEER spectroscopy, we screen conditions and identify that in DSPC lipids, the EcMscL conformational ensemble shifts away from the closed state and that open-like states are present. We solve the structure in an expanded state by cryoEM, revealing an architecture with pore properties consistent with previous electrophysiology reports. By combining hydrogen-deuterium exchange mass spectrometry and molecular dynamics simulations, we investigate the dynamics of EcMscL gating in lipid bilayers, identifying sites involved in the closed-to-expanded transition. Combined, this enables us to inform on the elusive structural mechanism of EcMscL mechanosensitive channel function.</w:t>
      </w:r>
    </w:p>
    <w:p>
      <w:pPr>
        <w:spacing w:before="120" w:after="120"/>
      </w:pPr>
      <w:r>
        <w:rPr>
          <w:sz w:val="18"/>
        </w:rPr>
        <w:t>——————————————————————————————————————————————————————————————————————</w:t>
      </w:r>
    </w:p>
    <w:p>
      <w:pPr>
        <w:spacing w:before="160" w:after="40" w:line="240" w:lineRule="auto"/>
      </w:pPr>
      <w:r>
        <w:rPr>
          <w:b/>
        </w:rPr>
        <w:t xml:space="preserve">[197] </w:t>
      </w:r>
      <w:hyperlink r:id="rId844">
        <w:r>
          <w:rPr>
            <w:color w:val="1155CC"/>
            <w:u w:val="single"/>
          </w:rPr>
          <w:t>NHR-49/HNF4α 的体细胞检查点控制线虫的生殖投资和寿命</w:t>
        </w:r>
      </w:hyperlink>
    </w:p>
    <w:p>
      <w:pPr>
        <w:spacing w:before="0" w:after="80"/>
      </w:pPr>
      <w:r>
        <w:rPr>
          <w:i/>
          <w:sz w:val="20"/>
        </w:rPr>
        <w:t>EN: A somatic checkpoint through NHR-49/HNF4α governs reproductive investment and longevity in C. elegans</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核激素受体 NHR-49 是哺乳动物 PPARα 和 HNF4α 的同源物，是秀丽隐杆线虫营养感应和脂肪酸代谢的关键转录调节因子。在这里，我们研究了 NHR-49 在生殖中的作用，包括卵母细胞激活和排卵。 NHR-49 的缺失会导致卵母细胞不适当的激活，并在没有精子的情况下产下未受精的卵母细胞，导致卵黄和储存的脂肪迅速流失，并急剧缩短寿命。相反，阻止卵黄转移到卵母细胞中很大程度上可以恢复脂肪储存，并部分挽救 nhr-49 突变体的寿命。此外，NHR-49 将种系增殖与营养状况联系起来，其在饥饿时暂停种系增殖的要求就证明了这一点。有趣的是，NHR-49 主要作用于体细胞，而不是生殖系本身，以调节卵母细胞激活和排卵。组合基因组分析确定 GSA-1（一种 G 蛋白 α s 亚基 (Gαs)）是 NHR-49 的直接转录靶标，强调了代谢传感、生育力和长寿维持之间的机制联系。</w:t>
      </w:r>
    </w:p>
    <w:p>
      <w:pPr>
        <w:spacing w:before="0" w:after="200" w:lineRule="auto" w:line="276"/>
      </w:pPr>
      <w:r>
        <w:rPr>
          <w:b/>
        </w:rPr>
        <w:t xml:space="preserve">Abstract (EN): </w:t>
      </w:r>
      <w:r>
        <w:t>The nuclear hormone receptor NHR-49, a homolog of mammalian PPARα and HNF4α, is a key transcriptional regulator of nutrition sensing and fatty acid metabolism in Caenorhabditis elegans. Here, we examine the role of NHR-49 in reproduction, including oocyte activation and ovulation. Loss of NHR-49 causes inappropriate oocyte activation and laying of unfertilized oocytes in the absence of sperm, resulting in rapid loss of yolk and stored fat, and drastic shortening of lifespan. Conversely, prevention of yolk transfer into the oocytes largely restores fat storage and partially rescues lifespan in the nhr-49 mutants. Additionally, NHR-49 couples germline proliferation to nutritional status, as evidenced by its requirement for pausing germline proliferation upon starvation. Interestingly, NHR-49 primarily acts in somatic cells, rather than the germline itself, to regulate oocyte activation and ovulation. Combined genomic analyses identify GSA-1, a G protein alpha s subunit (Gαs), as a direct transcriptional target of NHR-49 highlighting a mechanistic link between metabolic sensing, fertility and longevity maintenance.</w:t>
      </w:r>
    </w:p>
    <w:p>
      <w:pPr>
        <w:spacing w:before="120" w:after="120"/>
      </w:pPr>
      <w:r>
        <w:rPr>
          <w:sz w:val="18"/>
        </w:rPr>
        <w:t>——————————————————————————————————————————————————————————————————————</w:t>
      </w:r>
    </w:p>
    <w:p>
      <w:pPr>
        <w:spacing w:before="160" w:after="40" w:line="240" w:lineRule="auto"/>
      </w:pPr>
      <w:r>
        <w:rPr>
          <w:b/>
        </w:rPr>
        <w:t xml:space="preserve">[198] </w:t>
      </w:r>
      <w:hyperlink r:id="rId845">
        <w:r>
          <w:rPr>
            <w:color w:val="1155CC"/>
            <w:u w:val="single"/>
          </w:rPr>
          <w:t>组蛋白 H4 赖氨酸 20 三甲基化可保障乳腺癌谱系保真度和未折叠蛋白反应</w:t>
        </w:r>
      </w:hyperlink>
    </w:p>
    <w:p>
      <w:pPr>
        <w:spacing w:before="0" w:after="80"/>
      </w:pPr>
      <w:r>
        <w:rPr>
          <w:i/>
          <w:sz w:val="20"/>
        </w:rPr>
        <w:t>EN: Histone H4 lysine 20 tri-methylation safeguards breast cancer lineage fidelity and unfolded protein response</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三阴性乳腺癌（TNBC）的预后较差，有效的治疗方法也很少，部分原因是表观遗传异质性。我们发现，在正常和恶性乳腺组织中，异染色质标记 H4K20me3 比 H3K9me3 的变异性更大，并且 H4K20me3 富集区域与更开放的染色质和活跃的转录相关。用 A-196 对 H4K20me3 甲基转移酶 KMT5B 和 KMT5C 进行药理学抑制，可减少参与谱系识别、应激反应和细胞周期的位点上的 H4K20me3 并增加 H4K20me1。 A-196 抑制体内肿瘤生长，同时促进间充质特征和未折叠蛋白反应 (UPR)。多组学分析显示间充质 TNBC 具有最低的 H4K20me3 水平和对 UPR 应激的最高敏感性。在基础 TNBC 中，KMT5B 和 5 C 抑制通过 E2F4 驱动间质转化并升高内质网应激相关的生长停滞。将 A-196 与 HSP90、IRAK4 抑制剂或 STING 激动剂联合使用可协同减少 TNBC 肿瘤生长。这些发现提名 KMT5B 和 5C 作为 TNBC 有希望的治疗靶点。</w:t>
      </w:r>
    </w:p>
    <w:p>
      <w:pPr>
        <w:spacing w:before="0" w:after="200" w:lineRule="auto" w:line="276"/>
      </w:pPr>
      <w:r>
        <w:rPr>
          <w:b/>
        </w:rPr>
        <w:t xml:space="preserve">Abstract (EN): </w:t>
      </w:r>
      <w:r>
        <w:t>Triple-negative breast cancer (TNBC) has poor outcomes and few effective treatments, partly because of epigenetic heterogeneity. We show that the heterochromatin mark H4K20me3 is more variable than H3K9me3 across normal and malignant breast tissues, and that H4K20me3-enriched regions are linked to more open chromatin and active transcription. Pharmacologic inhibition of the H4K20me3 methyltransferases KMT5B and KMT5C with A-196 decreases H4K20me3 and increases H4K20me1 at loci involved in lineage identity, stress responses, and the cell cycle. A-196 suppresses tumor growth in vivo while promoting mesenchymal features and the unfolded protein response (UPR). Multi-omic profiling shows that mesenchymal TNBCs have the lowest H4K20me3 levels and the greatest sensitivity to UPR stress. In basal TNBC, KMT5B&amp;5 C inhibition drives mesenchymal transition and elevated endoplasmic reticulum stress–associated growth arrest via E2F4. Combining A-196 with the HSP90, IRAK4 inhibitors, or STING agonist synergistically reduces TNBC tumor growth. These findings nominate KMT5B&amp;5C as promising therapeutic targets in TNBC.</w:t>
      </w:r>
    </w:p>
    <w:p>
      <w:pPr>
        <w:spacing w:before="120" w:after="120"/>
      </w:pPr>
      <w:r>
        <w:rPr>
          <w:sz w:val="18"/>
        </w:rPr>
        <w:t>——————————————————————————————————————————————————————————————————————</w:t>
      </w:r>
    </w:p>
    <w:p>
      <w:pPr>
        <w:spacing w:before="160" w:after="40" w:line="240" w:lineRule="auto"/>
      </w:pPr>
      <w:r>
        <w:rPr>
          <w:b/>
        </w:rPr>
        <w:t xml:space="preserve">[199] </w:t>
      </w:r>
      <w:hyperlink r:id="rId846">
        <w:r>
          <w:rPr>
            <w:color w:val="1155CC"/>
            <w:u w:val="single"/>
          </w:rPr>
          <w:t>CX3CR1⁺ CD8⁺细胞毒性T细胞在新辅助治疗期间驱动食管鳞状细胞癌的肿瘤杀伤</w:t>
        </w:r>
      </w:hyperlink>
    </w:p>
    <w:p>
      <w:pPr>
        <w:spacing w:before="0" w:after="80"/>
      </w:pPr>
      <w:r>
        <w:rPr>
          <w:i/>
          <w:sz w:val="20"/>
        </w:rPr>
        <w:t>EN: CX3CR1⁺ CD8⁺ cytotoxic T cells drive tumor killing in esophageal squamous cell carcinoma during neoadjuvant therapy</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食管鳞状细胞癌（ESCC）中的免疫检查点抑制剂（ICI）反应变化很大，治疗敏感性背后的免疫机制仍不清楚。在这里，我们使用来自 3 期新辅助试验的 52 名食管鳞癌患者的单细胞 RNA、T 细胞受体和全外显子组测序表明，治疗反应与协调的肿瘤微环境重塑相关。应答者表现出细胞毒性 CX3CR1⁺CD8⁺ T 细胞克隆型的丰度和克隆富集增加，同时治疗后 CXCL13⁺CD8⁺ T 细胞状态的频率和克隆优势降低。 CX3CR1⁺CD8⁺ T 细胞积聚与 CX3CL1–CX3CR1 信号传导相关，并得到功能、小鼠模型和外周血验证的支持。基因组分析将较高的癌细胞分数突变负担和新抗原丰度与反应联系起来，与治疗后免疫编辑一致。肿瘤上皮分化状态和基质重塑也与治疗结果相关。这些发现确定了与反应相关的 CX3CR1⁺CD8⁺ 细胞毒性效应器状态，可能为 ESCC 中基于 ICI 的新辅助治疗提供信息。</w:t>
      </w:r>
    </w:p>
    <w:p>
      <w:pPr>
        <w:spacing w:before="0" w:after="200" w:lineRule="auto" w:line="276"/>
      </w:pPr>
      <w:r>
        <w:rPr>
          <w:b/>
        </w:rPr>
        <w:t xml:space="preserve">Abstract (EN): </w:t>
      </w:r>
      <w:r>
        <w:t>Immune checkpoint inhibitor (ICI) responses in esophageal squamous cell carcinoma (ESCC) are highly variable, and the immune mechanisms underlying therapeutic sensitivity remain unclear. Here we show, using single-cell RNA, T-cell receptor and whole-exome sequencing of 52 ESCC patients from a phase 3 neoadjuvant trial, that treatment response is associated with coordinated tumor microenvironment remodeling. Responders exhibit increased abundance and clonal enrichment of cytotoxic CX3CR1⁺CD8⁺ T-cell clonotypes, accompanied by reduced frequency and clonal dominance of exhausted CXCL13⁺CD8⁺ T-cell states after treatment. CX3CR1⁺CD8⁺ T-cell accumulation is associated with CX3CL1–CX3CR1 signaling and supported by functional, mouse-model and peripheral blood validation. Genomic analyses link higher cancer cell fraction mutation burden and neoantigen abundance to response, consistent with post-treatment immune editing. Tumor epithelial differentiation states and stromal remodeling are also associated with therapeutic outcome. These findings identify a response-associated CX3CR1⁺CD8⁺ cytotoxic effector state that may inform neoadjuvant ICI-based therapy in ESCC.</w:t>
      </w:r>
    </w:p>
    <w:p>
      <w:pPr>
        <w:spacing w:before="120" w:after="120"/>
      </w:pPr>
      <w:r>
        <w:rPr>
          <w:sz w:val="18"/>
        </w:rPr>
        <w:t>——————————————————————————————————————————————————————————————————————</w:t>
      </w:r>
    </w:p>
    <w:p>
      <w:pPr>
        <w:spacing w:before="160" w:after="40" w:line="240" w:lineRule="auto"/>
      </w:pPr>
      <w:r>
        <w:rPr>
          <w:b/>
        </w:rPr>
        <w:t xml:space="preserve">[200] </w:t>
      </w:r>
      <w:hyperlink r:id="rId847">
        <w:r>
          <w:rPr>
            <w:color w:val="1155CC"/>
            <w:u w:val="single"/>
          </w:rPr>
          <w:t>pVISCONTI 研究中与 SIV 感染治疗后控制相关的组成型自然杀伤细胞特征</w:t>
        </w:r>
      </w:hyperlink>
    </w:p>
    <w:p>
      <w:pPr>
        <w:spacing w:before="0" w:after="80"/>
      </w:pPr>
      <w:r>
        <w:rPr>
          <w:i/>
          <w:sz w:val="20"/>
        </w:rPr>
        <w:t>EN: Constitutive natural killer cell features associated with post-treatment control of SIV infection in the pVISCONTI study</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治疗后 HIV 控制者 (PTC) 提供了一个独特的机会来揭示抗逆转录病毒治疗 (ART) 中断后持久缓解的决定因素。在这里，我们使用食蟹猴 pVISCONTI 研究中的 6 个 PTC 和 6 个治疗后非对照者，确定了自然杀伤 (NK) 细胞亚群与 ART 中断后的结果之间的关联。缺乏 NKp30/NKp46 的 NKG2Ahigh NK 细胞（NKG2AhighNKp30-NKp46-）由动物的 MHC 背景塑造，与治疗后控制的改善有关；该 NK 子集显示出组织归巢潜力，并在感染后保留了功能，其特点是细胞因子产生和脱颗粒。相反，NKG2AlowNKp30 + NKp46+ NK 细胞表现出细胞毒性潜力降低和 IL-10/IL-17A 产量升高，并且其感染前水平与 ART 中断后较高的病毒血症和较大的病毒库相关。我们的研究表明，早期 ART 启动所保留的组成型 NK 细胞特征可能为治疗后控制提供有利的免疫环境。我们的研究结果确定 NKG2A 轴是改善 ART 中断后预后的潜在目标</w:t>
      </w:r>
    </w:p>
    <w:p>
      <w:pPr>
        <w:spacing w:before="0" w:after="200" w:lineRule="auto" w:line="276"/>
      </w:pPr>
      <w:r>
        <w:rPr>
          <w:b/>
        </w:rPr>
        <w:t xml:space="preserve">Abstract (EN): </w:t>
      </w:r>
      <w:r>
        <w:t>Post-treatment HIV controllers (PTC) offer a unique opportunity to uncover the determinants of durable remission after antiretroviral therapy (ART) interruption. Here, using six PTC and six post-treatment non-controllers from the pVISCONTI study in cynomolgus macaques, we identify associations between Natural Killer (NK) cell subsets and outcomes following ART interruption. NKG2Ahigh NK cells lacking NKp30/NKp46 (NKG2AhighNKp30-NKp46-), shaped by the MHC backgrounds of the animals, were linked to improved post-treatment control; this NK subset displayed tissue-homing potential and preserved functionality despite infection, characterized by cytokine production and degranulation. Conversely, NKG2AlowNKp30 + NKp46+ NK cells exhibited reduced cytotoxic potential and elevated IL-10/IL-17A production, and their pre-infection levels were associated with higher viremia and larger viral reservoirs after ART interruption. Our study suggests that constitutive NK cell features, preserved by early ART initiation, may provide a favorable immune environment for post-treatment control. Our findings identify the NKG2A axis as a potential target to improve outcomes after ART interruption</w:t>
      </w:r>
    </w:p>
    <w:p>
      <w:pPr>
        <w:spacing w:before="120" w:after="120"/>
      </w:pPr>
      <w:r>
        <w:rPr>
          <w:sz w:val="18"/>
        </w:rPr>
        <w:t>——————————————————————————————————————————————————————————————————————</w:t>
      </w:r>
    </w:p>
    <w:p>
      <w:pPr>
        <w:spacing w:before="160" w:after="40" w:line="240" w:lineRule="auto"/>
      </w:pPr>
      <w:r>
        <w:rPr>
          <w:b/>
        </w:rPr>
        <w:t xml:space="preserve">[201] </w:t>
      </w:r>
      <w:hyperlink r:id="rId848">
        <w:r>
          <w:rPr>
            <w:color w:val="1155CC"/>
            <w:u w:val="single"/>
          </w:rPr>
          <w:t>δ阿片受体的结构引导变构调节</w:t>
        </w:r>
      </w:hyperlink>
    </w:p>
    <w:p>
      <w:pPr>
        <w:spacing w:before="0" w:after="80"/>
      </w:pPr>
      <w:r>
        <w:rPr>
          <w:i/>
          <w:sz w:val="20"/>
        </w:rPr>
        <w:t>EN: Structure-guided allosteric modulation of the delta opioid receptor</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阿片类镇痛药对于疼痛管理仍然至关重要，但会产生显着的副作用，包括呼吸抑制、耐受性和依赖性。 δ-阿片受体（δOR）代表了一个有前途的治疗靶点，可用于开发更安全的阿片类镇痛药，与传统的 μ-阿片受体靶向药物相比，其副作用更少。正变构调节剂（PAM）通过增强内源性阿片类信号传导，同时保留自然时空激活模式，从而有可能避免耐受和依赖性问题，从而比直接激动剂具有优势。在这里，我们展示了 δOR 与肽激动剂 DADLE 和 PAM MIPS3614 复合的高分辨率冷冻电镜结构，揭示了由跨膜螺旋 2、3 和 4 形成的面向脂质的变构结合位点。MIPS3614 通过与保守钠结合位点（控制 GPCR 激活的关键调节区域）中的残基 N1313.35 形成关键氢键来稳定活性受体构象。综合诱变、分子动力学模拟和构效关系验证了这一机制。结构引导优化产生的 MIPS3983 具有增强的结合亲和力并保留了协同性。我们的研究结果描述了 δOR 变构调节的分子基础，并提供了与阿片类药物治疗的合理设计相关的结构信息，并提高了安全性。</w:t>
      </w:r>
    </w:p>
    <w:p>
      <w:pPr>
        <w:spacing w:before="0" w:after="200" w:lineRule="auto" w:line="276"/>
      </w:pPr>
      <w:r>
        <w:rPr>
          <w:b/>
        </w:rPr>
        <w:t xml:space="preserve">Abstract (EN): </w:t>
      </w:r>
      <w:r>
        <w:t>Opioid analgesics remain essential for pain management but are associated with significant adverse effects, including respiratory depression, tolerance, and dependence. The δ-opioid receptor (δOR) represents a promising therapeutic target for developing safer opioid analgesics with reduced adverse effects compared to conventional μ-opioid receptor-targeting drugs. Positive allosteric modulators (PAMs) offer advantages over direct agonists by enhancing endogenous opioid signaling while preserving natural spatiotemporal activation patterns, potentially avoiding tolerance and dependence issues. Here, we present high-resolution cryo-EM structures of δOR complexed with the peptide agonist DADLE and the PAM MIPS3614, revealing a lipid-facing allosteric binding site formed by transmembrane helices 2, 3, and 4. MIPS3614 stabilizes the active receptor conformation through a critical hydrogen bond with residue N1313.35 in the conserved sodium binding site, a key regulatory region controlling GPCR activation. Comprehensive mutagenesis, molecular dynamics simulations, and structure-activity relationships validate this proposed mechanism. Structure-guided optimization yields MIPS3983 with enhanced binding affinity and retained cooperativity. Our findings describe a molecular basis for δOR allosteric modulation and provide structural information relevant to the rational design of opioid therapeutics with improved safety profiles.</w:t>
      </w:r>
    </w:p>
    <w:p>
      <w:pPr>
        <w:spacing w:before="120" w:after="120"/>
      </w:pPr>
      <w:r>
        <w:rPr>
          <w:sz w:val="18"/>
        </w:rPr>
        <w:t>——————————————————————————————————————————————————————————————————————</w:t>
      </w:r>
    </w:p>
    <w:p>
      <w:pPr>
        <w:spacing w:before="160" w:after="40" w:line="240" w:lineRule="auto"/>
      </w:pPr>
      <w:r>
        <w:rPr>
          <w:b/>
        </w:rPr>
        <w:t xml:space="preserve">[202] </w:t>
      </w:r>
      <w:hyperlink r:id="rId849">
        <w:r>
          <w:rPr>
            <w:color w:val="1155CC"/>
            <w:u w:val="single"/>
          </w:rPr>
          <w:t>SIMDA 框架映射调节 KCNQ1 通道的 PIP2 结合位点</w:t>
        </w:r>
      </w:hyperlink>
    </w:p>
    <w:p>
      <w:pPr>
        <w:spacing w:before="0" w:after="80"/>
      </w:pPr>
      <w:r>
        <w:rPr>
          <w:i/>
          <w:sz w:val="20"/>
        </w:rPr>
        <w:t>EN: The SIMDA framework maps PIP2-binding sites regulating the KCNQ1 channel</w:t>
      </w:r>
    </w:p>
    <w:p>
      <w:pPr>
        <w:spacing w:before="0" w:after="120"/>
      </w:pPr>
      <w:r>
        <w:rPr>
          <w:b/>
        </w:rPr>
        <w:t xml:space="preserve">Source: </w:t>
      </w:r>
      <w:r>
        <w:t>Biological sciences : Nature Communications subject feeds</w:t>
      </w:r>
      <w:r>
        <w:t xml:space="preserve">    </w:t>
      </w:r>
      <w:r>
        <w:rPr>
          <w:b/>
        </w:rPr>
        <w:t xml:space="preserve">Pub date: </w:t>
      </w:r>
      <w:r>
        <w:t>2026-08-22 00:00:00+00:00</w:t>
      </w:r>
    </w:p>
    <w:p>
      <w:pPr>
        <w:spacing w:before="0" w:after="120"/>
      </w:pPr>
      <w:r>
        <w:rPr>
          <w:b/>
        </w:rPr>
        <w:t xml:space="preserve">Notes: </w:t>
      </w:r>
      <w:r>
        <w:t>abstract_source=nature_html</w:t>
      </w:r>
    </w:p>
    <w:p>
      <w:pPr>
        <w:spacing w:before="0" w:after="80" w:lineRule="auto" w:line="276"/>
      </w:pPr>
      <w:r>
        <w:rPr>
          <w:b/>
        </w:rPr>
        <w:t xml:space="preserve">摘要（ZH）: </w:t>
      </w:r>
      <w:r>
        <w:t>电压门控钾通道 KCNQ1 (Kv7.1) 支持心脏复极化、上皮离子转运和内耳功能。其多功能性源于与 KCNE 蛋白、钙调蛋白 (CaM) 和脂质磷脂酰肌醇 4,5-二磷酸 (PIP2) 的相互作用，但 PIP2 调节的分子基础仍不完全清楚。在这里，我们提出了逐步集成多尺度动力学和高级分析（SIMDA）框架，该框架集成了粗粒度和全原子分子动力学、良好的元动力学以及聚类和能量分析。对八个功能状态进行超过 2,000 µs 的模拟，发现六个重复出现的 PIP2 位点 (C0-C5)，每个复合体填充三到四个。位点 C1 和 C3 与实验密度一致，而 C0、C4 和 C5 是前瞻性预测。 KCNE3 通过放大 C 末端扭转运动来稳定主要 C1 位点，而 CaM 则调节 C4 和 C5 处的结合。相互连接的传输路径在站点之间形成动态的循环路线。因此，SIMDA 提供了一种剖析脂质-蛋白质动力学的通用策略。</w:t>
      </w:r>
    </w:p>
    <w:p>
      <w:pPr>
        <w:spacing w:before="0" w:after="200" w:lineRule="auto" w:line="276"/>
      </w:pPr>
      <w:r>
        <w:rPr>
          <w:b/>
        </w:rPr>
        <w:t xml:space="preserve">Abstract (EN): </w:t>
      </w:r>
      <w:r>
        <w:t>Voltage-gated potassium channel KCNQ1 (Kv7.1) underpins cardiac repolarization, epithelial ion transport, and inner ear function. Its versatility arises from interactions with KCNE proteins, calmodulin (CaM), and the lipid phosphatidylinositol 4,5-bisphosphate (PIP2), yet the molecular basis of PIP2 regulation remains incompletely understood. Here, we present the Stepwise Integrated Multi-scale Dynamics and Advanced Analysis (SIMDA) framework, which integrates coarse-grained and all-atom molecular dynamics, well-tempered metadynamics, and clustering and energy analyses. Over 2,000 µs of simulations across eight functional states find six recurrent PIP2 sites (C0-C5), each complex populating three to four. Sites C1 and C3 agree with experimental densities, whereas C0, C4, and C5 are forward predictions. KCNE3 stabilizes the primary C1 site by amplifying a C-terminal twist motion, while CaM tunes binding at C4 and C5. Interconnected transfer pathways form a dynamic circular route among sites. SIMDA thus provides a generalizable strategy for dissecting lipid-protein dynamics.</w:t>
      </w:r>
    </w:p>
    <w:p>
      <w:pPr>
        <w:spacing w:before="120" w:after="120"/>
      </w:pPr>
      <w:r>
        <w:rPr>
          <w:sz w:val="18"/>
        </w:rPr>
        <w:t>——————————————————————————————————————————————————————————————————————</w:t>
      </w:r>
    </w:p>
    <w:p>
      <w:pPr>
        <w:spacing w:before="160" w:after="40" w:line="240" w:lineRule="auto"/>
      </w:pPr>
      <w:r>
        <w:rPr>
          <w:b/>
        </w:rPr>
        <w:t xml:space="preserve">[203] </w:t>
      </w:r>
      <w:hyperlink r:id="rId850">
        <w:r>
          <w:rPr>
            <w:color w:val="1155CC"/>
            <w:u w:val="single"/>
          </w:rPr>
          <w:t>用于高分辨率和远程 X 射线成像的抗结晶混合闪烁体玻璃</w:t>
        </w:r>
      </w:hyperlink>
    </w:p>
    <w:p>
      <w:pPr>
        <w:spacing w:before="0" w:after="80"/>
      </w:pPr>
      <w:r>
        <w:rPr>
          <w:i/>
          <w:sz w:val="20"/>
        </w:rPr>
        <w:t>EN: Crystallization‐Resistant Hybrid Scintillator Glass for High‐Resolution and Remote X‐Ray Imaging</w:t>
      </w:r>
    </w:p>
    <w:p>
      <w:pPr>
        <w:spacing w:before="0" w:after="120"/>
      </w:pPr>
      <w:r>
        <w:rPr>
          <w:b/>
        </w:rPr>
        <w:t xml:space="preserve">Source: </w:t>
      </w:r>
      <w:r>
        <w:t>Wiley: Advanced Materials: Table of Contents</w:t>
      </w:r>
      <w:r>
        <w:t xml:space="preserve">    </w:t>
      </w:r>
      <w:r>
        <w:rPr>
          <w:b/>
        </w:rPr>
        <w:t xml:space="preserve">Pub date: </w:t>
      </w:r>
      <w:r>
        <w:t>2026-08-22 05:59:38+00:00</w:t>
      </w:r>
      <w:r>
        <w:t xml:space="preserve">    </w:t>
      </w:r>
      <w:r>
        <w:rPr>
          <w:b/>
        </w:rPr>
        <w:t xml:space="preserve">DOI: </w:t>
      </w:r>
      <w:hyperlink r:id="rId851">
        <w:r>
          <w:rPr>
            <w:color w:val="1155CC"/>
            <w:u w:val="single"/>
          </w:rPr>
          <w:t>10.1002/adma.74751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无机杂化材料玻璃越来越被认为是更广泛的玻璃科学领域中的独特类别，因为它们将玻璃形成的概念从刚性原子或聚合物网络扩展到集成有机和无机建筑单元的化学可编程混合固体。这类新兴材料为调整光学、电子和结构性能提供了不寻常的机会，但其发展从根本上受到较差的抗结晶和失透性的限制。在这里，我们报告了一种 A 位阳离子工程策略，用于开发抗结晶的零维卤化锑混合闪烁体玻璃。用构象更灵活的甲氧基甲基类似物取代烯丙基取代的三苯基鏻阳离子会阻碍有序堆积，削弱定向分子间锁定，并增加熔体粘度，从而将结晶和玻璃化之间的竞争转向持久的玻璃态。由此产生的透明 (MTPP)</w:t>
      </w:r>
      <w:r>
        <w:rPr>
          <w:vertAlign w:val="subscript"/>
        </w:rPr>
        <w:t>2</w:t>
      </w:r>
      <w:r>
        <w:t>氯化锑</w:t>
      </w:r>
      <w:r>
        <w:rPr>
          <w:vertAlign w:val="subscript"/>
        </w:rPr>
        <w:t>5</w:t>
      </w:r>
      <w:r>
        <w:t>玻璃表现出显着增强的抗热致失透性，以及高效稳定的发光性和良好的耐辐照性。它能够实现厘米级闪烁巨石的 X 射线成像，空间分辨率为 19.0 lp mm</w:t>
      </w:r>
      <w:r>
        <w:t xml:space="preserve"> </w:t>
      </w:r>
      <w:r>
        <w:t>−1</w:t>
      </w:r>
      <w:r>
        <w:t xml:space="preserve"> </w:t>
      </w:r>
      <w:r>
        <w:t>MTF 为 0.2，并且可以进一步加工成活性纤维以进行概念验证</w:t>
      </w:r>
    </w:p>
    <w:p>
      <w:pPr>
        <w:spacing w:before="0" w:after="200" w:lineRule="auto" w:line="276"/>
      </w:pPr>
      <w:r>
        <w:rPr>
          <w:b/>
        </w:rPr>
        <w:t xml:space="preserve">Abstract (EN): </w:t>
      </w:r>
      <w:r>
        <w:t>Organic‐inorganic hybrid materials glasses are increasingly recognized as a distinctive class within the broader field of glass science, because they extend the concept of glass formation from rigid atomic or polymeric networks to chemically programmable hybrid solids that integrate organic and inorganic building units. This emerging class of materials offers unusual opportunities for tuning optical, electronic, and structural properties, but its development is fundamentally limited by poor resistance to crystallization and devitrification. Here we report an A‐site cation engineering strategy to develop crystallization‐resistant zero‐dimensional antimony halide hybrid scintillator glasses. Replacing an allyl‐substituted triphenylphosphonium cation with a more conformationally flexible methoxymethyl analogue frustrates ordered packing, weakens directional intermolecular locking, and increases melt viscosity, thereby shifting the competition between crystallization and vitrification toward a persistent glassy state. The resulting transparent (MTPP)</w:t>
      </w:r>
      <w:r>
        <w:rPr>
          <w:vertAlign w:val="subscript"/>
        </w:rPr>
        <w:t>2</w:t>
      </w:r>
      <w:r>
        <w:t>SbCl</w:t>
      </w:r>
      <w:r>
        <w:rPr>
          <w:vertAlign w:val="subscript"/>
        </w:rPr>
        <w:t>5</w:t>
      </w:r>
      <w:r>
        <w:t>glass exhibits markedly enhanced resistance to thermally induced devitrification, together with efficient and stable luminescence and good irradiation tolerance. It enables centimeter‐scale scintillating monoliths for X‐ray imaging with a spatial resolution of 19.0 lp mm</w:t>
      </w:r>
      <w:r>
        <w:t xml:space="preserve"> </w:t>
      </w:r>
      <w:r>
        <w:t>−1</w:t>
      </w:r>
      <w:r>
        <w:t xml:space="preserve"> </w:t>
      </w:r>
      <w:r>
        <w:t>at an MTF of 0.2, and can be further processed into active fibers for proof‐of‐concept remote X‐ray imaging.</w:t>
      </w:r>
    </w:p>
    <w:p>
      <w:pPr>
        <w:spacing w:before="120" w:after="120"/>
      </w:pPr>
      <w:r>
        <w:rPr>
          <w:sz w:val="18"/>
        </w:rPr>
        <w:t>——————————————————————————————————————————————————————————————————————</w:t>
      </w:r>
    </w:p>
    <w:p>
      <w:pPr>
        <w:spacing w:before="160" w:after="40" w:line="240" w:lineRule="auto"/>
      </w:pPr>
      <w:r>
        <w:rPr>
          <w:b/>
        </w:rPr>
        <w:t xml:space="preserve">[204] </w:t>
      </w:r>
      <w:hyperlink r:id="rId852">
        <w:r>
          <w:rPr>
            <w:color w:val="1155CC"/>
            <w:u w:val="single"/>
          </w:rPr>
          <w:t>酸中和纳米反应器可以抵消骨关节炎中衰老驱动的软骨退化</w:t>
        </w:r>
      </w:hyperlink>
    </w:p>
    <w:p>
      <w:pPr>
        <w:spacing w:before="0" w:after="80"/>
      </w:pPr>
      <w:r>
        <w:rPr>
          <w:i/>
          <w:sz w:val="20"/>
        </w:rPr>
        <w:t>EN: An Acid‐Neutralizing Nanoreactor Counteracts Senescence‐Driven Cartilage Degeneration in Osteoarthritis</w:t>
      </w:r>
    </w:p>
    <w:p>
      <w:pPr>
        <w:spacing w:before="0" w:after="120"/>
      </w:pPr>
      <w:r>
        <w:rPr>
          <w:b/>
        </w:rPr>
        <w:t xml:space="preserve">Source: </w:t>
      </w:r>
      <w:r>
        <w:t>Wiley: Advanced Materials: Table of Contents</w:t>
      </w:r>
      <w:r>
        <w:t xml:space="preserve">    </w:t>
      </w:r>
      <w:r>
        <w:rPr>
          <w:b/>
        </w:rPr>
        <w:t xml:space="preserve">Pub date: </w:t>
      </w:r>
      <w:r>
        <w:t>2026-08-22 09:01:08+00:00</w:t>
      </w:r>
      <w:r>
        <w:t xml:space="preserve">    </w:t>
      </w:r>
      <w:r>
        <w:rPr>
          <w:b/>
        </w:rPr>
        <w:t xml:space="preserve">DOI: </w:t>
      </w:r>
      <w:hyperlink r:id="rId853">
        <w:r>
          <w:rPr>
            <w:color w:val="1155CC"/>
            <w:u w:val="single"/>
          </w:rPr>
          <w:t>10.1002/adma.74772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骨关节炎（OA）是一种多因素退行性关节疾病，其特征是与慢性炎症、氧化应激、组织酸中毒和异常机械负荷相关的不可逆软骨退化。在 OA 进展过程中，炎症相关的代谢重编程和缺氧增强的糖酵解会促进乳酸积累和局部酸中毒。 OA 相关酸中毒可能通过参与酸敏感通路并导致软骨细胞衰老、凋亡和 SASP 相关炎症放大，从而加剧软骨退化，从而成为该病理微环境中的加剧因素。因此，积极中和病理酸度同时调节炎症和氧化应激级联的治疗策略可能为 OA 干预提供更稳健的疾病缓解方法。在此，我们设计了一种名为 OLDH-DP@POM 的纳米反应器，通过集成具有活性酸中和能力的弱碱性层状双氢氧化物（LDH）纳米片和锚定具有抗氧化活性的多金属氧酸盐（POM），从而能够协调调节病理性酸中毒和氧化应激。同时，接枝了增强润滑的两性离子聚（2-甲基丙烯酰氧基乙基磷酰胆碱）（PMPC）聚合物刷，赋予纳米反应器优异的关节润滑和软骨保护能力。体外和体内结果均表明 OLDH-DP@POM 有效中和骨关节炎病变处的局部酸中毒，显着</w:t>
      </w:r>
    </w:p>
    <w:p>
      <w:pPr>
        <w:spacing w:before="0" w:after="200" w:lineRule="auto" w:line="276"/>
      </w:pPr>
      <w:r>
        <w:rPr>
          <w:b/>
        </w:rPr>
        <w:t xml:space="preserve">Abstract (EN): </w:t>
      </w:r>
      <w:r>
        <w:t>Osteoarthritis (OA) is a multifactorial degenerative joint disease characterized by irreversible cartilage deterioration associated with chronic inflammation, oxidative stress, tissue acidosis, and abnormal mechanical loading. During OA progression, inflammation‐associated metabolic reprogramming and hypoxia‐enhanced glycolysis promote lactate accumulation and local acidosis. OA‐associated acidosis may function as an exacerbating factor within this pathological microenvironment by engaging acid‐sensing pathways and contributing to chondrocyte senescence, apoptosis, and SASP‐associated inflammatory amplification, thereby exacerbating cartilage degeneration. Accordingly, therapeutic strategies that actively neutralize pathological acidity while concurrently modulating inflammatory and oxidative stress cascades may provide a more robust, disease‐modifying approach for OA intervention. Herein, we designed a nanoreactor termed OLDH‐DP@POM by integrating mildly alkaline layered double hydroxide (LDH) nanosheets with active acid‐neutralizing capability and anchoring polyoxometalates (POM) with antioxidant activity, thereby enabling coordinated regulation of pathological acidosis and oxidative stress. Meanwhile, lubrication‐enhancing zwitterionic poly(2‐methacryloyloxyethyl phosphorylcholine) (PMPC) polymer brushes were grafted, endowing the nanoreactor with superior joint lubrication and chondroprotective capability. Both in vitro and in vivo results demonstrated that OLDH‐DP@POM effectively neutralized local acidosis at osteoarthritic lesions, substantially ameliorated synovial inflammation, suppressed Piezo‐mediated mechanotransduction, delayed chondrocyte senescence, and ultimately attenuated cartilage degeneration. Overall, this work provides a promising nanotherapeutic platform for disease‐modifying treatment of OA.</w:t>
      </w:r>
    </w:p>
    <w:p>
      <w:pPr>
        <w:spacing w:before="120" w:after="120"/>
      </w:pPr>
      <w:r>
        <w:rPr>
          <w:sz w:val="18"/>
        </w:rPr>
        <w:t>——————————————————————————————————————————————————————————————————————</w:t>
      </w:r>
    </w:p>
    <w:p>
      <w:pPr>
        <w:spacing w:before="160" w:after="40" w:line="240" w:lineRule="auto"/>
      </w:pPr>
      <w:r>
        <w:rPr>
          <w:b/>
        </w:rPr>
        <w:t xml:space="preserve">[205] </w:t>
      </w:r>
      <w:hyperlink r:id="rId854">
        <w:r>
          <w:rPr>
            <w:color w:val="1155CC"/>
            <w:u w:val="single"/>
          </w:rPr>
          <w:t>通过液-液相分离和自催化网络强化模拟沙堡蠕虫水泥水下粘合剂</w:t>
        </w:r>
      </w:hyperlink>
    </w:p>
    <w:p>
      <w:pPr>
        <w:spacing w:before="0" w:after="80"/>
      </w:pPr>
      <w:r>
        <w:rPr>
          <w:i/>
          <w:sz w:val="20"/>
        </w:rPr>
        <w:t>EN: Sandcastle Worm Cement‐Mimicking Underwater Adhesives via Liquid–Liquid Phase Separation and Auto‐Catalyzed Network Strengthening</w:t>
      </w:r>
    </w:p>
    <w:p>
      <w:pPr>
        <w:spacing w:before="0" w:after="120"/>
      </w:pPr>
      <w:r>
        <w:rPr>
          <w:b/>
        </w:rPr>
        <w:t xml:space="preserve">Source: </w:t>
      </w:r>
      <w:r>
        <w:t>Wiley: Advanced Materials: Table of Contents</w:t>
      </w:r>
      <w:r>
        <w:t xml:space="preserve">    </w:t>
      </w:r>
      <w:r>
        <w:rPr>
          <w:b/>
        </w:rPr>
        <w:t xml:space="preserve">Pub date: </w:t>
      </w:r>
      <w:r>
        <w:t>2026-08-22 09:01:46+00:00</w:t>
      </w:r>
      <w:r>
        <w:t xml:space="preserve">    </w:t>
      </w:r>
      <w:r>
        <w:rPr>
          <w:b/>
        </w:rPr>
        <w:t xml:space="preserve">DOI: </w:t>
      </w:r>
      <w:hyperlink r:id="rId855">
        <w:r>
          <w:rPr>
            <w:color w:val="1155CC"/>
            <w:u w:val="single"/>
          </w:rPr>
          <w:t>10.1002/adma.74695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界面水的干扰和传统粘合剂内聚力的不足，实现牢固的水下粘合仍然具有挑战性。受沙堡蠕虫通过液-液相分离（LLPS）形成的水泥的启发，我们开发了一种新型单宁酸/聚乙二醇/锂皂石（TA/PEG/Lap，TPL）复合粘合剂，可有效增强界面水排斥和水下附着力。 TA 和 PEG 通过 LLPS 自组装成动态粘合剂凝聚层基质，随后引入合成锂皂石纳米粘土作为增强填料和催化剂以引发多酚氧化，从而将 TPL 从动态软凝胶转变为机械坚固的固体。具体来说，最初的自修复TPL可以通过排斥界面水并形成粘附来适应不规则的表面形貌，随后进行自固化以加强与不规则基材表面的机械互锁，最终实现牢固的水下粘附。利用瞬态网络可逆性和自驱动交联稳定性，TPL配方可以加工成可注射、可喷涂、可涂覆或支架形式，具有强大的粘附性、容错性、生态相容性、长期稳定性、阻燃性和抗菌活性。总体而言，这项工作在坚固的水下粘合剂的仿生设计方面建立了范式转变，并强调了 TPL 系统在多场景和多功能应用中的潜力，包括急性止血、土壤固定、基础设施</w:t>
      </w:r>
    </w:p>
    <w:p>
      <w:pPr>
        <w:spacing w:before="0" w:after="200" w:lineRule="auto" w:line="276"/>
      </w:pPr>
      <w:r>
        <w:rPr>
          <w:b/>
        </w:rPr>
        <w:t xml:space="preserve">Abstract (EN): </w:t>
      </w:r>
      <w:r>
        <w:t>Achieving robust underwater adhesion remains challenging due to the interference of interfacial water and insufficient cohesion within conventional adhesives. Inspired by the sandcastle worm's cement forming via liquid–liquid phase separation (LLPS), we developed a novel class of tannic acid/polyethylene glycol/Laponite (TA/PEG/Lap, TPL) composite adhesives to effectively enhance interfacial water repulsion and underwater adhesion. TA and PEG self‐assembled into a dynamic adhesive coacervate matrix via LLPS, while Laponite nanoclays were subsequently introduced as reinforcement fillers and catalysts to trigger polyphenol oxidation, thereby transforming TPL from dynamic soft gel to mechanically robust solid. Specifically, the initially self‐healing TPL can adapt to the irregular surface topography by repelling interfacial water and forming adhesion, thereafter self‐cure to strengthen the mechanical interlocking with irregular substrate surfaces, and eventually realize robust underwater adhesion. Leveraging the transient network reversibility and self‐driven crosslinking stability, the TPL formulations can be processed into injectable, sprayable, coatable, or scaffold forms, offering robust adhesion, fault tolerance, eco‐compatibility, long‐term stability, fire resistance, and antibacterial activity. Overall, this work establishes a paradigm shift in bioinspired design of robust underwater adhesives and highlights the potential of TPL systems for multi‐scenario and multi‐functional applications, including acute hemostasis, soil fixation, infrastructure crack repair, and other underwater sealing tasks.</w:t>
      </w:r>
    </w:p>
    <w:p>
      <w:pPr>
        <w:spacing w:before="120" w:after="120"/>
      </w:pPr>
      <w:r>
        <w:rPr>
          <w:sz w:val="18"/>
        </w:rPr>
        <w:t>——————————————————————————————————————————————————————————————————————</w:t>
      </w:r>
    </w:p>
    <w:p>
      <w:pPr>
        <w:spacing w:before="160" w:after="40" w:line="240" w:lineRule="auto"/>
      </w:pPr>
      <w:r>
        <w:rPr>
          <w:b/>
        </w:rPr>
        <w:t xml:space="preserve">[206] </w:t>
      </w:r>
      <w:hyperlink r:id="rId856">
        <w:r>
          <w:rPr>
            <w:color w:val="1155CC"/>
            <w:u w:val="single"/>
          </w:rPr>
          <w:t>通过非对映选择性合成同时实现深蓝色电致发光和圆偏振发光的螺旋手性四齿 Pt(II) 配合物</w:t>
        </w:r>
      </w:hyperlink>
    </w:p>
    <w:p>
      <w:pPr>
        <w:spacing w:before="0" w:after="80"/>
      </w:pPr>
      <w:r>
        <w:rPr>
          <w:i/>
          <w:sz w:val="20"/>
        </w:rPr>
        <w:t>EN: Helically Chiral Tetradentate Pt(II) Complexes for Simultaneous Deep‐Blue Electroluminescence and Circularly Polarized Luminescence via Diastereoselective Synthesis</w:t>
      </w:r>
    </w:p>
    <w:p>
      <w:pPr>
        <w:spacing w:before="0" w:after="120"/>
      </w:pPr>
      <w:r>
        <w:rPr>
          <w:b/>
        </w:rPr>
        <w:t xml:space="preserve">Source: </w:t>
      </w:r>
      <w:r>
        <w:t>Wiley: Advanced Materials: Table of Contents</w:t>
      </w:r>
      <w:r>
        <w:t xml:space="preserve">    </w:t>
      </w:r>
      <w:r>
        <w:rPr>
          <w:b/>
        </w:rPr>
        <w:t xml:space="preserve">Pub date: </w:t>
      </w:r>
      <w:r>
        <w:t>2026-08-22 09:02:24+00:00</w:t>
      </w:r>
      <w:r>
        <w:t xml:space="preserve">    </w:t>
      </w:r>
      <w:r>
        <w:rPr>
          <w:b/>
        </w:rPr>
        <w:t xml:space="preserve">DOI: </w:t>
      </w:r>
      <w:hyperlink r:id="rId857">
        <w:r>
          <w:rPr>
            <w:color w:val="1155CC"/>
            <w:u w:val="single"/>
          </w:rPr>
          <w:t>10.1002/adma.74664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圆偏振有机发光二极管（CP-OLED）因其在3D显示方面的良好应用而引起了极大的关注。然而，开发高性能 CP-OLED 通常面临着集成发射器的大规模可用性、器件效率、色纯度和亮度的挑战，特别是在深蓝色光谱区域。在此，我们开发了一种新策略，通过中心手性自适应诱导螺旋手性（CAIH）方法成功实现了具有高构型稳定性的螺旋手性四齿Pt（II）配合物的非对映选择性和克级合成。庞大的中心手性部分有利于抑制分子间相互作用，并提高色纯度和分子刚性。</w:t>
      </w:r>
      <w:r>
        <w:t xml:space="preserve"> </w:t>
      </w:r>
      <w:r>
        <w:t>右、右</w:t>
      </w:r>
      <w:r>
        <w:t xml:space="preserve"> </w:t>
      </w:r>
      <w:r>
        <w:t>‐PtCam2 显示出 99% 的量子效率和高色纯度，半峰全宽 (FWHM) 为 19.8 nm。</w:t>
      </w:r>
      <w:r>
        <w:t xml:space="preserve"> </w:t>
      </w:r>
      <w:r>
        <w:t>右、右</w:t>
      </w:r>
      <w:r>
        <w:t xml:space="preserve"> </w:t>
      </w:r>
      <w:r>
        <w:t>‐PtCam2/</w:t>
      </w:r>
      <w:r>
        <w:t>磷</w:t>
      </w:r>
      <w:r>
        <w:t xml:space="preserve"> </w:t>
      </w:r>
      <w:r>
        <w:t>‐基于 PtCam2 的深蓝色 OLED 成功显示出明显的镜像 CP 电致发光信号。</w:t>
      </w:r>
      <w:r>
        <w:t xml:space="preserve"> </w:t>
      </w:r>
      <w:r>
        <w:t>右、右</w:t>
      </w:r>
      <w:r>
        <w:t xml:space="preserve"> </w:t>
      </w:r>
      <w:r>
        <w:t>‐PtCam2 CP‐OLED 表现出高色纯度（FWHM = 24 nm）和高达 51592 cd/m2 的高最大亮度</w:t>
      </w:r>
      <w:r>
        <w:rPr>
          <w:vertAlign w:val="subscript"/>
        </w:rPr>
        <w:t>2</w:t>
      </w:r>
      <w:r>
        <w:t>;此外，它还实现了 33.2% 的最大外量子效率 (EQE)，并在 1000 cd/m2 下创下了 30.9% 的历史新高 EQE</w:t>
      </w:r>
      <w:r>
        <w:rPr>
          <w:vertAlign w:val="subscript"/>
        </w:rPr>
        <w:t>2</w:t>
      </w:r>
      <w:r>
        <w:t>对于所有报告</w:t>
      </w:r>
    </w:p>
    <w:p>
      <w:pPr>
        <w:spacing w:before="0" w:after="200" w:lineRule="auto" w:line="276"/>
      </w:pPr>
      <w:r>
        <w:rPr>
          <w:b/>
        </w:rPr>
        <w:t xml:space="preserve">Abstract (EN): </w:t>
      </w:r>
      <w:r>
        <w:t>Circularly polarized organic light‐emitting diodes (CP‐OLEDs) have attracted great attention because of their promising applications in 3D displays. However, developing high‐performance CP‐OLEDs typically face the challenge of integrating large‐scale availability of emitters, device efficiency, color purity, and brightness, especially in the deep‐blue spectral region. Herein, we developed a novel strategy to successfully realize the diastereoselective and gram‐scale synthesis of helically chiral tetradentate Pt(II) complexes with high configurational stabilities through a central chirality adaptively induced helical chirality (CAIH) approach. The bulky central chiral moiety facilitates the suppression of intermolecular interactions and increases the color purity and molecular rigidity.</w:t>
      </w:r>
      <w:r>
        <w:t xml:space="preserve"> </w:t>
      </w:r>
      <w:r>
        <w:t>R,M</w:t>
      </w:r>
      <w:r>
        <w:t xml:space="preserve"> </w:t>
      </w:r>
      <w:r>
        <w:t>‐PtCam2 showed a quantum efficiency of 99% and high color purity, with a full‐width at half‐maximum (FWHM) of 19.8 nm.</w:t>
      </w:r>
      <w:r>
        <w:t xml:space="preserve"> </w:t>
      </w:r>
      <w:r>
        <w:t>R,M</w:t>
      </w:r>
      <w:r>
        <w:t xml:space="preserve"> </w:t>
      </w:r>
      <w:r>
        <w:t>‐PtCam2/</w:t>
      </w:r>
      <w:r>
        <w:t>P</w:t>
      </w:r>
      <w:r>
        <w:t xml:space="preserve"> </w:t>
      </w:r>
      <w:r>
        <w:t>‐PtCam2‐based deep‐blue OLEDs successfully displayed obvious and mirror‐image CP electroluminescence signals.</w:t>
      </w:r>
      <w:r>
        <w:t xml:space="preserve"> </w:t>
      </w:r>
      <w:r>
        <w:t>R,M</w:t>
      </w:r>
      <w:r>
        <w:t xml:space="preserve"> </w:t>
      </w:r>
      <w:r>
        <w:t>‐PtCam2 CP‐OLED exhibited a high color purity (FWHM = 24 nm) and a high maximum brightness of up to 51592 cd/m</w:t>
      </w:r>
      <w:r>
        <w:rPr>
          <w:vertAlign w:val="subscript"/>
        </w:rPr>
        <w:t>2</w:t>
      </w:r>
      <w:r>
        <w:t>; moreover, it also achieved a maximum external quantum efficiency (EQE) of 33.2%, along with a record‐high EQE of 30.9% at 1000 cd/m</w:t>
      </w:r>
      <w:r>
        <w:rPr>
          <w:vertAlign w:val="subscript"/>
        </w:rPr>
        <w:t>2</w:t>
      </w:r>
      <w:r>
        <w:t>for all reported deep‐blue CP‐OLEDs with CIE</w:t>
      </w:r>
      <w:r>
        <w:t xml:space="preserve"> </w:t>
      </w:r>
      <w:r>
        <w:t>y</w:t>
      </w:r>
      <w:r>
        <w:t xml:space="preserve"> </w:t>
      </w:r>
      <w:r>
        <w:t>&amp;lt; 0.20. This study provides a molecular design strategy to prepare robust helically chiral Pt(II) emitters for high‐performance deep‐blue phosphorescent CP‐OLEDs.</w:t>
      </w:r>
    </w:p>
    <w:p>
      <w:pPr>
        <w:spacing w:before="120" w:after="120"/>
      </w:pPr>
      <w:r>
        <w:rPr>
          <w:sz w:val="18"/>
        </w:rPr>
        <w:t>——————————————————————————————————————————————————————————————————————</w:t>
      </w:r>
    </w:p>
    <w:p>
      <w:pPr>
        <w:spacing w:before="160" w:after="40" w:line="240" w:lineRule="auto"/>
      </w:pPr>
      <w:r>
        <w:rPr>
          <w:b/>
        </w:rPr>
        <w:t xml:space="preserve">[207] </w:t>
      </w:r>
      <w:hyperlink r:id="rId858">
        <w:r>
          <w:rPr>
            <w:color w:val="1155CC"/>
            <w:u w:val="single"/>
          </w:rPr>
          <w:t>金刚烷基取代芘的色散钳位结晶超分子柱状 π 堆叠</w:t>
        </w:r>
      </w:hyperlink>
    </w:p>
    <w:p>
      <w:pPr>
        <w:spacing w:before="0" w:after="80"/>
      </w:pPr>
      <w:r>
        <w:rPr>
          <w:i/>
          <w:sz w:val="20"/>
        </w:rPr>
        <w:t>EN: Dispersion‐Clamped Crystalline Supramolecular Columnar π‐Stacks of Adamantyl‐Substituted Pyrenes</w:t>
      </w:r>
    </w:p>
    <w:p>
      <w:pPr>
        <w:spacing w:before="0" w:after="120"/>
      </w:pPr>
      <w:r>
        <w:rPr>
          <w:b/>
        </w:rPr>
        <w:t xml:space="preserve">Source: </w:t>
      </w:r>
      <w:r>
        <w:t>Wiley: Angewandte Chemie International Edition: Table of Contents</w:t>
      </w:r>
      <w:r>
        <w:t xml:space="preserve">    </w:t>
      </w:r>
      <w:r>
        <w:rPr>
          <w:b/>
        </w:rPr>
        <w:t xml:space="preserve">Pub date: </w:t>
      </w:r>
      <w:r>
        <w:t>2026-08-22 09:04:32+00:00</w:t>
      </w:r>
      <w:r>
        <w:t xml:space="preserve">    </w:t>
      </w:r>
      <w:r>
        <w:rPr>
          <w:b/>
        </w:rPr>
        <w:t xml:space="preserve">DOI: </w:t>
      </w:r>
      <w:hyperlink r:id="rId859">
        <w:r>
          <w:rPr>
            <w:color w:val="1155CC"/>
            <w:u w:val="single"/>
          </w:rPr>
          <w:t>10.1002/anie.1681939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尽管它们在超分子化学中很重要，但多环芳烃 (PAH) 的零偏移柱状 π 堆叠在晶体中很少观察到，因为紧密的共面堆积会受到泡利排斥的影响。在这里，我们展示了金刚烷基取代的芘的结晶相（CP），它表现出由分散辅助金刚烷基“钳”实现的一维、平移排列的柱状π堆叠。单晶 X 射线衍射揭示了 100 K 时 3.297(3) Å 的极短面间距。能量分解分析表明，金刚烷基取代基相对于泡利罚分提供了更大的色散稳定性，从而合理化了零偏移 π 柱的形成。溶液到晶体的色移非常大（Δ</w:t>
      </w:r>
      <w:r>
        <w:t xml:space="preserve"> </w:t>
      </w:r>
      <w:r>
        <w:t>乙</w:t>
      </w:r>
      <w:r>
        <w:t xml:space="preserve"> </w:t>
      </w:r>
      <w:r>
        <w:t>观测值</w:t>
      </w:r>
      <w:r>
        <w:t xml:space="preserve"> </w:t>
      </w:r>
      <w:r>
        <w:t>= -0.761 eV），超过了激子耦合的贡献，并且主要由前沿晶体轨道（FCO）模型捕获的分子间轨道相互作用主导。据我们所知，平移零偏移 π 柱和大结晶引起的红移对于中性闭壳烃 PAH 的常压 CP 来说都是前所未有的。</w:t>
      </w:r>
    </w:p>
    <w:p>
      <w:pPr>
        <w:spacing w:before="0" w:after="200" w:lineRule="auto" w:line="276"/>
      </w:pPr>
      <w:r>
        <w:rPr>
          <w:b/>
        </w:rPr>
        <w:t xml:space="preserve">Abstract (EN): </w:t>
      </w:r>
      <w:r>
        <w:t>Despite their importance in supramolecular chemistry, zero‐offset columnar π‐stacks of polycyclic aromatic hydrocarbons (PAHs) are rarely observed in crystals because close cofacial packing is penalized by Pauli repulsion. Here we show a crystalline phase (CP) of adamantyl‐substituted pyrene that exhibits one‐dimensional, translationally aligned columnar π‐stacks enabled by dispersion‐assisted adamantyl “clamps”. Single‐crystal x‐ray diffraction reveals an exceptionally short interplanar separation of 3.297(3) Å at 100 K. Energy‐decomposition analysis shows that the adamantyl substituents provide larger dispersion stabilization relative to their Pauli penalty, rationalizing the formation of the zero‐offset π‐columns. The solution‐to‐crystal color shift is exceptionally large (Δ</w:t>
      </w:r>
      <w:r>
        <w:t xml:space="preserve"> </w:t>
      </w:r>
      <w:r>
        <w:t>E</w:t>
      </w:r>
      <w:r>
        <w:t xml:space="preserve"> </w:t>
      </w:r>
      <w:r>
        <w:t>obs</w:t>
      </w:r>
      <w:r>
        <w:t xml:space="preserve"> </w:t>
      </w:r>
      <w:r>
        <w:t>= −0.761 eV), which exceeds exciton coupling contributions and is dominated by intermolecular orbital interactions captured by a frontier crystal orbital (FCO) model. To the best of our knowledge, both the translationally zero‐offset π‐columns and the large crystallization‐induced red shift are unprecedented for ambient‐pressure CPs of neutral, closed‐shell hydrocarbon PAHs.</w:t>
      </w:r>
    </w:p>
    <w:p>
      <w:pPr>
        <w:spacing w:before="120" w:after="120"/>
      </w:pPr>
      <w:r>
        <w:rPr>
          <w:sz w:val="18"/>
        </w:rPr>
        <w:t>——————————————————————————————————————————————————————————————————————</w:t>
      </w:r>
    </w:p>
    <w:p>
      <w:pPr>
        <w:spacing w:before="160" w:after="40" w:line="240" w:lineRule="auto"/>
      </w:pPr>
      <w:r>
        <w:rPr>
          <w:b/>
        </w:rPr>
        <w:t xml:space="preserve">[208] </w:t>
      </w:r>
      <w:hyperlink r:id="rId860">
        <w:r>
          <w:rPr>
            <w:color w:val="1155CC"/>
            <w:u w:val="single"/>
          </w:rPr>
          <w:t>水凝胶界面主动康复系统：从材料设计和架构到应用</w:t>
        </w:r>
      </w:hyperlink>
    </w:p>
    <w:p>
      <w:pPr>
        <w:spacing w:before="0" w:after="80"/>
      </w:pPr>
      <w:r>
        <w:rPr>
          <w:i/>
          <w:sz w:val="20"/>
        </w:rPr>
        <w:t>EN: Hydrogel‐Interfaced Active Rehabilitation System: From Materials Design and Architecture to Applications</w:t>
      </w:r>
    </w:p>
    <w:p>
      <w:pPr>
        <w:spacing w:before="0" w:after="120"/>
      </w:pPr>
      <w:r>
        <w:rPr>
          <w:b/>
        </w:rPr>
        <w:t xml:space="preserve">Source: </w:t>
      </w:r>
      <w:r>
        <w:t>Wiley: Advanced Materials: Table of Contents</w:t>
      </w:r>
      <w:r>
        <w:t xml:space="preserve">    </w:t>
      </w:r>
      <w:r>
        <w:rPr>
          <w:b/>
        </w:rPr>
        <w:t xml:space="preserve">Pub date: </w:t>
      </w:r>
      <w:r>
        <w:t>2026-08-22 09:06:50+00:00</w:t>
      </w:r>
      <w:r>
        <w:t xml:space="preserve">    </w:t>
      </w:r>
      <w:r>
        <w:rPr>
          <w:b/>
        </w:rPr>
        <w:t xml:space="preserve">DOI: </w:t>
      </w:r>
      <w:hyperlink r:id="rId861">
        <w:r>
          <w:rPr>
            <w:color w:val="1155CC"/>
            <w:u w:val="single"/>
          </w:rPr>
          <w:t>10.1002/adma.74742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追求卓越治疗效果和患者自主权的推动下，医疗保健正在转向主动的“主动康复”。导电复合水凝胶具有组织模拟力学和多模态传感能力，已成为这些系统的理想生物电子界面。这篇综述系统地全面概述了水凝胶界面主动康复系统，从基础材料设计和系统架构到应用。我们首先概述了增强水凝胶的生物相容性、机械性能、环境稳健性、自粘附性和导电性的策略。接下来，我们描绘了由感知层、决策层和执行层组成的闭环架构，并跟踪从离子到电子转换、算法解码到物理反馈的两个端到端演示。此外，我们还重点介绍了在肢体运动恢复、吞咽、语言和认知康复以及神经、骨骼和肌腱再生方面的应用。最后，我们讨论了信号解耦、材料权衡、能源自主和临床验证方面持续存在的挑战，并展望了人工智能驱动的个性化、可变刚度水凝胶、自供电集成和标准化基准测试的未来方向。</w:t>
      </w:r>
    </w:p>
    <w:p>
      <w:pPr>
        <w:spacing w:before="0" w:after="200" w:lineRule="auto" w:line="276"/>
      </w:pPr>
      <w:r>
        <w:rPr>
          <w:b/>
        </w:rPr>
        <w:t xml:space="preserve">Abstract (EN): </w:t>
      </w:r>
      <w:r>
        <w:t>Driven by the pursuit of superior therapeutic efficacy and patient autonomy, healthcare is shifting toward proactive “active rehabilitation”. Conductive composite hydrogels, featuring tissue‐mimetic mechanics and multi‐modal sensing capabilities, have emerged as ideal bio‐electronic interfaces for these systems. This review systematically provides a comprehensive overview of hydrogel‐interfaced active rehabilitation systems, progressing from fundamental material design and system architecture to applications. We first outline strategies to enhance hydrogels' biocompatibility, mechanical properties, environmental robustness, self‐adhesion, and conductivity. Next, we delineate the closed‐loop architecture comprising perception, decision, and execution layers, and trace two end‐to‐end demonstrations from ionic‐to‐electronic transduction through algorithmic decoding to physical feedback. Furthermore, we highlight applications in limb motor recovery, swallowing, language, and cognitive rehabilitation, and neural, bone, and tendon regeneration. Finally, we discuss persistent challenges in signal decoupling, material trade‐offs, energy autonomy, and clinical validation, and envision future directions toward AI‐driven personalization, variable‐stiffness hydrogels, self‐powered integration, and standardized benchmarking.</w:t>
      </w:r>
    </w:p>
    <w:p>
      <w:pPr>
        <w:spacing w:before="120" w:after="120"/>
      </w:pPr>
      <w:r>
        <w:rPr>
          <w:sz w:val="18"/>
        </w:rPr>
        <w:t>——————————————————————————————————————————————————————————————————————</w:t>
      </w:r>
    </w:p>
    <w:p>
      <w:pPr>
        <w:spacing w:before="160" w:after="40" w:line="240" w:lineRule="auto"/>
      </w:pPr>
      <w:r>
        <w:rPr>
          <w:b/>
        </w:rPr>
        <w:t xml:space="preserve">[209] </w:t>
      </w:r>
      <w:hyperlink r:id="rId862">
        <w:r>
          <w:rPr>
            <w:color w:val="1155CC"/>
            <w:u w:val="single"/>
          </w:rPr>
          <w:t>有机三氟硼酸盐和吡啶并三唑的光金属生物催化不对称自由基介导的交叉偶联</w:t>
        </w:r>
      </w:hyperlink>
    </w:p>
    <w:p>
      <w:pPr>
        <w:spacing w:before="0" w:after="80"/>
      </w:pPr>
      <w:r>
        <w:rPr>
          <w:i/>
          <w:sz w:val="20"/>
        </w:rPr>
        <w:t>EN: Photometallobiocatalytic Asymmetric Radical‐Mediated Cross‐Coupling of Organotrifluoroborate Salts and Pyridotriazoles</w:t>
      </w:r>
    </w:p>
    <w:p>
      <w:pPr>
        <w:spacing w:before="0" w:after="120"/>
      </w:pPr>
      <w:r>
        <w:rPr>
          <w:b/>
        </w:rPr>
        <w:t xml:space="preserve">Source: </w:t>
      </w:r>
      <w:r>
        <w:t>Wiley: Angewandte Chemie International Edition: Table of Contents</w:t>
      </w:r>
      <w:r>
        <w:t xml:space="preserve">    </w:t>
      </w:r>
      <w:r>
        <w:rPr>
          <w:b/>
        </w:rPr>
        <w:t xml:space="preserve">Pub date: </w:t>
      </w:r>
      <w:r>
        <w:t>2026-08-22 09:08:44+00:00</w:t>
      </w:r>
      <w:r>
        <w:t xml:space="preserve">    </w:t>
      </w:r>
      <w:r>
        <w:rPr>
          <w:b/>
        </w:rPr>
        <w:t xml:space="preserve">DOI: </w:t>
      </w:r>
      <w:hyperlink r:id="rId863">
        <w:r>
          <w:rPr>
            <w:color w:val="1155CC"/>
            <w:u w:val="single"/>
          </w:rPr>
          <w:t>10.1002/anie.7251439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氧化还原催化和金属酶催化的协同整合已成为一种强大的策略，可以实现超出任一催化模式单独能力的立体选择性自由基转化。在此，我们报道了通过有机光敏剂和工程原珠蛋白之间的协同催化，吡啶并三唑和仲烷基三氟硼酸盐的光金属生物催化对映选择性分子间 C─C 交叉偶联。通过将可见光介导的自由基生成与吡啶并三唑的酶促活化相结合，形成活性铁类胡萝卜素中间体，这种转化通过所提出的外球耦合机制实现了高度对映选择性的自由基 C─C 键形成。通过生物催化剂挖掘和定向进化，设计</w:t>
      </w:r>
      <w:r>
        <w:t xml:space="preserve"> </w:t>
      </w:r>
      <w:r>
        <w:t>梨木</w:t>
      </w:r>
      <w:r>
        <w:t xml:space="preserve"> </w:t>
      </w:r>
      <w:r>
        <w:t>原珠蛋白催化剂的开发能够以优异的效率和立体控制催化这种自由基 C-C 偶联。该光生物催化平台对仲烷基三氟硼酸盐和吡啶并三唑表现出广泛的底物范围，以优异的产率和对映选择性提供了一系列有价值的N-杂环产物。机理研究支持自由基中间体的参与，并揭示了光催化剂伊红 B 和工程金属酶之间的自发结合。通过利用协同光金属生物催化，这项工作建立了一种尚未充分探索的不对称分子间自由基交叉策略</w:t>
      </w:r>
    </w:p>
    <w:p>
      <w:pPr>
        <w:spacing w:before="0" w:after="200" w:lineRule="auto" w:line="276"/>
      </w:pPr>
      <w:r>
        <w:rPr>
          <w:b/>
        </w:rPr>
        <w:t xml:space="preserve">Abstract (EN): </w:t>
      </w:r>
      <w:r>
        <w:t>The cooperative integration of photoredox catalysis and metalloenzyme catalysis has emerged as a powerful strategy for enabling stereoselective radical transformations beyond the capabilities of either catalytic mode alone. Herein, we report a photometallobiocatalytic enantioselective intermolecular C─C cross‐coupling of pyridotriazoles and secondary alkyltrifluoroborate salts through cooperative catalysis between an organic photosensitizer and an engineered protoglobin. By combining visible‐light‐mediated radical generation with enzymatic activation of pyridotriazoles to form reactive Fe carbenoid intermediates, this transformation enabled highly enantioselective radical C─C bond formation through a proposed outer‐sphere coupling mechanism. Through biocatalyst mining and directed evolution, engineered</w:t>
      </w:r>
      <w:r>
        <w:t xml:space="preserve"> </w:t>
      </w:r>
      <w:r>
        <w:t>Aeropyrum pernix</w:t>
      </w:r>
      <w:r>
        <w:t xml:space="preserve"> </w:t>
      </w:r>
      <w:r>
        <w:t>protoglobin catalysts were developed that catalyzed this radical C–C coupling with excellent efficiency and stereocontrol. The photobiocatalytic platform exhibited a broad substrate scope with respect to both secondary alkyltrifluoroborate salts and pyridotriazoles, affording a range of valuable N‐heterocyclic products in excellent yields and enantioselectivities. Mechanistic studies supported the involvement of radical intermediates and revealed spontaneous binding between the photocatalyst eosin B and the engineered metalloenzyme. By leveraging cooperative photometallobiocatalysis, this work established an underexplored strategy for asymmetric intermolecular radical cross‐coupling via an outer‐sphere mechanism, further expanding the catalytic repertoire of transition‐metal carbenoid chemistry.</w:t>
      </w:r>
    </w:p>
    <w:p>
      <w:pPr>
        <w:spacing w:before="120" w:after="120"/>
      </w:pPr>
      <w:r>
        <w:rPr>
          <w:sz w:val="18"/>
        </w:rPr>
        <w:t>——————————————————————————————————————————————————————————————————————</w:t>
      </w:r>
    </w:p>
    <w:p>
      <w:pPr>
        <w:spacing w:before="160" w:after="40" w:line="240" w:lineRule="auto"/>
      </w:pPr>
      <w:r>
        <w:rPr>
          <w:b/>
        </w:rPr>
        <w:t xml:space="preserve">[210] </w:t>
      </w:r>
      <w:hyperlink r:id="rId864">
        <w:r>
          <w:rPr>
            <w:color w:val="1155CC"/>
            <w:u w:val="single"/>
          </w:rPr>
          <w:t>Kv7.2 通道调制器激活到抑制转换的分子基础</w:t>
        </w:r>
      </w:hyperlink>
    </w:p>
    <w:p>
      <w:pPr>
        <w:spacing w:before="0" w:after="80"/>
      </w:pPr>
      <w:r>
        <w:rPr>
          <w:i/>
          <w:sz w:val="20"/>
        </w:rPr>
        <w:t>EN: Molecular Basis for Activation to Inhibition Switching in Kv7.2 Channel Modulators</w:t>
      </w:r>
    </w:p>
    <w:p>
      <w:pPr>
        <w:spacing w:before="0" w:after="120"/>
      </w:pPr>
      <w:r>
        <w:rPr>
          <w:b/>
        </w:rPr>
        <w:t xml:space="preserve">Source: </w:t>
      </w:r>
      <w:r>
        <w:t>Wiley: Angewandte Chemie International Edition: Table of Contents</w:t>
      </w:r>
      <w:r>
        <w:t xml:space="preserve">    </w:t>
      </w:r>
      <w:r>
        <w:rPr>
          <w:b/>
        </w:rPr>
        <w:t xml:space="preserve">Pub date: </w:t>
      </w:r>
      <w:r>
        <w:t>2026-08-22 09:10:56+00:00</w:t>
      </w:r>
      <w:r>
        <w:t xml:space="preserve">    </w:t>
      </w:r>
      <w:r>
        <w:rPr>
          <w:b/>
        </w:rPr>
        <w:t xml:space="preserve">DOI: </w:t>
      </w:r>
      <w:hyperlink r:id="rId865">
        <w:r>
          <w:rPr>
            <w:color w:val="1155CC"/>
            <w:u w:val="single"/>
          </w:rPr>
          <w:t>10.1002/anie.7948330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Kv7 电压门控钾通道在控制可兴奋组织的电特性中发挥着关键作用。神经元表达的 Kv7 通道与常见和罕见的神经精神疾病有关，包括癫痫、抑郁症和神经退行性疾病；因此，它们代表了有吸引力的治疗靶点。然而，目前尚无 Kv7 调节剂可供临床使用。对配体诱导的 Kv7 通道调节的功能和结构决定因素的进一步了解可能会填补这一空白。在目前的工作中，我们描述了与两种瑞替加滨类似物复合的人 Kv7.2 通道的冷冻电子显微镜结构：化合物 60 (</w:t>
      </w:r>
      <w:r>
        <w:t xml:space="preserve"> </w:t>
      </w:r>
      <w:r>
        <w:t>c60</w:t>
      </w:r>
      <w:r>
        <w:t xml:space="preserve"> </w:t>
      </w:r>
      <w:r>
        <w:t>），我们之前将其描述为具有改善的药代动力学和药效特性的 Kv7 激活剂，以及新设计的化合物 106（</w:t>
      </w:r>
      <w:r>
        <w:t xml:space="preserve"> </w:t>
      </w:r>
      <w:r>
        <w:t>c106</w:t>
      </w:r>
      <w:r>
        <w:t xml:space="preserve"> </w:t>
      </w:r>
      <w:r>
        <w:t>），它是一种有效的 Kv7 阻断剂。尽管两种化合物在孔域中的 S5-S6 界面处占据相同的口袋，但对接和分子动力学模拟以及电生理学实验表明，相反的功能行为是由于它们的差异相互作用（涉及 L307 残基）造成的。因此，我们在此提供了关于外源配体控制 Kv7 通道调节的分子机制的新机制见解，这可能证明可用于使用更有效和选择性的调节剂靶向 Kv7 通道。</w:t>
      </w:r>
    </w:p>
    <w:p>
      <w:pPr>
        <w:spacing w:before="0" w:after="200" w:lineRule="auto" w:line="276"/>
      </w:pPr>
      <w:r>
        <w:rPr>
          <w:b/>
        </w:rPr>
        <w:t xml:space="preserve">Abstract (EN): </w:t>
      </w:r>
      <w:r>
        <w:t>Kv7 voltage‐gated potassium channels play a critical role in controlling electrical properties of excitable tissues. Neuronally‐expressed Kv7 channels are involved in both common and rare neuropsychiatric disorders, ranging from epilepsy to depression and neurodegenerative diseases; thus, they represent attractive therapeutic targets. However, no Kv7 modulator is currently available for clinical use. Improved knowledge of the functional and structural determinants responsible for ligand‐induced Kv7 channel modulation is likely to fill this gap. In the present work, we describe the cryo‐electron microscopy structures of human Kv7.2 channels in complex with two retigabine analogues: compound 60 (</w:t>
      </w:r>
      <w:r>
        <w:t xml:space="preserve"> </w:t>
      </w:r>
      <w:r>
        <w:t>c60</w:t>
      </w:r>
      <w:r>
        <w:t xml:space="preserve"> </w:t>
      </w:r>
      <w:r>
        <w:t>), which we previously described as a Kv7 activator with improved pharmacokinetic and pharmacodynamic properties, and the newly designed compound 106 (</w:t>
      </w:r>
      <w:r>
        <w:t xml:space="preserve"> </w:t>
      </w:r>
      <w:r>
        <w:t>c106</w:t>
      </w:r>
      <w:r>
        <w:t xml:space="preserve"> </w:t>
      </w:r>
      <w:r>
        <w:t>), which acts as a potent Kv7 blocker. Although both compounds occupy the same pocket at the S5–S6 interface in the pore domain, docking and molecular dynamics simulations and electrophysiological experiments revealed that the opposite functional behavior is due to their differential interaction, involving the L307 residue. Thus, we herein provide novel mechanistic insights into the molecular mechanisms governing Kv7 channel modulation by exogenous ligands which may prove useful to target Kv7 channels with more potent and selective modulators.</w:t>
      </w:r>
    </w:p>
    <w:p>
      <w:pPr>
        <w:spacing w:before="120" w:after="120"/>
      </w:pPr>
      <w:r>
        <w:rPr>
          <w:sz w:val="18"/>
        </w:rPr>
        <w:t>——————————————————————————————————————————————————————————————————————</w:t>
      </w:r>
    </w:p>
    <w:p>
      <w:pPr>
        <w:spacing w:before="160" w:after="40" w:line="240" w:lineRule="auto"/>
      </w:pPr>
      <w:r>
        <w:rPr>
          <w:b/>
        </w:rPr>
        <w:t xml:space="preserve">[211] </w:t>
      </w:r>
      <w:hyperlink r:id="rId866">
        <w:r>
          <w:rPr>
            <w:color w:val="1155CC"/>
            <w:u w:val="single"/>
          </w:rPr>
          <w:t>曼努埃尔·苏托</w:t>
        </w:r>
      </w:hyperlink>
    </w:p>
    <w:p>
      <w:pPr>
        <w:spacing w:before="0" w:after="80"/>
      </w:pPr>
      <w:r>
        <w:rPr>
          <w:i/>
          <w:sz w:val="20"/>
        </w:rPr>
        <w:t>EN: Manuel Souto</w:t>
      </w:r>
    </w:p>
    <w:p>
      <w:pPr>
        <w:spacing w:before="0" w:after="120"/>
      </w:pPr>
      <w:r>
        <w:rPr>
          <w:b/>
        </w:rPr>
        <w:t xml:space="preserve">Source: </w:t>
      </w:r>
      <w:r>
        <w:t>Wiley: Angewandte Chemie International Edition: Table of Contents</w:t>
      </w:r>
      <w:r>
        <w:t xml:space="preserve">    </w:t>
      </w:r>
      <w:r>
        <w:rPr>
          <w:b/>
        </w:rPr>
        <w:t xml:space="preserve">Pub date: </w:t>
      </w:r>
      <w:r>
        <w:t>2026-08-22 09:11:24+00:00</w:t>
      </w:r>
      <w:r>
        <w:t xml:space="preserve">    </w:t>
      </w:r>
      <w:r>
        <w:rPr>
          <w:b/>
        </w:rPr>
        <w:t xml:space="preserve">DOI: </w:t>
      </w:r>
      <w:hyperlink r:id="rId867">
        <w:r>
          <w:rPr>
            <w:color w:val="1155CC"/>
            <w:u w:val="single"/>
          </w:rPr>
          <w:t>10.1002/anie.6352970</w:t>
        </w:r>
      </w:hyperlink>
    </w:p>
    <w:p>
      <w:pPr>
        <w:spacing w:before="0" w:after="120"/>
      </w:pPr>
      <w:r>
        <w:rPr>
          <w:b/>
        </w:rPr>
        <w:t xml:space="preserve">Notes: </w:t>
      </w:r>
      <w:r>
        <w:t>abstract_source=openalex</w:t>
      </w:r>
    </w:p>
    <w:p>
      <w:pPr>
        <w:spacing w:before="0" w:after="80" w:lineRule="auto" w:line="276"/>
      </w:pPr>
      <w:r>
        <w:rPr>
          <w:b/>
        </w:rPr>
        <w:t xml:space="preserve">摘要（ZH）: </w:t>
      </w:r>
      <w:r>
        <w:t>“我建议我的学生要坚持下去，不要在面临拒绝时灰心……化学很有趣，因为意外的事情总是会发生……”在 Manuel Souto 的简介中了解更多关于他的信息。</w:t>
      </w:r>
    </w:p>
    <w:p>
      <w:pPr>
        <w:spacing w:before="0" w:after="200" w:lineRule="auto" w:line="276"/>
      </w:pPr>
      <w:r>
        <w:rPr>
          <w:b/>
        </w:rPr>
        <w:t xml:space="preserve">Abstract (EN): </w:t>
      </w:r>
      <w:r>
        <w:t>“I advise my students to persevere and not be discouraged when they face rejection… Chemistry is fun because something unexpected always happens…” Find out more about Manuel Souto in his Introducing… Profile.</w:t>
      </w:r>
    </w:p>
    <w:p>
      <w:pPr>
        <w:spacing w:before="120" w:after="120"/>
      </w:pPr>
      <w:r>
        <w:rPr>
          <w:sz w:val="18"/>
        </w:rPr>
        <w:t>——————————————————————————————————————————————————————————————————————</w:t>
      </w:r>
    </w:p>
    <w:p>
      <w:pPr>
        <w:spacing w:before="160" w:after="40" w:line="240" w:lineRule="auto"/>
      </w:pPr>
      <w:r>
        <w:rPr>
          <w:b/>
        </w:rPr>
        <w:t xml:space="preserve">[212] </w:t>
      </w:r>
      <w:hyperlink r:id="rId868">
        <w:r>
          <w:rPr>
            <w:color w:val="1155CC"/>
            <w:u w:val="single"/>
          </w:rPr>
          <w:t>用于同步 X 射线成像和热信号可视化的结构弛豫调制声子辅助能量转移闪烁体</w:t>
        </w:r>
      </w:hyperlink>
    </w:p>
    <w:p>
      <w:pPr>
        <w:spacing w:before="0" w:after="80"/>
      </w:pPr>
      <w:r>
        <w:rPr>
          <w:i/>
          <w:sz w:val="20"/>
        </w:rPr>
        <w:t>EN: Structural Relaxation Modulated Phonon‐Assisted Energy Transfer Scintillator for Simultaneous X‐Ray Imaging and Thermal Signals Visualization</w:t>
      </w:r>
    </w:p>
    <w:p>
      <w:pPr>
        <w:spacing w:before="0" w:after="120"/>
      </w:pPr>
      <w:r>
        <w:rPr>
          <w:b/>
        </w:rPr>
        <w:t xml:space="preserve">Source: </w:t>
      </w:r>
      <w:r>
        <w:t>Wiley: Angewandte Chemie International Edition: Table of Contents</w:t>
      </w:r>
      <w:r>
        <w:t xml:space="preserve">    </w:t>
      </w:r>
      <w:r>
        <w:rPr>
          <w:b/>
        </w:rPr>
        <w:t xml:space="preserve">Pub date: </w:t>
      </w:r>
      <w:r>
        <w:t>2026-08-22 09:12:29+00:00</w:t>
      </w:r>
      <w:r>
        <w:t xml:space="preserve">    </w:t>
      </w:r>
      <w:r>
        <w:rPr>
          <w:b/>
        </w:rPr>
        <w:t xml:space="preserve">DOI: </w:t>
      </w:r>
      <w:hyperlink r:id="rId869">
        <w:r>
          <w:rPr>
            <w:color w:val="1155CC"/>
            <w:u w:val="single"/>
          </w:rPr>
          <w:t>10.1002/anie.5028581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异常过热往往会导致电子元件在运行过程中出现故障。尽管传统的闪烁体在物体成像方面显示出巨大的潜力，但它们通常无法捕获热信号。在这项工作中，一系列 Tb</w:t>
      </w:r>
      <w:r>
        <w:t xml:space="preserve"> </w:t>
      </w:r>
      <w:r>
        <w:t>3+</w:t>
      </w:r>
      <w:r>
        <w:t xml:space="preserve"> </w:t>
      </w:r>
      <w:r>
        <w:t>/欧盟</w:t>
      </w:r>
      <w:r>
        <w:t xml:space="preserve"> </w:t>
      </w:r>
      <w:r>
        <w:t>3+</w:t>
      </w:r>
      <w:r>
        <w:t xml:space="preserve"> </w:t>
      </w:r>
      <w:r>
        <w:t>共掺杂 MOF 闪烁体（</w:t>
      </w:r>
      <w:r>
        <w:t xml:space="preserve"> </w:t>
      </w:r>
      <w:r>
        <w:t>铽</w:t>
      </w:r>
      <w:r>
        <w:t xml:space="preserve"> </w:t>
      </w:r>
      <w:r>
        <w:t>x</w:t>
      </w:r>
      <w:r>
        <w:t xml:space="preserve"> </w:t>
      </w:r>
      <w:r>
        <w:t>欧盟</w:t>
      </w:r>
      <w:r>
        <w:t xml:space="preserve"> </w:t>
      </w:r>
      <w:r>
        <w:t>(1–x)</w:t>
      </w:r>
      <w:r>
        <w:t xml:space="preserve"> </w:t>
      </w:r>
      <w:r>
        <w:t>）是利用 Tb 的特殊 Förster 共振能量转移而开发的</w:t>
      </w:r>
      <w:r>
        <w:t xml:space="preserve"> </w:t>
      </w:r>
      <w:r>
        <w:t>3+</w:t>
      </w:r>
      <w:r>
        <w:t xml:space="preserve"> </w:t>
      </w:r>
      <w:r>
        <w:t>至欧盟</w:t>
      </w:r>
      <w:r>
        <w:t xml:space="preserve"> </w:t>
      </w:r>
      <w:r>
        <w:t>3+</w:t>
      </w:r>
      <w:r>
        <w:t xml:space="preserve"> </w:t>
      </w:r>
      <w:r>
        <w:t>。至关重要的是，在 440 K 时发生了独特的结构松弛</w:t>
      </w:r>
      <w:r>
        <w:t xml:space="preserve"> </w:t>
      </w:r>
      <w:r>
        <w:t>铽</w:t>
      </w:r>
      <w:r>
        <w:t xml:space="preserve"> </w:t>
      </w:r>
      <w:r>
        <w:t>x</w:t>
      </w:r>
      <w:r>
        <w:t xml:space="preserve"> </w:t>
      </w:r>
      <w:r>
        <w:t>欧盟</w:t>
      </w:r>
      <w:r>
        <w:t xml:space="preserve"> </w:t>
      </w:r>
      <w:r>
        <w:t>(1–x)</w:t>
      </w:r>
      <w:r>
        <w:t xml:space="preserve"> </w:t>
      </w:r>
      <w:r>
        <w:t>，激活特定的声子模式以耗散 Tb 的多余能量</w:t>
      </w:r>
      <w:r>
        <w:t xml:space="preserve"> </w:t>
      </w:r>
      <w:r>
        <w:t>3+</w:t>
      </w:r>
      <w:r>
        <w:t xml:space="preserve"> </w:t>
      </w:r>
      <w:r>
        <w:t>（</w:t>
      </w:r>
      <w:r>
        <w:rPr>
          <w:vertAlign w:val="subscript"/>
        </w:rPr>
        <w:t>5</w:t>
      </w:r>
      <w:r>
        <w:t>D</w:t>
      </w:r>
      <w:r>
        <w:rPr>
          <w:vertAlign w:val="subscript"/>
        </w:rPr>
        <w:t>4</w:t>
      </w:r>
      <w:r>
        <w:t>) 至 欧盟</w:t>
      </w:r>
      <w:r>
        <w:t xml:space="preserve"> </w:t>
      </w:r>
      <w:r>
        <w:t>3+</w:t>
      </w:r>
      <w:r>
        <w:t xml:space="preserve"> </w:t>
      </w:r>
      <w:r>
        <w:t>（</w:t>
      </w:r>
      <w:r>
        <w:rPr>
          <w:vertAlign w:val="subscript"/>
        </w:rPr>
        <w:t>5</w:t>
      </w:r>
      <w:r>
        <w:t>D</w:t>
      </w:r>
      <w:r>
        <w:rPr>
          <w:vertAlign w:val="subscript"/>
        </w:rPr>
        <w:t>1</w:t>
      </w:r>
      <w:r>
        <w:t>）。配位相互作用的突然减弱和随后在 440 K 以上的晶格软化触发了振动自由度的释放和声子数量的增加，导致能量转移效率显着增强和温度依赖性</w:t>
      </w:r>
    </w:p>
    <w:p>
      <w:pPr>
        <w:spacing w:before="0" w:after="200" w:lineRule="auto" w:line="276"/>
      </w:pPr>
      <w:r>
        <w:rPr>
          <w:b/>
        </w:rPr>
        <w:t xml:space="preserve">Abstract (EN): </w:t>
      </w:r>
      <w:r>
        <w:t>Abnormal overheating often leads to malfunctions in electronic components during operation. Although traditional scintillators have shown great potential in object imaging, they are often unable to capture thermal signals. In this work, a series of Tb</w:t>
      </w:r>
      <w:r>
        <w:t xml:space="preserve"> </w:t>
      </w:r>
      <w:r>
        <w:t>3+</w:t>
      </w:r>
      <w:r>
        <w:t xml:space="preserve"> </w:t>
      </w:r>
      <w:r>
        <w:t>/Eu</w:t>
      </w:r>
      <w:r>
        <w:t xml:space="preserve"> </w:t>
      </w:r>
      <w:r>
        <w:t>3+</w:t>
      </w:r>
      <w:r>
        <w:t xml:space="preserve"> </w:t>
      </w:r>
      <w:r>
        <w:t>co‐doped MOF‐based scintillators (</w:t>
      </w:r>
      <w:r>
        <w:t xml:space="preserve"> </w:t>
      </w:r>
      <w:r>
        <w:t>Tb</w:t>
      </w:r>
      <w:r>
        <w:t xml:space="preserve"> </w:t>
      </w:r>
      <w:r>
        <w:t>x</w:t>
      </w:r>
      <w:r>
        <w:t xml:space="preserve"> </w:t>
      </w:r>
      <w:r>
        <w:t>Eu</w:t>
      </w:r>
      <w:r>
        <w:t xml:space="preserve"> </w:t>
      </w:r>
      <w:r>
        <w:t>(1–x)</w:t>
      </w:r>
      <w:r>
        <w:t xml:space="preserve"> </w:t>
      </w:r>
      <w:r>
        <w:t>) were developed with exceptional Förster resonance energy transfer from Tb</w:t>
      </w:r>
      <w:r>
        <w:t xml:space="preserve"> </w:t>
      </w:r>
      <w:r>
        <w:t>3+</w:t>
      </w:r>
      <w:r>
        <w:t xml:space="preserve"> </w:t>
      </w:r>
      <w:r>
        <w:t>to Eu</w:t>
      </w:r>
      <w:r>
        <w:t xml:space="preserve"> </w:t>
      </w:r>
      <w:r>
        <w:t>3+</w:t>
      </w:r>
      <w:r>
        <w:t xml:space="preserve"> </w:t>
      </w:r>
      <w:r>
        <w:t>. Crucially, a distinctive structural relaxation occurs at 440 K in</w:t>
      </w:r>
      <w:r>
        <w:t xml:space="preserve"> </w:t>
      </w:r>
      <w:r>
        <w:t>Tb</w:t>
      </w:r>
      <w:r>
        <w:t xml:space="preserve"> </w:t>
      </w:r>
      <w:r>
        <w:t>x</w:t>
      </w:r>
      <w:r>
        <w:t xml:space="preserve"> </w:t>
      </w:r>
      <w:r>
        <w:t>Eu</w:t>
      </w:r>
      <w:r>
        <w:t xml:space="preserve"> </w:t>
      </w:r>
      <w:r>
        <w:t>(1–x)</w:t>
      </w:r>
      <w:r>
        <w:t xml:space="preserve"> </w:t>
      </w:r>
      <w:r>
        <w:t>, which activates a specific phonon mode to dissipate the excess energy from Tb</w:t>
      </w:r>
      <w:r>
        <w:t xml:space="preserve"> </w:t>
      </w:r>
      <w:r>
        <w:t>3+</w:t>
      </w:r>
      <w:r>
        <w:t xml:space="preserve"> </w:t>
      </w:r>
      <w:r>
        <w:t>(</w:t>
      </w:r>
      <w:r>
        <w:rPr>
          <w:vertAlign w:val="subscript"/>
        </w:rPr>
        <w:t>5</w:t>
      </w:r>
      <w:r>
        <w:t>D</w:t>
      </w:r>
      <w:r>
        <w:rPr>
          <w:vertAlign w:val="subscript"/>
        </w:rPr>
        <w:t>4</w:t>
      </w:r>
      <w:r>
        <w:t>) to Eu</w:t>
      </w:r>
      <w:r>
        <w:t xml:space="preserve"> </w:t>
      </w:r>
      <w:r>
        <w:t>3+</w:t>
      </w:r>
      <w:r>
        <w:t xml:space="preserve"> </w:t>
      </w:r>
      <w:r>
        <w:t>(</w:t>
      </w:r>
      <w:r>
        <w:rPr>
          <w:vertAlign w:val="subscript"/>
        </w:rPr>
        <w:t>5</w:t>
      </w:r>
      <w:r>
        <w:t>D</w:t>
      </w:r>
      <w:r>
        <w:rPr>
          <w:vertAlign w:val="subscript"/>
        </w:rPr>
        <w:t>1</w:t>
      </w:r>
      <w:r>
        <w:t>). The abrupt weakening of coordination interaction and subsequent lattice softening above 440 K trigger the release of vibrational freedom and the increase of phonon population, leading to pronounced energy transfer efficiency enhancement and temperature‐dependent luminescent color shift. Leveraging the unique high‐temperature responsiveness and superior scintillation performance of</w:t>
      </w:r>
      <w:r>
        <w:t xml:space="preserve"> </w:t>
      </w:r>
      <w:r>
        <w:t>Tb</w:t>
      </w:r>
      <w:r>
        <w:t xml:space="preserve"> </w:t>
      </w:r>
      <w:r>
        <w:t>0.99</w:t>
      </w:r>
      <w:r>
        <w:t xml:space="preserve"> </w:t>
      </w:r>
      <w:r>
        <w:t>Eu</w:t>
      </w:r>
      <w:r>
        <w:t xml:space="preserve"> </w:t>
      </w:r>
      <w:r>
        <w:t>0.01</w:t>
      </w:r>
      <w:r>
        <w:t xml:space="preserve"> </w:t>
      </w:r>
      <w:r>
        <w:t>, the developed</w:t>
      </w:r>
      <w:r>
        <w:t xml:space="preserve"> </w:t>
      </w:r>
      <w:r>
        <w:t>Tb</w:t>
      </w:r>
      <w:r>
        <w:t xml:space="preserve"> </w:t>
      </w:r>
      <w:r>
        <w:t>0.99</w:t>
      </w:r>
      <w:r>
        <w:t xml:space="preserve"> </w:t>
      </w:r>
      <w:r>
        <w:t>Eu</w:t>
      </w:r>
      <w:r>
        <w:t xml:space="preserve"> </w:t>
      </w:r>
      <w:r>
        <w:t>0.01</w:t>
      </w:r>
      <w:r>
        <w:t xml:space="preserve"> </w:t>
      </w:r>
      <w:r>
        <w:t>‐screen</w:t>
      </w:r>
      <w:r>
        <w:t xml:space="preserve"> </w:t>
      </w:r>
      <w:r>
        <w:t>enables simultaneous capture of x‐ray imaging and thermal signals, which provides a new approach for achieving precise structural observation of electronic components and spatial localization of the abnormal overheating zone.</w:t>
      </w:r>
    </w:p>
    <w:p>
      <w:pPr>
        <w:spacing w:before="120" w:after="120"/>
      </w:pPr>
      <w:r>
        <w:rPr>
          <w:sz w:val="18"/>
        </w:rPr>
        <w:t>——————————————————————————————————————————————————————————————————————</w:t>
      </w:r>
    </w:p>
    <w:p>
      <w:pPr>
        <w:spacing w:before="160" w:after="40" w:line="240" w:lineRule="auto"/>
      </w:pPr>
      <w:r>
        <w:rPr>
          <w:b/>
        </w:rPr>
        <w:t xml:space="preserve">[213] </w:t>
      </w:r>
      <w:hyperlink r:id="rId870">
        <w:r>
          <w:rPr>
            <w:color w:val="1155CC"/>
            <w:u w:val="single"/>
          </w:rPr>
          <w:t>三维共价有机框架中区域异构驱动的微环境调节选择性 H2O2 光合作用</w:t>
        </w:r>
      </w:hyperlink>
    </w:p>
    <w:p>
      <w:pPr>
        <w:spacing w:before="0" w:after="80"/>
      </w:pPr>
      <w:r>
        <w:rPr>
          <w:i/>
          <w:sz w:val="20"/>
        </w:rPr>
        <w:t>EN: Regioisomerism‐Driven Microenvironment Modulation in Three‐Dimensional Covalent Organic Frameworks for Selective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2026-08-22 09:14:34+00:00</w:t>
      </w:r>
      <w:r>
        <w:t xml:space="preserve">    </w:t>
      </w:r>
      <w:r>
        <w:rPr>
          <w:b/>
        </w:rPr>
        <w:t xml:space="preserve">DOI: </w:t>
      </w:r>
      <w:hyperlink r:id="rId871">
        <w:r>
          <w:rPr>
            <w:color w:val="1155CC"/>
            <w:u w:val="single"/>
          </w:rPr>
          <w:t>10.1002/anie.2598368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骨架（COF）内的内部微环境对于光催化性能至关重要。然而，保留结构单元的化学成分阻碍了对内部电荷分布的精确控制。在此，采用区域异构驱动的策略通过调节环辛四噻吩（COTh）核心的α/β连接来设计框架微环境。通过特定 COTh 区域异构体与四硫富瓦烯 (TTF) 节点的缩合构建了两种同构 3D COF：JUC-701（对称）和 JUC-702（不对称），产生具有相同化学成分和 pts 拓扑的框架。实验和理论研究表明，JUC-702 中的不对称 α/β 连接打破了局部结构对称性，放大了固有的分子偶极子和电荷极化。这会在 3D 通道内产生强大的内置电场，优化局部电子结构，以实现热力学上有利的双电子氧还原反应 (2e</w:t>
      </w:r>
      <w:r>
        <w:t xml:space="preserve"> </w:t>
      </w:r>
      <w:r>
        <w:t>-</w:t>
      </w:r>
      <w:r>
        <w:t>ORR）。此外，促进了光生载流子的分离和界面转移动力学。因此，JUC-702 实现了卓越的 H</w:t>
      </w:r>
      <w:r>
        <w:rPr>
          <w:vertAlign w:val="subscript"/>
        </w:rPr>
        <w:t>2</w:t>
      </w:r>
      <w:r>
        <w:t>氧</w:t>
      </w:r>
      <w:r>
        <w:rPr>
          <w:vertAlign w:val="subscript"/>
        </w:rPr>
        <w:t>2</w:t>
      </w:r>
      <w:r>
        <w:t>产量（6724 µmol g</w:t>
      </w:r>
      <w:r>
        <w:t xml:space="preserve"> </w:t>
      </w:r>
      <w:r>
        <w:t>−1</w:t>
      </w:r>
      <w:r>
        <w:t xml:space="preserve"> </w:t>
      </w:r>
      <w:r>
        <w:t>小时</w:t>
      </w:r>
      <w:r>
        <w:t xml:space="preserve"> </w:t>
      </w:r>
      <w:r>
        <w:t>−1</w:t>
      </w:r>
      <w:r>
        <w:t xml:space="preserve"> </w:t>
      </w:r>
      <w:r>
        <w:t>）在无牺牲剂的纯水系统中，优于此类系统中的其他 3D COF。</w:t>
      </w:r>
    </w:p>
    <w:p>
      <w:pPr>
        <w:spacing w:before="0" w:after="200" w:lineRule="auto" w:line="276"/>
      </w:pPr>
      <w:r>
        <w:rPr>
          <w:b/>
        </w:rPr>
        <w:t xml:space="preserve">Abstract (EN): </w:t>
      </w:r>
      <w:r>
        <w:t>Internal microenvironment within covalent organic frameworks (COFs) is essential for photocatalytic performance. Nevertheless, retaining the chemical composition of building blocks hinders precise control over internal charge distribution. Herein, a regioisomerism‐driven strategy was adopted to engineer the framework microenvironment by modulating the α/β‐connectivity of cyclooctatetrathiophene (COTh) cores. Two isostructural 3D COFs, JUC‐701 (symmetric) and JUC‐702 (asymmetric), were constructed via the condensation of specific COTh regioisomers with tetrathiafulvalene (TTF) nodes, yielding frameworks with identical chemical compositions and pts topologies. Experimental and theoretical investigations reveal that the asymmetric α/β‐linkage in JUC‐702 breaks the local structural symmetry, amplifying the intrinsic molecular dipole and charge polarization. This induces a robust built‐in electric field within the 3D channels, optimizing the local electronic structure for thermodynamically favorable two‐electron oxygen reduction reaction (2e</w:t>
      </w:r>
      <w:r>
        <w:t xml:space="preserve"> </w:t>
      </w:r>
      <w:r>
        <w:t>−</w:t>
      </w:r>
      <w:r>
        <w:t>ORR). Moreover, the separation and interfacial transfer kinetics of photogenerated carriers was facilitated. Consequently, JUC‐702 achieves an exceptional H</w:t>
      </w:r>
      <w:r>
        <w:rPr>
          <w:vertAlign w:val="subscript"/>
        </w:rPr>
        <w:t>2</w:t>
      </w:r>
      <w:r>
        <w:t>O</w:t>
      </w:r>
      <w:r>
        <w:rPr>
          <w:vertAlign w:val="subscript"/>
        </w:rPr>
        <w:t>2</w:t>
      </w:r>
      <w:r>
        <w:t>production (6724 µmol g</w:t>
      </w:r>
      <w:r>
        <w:t xml:space="preserve"> </w:t>
      </w:r>
      <w:r>
        <w:t>−1</w:t>
      </w:r>
      <w:r>
        <w:t xml:space="preserve"> </w:t>
      </w:r>
      <w:r>
        <w:t>h</w:t>
      </w:r>
      <w:r>
        <w:t xml:space="preserve"> </w:t>
      </w:r>
      <w:r>
        <w:t>−1</w:t>
      </w:r>
      <w:r>
        <w:t xml:space="preserve"> </w:t>
      </w:r>
      <w:r>
        <w:t>) in a sacrificial‐agent‐free pure water system, which is superior to other 3D COFs in such a system. This work highlights the pivotal role of positional isomerism in modulating the intrinsic properties of 3D COFs, offering a versatile blueprint for the precision engineering of local electrostatic landscapes.</w:t>
      </w:r>
    </w:p>
    <w:p>
      <w:pPr>
        <w:spacing w:before="120" w:after="120"/>
      </w:pPr>
      <w:r>
        <w:rPr>
          <w:sz w:val="18"/>
        </w:rPr>
        <w:t>——————————————————————————————————————————————————————————————————————</w:t>
      </w:r>
    </w:p>
    <w:p>
      <w:pPr>
        <w:spacing w:before="160" w:after="40" w:line="240" w:lineRule="auto"/>
      </w:pPr>
      <w:r>
        <w:rPr>
          <w:b/>
        </w:rPr>
        <w:t xml:space="preserve">[214] </w:t>
      </w:r>
      <w:hyperlink r:id="rId872">
        <w:r>
          <w:rPr>
            <w:color w:val="1155CC"/>
            <w:u w:val="single"/>
          </w:rPr>
          <w:t>无金属钙钛矿铁电体中的多级氟化可实现多向自供电 X 射线检测</w:t>
        </w:r>
      </w:hyperlink>
    </w:p>
    <w:p>
      <w:pPr>
        <w:spacing w:before="0" w:after="80"/>
      </w:pPr>
      <w:r>
        <w:rPr>
          <w:i/>
          <w:sz w:val="20"/>
        </w:rPr>
        <w:t>EN: Multistage Fluorination in a Metal‐Free Perovskite Ferroelectric Enables Multidirectional Self‐Powered X‐Ray Detection</w:t>
      </w:r>
    </w:p>
    <w:p>
      <w:pPr>
        <w:spacing w:before="0" w:after="120"/>
      </w:pPr>
      <w:r>
        <w:rPr>
          <w:b/>
        </w:rPr>
        <w:t xml:space="preserve">Source: </w:t>
      </w:r>
      <w:r>
        <w:t>Wiley: Angewandte Chemie International Edition: Table of Contents</w:t>
      </w:r>
      <w:r>
        <w:t xml:space="preserve">    </w:t>
      </w:r>
      <w:r>
        <w:rPr>
          <w:b/>
        </w:rPr>
        <w:t xml:space="preserve">Pub date: </w:t>
      </w:r>
      <w:r>
        <w:t>2026-08-22 09:15:07+00:00</w:t>
      </w:r>
      <w:r>
        <w:t xml:space="preserve">    </w:t>
      </w:r>
      <w:r>
        <w:rPr>
          <w:b/>
        </w:rPr>
        <w:t xml:space="preserve">DOI: </w:t>
      </w:r>
      <w:hyperlink r:id="rId873">
        <w:r>
          <w:rPr>
            <w:color w:val="1155CC"/>
            <w:u w:val="single"/>
          </w:rPr>
          <w:t>10.1002/anie.8501169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无金属钙钛矿 (MFP) 已成为下一代 X 射线检测的环保候选材料。然而，材料稳定性差和对高驱动电压的依赖严重阻碍了它们的发展，从而加剧了器件的复杂性和操作风险。在此，我们采用多级氟化策略开发了一种新型MFP铁电体FMDABCO-NH</w:t>
      </w:r>
      <w:r>
        <w:rPr>
          <w:vertAlign w:val="subscript"/>
        </w:rPr>
        <w:t>4</w:t>
      </w:r>
      <w:r>
        <w:t>(PF</w:t>
      </w:r>
      <w:r>
        <w:rPr>
          <w:vertAlign w:val="subscript"/>
        </w:rPr>
        <w:t>6</w:t>
      </w:r>
      <w:r>
        <w:t>）</w:t>
      </w:r>
      <w:r>
        <w:rPr>
          <w:vertAlign w:val="subscript"/>
        </w:rPr>
        <w:t>3</w:t>
      </w:r>
      <w:r>
        <w:t>（FMDABCO</w:t>
      </w:r>
      <w:r>
        <w:t xml:space="preserve"> </w:t>
      </w:r>
      <w:r>
        <w:t>2+</w:t>
      </w:r>
      <w:r>
        <w:t xml:space="preserve"> </w:t>
      </w:r>
      <w:r>
        <w:t>=</w:t>
      </w:r>
      <w:r>
        <w:t xml:space="preserve"> </w:t>
      </w:r>
      <w:r>
        <w:t>氮</w:t>
      </w:r>
      <w:r>
        <w:t xml:space="preserve"> </w:t>
      </w:r>
      <w:r>
        <w:t>‐氟甲基‐</w:t>
      </w:r>
      <w:r>
        <w:t xml:space="preserve"> </w:t>
      </w:r>
      <w:r>
        <w:t>N′</w:t>
      </w:r>
      <w:r>
        <w:t xml:space="preserve"> </w:t>
      </w:r>
      <w:r>
        <w:t>‐二氮杂双环[2.2.2]辛鎓）。 X位点氟化赋予FMDABCO-NH</w:t>
      </w:r>
      <w:r>
        <w:rPr>
          <w:vertAlign w:val="subscript"/>
        </w:rPr>
        <w:t>4</w:t>
      </w:r>
      <w:r>
        <w:t>(PF</w:t>
      </w:r>
      <w:r>
        <w:rPr>
          <w:vertAlign w:val="subscript"/>
        </w:rPr>
        <w:t>6</w:t>
      </w:r>
      <w:r>
        <w:t>）</w:t>
      </w:r>
      <w:r>
        <w:rPr>
          <w:vertAlign w:val="subscript"/>
        </w:rPr>
        <w:t>3</w:t>
      </w:r>
      <w:r>
        <w:t>具有优异的稳定性，而A位氟化增强了分子偶极子和旋转势垒，导致多轴铁电性，居里温度升高（</w:t>
      </w:r>
      <w:r>
        <w:t xml:space="preserve"> </w:t>
      </w:r>
      <w:r>
        <w:t>时间</w:t>
      </w:r>
      <w:r>
        <w:t xml:space="preserve"> </w:t>
      </w:r>
      <w:r>
        <w:t>C</w:t>
      </w:r>
      <w:r>
        <w:t xml:space="preserve"> </w:t>
      </w:r>
      <w:r>
        <w:t>）为 340 K，自发极化（</w:t>
      </w:r>
      <w:r>
        <w:t xml:space="preserve"> </w:t>
      </w:r>
      <w:r>
        <w:t>磷</w:t>
      </w:r>
      <w:r>
        <w:t xml:space="preserve"> </w:t>
      </w:r>
      <w:r>
        <w:t>s</w:t>
      </w:r>
      <w:r>
        <w:t xml:space="preserve"> </w:t>
      </w:r>
      <w:r>
        <w:t>) 为 16 µC cm</w:t>
      </w:r>
      <w:r>
        <w:t xml:space="preserve"> </w:t>
      </w:r>
      <w:r>
        <w:t>−2</w:t>
      </w:r>
      <w:r>
        <w:t xml:space="preserve"> </w:t>
      </w:r>
      <w:r>
        <w:t>，已报道的氟化 MFP 铁电体中的最高值。结果，FMDABCO-NH</w:t>
      </w:r>
      <w:r>
        <w:rPr>
          <w:vertAlign w:val="subscript"/>
        </w:rPr>
        <w:t>4</w:t>
      </w:r>
      <w:r>
        <w:t>(PF</w:t>
      </w:r>
      <w:r>
        <w:rPr>
          <w:vertAlign w:val="subscript"/>
        </w:rPr>
        <w:t>6</w:t>
      </w:r>
      <w:r>
        <w:t>）</w:t>
      </w:r>
      <w:r>
        <w:rPr>
          <w:vertAlign w:val="subscript"/>
        </w:rPr>
        <w:t>3</w:t>
      </w:r>
      <w:r>
        <w:t>单晶实现自供电 X 射线检测</w:t>
      </w:r>
    </w:p>
    <w:p>
      <w:pPr>
        <w:spacing w:before="0" w:after="200" w:lineRule="auto" w:line="276"/>
      </w:pPr>
      <w:r>
        <w:rPr>
          <w:b/>
        </w:rPr>
        <w:t xml:space="preserve">Abstract (EN): </w:t>
      </w:r>
      <w:r>
        <w:t>Metal‐free perovskites (MFPs) have emerged as eco‐friendly candidates for next‐generation x‐ray detection. However, their development is severely hindered by poor material stability and the reliance on high driving voltages, which exacerbate device complexity and operational risks. Herein, we adopt a multistage fluorination strategy to develop a novel MFP ferroelectric, FMDABCO‐NH</w:t>
      </w:r>
      <w:r>
        <w:rPr>
          <w:vertAlign w:val="subscript"/>
        </w:rPr>
        <w:t>4</w:t>
      </w:r>
      <w:r>
        <w:t>(PF</w:t>
      </w:r>
      <w:r>
        <w:rPr>
          <w:vertAlign w:val="subscript"/>
        </w:rPr>
        <w:t>6</w:t>
      </w:r>
      <w:r>
        <w:t>)</w:t>
      </w:r>
      <w:r>
        <w:rPr>
          <w:vertAlign w:val="subscript"/>
        </w:rPr>
        <w:t>3</w:t>
      </w:r>
      <w:r>
        <w:t>(FMDABCO</w:t>
      </w:r>
      <w:r>
        <w:t xml:space="preserve"> </w:t>
      </w:r>
      <w:r>
        <w:t>2+</w:t>
      </w:r>
      <w:r>
        <w:t xml:space="preserve"> </w:t>
      </w:r>
      <w:r>
        <w:t>=</w:t>
      </w:r>
      <w:r>
        <w:t xml:space="preserve"> </w:t>
      </w:r>
      <w:r>
        <w:t>N</w:t>
      </w:r>
      <w:r>
        <w:t xml:space="preserve"> </w:t>
      </w:r>
      <w:r>
        <w:t>‐fluoromethyl‐</w:t>
      </w:r>
      <w:r>
        <w:t xml:space="preserve"> </w:t>
      </w:r>
      <w:r>
        <w:t>N′</w:t>
      </w:r>
      <w:r>
        <w:t xml:space="preserve"> </w:t>
      </w:r>
      <w:r>
        <w:t>‐diazabicyclo[2.2.2]octonium). X‐site fluorination endows FMDABCO‐NH</w:t>
      </w:r>
      <w:r>
        <w:rPr>
          <w:vertAlign w:val="subscript"/>
        </w:rPr>
        <w:t>4</w:t>
      </w:r>
      <w:r>
        <w:t>(PF</w:t>
      </w:r>
      <w:r>
        <w:rPr>
          <w:vertAlign w:val="subscript"/>
        </w:rPr>
        <w:t>6</w:t>
      </w:r>
      <w:r>
        <w:t>)</w:t>
      </w:r>
      <w:r>
        <w:rPr>
          <w:vertAlign w:val="subscript"/>
        </w:rPr>
        <w:t>3</w:t>
      </w:r>
      <w:r>
        <w:t>with excellent stability, while A‐site fluorination enhances molecular dipoles and rotational barriers, leading to multiaxial ferroelectricity, an elevated Curie temperature (</w:t>
      </w:r>
      <w:r>
        <w:t xml:space="preserve"> </w:t>
      </w:r>
      <w:r>
        <w:t>T</w:t>
      </w:r>
      <w:r>
        <w:t xml:space="preserve"> </w:t>
      </w:r>
      <w:r>
        <w:t>C</w:t>
      </w:r>
      <w:r>
        <w:t xml:space="preserve"> </w:t>
      </w:r>
      <w:r>
        <w:t>) of 340 K, and a spontaneous polarization (</w:t>
      </w:r>
      <w:r>
        <w:t xml:space="preserve"> </w:t>
      </w:r>
      <w:r>
        <w:t>P</w:t>
      </w:r>
      <w:r>
        <w:t xml:space="preserve"> </w:t>
      </w:r>
      <w:r>
        <w:t>s</w:t>
      </w:r>
      <w:r>
        <w:t xml:space="preserve"> </w:t>
      </w:r>
      <w:r>
        <w:t>) of 16 µC cm</w:t>
      </w:r>
      <w:r>
        <w:t xml:space="preserve"> </w:t>
      </w:r>
      <w:r>
        <w:t>−2</w:t>
      </w:r>
      <w:r>
        <w:t xml:space="preserve"> </w:t>
      </w:r>
      <w:r>
        <w:t>, the highest value among reported fluorinated MFP ferroelectrics. As a result, FMDABCO‐NH</w:t>
      </w:r>
      <w:r>
        <w:rPr>
          <w:vertAlign w:val="subscript"/>
        </w:rPr>
        <w:t>4</w:t>
      </w:r>
      <w:r>
        <w:t>(PF</w:t>
      </w:r>
      <w:r>
        <w:rPr>
          <w:vertAlign w:val="subscript"/>
        </w:rPr>
        <w:t>6</w:t>
      </w:r>
      <w:r>
        <w:t>)</w:t>
      </w:r>
      <w:r>
        <w:rPr>
          <w:vertAlign w:val="subscript"/>
        </w:rPr>
        <w:t>3</w:t>
      </w:r>
      <w:r>
        <w:t>single crystals enable self‐powered x‐ray detection along three equivalent polar axes, representing the first multiaxial self‐powered MFP x‐ray detector. Furthermore, under a low electric field of 80 V mm</w:t>
      </w:r>
      <w:r>
        <w:t xml:space="preserve"> </w:t>
      </w:r>
      <w:r>
        <w:t>−1</w:t>
      </w:r>
      <w:r>
        <w:t xml:space="preserve"> </w:t>
      </w:r>
      <w:r>
        <w:t>, FMDABCO‐NH</w:t>
      </w:r>
      <w:r>
        <w:rPr>
          <w:vertAlign w:val="subscript"/>
        </w:rPr>
        <w:t>4</w:t>
      </w:r>
      <w:r>
        <w:t>(PF</w:t>
      </w:r>
      <w:r>
        <w:rPr>
          <w:vertAlign w:val="subscript"/>
        </w:rPr>
        <w:t>6</w:t>
      </w:r>
      <w:r>
        <w:t>)</w:t>
      </w:r>
      <w:r>
        <w:rPr>
          <w:vertAlign w:val="subscript"/>
        </w:rPr>
        <w:t>3</w:t>
      </w:r>
      <w:r>
        <w:t>delivers a record‐high sensitivity of 2860 µC Gy</w:t>
      </w:r>
      <w:r>
        <w:t xml:space="preserve"> </w:t>
      </w:r>
      <w:r>
        <w:t>air</w:t>
      </w:r>
      <w:r>
        <w:t xml:space="preserve"> </w:t>
      </w:r>
      <w:r>
        <w:t>−1</w:t>
      </w:r>
      <w:r>
        <w:t xml:space="preserve"> </w:t>
      </w:r>
      <w:r>
        <w:t>cm</w:t>
      </w:r>
      <w:r>
        <w:t xml:space="preserve"> </w:t>
      </w:r>
      <w:r>
        <w:t>−2</w:t>
      </w:r>
      <w:r>
        <w:t xml:space="preserve"> </w:t>
      </w:r>
      <w:r>
        <w:t>among MFP ferroelectrics, while retaining 93% of its initial sensitivity after 1 year of ambient exposure. This work establishes a viable pathway toward environmentally benign, high‐performance, and self‐powered x‐ray detectors.</w:t>
      </w:r>
    </w:p>
    <w:p>
      <w:pPr>
        <w:spacing w:before="120" w:after="120"/>
      </w:pPr>
      <w:r>
        <w:rPr>
          <w:sz w:val="18"/>
        </w:rPr>
        <w:t>——————————————————————————————————————————————————————————————————————</w:t>
      </w:r>
    </w:p>
    <w:p>
      <w:pPr>
        <w:spacing w:before="160" w:after="40" w:line="240" w:lineRule="auto"/>
      </w:pPr>
      <w:r>
        <w:rPr>
          <w:b/>
        </w:rPr>
        <w:t xml:space="preserve">[215] </w:t>
      </w:r>
      <w:hyperlink r:id="rId874">
        <w:r>
          <w:rPr>
            <w:color w:val="1155CC"/>
            <w:u w:val="single"/>
          </w:rPr>
          <w:t>末端烯烃与铁卡宾的反应</w:t>
        </w:r>
      </w:hyperlink>
    </w:p>
    <w:p>
      <w:pPr>
        <w:spacing w:before="0" w:after="80"/>
      </w:pPr>
      <w:r>
        <w:rPr>
          <w:i/>
          <w:sz w:val="20"/>
        </w:rPr>
        <w:t>EN: Reactions of Terminal Olefins With Iron Carbenes</w:t>
      </w:r>
    </w:p>
    <w:p>
      <w:pPr>
        <w:spacing w:before="0" w:after="120"/>
      </w:pPr>
      <w:r>
        <w:rPr>
          <w:b/>
        </w:rPr>
        <w:t xml:space="preserve">Source: </w:t>
      </w:r>
      <w:r>
        <w:t>Wiley: Angewandte Chemie International Edition: Table of Contents</w:t>
      </w:r>
      <w:r>
        <w:t xml:space="preserve">    </w:t>
      </w:r>
      <w:r>
        <w:rPr>
          <w:b/>
        </w:rPr>
        <w:t xml:space="preserve">Pub date: </w:t>
      </w:r>
      <w:r>
        <w:t>2026-08-22 09:17:58+00:00</w:t>
      </w:r>
      <w:r>
        <w:t xml:space="preserve">    </w:t>
      </w:r>
      <w:r>
        <w:rPr>
          <w:b/>
        </w:rPr>
        <w:t xml:space="preserve">DOI: </w:t>
      </w:r>
      <w:hyperlink r:id="rId875">
        <w:r>
          <w:rPr>
            <w:color w:val="1155CC"/>
            <w:u w:val="single"/>
          </w:rPr>
          <w:t>10.1002/anie.7062874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竞争性的、复分解发散的失活途径，将可持续的、地球丰富的铁络合物应用于末端烯烃的烯烃复分解仍然是一个艰巨的挑战。在这里，我们研究了钳载铁卡宾对各种末端烯烃的反应性。在环境条件下与苯乙烯、乙烯或 2-乙烯基苯甲醚的反应通过 2π + 2π 环加成进行，生成瞬态金属环丁烷中间体，该中间体快速经历复分解发散的 β-氢化物消除，生成稳定的铁烯丙基氢化物络合物。将苯甲腈添加到铁烯丙基氢化物络合物中，表现出独特的氢化物从铁中心到腈碳的转移，产生顺磁性末端酰亚胺络合物。相反，与空间要求高的 1,1-二取代烯烃 α-甲基苯乙烯的反应成功地抑制了 β-氢化物的消除。加热该混合物会引发 2π + 2π 环加成反应，随后发生环化回复和随后的 1,2-氢化物转移，从而产生高产但产率较低的复分解反应，生成顺磁性侧键铁烯烃络合物。</w:t>
      </w:r>
    </w:p>
    <w:p>
      <w:pPr>
        <w:spacing w:before="0" w:after="200" w:lineRule="auto" w:line="276"/>
      </w:pPr>
      <w:r>
        <w:rPr>
          <w:b/>
        </w:rPr>
        <w:t xml:space="preserve">Abstract (EN): </w:t>
      </w:r>
      <w:r>
        <w:t>The application of sustainable, earth‐abundant iron complexes to the olefin metathesis of terminal olefins remains a formidable challenge due to competitive, metathesis‐divergent deactivation pathways. Herein, we investigate the reactivity of pincer‐supported iron carbenes toward various terminal olefins. Reactions with styrene, ethylene, or 2‐vinylanisole under ambient conditions proceed through 2π + 2π cycloadditions to generate transient metallacyclobutane intermediates that rapidly undergo metathesis‐divergent β‐hydride elimination to yield stable iron allyl hydride complexes. The addition of benzonitrile to the iron allyl hydride complexes demonstrates a unique hydride transfer from the iron center to the nitrile carbon, yielding a paramagnetic terminal imide complex. Conversely, reactions with the sterically demanding 1,1‐disubstituted olefin α‐methylstyrene successfully suppress β‐hydride elimination. Heating this mixture induces a 2π + 2π cycloaddition followed by cycloreversion and a subsequent 1,2‐hydride shift, resulting in productive, albeit low‐yield, metathesis to generate a paramagnetic side‐bound iron olefin complex.</w:t>
      </w:r>
    </w:p>
    <w:p>
      <w:pPr>
        <w:spacing w:before="120" w:after="120"/>
      </w:pPr>
      <w:r>
        <w:rPr>
          <w:sz w:val="18"/>
        </w:rPr>
        <w:t>——————————————————————————————————————————————————————————————————————</w:t>
      </w:r>
    </w:p>
    <w:p>
      <w:pPr>
        <w:spacing w:before="160" w:after="40" w:line="240" w:lineRule="auto"/>
      </w:pPr>
      <w:r>
        <w:rPr>
          <w:b/>
        </w:rPr>
        <w:t xml:space="preserve">[216] </w:t>
      </w:r>
      <w:hyperlink r:id="rId876">
        <w:r>
          <w:rPr>
            <w:color w:val="1155CC"/>
            <w:u w:val="single"/>
          </w:rPr>
          <w:t>用于时空多目标检测的忆阻运动条纹神经元</w:t>
        </w:r>
      </w:hyperlink>
    </w:p>
    <w:p>
      <w:pPr>
        <w:spacing w:before="0" w:after="80"/>
      </w:pPr>
      <w:r>
        <w:rPr>
          <w:i/>
          <w:sz w:val="20"/>
        </w:rPr>
        <w:t>EN: Memristive Motion‐Streak Neuron for Spatiotemporal Multiple Object Detection</w:t>
      </w:r>
    </w:p>
    <w:p>
      <w:pPr>
        <w:spacing w:before="0" w:after="120"/>
      </w:pPr>
      <w:r>
        <w:rPr>
          <w:b/>
        </w:rPr>
        <w:t xml:space="preserve">Source: </w:t>
      </w:r>
      <w:r>
        <w:t>Wiley: Advanced Materials: Table of Contents</w:t>
      </w:r>
      <w:r>
        <w:t xml:space="preserve">    </w:t>
      </w:r>
      <w:r>
        <w:rPr>
          <w:b/>
        </w:rPr>
        <w:t xml:space="preserve">Pub date: </w:t>
      </w:r>
      <w:r>
        <w:t>2026-08-22 09:18:33+00:00</w:t>
      </w:r>
      <w:r>
        <w:t xml:space="preserve">    </w:t>
      </w:r>
      <w:r>
        <w:rPr>
          <w:b/>
        </w:rPr>
        <w:t xml:space="preserve">DOI: </w:t>
      </w:r>
      <w:hyperlink r:id="rId877">
        <w:r>
          <w:rPr>
            <w:color w:val="1155CC"/>
            <w:u w:val="single"/>
          </w:rPr>
          <w:t>10.1002/adma.74793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传统的人工视觉系统通过从离散帧重建运动来处理动态场景，效率低下，这需要后处理。相比之下，包含多个移动物体的现实环境需要传感器级别的辨别。这项工作提出了一种忆阻运动条纹神经元，它通过将 Al/InGaZnO/Al 光敏电阻与 Ag/HfO 集成来执行时空编码</w:t>
      </w:r>
      <w:r>
        <w:rPr>
          <w:vertAlign w:val="subscript"/>
        </w:rPr>
        <w:t>2</w:t>
      </w:r>
      <w:r>
        <w:t>/Pt 动态忆阻器，其弛豫动力学提供时间记忆。在该系统中，通过输出电流的衰减来检测移动物体的存在时间，从而可以从弛豫行为直接推断出运动方向和速度。集成忆阻器像素阵列能够处理连续运动，并对多个物体实现 96.2% 的分类准确率。此外，将运动条纹神经元与电阻电容内核集成进一步编码光学事件之间的时间间隔，从而能够识别复杂的运动模式。这种动态处理减少了计算开销，并为下一代视觉系统提供了硬件解决方案。</w:t>
      </w:r>
    </w:p>
    <w:p>
      <w:pPr>
        <w:spacing w:before="0" w:after="200" w:lineRule="auto" w:line="276"/>
      </w:pPr>
      <w:r>
        <w:rPr>
          <w:b/>
        </w:rPr>
        <w:t xml:space="preserve">Abstract (EN): </w:t>
      </w:r>
      <w:r>
        <w:t>Conventional artificial vision systems process dynamic scenes inefficiently by reconstructing motion from discrete frames, which requires post‐processing. In contrast, real‐world environments containing multiple moving objects demand sensor‐level discrimination. This work presents a memristive motion‐streak neuron that performs spatiotemporal encoding by integrating an Al/InGaZnO/Al optomemristor with an Ag/HfO</w:t>
      </w:r>
      <w:r>
        <w:rPr>
          <w:vertAlign w:val="subscript"/>
        </w:rPr>
        <w:t>2</w:t>
      </w:r>
      <w:r>
        <w:t>/Pt dynamic memristor, whose relaxation dynamics provide temporal memory. In this system, the presence time of moving objects is detected by decay of the output current, allowing motion direction and speed to be directly inferred from the relaxation behavior. The integrated memristor pixel array enables processing of continuous movements and achieves 96.2% classification accuracy for multiple objects. Also, integrating the motion‐streak neuron with the resistor–capacitor kernel further encodes temporal intervals between optical events, enabling recognition of complex movement patterns. This dynamic processing diminishes computational overhead and provides a hardware solution for next‐generation vision systems.</w:t>
      </w:r>
    </w:p>
    <w:p>
      <w:pPr>
        <w:spacing w:before="120" w:after="120"/>
      </w:pPr>
      <w:r>
        <w:rPr>
          <w:sz w:val="18"/>
        </w:rPr>
        <w:t>——————————————————————————————————————————————————————————————————————</w:t>
      </w:r>
    </w:p>
    <w:p>
      <w:pPr>
        <w:spacing w:before="160" w:after="40" w:line="240" w:lineRule="auto"/>
      </w:pPr>
      <w:r>
        <w:rPr>
          <w:b/>
        </w:rPr>
        <w:t xml:space="preserve">[217] </w:t>
      </w:r>
      <w:hyperlink r:id="rId878">
        <w:r>
          <w:rPr>
            <w:color w:val="1155CC"/>
            <w:u w:val="single"/>
          </w:rPr>
          <w:t>作为 MRI 或化学位移探针的顺磁性 d-Block 金属有机笼</w:t>
        </w:r>
      </w:hyperlink>
    </w:p>
    <w:p>
      <w:pPr>
        <w:spacing w:before="0" w:after="80"/>
      </w:pPr>
      <w:r>
        <w:rPr>
          <w:i/>
          <w:sz w:val="20"/>
        </w:rPr>
        <w:t>EN: Paramagnetic d‐Block Metal Organic Cages as MRI or Chemical Shift Probes</w:t>
      </w:r>
    </w:p>
    <w:p>
      <w:pPr>
        <w:spacing w:before="0" w:after="120"/>
      </w:pPr>
      <w:r>
        <w:rPr>
          <w:b/>
        </w:rPr>
        <w:t xml:space="preserve">Source: </w:t>
      </w:r>
      <w:r>
        <w:t>Wiley: Angewandte Chemie International Edition: Table of Contents</w:t>
      </w:r>
      <w:r>
        <w:t xml:space="preserve">    </w:t>
      </w:r>
      <w:r>
        <w:rPr>
          <w:b/>
        </w:rPr>
        <w:t xml:space="preserve">Pub date: </w:t>
      </w:r>
      <w:r>
        <w:t>2026-08-22 09:19:39+00:00</w:t>
      </w:r>
      <w:r>
        <w:t xml:space="preserve">    </w:t>
      </w:r>
      <w:r>
        <w:rPr>
          <w:b/>
        </w:rPr>
        <w:t xml:space="preserve">DOI: </w:t>
      </w:r>
      <w:hyperlink r:id="rId879">
        <w:r>
          <w:rPr>
            <w:color w:val="1155CC"/>
            <w:u w:val="single"/>
          </w:rPr>
          <w:t>10.1002/anie.1137232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顺磁性 d 区金属有机笼 (MOC) 显示出开发磁共振成像 (MRI) 造影剂和磁共振波谱成像 (MRSI) 探针的前景。基于 MOC 的 MRI 探针可提高水质子的弛豫率，主要例子是含有高自旋 Fe(III) 的探针。 MOC T</w:t>
      </w:r>
      <w:r>
        <w:rPr>
          <w:vertAlign w:val="subscript"/>
        </w:rPr>
        <w:t>1</w:t>
      </w:r>
      <w:r>
        <w:t>MRI 探头显示出增强的信号，部分是由于刚性连接的顺磁性金属中心导致的较慢的重新定向时间。用于 MRSI 的顺磁位移（parashift）探针是高度对称的 MOC，可产生强烈的顺磁位移质子共振以改善信号，通常含有高自旋 Co(II) 或 Ni(II)。 MOC 的主客体特性对于药物的输送和开发响应性成像探针以感知小分子作为客体很重要。具有改善的水溶性和稳定性的新型MOC将促进生物医学成像中的新应用。</w:t>
      </w:r>
    </w:p>
    <w:p>
      <w:pPr>
        <w:spacing w:before="0" w:after="200" w:lineRule="auto" w:line="276"/>
      </w:pPr>
      <w:r>
        <w:rPr>
          <w:b/>
        </w:rPr>
        <w:t xml:space="preserve">Abstract (EN): </w:t>
      </w:r>
      <w:r>
        <w:t>Paramagnetic d‐block metal organic cages (MOCs) show promise for the development of magnetic resonance imaging (MRI) contrast agents and magnetic resonance spectroscopy imaging (MRSI) probes. MOC‐based MRI probes increase the relaxation rates of water protons with predominant examples containing high‐spin Fe(III). MOC T</w:t>
      </w:r>
      <w:r>
        <w:rPr>
          <w:vertAlign w:val="subscript"/>
        </w:rPr>
        <w:t>1</w:t>
      </w:r>
      <w:r>
        <w:t>MRI probes show enhanced signal based, in part, on slower reorientation times attributed to rigidly linked paramagnetic metal centers. Paramagnetic shift (parashift) probes for MRSI are highly symmetrical MOCs that produce intense paramagnetically shifted proton resonances for improved signal and generally contain high‐spin Co(II) or Ni(II). The host–guest properties of MOCs are of interest for the delivery of drugs and for the development of responsive imaging probes to sense small molecules as guests. New MOCs with improved water solubility and stability would facilitate new applications in biomedical imaging.</w:t>
      </w:r>
    </w:p>
    <w:p>
      <w:pPr>
        <w:spacing w:before="120" w:after="120"/>
      </w:pPr>
      <w:r>
        <w:rPr>
          <w:sz w:val="18"/>
        </w:rPr>
        <w:t>——————————————————————————————————————————————————————————————————————</w:t>
      </w:r>
    </w:p>
    <w:p>
      <w:pPr>
        <w:spacing w:before="160" w:after="40" w:line="240" w:lineRule="auto"/>
      </w:pPr>
      <w:r>
        <w:rPr>
          <w:b/>
        </w:rPr>
        <w:t xml:space="preserve">[218] </w:t>
      </w:r>
      <w:hyperlink r:id="rId880">
        <w:r>
          <w:rPr>
            <w:color w:val="1155CC"/>
            <w:u w:val="single"/>
          </w:rPr>
          <w:t>通过 HDX 质谱结合 NMR 光谱表征全长抗体复合物：对 Avelumab/PD-L1 相互作用的新见解</w:t>
        </w:r>
      </w:hyperlink>
    </w:p>
    <w:p>
      <w:pPr>
        <w:spacing w:before="0" w:after="80"/>
      </w:pPr>
      <w:r>
        <w:rPr>
          <w:i/>
          <w:sz w:val="20"/>
        </w:rPr>
        <w:t>EN: Characterization of Full‐Length Antibody Complexes Through HDX‐Mass Spectrometry Coupled With NMR Spectroscopy: New Insight Into Avelumab/PD‐L1 Interaction</w:t>
      </w:r>
    </w:p>
    <w:p>
      <w:pPr>
        <w:spacing w:before="0" w:after="120"/>
      </w:pPr>
      <w:r>
        <w:rPr>
          <w:b/>
        </w:rPr>
        <w:t xml:space="preserve">Source: </w:t>
      </w:r>
      <w:r>
        <w:t>Wiley: Angewandte Chemie International Edition: Table of Contents</w:t>
      </w:r>
      <w:r>
        <w:t xml:space="preserve">    </w:t>
      </w:r>
      <w:r>
        <w:rPr>
          <w:b/>
        </w:rPr>
        <w:t xml:space="preserve">Pub date: </w:t>
      </w:r>
      <w:r>
        <w:t>2026-08-22 09:20:16+00:00</w:t>
      </w:r>
      <w:r>
        <w:t xml:space="preserve">    </w:t>
      </w:r>
      <w:r>
        <w:rPr>
          <w:b/>
        </w:rPr>
        <w:t xml:space="preserve">DOI: </w:t>
      </w:r>
      <w:hyperlink r:id="rId881">
        <w:r>
          <w:rPr>
            <w:color w:val="1155CC"/>
            <w:u w:val="single"/>
          </w:rPr>
          <w:t>10.1002/anie.1540355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重组生物大分子已经显着改变了药物，特别是针对肿瘤学、免疫学、炎症和神经退行性疾病关键领域的单克隆抗体 (mAb)。开发生物治疗药物需要详细了解其生物学特性。这反过来又带来了从生产到患者的每个阶段表征高阶蛋白质结构的重要性。单克隆抗体的灵活性和尺寸通常妨碍通过传统方法获得药物配方中的原子级结构信息。在本研究中，我们引入了固态核磁共振 (SSNMR) 和氢氘交换质谱 (HDX-MS) 的集成，以探索 Avelumab 和程序性细胞死亡配体 1 (PD-L1) 之间的相互作用。通过这种方法，我们能够获得表位（通过 NMR 和 HDX）和互补位作图（通过 HDX），以及结合时产生的结构重排的详细表征。该方法提供了对于生物治疗药物的设计和优化非常重要的机制和结构见解。</w:t>
      </w:r>
    </w:p>
    <w:p>
      <w:pPr>
        <w:spacing w:before="0" w:after="200" w:lineRule="auto" w:line="276"/>
      </w:pPr>
      <w:r>
        <w:rPr>
          <w:b/>
        </w:rPr>
        <w:t xml:space="preserve">Abstract (EN): </w:t>
      </w:r>
      <w:r>
        <w:t>Recombinant biomacromolecules have significantly transformed pharmaceuticals, in particular monoclonal antibodies (mAbs) that target key areas in oncology, immunology, inflammation, and neurodegenerative diseases. Developing biotherapeutics requires a detailed understanding of their biological properties. This, in turn, brings about the importance of characterizing higher‐order protein structures at each stage, from production to patient. The flexibility and size of the mAbs often prevent achieving atomic‐level structural information in the pharmaceutical formulation by traditional methods. In this study, we introduce an integration of solid‐state nuclear magnetic resonance (SSNMR) and hydrogen–deuterium exchange mass spectrometry (HDX‐MS) to explore the interaction between Avelumab and the programmed cell death‐ligand 1 (PD‐L1). With this approach, we were able to obtain epitope (by both NMR and HDX) and paratope mapping (by HDX), together with a detailed characterization of the structural rearrangements arising upon binding. This methodology provides both mechanistic and structural insights important for the design and optimization of biotherapeutics.</w:t>
      </w:r>
    </w:p>
    <w:p>
      <w:pPr>
        <w:spacing w:before="120" w:after="120"/>
      </w:pPr>
      <w:r>
        <w:rPr>
          <w:sz w:val="18"/>
        </w:rPr>
        <w:t>——————————————————————————————————————————————————————————————————————</w:t>
      </w:r>
    </w:p>
    <w:p>
      <w:pPr>
        <w:spacing w:before="160" w:after="40" w:line="240" w:lineRule="auto"/>
      </w:pPr>
      <w:r>
        <w:rPr>
          <w:b/>
        </w:rPr>
        <w:t xml:space="preserve">[219] </w:t>
      </w:r>
      <w:hyperlink r:id="rId882">
        <w:r>
          <w:rPr>
            <w:color w:val="1155CC"/>
            <w:u w:val="single"/>
          </w:rPr>
          <w:t>通过 circDesign 算法优化环状核糖核酸的功能域完整性，提高疫苗免疫原性</w:t>
        </w:r>
      </w:hyperlink>
    </w:p>
    <w:p>
      <w:pPr>
        <w:spacing w:before="0" w:after="80"/>
      </w:pPr>
      <w:r>
        <w:rPr>
          <w:i/>
          <w:sz w:val="20"/>
        </w:rPr>
        <w:t>EN: Optimizing Functional‐Domain Integrity of Circular Ribonucleic Acid With Improved Vaccine Immunogenicity by circDesign Algorithm</w:t>
      </w:r>
    </w:p>
    <w:p>
      <w:pPr>
        <w:spacing w:before="0" w:after="120"/>
      </w:pPr>
      <w:r>
        <w:rPr>
          <w:b/>
        </w:rPr>
        <w:t xml:space="preserve">Source: </w:t>
      </w:r>
      <w:r>
        <w:t>Wiley: Angewandte Chemie International Edition: Table of Contents</w:t>
      </w:r>
      <w:r>
        <w:t xml:space="preserve">    </w:t>
      </w:r>
      <w:r>
        <w:rPr>
          <w:b/>
        </w:rPr>
        <w:t xml:space="preserve">Pub date: </w:t>
      </w:r>
      <w:r>
        <w:t>2026-08-22 09:20:50+00:00</w:t>
      </w:r>
      <w:r>
        <w:t xml:space="preserve">    </w:t>
      </w:r>
      <w:r>
        <w:rPr>
          <w:b/>
        </w:rPr>
        <w:t xml:space="preserve">DOI: </w:t>
      </w:r>
      <w:hyperlink r:id="rId883">
        <w:r>
          <w:rPr>
            <w:color w:val="1155CC"/>
            <w:u w:val="single"/>
          </w:rPr>
          <w:t>10.1002/anie.4782087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合成环状 mRNA（以下简称 circRNA）通过其共价闭合环状结构降低了对核酸外切酶介导的降解的敏感性，从而能够延长治疗应用中的蛋白质表达。在这种环状形式中，工程化的 circRNA 的蛋白质表达主要通过帽独立的翻译起始来实现，通常由内部核糖体进入位点 (IRES) 元件介导，其活性受 RNA 结构影响。因此，编码序列 (CDS) 和其他元件的设计应考虑可能改变 IRES 折叠的区域间碱基配对，这是现有线性 mRNA CDS 优化算法未明确解决的约束。在这里，我们介绍</w:t>
      </w:r>
      <w:r>
        <w:t xml:space="preserve"> </w:t>
      </w:r>
      <w:r>
        <w:t>循环</w:t>
      </w:r>
      <w:r>
        <w:t xml:space="preserve"> </w:t>
      </w:r>
      <w:r>
        <w:t>Design，一种明确将 IRES 结构偏差纳入 circRNA 序列设计，同时联合优化密码子适应性和热力学稳定性的算法。在狂犬病病毒糖蛋白（RABV-G）疫苗模型中，</w:t>
      </w:r>
      <w:r>
        <w:t xml:space="preserve"> </w:t>
      </w:r>
      <w:r>
        <w:t>循环</w:t>
      </w:r>
      <w:r>
        <w:t xml:space="preserve"> </w:t>
      </w:r>
      <w:r>
        <w:t>与使用传统线性 mRNA CDS 设计策略优化的基准序列相比，设计生成的 circRNA 显示出更高的稳定性、翻译效率和疫苗免疫原性，其中 CR3 的中和抗体滴度提高了 3.5 倍。多核糖体分析和靶向 IRES 破坏实验支持 IRES 结构完整性是 circRNA 翻译性能的关键决定因素。这些结果共同建立了 IRES 结构保护</w:t>
      </w:r>
    </w:p>
    <w:p>
      <w:pPr>
        <w:spacing w:before="0" w:after="200" w:lineRule="auto" w:line="276"/>
      </w:pPr>
      <w:r>
        <w:rPr>
          <w:b/>
        </w:rPr>
        <w:t xml:space="preserve">Abstract (EN): </w:t>
      </w:r>
      <w:r>
        <w:t>Synthetic circular mRNA (hereafter referred to as circRNA) reduces susceptibility to exonuclease‐mediated degradation by its covalently closed circular structure, enabling prolonged protein expression for therapeutic applications. In this circular format, protein expression from engineered circRNAs is achieved mainly through cap‐independent translation initiation, commonly mediated by internal ribosome entry site (IRES) elements whose activity is influenced by RNA structure. Consequently, the coding sequence (CDS) and other elements should be designed with consideration of inter‐region base pairing that can shift IRES folding, a constraint not explicitly addressed by existing linear mRNA CDS optimization algorithms. Here, we present</w:t>
      </w:r>
      <w:r>
        <w:t xml:space="preserve"> </w:t>
      </w:r>
      <w:r>
        <w:t>circ</w:t>
      </w:r>
      <w:r>
        <w:t xml:space="preserve"> </w:t>
      </w:r>
      <w:r>
        <w:t>Design, an algorithm that explicitly incorporates IRES structural deviation into circRNA sequence design while jointly optimizing codon adaptation and thermodynamic stability. In a rabies virus glycoprotein (RABV‐G) vaccine model,</w:t>
      </w:r>
      <w:r>
        <w:t xml:space="preserve"> </w:t>
      </w:r>
      <w:r>
        <w:t>circ</w:t>
      </w:r>
      <w:r>
        <w:t xml:space="preserve"> </w:t>
      </w:r>
      <w:r>
        <w:t>Design‐generated circRNAs showed improved stability, translation efficiency, and vaccine immunogenicity compared with benchmark sequences optimized using conventional linear mRNA CDS design strategies, with CR3 achieving a 3.5‐fold increase in neutralizing antibody titers. Polysome profiling and targeted IRES‐disruption experiments support IRES structural integrity as a critical determinant of circRNA translation performance. Together, these results establish IRES structural preservation as a mechanistic design principle for circRNA engineering and position</w:t>
      </w:r>
      <w:r>
        <w:t xml:space="preserve"> </w:t>
      </w:r>
      <w:r>
        <w:t>circ</w:t>
      </w:r>
      <w:r>
        <w:t xml:space="preserve"> </w:t>
      </w:r>
      <w:r>
        <w:t>Design as a rational framework for therapeutic circRNA development.</w:t>
      </w:r>
    </w:p>
    <w:p>
      <w:pPr>
        <w:spacing w:before="120" w:after="120"/>
      </w:pPr>
      <w:r>
        <w:rPr>
          <w:sz w:val="18"/>
        </w:rPr>
        <w:t>——————————————————————————————————————————————————————————————————————</w:t>
      </w:r>
    </w:p>
    <w:p>
      <w:pPr>
        <w:spacing w:before="160" w:after="40" w:line="240" w:lineRule="auto"/>
      </w:pPr>
      <w:r>
        <w:rPr>
          <w:b/>
        </w:rPr>
        <w:t xml:space="preserve">[220] </w:t>
      </w:r>
      <w:hyperlink r:id="rId884">
        <w:r>
          <w:rPr>
            <w:color w:val="1155CC"/>
            <w:u w:val="single"/>
          </w:rPr>
          <w:t>糖基氮丙啶氨基甲酸酯作为催化激活糖基化的多功能供体</w:t>
        </w:r>
      </w:hyperlink>
    </w:p>
    <w:p>
      <w:pPr>
        <w:spacing w:before="0" w:after="80"/>
      </w:pPr>
      <w:r>
        <w:rPr>
          <w:i/>
          <w:sz w:val="20"/>
        </w:rPr>
        <w:t>EN: Glycosyl Aziridine Carbamates as Versatile Donors for Catalytically Activated Glycosylation</w:t>
      </w:r>
    </w:p>
    <w:p>
      <w:pPr>
        <w:spacing w:before="0" w:after="120"/>
      </w:pPr>
      <w:r>
        <w:rPr>
          <w:b/>
        </w:rPr>
        <w:t xml:space="preserve">Source: </w:t>
      </w:r>
      <w:r>
        <w:t>Wiley: Angewandte Chemie International Edition: Table of Contents</w:t>
      </w:r>
      <w:r>
        <w:t xml:space="preserve">    </w:t>
      </w:r>
      <w:r>
        <w:rPr>
          <w:b/>
        </w:rPr>
        <w:t xml:space="preserve">Pub date: </w:t>
      </w:r>
      <w:r>
        <w:t>2026-08-22 09:21:27+00:00</w:t>
      </w:r>
      <w:r>
        <w:t xml:space="preserve">    </w:t>
      </w:r>
      <w:r>
        <w:rPr>
          <w:b/>
        </w:rPr>
        <w:t xml:space="preserve">DOI: </w:t>
      </w:r>
      <w:hyperlink r:id="rId885">
        <w:r>
          <w:rPr>
            <w:color w:val="1155CC"/>
            <w:u w:val="single"/>
          </w:rPr>
          <w:t>10.1002/anie.6140066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化促进的糖基化继续对碳水化合物合成提出挑战，因为耐受多步骤操作的糖基供体通常需要化学计量活化，而适合催化活化的供体可能表现出过度的反应性、更高的成本或合成复杂性。在这里，我们报告了一类基于氮丙啶氨基甲酸酯的新型糖基供体，它将高稳定性与高效、无金属、催化介导的活化和紧凑、原子经济的离去基团结合在一起。这些供体很容易制备，与常见的保护基操作兼容，并通过催化量的 TMSOTf 选择性激活。实验和 DFT 研究表明供体活化是通过氮引导的 TMS 进行的</w:t>
      </w:r>
      <w:r>
        <w:t xml:space="preserve"> </w:t>
      </w:r>
      <w:r>
        <w:t>+</w:t>
      </w:r>
      <w:r>
        <w:t xml:space="preserve"> </w:t>
      </w:r>
      <w:r>
        <w:t>配位，然后选择性氮丙啶 N─C 键断裂和氮丙啶-恶唑烷酮重排，产生反应性糖基氧鎓物种，构成应变释放驱动的激活途径。该平台支持广泛的</w:t>
      </w:r>
      <w:r>
        <w:t xml:space="preserve"> </w:t>
      </w:r>
      <w:r>
        <w:t>氧</w:t>
      </w:r>
      <w:r>
        <w:t xml:space="preserve"> </w:t>
      </w:r>
      <w:r>
        <w:t>‐,</w:t>
      </w:r>
      <w:r>
        <w:t xml:space="preserve"> </w:t>
      </w:r>
      <w:r>
        <w:t>S</w:t>
      </w:r>
      <w:r>
        <w:t xml:space="preserve"> </w:t>
      </w:r>
      <w:r>
        <w:t>‐, 和</w:t>
      </w:r>
      <w:r>
        <w:t xml:space="preserve"> </w:t>
      </w:r>
      <w:r>
        <w:t>氮</w:t>
      </w:r>
      <w:r>
        <w:t xml:space="preserve"> </w:t>
      </w:r>
      <w:r>
        <w:t>‐常见底物和挑战性底物之间的糖基化反应。值得注意的是，氮丙啶氨基甲酸酯供体的可调节反应性相对于亚氨酸酯和硫代糖苷供体建立了明确的反应性梯度，从而在催化条件下实现完全催化、正交和连续的一锅寡糖合成，尽管</w:t>
      </w:r>
    </w:p>
    <w:p>
      <w:pPr>
        <w:spacing w:before="0" w:after="200" w:lineRule="auto" w:line="276"/>
      </w:pPr>
      <w:r>
        <w:rPr>
          <w:b/>
        </w:rPr>
        <w:t xml:space="preserve">Abstract (EN): </w:t>
      </w:r>
      <w:r>
        <w:t>Catalytically promoted glycosylation continues to pose challenges in carbohydrate synthesis, as glycosyl donors that tolerate multistep manipulations often require stoichiometric activation, whereas donors amenable to catalytic activation can exhibit excessive reactivity, higher cost, or synthetic complexity. Here we report a new class of glycosyl donors based on aziridine carbamates that combine high stability with efficient, metal‐free, catalytically mediated activation and a compact, atom‐economical leaving group. These donors are readily prepared, compatible with common protecting‐group manipulations, and selectively activated by catalytic amounts of TMSOTf. Experimental and DFT studies reveal that donor activation proceeds through nitrogen‐directed TMS</w:t>
      </w:r>
      <w:r>
        <w:t xml:space="preserve"> </w:t>
      </w:r>
      <w:r>
        <w:t>+</w:t>
      </w:r>
      <w:r>
        <w:t xml:space="preserve"> </w:t>
      </w:r>
      <w:r>
        <w:t>coordination, followed by selective aziridine N─C bond cleavage and an aziridine‐to‐oxazolidinone rearrangement that generates a reactive glycosyl oxonium species, constituting a strain‐release‐driven activation pathway. This platform supports a broad range of</w:t>
      </w:r>
      <w:r>
        <w:t xml:space="preserve"> </w:t>
      </w:r>
      <w:r>
        <w:t>O</w:t>
      </w:r>
      <w:r>
        <w:t xml:space="preserve"> </w:t>
      </w:r>
      <w:r>
        <w:t>‐,</w:t>
      </w:r>
      <w:r>
        <w:t xml:space="preserve"> </w:t>
      </w:r>
      <w:r>
        <w:t>S</w:t>
      </w:r>
      <w:r>
        <w:t xml:space="preserve"> </w:t>
      </w:r>
      <w:r>
        <w:t>‐, and</w:t>
      </w:r>
      <w:r>
        <w:t xml:space="preserve"> </w:t>
      </w:r>
      <w:r>
        <w:t>N</w:t>
      </w:r>
      <w:r>
        <w:t xml:space="preserve"> </w:t>
      </w:r>
      <w:r>
        <w:t>‐glycosylation reactions across common and challenging substrates. Notably, the tunable reactivity of aziridine carbamate donors establishes well‐defined reactivity gradients relative to imidate and thioglycoside donors, enabling fully catalytic, orthogonal, and sequential one‐pot oligosaccharide synthesis under catalytic conditions, albeit currently requiring moderate promoter loadings. This work establishes aziridine carbamates as a mechanistically distinct and practical donor class for catalytic glycosylation.</w:t>
      </w:r>
    </w:p>
    <w:p>
      <w:pPr>
        <w:spacing w:before="120" w:after="120"/>
      </w:pPr>
      <w:r>
        <w:rPr>
          <w:sz w:val="18"/>
        </w:rPr>
        <w:t>——————————————————————————————————————————————————————————————————————</w:t>
      </w:r>
    </w:p>
    <w:p>
      <w:pPr>
        <w:spacing w:before="160" w:after="40" w:line="240" w:lineRule="auto"/>
      </w:pPr>
      <w:r>
        <w:rPr>
          <w:b/>
        </w:rPr>
        <w:t xml:space="preserve">[221] </w:t>
      </w:r>
      <w:hyperlink r:id="rId886">
        <w:r>
          <w:rPr>
            <w:color w:val="1155CC"/>
            <w:u w:val="single"/>
          </w:rPr>
          <w:t>MitoGPS：用于肿瘤优先 I 型光动力治疗的线粒体 DNA G 四链体靶向策略</w:t>
        </w:r>
      </w:hyperlink>
    </w:p>
    <w:p>
      <w:pPr>
        <w:spacing w:before="0" w:after="80"/>
      </w:pPr>
      <w:r>
        <w:rPr>
          <w:i/>
          <w:sz w:val="20"/>
        </w:rPr>
        <w:t>EN: MitoGPS: A Mitochondrial DNA G‐Quadruplex‐Targeting Strategy for Tumor‐Preferential Type I Photodynamic Therapy</w:t>
      </w:r>
    </w:p>
    <w:p>
      <w:pPr>
        <w:spacing w:before="0" w:after="120"/>
      </w:pPr>
      <w:r>
        <w:rPr>
          <w:b/>
        </w:rPr>
        <w:t xml:space="preserve">Source: </w:t>
      </w:r>
      <w:r>
        <w:t>Wiley: Angewandte Chemie International Edition: Table of Contents</w:t>
      </w:r>
      <w:r>
        <w:t xml:space="preserve">    </w:t>
      </w:r>
      <w:r>
        <w:rPr>
          <w:b/>
        </w:rPr>
        <w:t xml:space="preserve">Pub date: </w:t>
      </w:r>
      <w:r>
        <w:t>2026-08-22 09:22:28+00:00</w:t>
      </w:r>
      <w:r>
        <w:t xml:space="preserve">    </w:t>
      </w:r>
      <w:r>
        <w:rPr>
          <w:b/>
        </w:rPr>
        <w:t xml:space="preserve">DOI: </w:t>
      </w:r>
      <w:hyperlink r:id="rId887">
        <w:r>
          <w:rPr>
            <w:color w:val="1155CC"/>
            <w:u w:val="single"/>
          </w:rPr>
          <w:t>10.1002/anie.4238416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动力疗法（PDT）是一种具有临床前景的微创癌症治疗方法，可提供精确的时空控制。然而，实现肿瘤优先积累仍然是一个严峻的挑战，它限制了治疗效果并诱导脱靶毒性。在这里，我们介绍了mitoGPS（线粒体G-四联体靶向光敏剂）策略，这是一种合理的设计框架，用于通过靶向线粒体DNA G-四联体（mtDNA G4s）来开发具有延长瘤内保留时间的光敏剂（PS）。这种方法利用 mtDNA G4 的独特结构特征和生物学属性（这些特征与癌细胞代谢和存活越来越相关）来实现肿瘤线粒体内光敏剂的优先积累和作用。通过整合分子生成、G4 特异性对接模拟和光敏特性评估，我们建立了用于发现 mitoGPS 的模块化工作流程。使用这个管道，我们设计并确定了</w:t>
      </w:r>
      <w:r>
        <w:t xml:space="preserve"> </w:t>
      </w:r>
      <w:r>
        <w:t>A1</w:t>
      </w:r>
      <w:r>
        <w:t xml:space="preserve"> </w:t>
      </w:r>
      <w:r>
        <w:t>，一种先导 mitoGPS 化合物。</w:t>
      </w:r>
      <w:r>
        <w:t xml:space="preserve"> </w:t>
      </w:r>
      <w:r>
        <w:t>A1</w:t>
      </w:r>
      <w:r>
        <w:t xml:space="preserve"> </w:t>
      </w:r>
      <w:r>
        <w:t>在肿瘤细胞中表现出优先的线粒体定位，其保留受到与 mtDNA G4 相互作用的影响，并在光激活时主要产生 I 型活性氧 (ROS)。由此产生的线粒体氧化应激破坏线粒体完整性并参与细胞凋亡相关和铁死亡相关反应。我们的工作支持 mtDNA G4 相关识别</w:t>
      </w:r>
    </w:p>
    <w:p>
      <w:pPr>
        <w:spacing w:before="0" w:after="200" w:lineRule="auto" w:line="276"/>
      </w:pPr>
      <w:r>
        <w:rPr>
          <w:b/>
        </w:rPr>
        <w:t xml:space="preserve">Abstract (EN): </w:t>
      </w:r>
      <w:r>
        <w:t>Photodynamic therapy (PDT) is a clinically promising, minimally invasive cancer treatment offering precise spatiotemporal control. However, achieving preferential tumor accumulation remains a critical challenge, which limits therapeutic efficacy and induces off‐target toxicity. Here, we introduce the mitoGPS (mitochondrial G‐quadruplex–targeting photosensitizer) strategy, a rational design framework for developing photosensitizers (PSs) with prolonged intratumoral retention through targeting mitochondrial DNA G‐quadruplexes (mtDNA G4s). This approach leverages the unique structural features and biological attributes of mtDNA G4s, which are increasingly implicated in cancer cell metabolism and survival, to achieve preferential photosensitizer accumulation and action within tumor mitochondria. By integrating molecular generation, G4‐specific docking simulations, and evaluation of photosensitizing properties, we established a modular workflow for the discovery of mitoGPS. Using this pipeline, we designed and identified</w:t>
      </w:r>
      <w:r>
        <w:t xml:space="preserve"> </w:t>
      </w:r>
      <w:r>
        <w:t>A1</w:t>
      </w:r>
      <w:r>
        <w:t xml:space="preserve"> </w:t>
      </w:r>
      <w:r>
        <w:t>, a lead mitoGPS compound.</w:t>
      </w:r>
      <w:r>
        <w:t xml:space="preserve"> </w:t>
      </w:r>
      <w:r>
        <w:t>A1</w:t>
      </w:r>
      <w:r>
        <w:t xml:space="preserve"> </w:t>
      </w:r>
      <w:r>
        <w:t>exhibits preferential mitochondrial localization in tumor cells, with its retention influenced by interactions with mtDNA G4s, and generates predominantly Type I reactive oxygen species (ROS) upon light activation. The resulting mitochondrial oxidative stress disrupts mitochondrial integrity and engages apoptosis‐associated and ferroptosis‐associated responses. Our work supports mtDNA G4‐associated recognition as a strategy for improving the subcellular precision of PDT and provides a generalizable framework for developing mitochondria‐directed phototherapies.</w:t>
      </w:r>
    </w:p>
    <w:p>
      <w:pPr>
        <w:spacing w:before="120" w:after="120"/>
      </w:pPr>
      <w:r>
        <w:rPr>
          <w:sz w:val="18"/>
        </w:rPr>
        <w:t>——————————————————————————————————————————————————————————————————————</w:t>
      </w:r>
    </w:p>
    <w:p>
      <w:pPr>
        <w:spacing w:before="160" w:after="40" w:line="240" w:lineRule="auto"/>
      </w:pPr>
      <w:r>
        <w:rPr>
          <w:b/>
        </w:rPr>
        <w:t xml:space="preserve">[222] </w:t>
      </w:r>
      <w:hyperlink r:id="rId888">
        <w:r>
          <w:rPr>
            <w:color w:val="1155CC"/>
            <w:u w:val="single"/>
          </w:rPr>
          <w:t>使用 DNA-肽-PNA 混合探针对病变酸性细胞外环境中的蛋白酶进行空间控制成像</w:t>
        </w:r>
      </w:hyperlink>
    </w:p>
    <w:p>
      <w:pPr>
        <w:spacing w:before="0" w:after="80"/>
      </w:pPr>
      <w:r>
        <w:rPr>
          <w:i/>
          <w:sz w:val="20"/>
        </w:rPr>
        <w:t>EN: Spatially Controlled Imaging of Proteases in Acidic Extracellular Milieu of Lesions Using DNA‐Peptide‐PNA Hybrid Probes</w:t>
      </w:r>
    </w:p>
    <w:p>
      <w:pPr>
        <w:spacing w:before="0" w:after="120"/>
      </w:pPr>
      <w:r>
        <w:rPr>
          <w:b/>
        </w:rPr>
        <w:t xml:space="preserve">Source: </w:t>
      </w:r>
      <w:r>
        <w:t>Wiley: Angewandte Chemie International Edition: Table of Contents</w:t>
      </w:r>
      <w:r>
        <w:t xml:space="preserve">    </w:t>
      </w:r>
      <w:r>
        <w:rPr>
          <w:b/>
        </w:rPr>
        <w:t xml:space="preserve">Pub date: </w:t>
      </w:r>
      <w:r>
        <w:t>2026-08-22 09:24:11+00:00</w:t>
      </w:r>
      <w:r>
        <w:t xml:space="preserve">    </w:t>
      </w:r>
      <w:r>
        <w:rPr>
          <w:b/>
        </w:rPr>
        <w:t xml:space="preserve">DOI: </w:t>
      </w:r>
      <w:hyperlink r:id="rId889">
        <w:r>
          <w:rPr>
            <w:color w:val="1155CC"/>
            <w:u w:val="single"/>
          </w:rPr>
          <w:t>10.1002/anie.8169928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蛋白酶的原位检测已广泛应用于多种生物医学应用；然而，病变部位细胞外蛋白酶的空间控制放大成像仍然是一个重大挑战。在这里，我们报告了 DNA-肽-PNA 混合探针的设计，用于对病变酸性细胞外环境中的蛋白酶活性进行灵敏成像，从而实现增强的空间选择性。在该策略中，pH敏感肽和蛋白酶可裂解肽底物被合理地整合到基于DNA的信号放大平台中。具体来说，pH（低）插入肽（pHLIP）能够在酸性条件下在细胞膜上控制肽底物工程DNA引发剂的定位。随后蛋白酶介导的肽底物裂解通过引发剂介导的杂交链式反应 (HCR) 触发信号放大，从而显着提高患病微环境中细胞外蛋白酶分析的空间可控性和检测灵敏度。此外，使用 4T1 肿瘤和骨关节炎模型对体内基质金属蛋白酶 2/9 (MMP2/9) 验证了 DNA-肽-PNA 混合系统的分子成像能力。这些结果凸显了该策略作为多功能平台的潜力，用于对以 pH 失调为特征的细胞外环境中的多种酶进行特异性成像。</w:t>
      </w:r>
    </w:p>
    <w:p>
      <w:pPr>
        <w:spacing w:before="0" w:after="200" w:lineRule="auto" w:line="276"/>
      </w:pPr>
      <w:r>
        <w:rPr>
          <w:b/>
        </w:rPr>
        <w:t xml:space="preserve">Abstract (EN): </w:t>
      </w:r>
      <w:r>
        <w:t>In situ detection of proteases has been extensively exploited for diverse biomedical applications; however, spatially controlled amplified imaging of extracellular proteases at diseased sites remains a significant challenge. Here, we report the design of DNA‐peptide‐PNA hybrid probes for sensitive imaging of protease activity within the acidic extracellular milieu of lesions, achieving enhanced spatial selectivity. In the strategy, both a pH‐sensitive peptide and a protease‐cleavable peptide substrate are rationally integrated into a DNA‐based signal amplification platform. Specifically, a pH (low) insertion peptide (pHLIP) enables controlled localization of a peptide‐substrate‐engineered DNA initiator on the cell membrane under acidic conditions. Subsequent protease‐mediated cleavage of the peptide substrate triggers signal amplification via initiator‐mediated hybridization chain reaction (HCR), resulting in markedly improved spatial controllability and detection sensitivity for extracellular protease profiling in diseased microenvironments. Furthermore, the molecular imaging capability of the DNA‐Peptide‐PNA hybrid system was validated for matrix metalloproteinase 2/9 (MMP2/9) in vivo using both 4T1 tumor and osteoarthritis models. These results highlight the potential of this strategy as a versatile platform for the specific imaging of diverse enzymes within extracellular environments characterized by pH dysregulation.</w:t>
      </w:r>
    </w:p>
    <w:p>
      <w:pPr>
        <w:spacing w:before="120" w:after="120"/>
      </w:pPr>
      <w:r>
        <w:rPr>
          <w:sz w:val="18"/>
        </w:rPr>
        <w:t>——————————————————————————————————————————————————————————————————————</w:t>
      </w:r>
    </w:p>
    <w:p>
      <w:pPr>
        <w:spacing w:before="160" w:after="40" w:line="240" w:lineRule="auto"/>
      </w:pPr>
      <w:r>
        <w:rPr>
          <w:b/>
        </w:rPr>
        <w:t xml:space="preserve">[223] </w:t>
      </w:r>
      <w:hyperlink r:id="rId890">
        <w:r>
          <w:rPr>
            <w:color w:val="1155CC"/>
            <w:u w:val="single"/>
          </w:rPr>
          <w:t>通过氟脯氨酸残基的 19F NMR 解析相互作用蛋白结构域中的独特熔球构象</w:t>
        </w:r>
      </w:hyperlink>
    </w:p>
    <w:p>
      <w:pPr>
        <w:spacing w:before="0" w:after="80"/>
      </w:pPr>
      <w:r>
        <w:rPr>
          <w:i/>
          <w:sz w:val="20"/>
        </w:rPr>
        <w:t>EN: Distinct Molten‐Globule Conformations in an Interacting Protein Domain Resolved by 19F NMR of Fluoroproline Residues</w:t>
      </w:r>
    </w:p>
    <w:p>
      <w:pPr>
        <w:spacing w:before="0" w:after="120"/>
      </w:pPr>
      <w:r>
        <w:rPr>
          <w:b/>
        </w:rPr>
        <w:t xml:space="preserve">Source: </w:t>
      </w:r>
      <w:r>
        <w:t>Wiley: Angewandte Chemie International Edition: Table of Contents</w:t>
      </w:r>
      <w:r>
        <w:t xml:space="preserve">    </w:t>
      </w:r>
      <w:r>
        <w:rPr>
          <w:b/>
        </w:rPr>
        <w:t xml:space="preserve">Pub date: </w:t>
      </w:r>
      <w:r>
        <w:t>2026-08-22 09:24:47+00:00</w:t>
      </w:r>
      <w:r>
        <w:t xml:space="preserve">    </w:t>
      </w:r>
      <w:r>
        <w:rPr>
          <w:b/>
        </w:rPr>
        <w:t xml:space="preserve">DOI: </w:t>
      </w:r>
      <w:hyperlink r:id="rId891">
        <w:r>
          <w:rPr>
            <w:color w:val="1155CC"/>
            <w:u w:val="single"/>
          </w:rPr>
          <w:t>10.1002/anie.4052471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最近，深度学习对蛋白质数据库中存储的结构数据的应用使得能够根据蛋白质序列可靠且准确地预测蛋白质的 3D 折叠结构。然而，这种方法不适用于多个结构相互转换的高度动态的蛋白质。此外，蛋白质折叠和展开的机制细节仍然具有挑战性。在这里，我们提供了一组强调这些复杂性的数据。通过在折叠的多构象蛋白（“熔球”）序列中的选定位点化学掺入立体异构 4-氟脯氨酸残基，我们能够修改其结构特性，从而传播出高度不同的功能特征，例如调节配体结合亲和力或错误折叠和聚集成淀粉样蛋白。 NMR 方法的应用，特别是</w:t>
      </w:r>
      <w:r>
        <w:rPr>
          <w:vertAlign w:val="subscript"/>
        </w:rPr>
        <w:t>19</w:t>
      </w:r>
      <w:r>
        <w:t>F NMR 光谱为观察到的现象提供了详细的分子见解。这项研究说明了微妙的残基局部构象偏差如何影响整体蛋白质构象动力学，从而影响蛋白质-蛋白质相互作用，这对细胞功能很重要并与疾病相关。</w:t>
      </w:r>
    </w:p>
    <w:p>
      <w:pPr>
        <w:spacing w:before="0" w:after="200" w:lineRule="auto" w:line="276"/>
      </w:pPr>
      <w:r>
        <w:rPr>
          <w:b/>
        </w:rPr>
        <w:t xml:space="preserve">Abstract (EN): </w:t>
      </w:r>
      <w:r>
        <w:t>Recently, the application of deep learning to structural data deposited in the Protein Data Bank has enabled the reliable and accurate prediction of 3D folded structures of proteins from their sequences. However, this approach is not applicable to highly dynamic proteins, where multiple structures interconvert. Furthermore, the mechanistic details of protein folding and unfolding remain challenging to study. Herein, we present a set of data highlighting these complexities. By chemical incorporation of stereoisomeric 4‐fluoroproline residues at selected sites in the sequence of a folded, multi‐conformational protein (“molten‐globule”), we were able to modify its structural properties that propagated to highly distinct functional features, such as modulation of ligand binding affinities or misfolding and aggregation into amyloids. Application of NMR methods, notably</w:t>
      </w:r>
      <w:r>
        <w:rPr>
          <w:vertAlign w:val="subscript"/>
        </w:rPr>
        <w:t>19</w:t>
      </w:r>
      <w:r>
        <w:t>F NMR spectroscopy, provided detailed molecular insights into the observed phenomena. This study illustrates how subtle residue‐localized conformational bias can affect the overall protein conformational dynamics influencing protein–protein interactions that are important for cellular functions and related to diseases.</w:t>
      </w:r>
    </w:p>
    <w:p>
      <w:pPr>
        <w:spacing w:before="120" w:after="120"/>
      </w:pPr>
      <w:r>
        <w:rPr>
          <w:sz w:val="18"/>
        </w:rPr>
        <w:t>——————————————————————————————————————————————————————————————————————</w:t>
      </w:r>
    </w:p>
    <w:p>
      <w:pPr>
        <w:spacing w:before="160" w:after="40" w:line="240" w:lineRule="auto"/>
      </w:pPr>
      <w:r>
        <w:rPr>
          <w:b/>
        </w:rPr>
        <w:t xml:space="preserve">[224] </w:t>
      </w:r>
      <w:hyperlink r:id="rId892">
        <w:r>
          <w:rPr>
            <w:color w:val="1155CC"/>
            <w:u w:val="single"/>
          </w:rPr>
          <w:t>通过链运动调节的空间电子相互作用控制聚酯的发光</w:t>
        </w:r>
      </w:hyperlink>
    </w:p>
    <w:p>
      <w:pPr>
        <w:spacing w:before="0" w:after="80"/>
      </w:pPr>
      <w:r>
        <w:rPr>
          <w:i/>
          <w:sz w:val="20"/>
        </w:rPr>
        <w:t>EN: Luminescence Control in Polyesters via Chain‐Motion‐Regulated Through‐Space Electronic Interaction</w:t>
      </w:r>
    </w:p>
    <w:p>
      <w:pPr>
        <w:spacing w:before="0" w:after="120"/>
      </w:pPr>
      <w:r>
        <w:rPr>
          <w:b/>
        </w:rPr>
        <w:t xml:space="preserve">Source: </w:t>
      </w:r>
      <w:r>
        <w:t>Wiley: Angewandte Chemie International Edition: Table of Contents</w:t>
      </w:r>
      <w:r>
        <w:t xml:space="preserve">    </w:t>
      </w:r>
      <w:r>
        <w:rPr>
          <w:b/>
        </w:rPr>
        <w:t xml:space="preserve">Pub date: </w:t>
      </w:r>
      <w:r>
        <w:t>2026-08-22 09:26:13+00:00</w:t>
      </w:r>
      <w:r>
        <w:t xml:space="preserve">    </w:t>
      </w:r>
      <w:r>
        <w:rPr>
          <w:b/>
        </w:rPr>
        <w:t xml:space="preserve">DOI: </w:t>
      </w:r>
      <w:hyperlink r:id="rId893">
        <w:r>
          <w:rPr>
            <w:color w:val="1155CC"/>
            <w:u w:val="single"/>
          </w:rPr>
          <w:t>10.1002/anie.6980840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刺激响应发光聚合物将分子迁移率的变化或转化为光学输出；然而，大多数系统依赖于综合复杂的架构，这阻碍了广泛的实施。在这里，一种非常简单的聚酯，通过邻苯二甲酸酐（PA）和含杂原子的乙基缩水甘油醚（EGE）的开环交替共聚（ROAC）合成，在113-333 K的温度范围内表现出从青色到绿色的可逆热荧光变色。通过聚合物结构的系统变化，结合温度依赖性光致发光和动态机械分析，我们确定了一种链运动调节的空间电子相互作用（TSEI）机制，其中醚侧链有助于 TSEI 的形成，并通过 β 弛豫调节发射，从而实现观察到的光谱变换。此外，羰基和邻苯二甲酸酯基团之间存在 TSEI，使得含 PA 聚酯能够发出持久的低温磷光。这些发现不仅凸显了热响应发光聚酯的潜力，而且还为磷光和热响应非常规发光材料（NLM）的合理设计建立了一个多功能平台。</w:t>
      </w:r>
    </w:p>
    <w:p>
      <w:pPr>
        <w:spacing w:before="0" w:after="200" w:lineRule="auto" w:line="276"/>
      </w:pPr>
      <w:r>
        <w:rPr>
          <w:b/>
        </w:rPr>
        <w:t xml:space="preserve">Abstract (EN): </w:t>
      </w:r>
      <w:r>
        <w:t>Stimuli‐responsive luminescent polymers translate changes in molecular mobility or transformation into optical outputs; however, most systems rely on synthetically elaborate architectures that hinder broad implementation. Here, a very simple polyester, synthesized via ring‐opening alternating copolymerization (ROAC) of phthalic anhydride (PA) and heteroatom‐containing ethyl glycidyl ether (EGE), displays reversible thermofluorochromism from cyan to green across the temperature range of 113–333 K. Through systematic variation of the polymer structure combined with temperature‐dependent photoluminescence and dynamic mechanical analysis, we identify a chain‐motion‐regulated through‐space electronic interaction (TSEI) mechanism in which the ether side chain contributes to TSEI formation and modulates the emission through β‐relaxation, enabling the observed spectral transformation. Additionally, the presence of a TSEI between the carbonyl and phthalate groups enables persistent cryogenic phosphorescence in PA‐containing polyesters. These findings not only highlight the potential of thermally responsive luminescent polyesters but also establish a versatile platform for the rational design of phosphorescent and thermo‐responsive nonconventional luminescent materials (NLMs).</w:t>
      </w:r>
    </w:p>
    <w:p>
      <w:pPr>
        <w:spacing w:before="120" w:after="120"/>
      </w:pPr>
      <w:r>
        <w:rPr>
          <w:sz w:val="18"/>
        </w:rPr>
        <w:t>——————————————————————————————————————————————————————————————————————</w:t>
      </w:r>
    </w:p>
    <w:p>
      <w:pPr>
        <w:spacing w:before="160" w:after="40" w:line="240" w:lineRule="auto"/>
      </w:pPr>
      <w:r>
        <w:rPr>
          <w:b/>
        </w:rPr>
        <w:t xml:space="preserve">[225] </w:t>
      </w:r>
      <w:hyperlink r:id="rId894">
        <w:r>
          <w:rPr>
            <w:color w:val="1155CC"/>
            <w:u w:val="single"/>
          </w:rPr>
          <w:t>自旋耦合 FeCo 双原子位点直接选择性臭氧活化用于高盐废水净化</w:t>
        </w:r>
      </w:hyperlink>
    </w:p>
    <w:p>
      <w:pPr>
        <w:spacing w:before="0" w:after="80"/>
      </w:pPr>
      <w:r>
        <w:rPr>
          <w:i/>
          <w:sz w:val="20"/>
        </w:rPr>
        <w:t>EN: Spin Coupled FeCo Dual‐Atom Sites Direct Selective Ozone Activation for Hypersaline Wastewater Purification</w:t>
      </w:r>
    </w:p>
    <w:p>
      <w:pPr>
        <w:spacing w:before="0" w:after="120"/>
      </w:pPr>
      <w:r>
        <w:rPr>
          <w:b/>
        </w:rPr>
        <w:t xml:space="preserve">Source: </w:t>
      </w:r>
      <w:r>
        <w:t>Wiley: Angewandte Chemie International Edition: Table of Contents</w:t>
      </w:r>
      <w:r>
        <w:t xml:space="preserve">    </w:t>
      </w:r>
      <w:r>
        <w:rPr>
          <w:b/>
        </w:rPr>
        <w:t xml:space="preserve">Pub date: </w:t>
      </w:r>
      <w:r>
        <w:t>2026-08-22 09:27:28+00:00</w:t>
      </w:r>
      <w:r>
        <w:t xml:space="preserve">    </w:t>
      </w:r>
      <w:r>
        <w:rPr>
          <w:b/>
        </w:rPr>
        <w:t xml:space="preserve">DOI: </w:t>
      </w:r>
      <w:hyperlink r:id="rId895">
        <w:r>
          <w:rPr>
            <w:color w:val="1155CC"/>
            <w:u w:val="single"/>
          </w:rPr>
          <w:t>10.1002/anie.4167912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均相催化臭氧化代表了一种消除高盐废水中难降解有机污染物的强大方法，但其应用受到两个关键瓶颈的限制：臭氧活化效率低下和对按需活性氧生成缺乏控制。在这项研究中，我们揭示了异核双原子催化剂（Fe</w:t>
      </w:r>
      <w:r>
        <w:rPr>
          <w:vertAlign w:val="subscript"/>
        </w:rPr>
        <w:t>1</w:t>
      </w:r>
      <w:r>
        <w:t>钴</w:t>
      </w:r>
      <w:r>
        <w:rPr>
          <w:vertAlign w:val="subscript"/>
        </w:rPr>
        <w:t>1</w:t>
      </w:r>
      <w:r>
        <w:t>‐NC）可以解决这两个限制。通过用电子匹配但磁惰性元素（Fe</w:t>
      </w:r>
      <w:r>
        <w:rPr>
          <w:vertAlign w:val="subscript"/>
        </w:rPr>
        <w:t>1</w:t>
      </w:r>
      <w:r>
        <w:t>锌</w:t>
      </w:r>
      <w:r>
        <w:rPr>
          <w:vertAlign w:val="subscript"/>
        </w:rPr>
        <w:t>1</w:t>
      </w:r>
      <w:r>
        <w:t>‐NC 和 Ga</w:t>
      </w:r>
      <w:r>
        <w:rPr>
          <w:vertAlign w:val="subscript"/>
        </w:rPr>
        <w:t>1</w:t>
      </w:r>
      <w:r>
        <w:t>钴</w:t>
      </w:r>
      <w:r>
        <w:rPr>
          <w:vertAlign w:val="subscript"/>
        </w:rPr>
        <w:t>1</w:t>
      </w:r>
      <w:r>
        <w:t>‐NC），我们理清了长期混为一谈的电荷重新分布和自旋耦合的贡献，并将后者确定为决定性的动力学贡献者。 Fe-Co 对之间的自旋极化通道同步 H</w:t>
      </w:r>
      <w:r>
        <w:rPr>
          <w:vertAlign w:val="subscript"/>
        </w:rPr>
        <w:t>2</w:t>
      </w:r>
      <w:r>
        <w:t>Fe 位点上的 O 激活以及 Co 位点上的臭氧分解，沿着自旋相容的质子耦合电子转移路径引导反应，选择性地生成表面结合的羟基自由基。因此，铁</w:t>
      </w:r>
      <w:r>
        <w:rPr>
          <w:vertAlign w:val="subscript"/>
        </w:rPr>
        <w:t>1</w:t>
      </w:r>
      <w:r>
        <w:t>钴</w:t>
      </w:r>
      <w:r>
        <w:rPr>
          <w:vertAlign w:val="subscript"/>
        </w:rPr>
        <w:t>1</w:t>
      </w:r>
      <w:r>
        <w:t>‐NC 在臭氧存在下表现出增强的草酸降解能力，周转频率是自旋解耦 Fe 的 21.5 倍</w:t>
      </w:r>
      <w:r>
        <w:rPr>
          <w:vertAlign w:val="subscript"/>
        </w:rPr>
        <w:t>1</w:t>
      </w:r>
    </w:p>
    <w:p>
      <w:pPr>
        <w:spacing w:before="0" w:after="200" w:lineRule="auto" w:line="276"/>
      </w:pPr>
      <w:r>
        <w:rPr>
          <w:b/>
        </w:rPr>
        <w:t xml:space="preserve">Abstract (EN): </w:t>
      </w:r>
      <w:r>
        <w:t>Heterogeneous catalytic ozonation represents a powerful process for eliminating refractory organic contaminants from hypersaline wastewater, yet its application is restricted by two critical bottlenecks: inefficient ozone activation and lack of control over on‐demand reactive oxygen species generation. In this study, we unravel that spin‐coupling in a heteronuclear dual‐atom catalyst (Fe</w:t>
      </w:r>
      <w:r>
        <w:rPr>
          <w:vertAlign w:val="subscript"/>
        </w:rPr>
        <w:t>1</w:t>
      </w:r>
      <w:r>
        <w:t>Co</w:t>
      </w:r>
      <w:r>
        <w:rPr>
          <w:vertAlign w:val="subscript"/>
        </w:rPr>
        <w:t>1</w:t>
      </w:r>
      <w:r>
        <w:t>‐NC) can address both limitations. By replacing one metal center with an electronically matched but magnetically inert element (Fe</w:t>
      </w:r>
      <w:r>
        <w:rPr>
          <w:vertAlign w:val="subscript"/>
        </w:rPr>
        <w:t>1</w:t>
      </w:r>
      <w:r>
        <w:t>Zn</w:t>
      </w:r>
      <w:r>
        <w:rPr>
          <w:vertAlign w:val="subscript"/>
        </w:rPr>
        <w:t>1</w:t>
      </w:r>
      <w:r>
        <w:t>‐NC and Ga</w:t>
      </w:r>
      <w:r>
        <w:rPr>
          <w:vertAlign w:val="subscript"/>
        </w:rPr>
        <w:t>1</w:t>
      </w:r>
      <w:r>
        <w:t>Co</w:t>
      </w:r>
      <w:r>
        <w:rPr>
          <w:vertAlign w:val="subscript"/>
        </w:rPr>
        <w:t>1</w:t>
      </w:r>
      <w:r>
        <w:t>‐NC), we disentangle the long‐conflated contributions of charge redistribution and spin coupling, and identify the latter as the decisive kinetic contributor. The spin‐polarized channel across Fe‐Co pairs synchronizes H</w:t>
      </w:r>
      <w:r>
        <w:rPr>
          <w:vertAlign w:val="subscript"/>
        </w:rPr>
        <w:t>2</w:t>
      </w:r>
      <w:r>
        <w:t>O activation at the Fe site with ozone decomposition at the Co site, steering the reaction along a spin‐compatible proton‐coupled electron transfer pathway that selectively generates surface‐bound hydroxyl radicals. Consequently, Fe</w:t>
      </w:r>
      <w:r>
        <w:rPr>
          <w:vertAlign w:val="subscript"/>
        </w:rPr>
        <w:t>1</w:t>
      </w:r>
      <w:r>
        <w:t>Co</w:t>
      </w:r>
      <w:r>
        <w:rPr>
          <w:vertAlign w:val="subscript"/>
        </w:rPr>
        <w:t>1</w:t>
      </w:r>
      <w:r>
        <w:t>‐NC exhibits enhanced oxalic acid degradation in the presence of ozone, with a turnover frequency 21.5 times that of the spin‐decoupled Fe</w:t>
      </w:r>
      <w:r>
        <w:rPr>
          <w:vertAlign w:val="subscript"/>
        </w:rPr>
        <w:t>1</w:t>
      </w:r>
      <w:r>
        <w:t>Zn</w:t>
      </w:r>
      <w:r>
        <w:rPr>
          <w:vertAlign w:val="subscript"/>
        </w:rPr>
        <w:t>1</w:t>
      </w:r>
      <w:r>
        <w:t>‐NC. Coupling the catalyst with a gas‐diffusion tri‐phase reactor further overcomes salinity‐induced ozone mass‐transfer limitations and enables robust, sustainable mineralization of real hypersaline wastewater. This work identifies inter‐site spin coupling as a kinetic descriptor for spin‐sensitive ozone activation and provides a spin‐decoupling strategy for the mechanistic design of dual‐atom catalysts.</w:t>
      </w:r>
    </w:p>
    <w:p>
      <w:pPr>
        <w:spacing w:before="120" w:after="120"/>
      </w:pPr>
      <w:r>
        <w:rPr>
          <w:sz w:val="18"/>
        </w:rPr>
        <w:t>——————————————————————————————————————————————————————————————————————</w:t>
      </w:r>
    </w:p>
    <w:p>
      <w:pPr>
        <w:spacing w:before="160" w:after="40" w:line="240" w:lineRule="auto"/>
      </w:pPr>
      <w:r>
        <w:rPr>
          <w:b/>
        </w:rPr>
        <w:t xml:space="preserve">[226] </w:t>
      </w:r>
      <w:hyperlink r:id="rId896">
        <w:r>
          <w:rPr>
            <w:color w:val="1155CC"/>
            <w:u w:val="single"/>
          </w:rPr>
          <w:t>2-丙醇钌催化的腈-丙烯酸酯还原偶联：合成对映体富集的 β-氨基酯</w:t>
        </w:r>
      </w:hyperlink>
    </w:p>
    <w:p>
      <w:pPr>
        <w:spacing w:before="0" w:after="80"/>
      </w:pPr>
      <w:r>
        <w:rPr>
          <w:i/>
          <w:sz w:val="20"/>
        </w:rPr>
        <w:t>EN: Ruthenium‐Catalyzed Nitrile‐Acrylate Reductive Coupling by 2‐Propanol: Synthesis of Enantioenriched β‐Amino Esters</w:t>
      </w:r>
    </w:p>
    <w:p>
      <w:pPr>
        <w:spacing w:before="0" w:after="120"/>
      </w:pPr>
      <w:r>
        <w:rPr>
          <w:b/>
        </w:rPr>
        <w:t xml:space="preserve">Source: </w:t>
      </w:r>
      <w:r>
        <w:t>Wiley: Angewandte Chemie International Edition: Table of Contents</w:t>
      </w:r>
      <w:r>
        <w:t xml:space="preserve">    </w:t>
      </w:r>
      <w:r>
        <w:rPr>
          <w:b/>
        </w:rPr>
        <w:t xml:space="preserve">Pub date: </w:t>
      </w:r>
      <w:r>
        <w:t>2026-08-22 09:30:41+00:00</w:t>
      </w:r>
      <w:r>
        <w:t xml:space="preserve">    </w:t>
      </w:r>
      <w:r>
        <w:rPr>
          <w:b/>
        </w:rPr>
        <w:t xml:space="preserve">DOI: </w:t>
      </w:r>
      <w:hyperlink r:id="rId897">
        <w:r>
          <w:rPr>
            <w:color w:val="1155CC"/>
            <w:u w:val="single"/>
          </w:rPr>
          <w:t>10.1002/anie.9880459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使用源自 RuHCl(CO)(PPh) 的钌催化剂</w:t>
      </w:r>
      <w:r>
        <w:rPr>
          <w:vertAlign w:val="subscript"/>
        </w:rPr>
        <w:t>3</w:t>
      </w:r>
      <w:r>
        <w:t>）</w:t>
      </w:r>
      <w:r>
        <w:rPr>
          <w:vertAlign w:val="subscript"/>
        </w:rPr>
        <w:t>3</w:t>
      </w:r>
      <w:r>
        <w:t>Cy-BIPHEP，2-丙醇介导的丙烯酸苯酯与芳香族或脂肪族腈的还原偶联，形成α,β-不饱和β-氨基酯。尽管包含无环四取代烯烃的反应产物对于不对称氢化来说是具有挑战性的底物，但三氟乙醇（TFE）使得铑-Walphos催化的氢化发生具有高水平的对映选择性。因此，通过连续的转移氢化偶联-不对称氢化事件，丰富的腈和丙烯酸酯原料转化为对映体富集的β-氨基酯。该方法代表了一种新的腈催化转化方法，以及首次超越化学计量金属或准金属的腈还原 C─C 偶联。</w:t>
      </w:r>
    </w:p>
    <w:p>
      <w:pPr>
        <w:spacing w:before="0" w:after="200" w:lineRule="auto" w:line="276"/>
      </w:pPr>
      <w:r>
        <w:rPr>
          <w:b/>
        </w:rPr>
        <w:t xml:space="preserve">Abstract (EN): </w:t>
      </w:r>
      <w:r>
        <w:t>Using a ruthenium catalyst derived from RuHCl(CO)(PPh</w:t>
      </w:r>
      <w:r>
        <w:rPr>
          <w:vertAlign w:val="subscript"/>
        </w:rPr>
        <w:t>3</w:t>
      </w:r>
      <w:r>
        <w:t>)</w:t>
      </w:r>
      <w:r>
        <w:rPr>
          <w:vertAlign w:val="subscript"/>
        </w:rPr>
        <w:t>3</w:t>
      </w:r>
      <w:r>
        <w:t>and Cy‐BIPHEP, 2‐propanol‐mediated reductive coupling of phenyl acrylate with aromatic or aliphatic nitriles occurs to form α,β‐unsaturated β‐amino esters. Although the reaction products, which incorporate acyclic tetrasubstituted alkenes, are challenging substrates for asymmetric hydrogenation, trifluoroethanol (TFE) enabled rhodium‐Walphos‐catalyzed hydrogenation occurs with high levels of enantioselectivity. Thus, through successive transfer hydrogenative coupling‐asymmetric hydrogenation events, abundant nitrile and acrylate feedstocks are converted to enantioenriched β‐amino esters. This method represents a new catalytic transformation of nitriles and the first reductive C─C coupling of nitriles beyond the use of stoichiometric metals or metalloids.</w:t>
      </w:r>
    </w:p>
    <w:p>
      <w:pPr>
        <w:spacing w:before="120" w:after="120"/>
      </w:pPr>
      <w:r>
        <w:rPr>
          <w:sz w:val="18"/>
        </w:rPr>
        <w:t>——————————————————————————————————————————————————————————————————————</w:t>
      </w:r>
    </w:p>
    <w:p>
      <w:pPr>
        <w:spacing w:before="160" w:after="40" w:line="240" w:lineRule="auto"/>
      </w:pPr>
      <w:r>
        <w:rPr>
          <w:b/>
        </w:rPr>
        <w:t xml:space="preserve">[227] </w:t>
      </w:r>
      <w:hyperlink r:id="rId898">
        <w:r>
          <w:rPr>
            <w:color w:val="1155CC"/>
            <w:u w:val="single"/>
          </w:rPr>
          <w:t>钴催化对映选择性乙烯基卡宾环化：半饱和杂环的多功能平台</w:t>
        </w:r>
      </w:hyperlink>
    </w:p>
    <w:p>
      <w:pPr>
        <w:spacing w:before="0" w:after="80"/>
      </w:pPr>
      <w:r>
        <w:rPr>
          <w:i/>
          <w:sz w:val="20"/>
        </w:rPr>
        <w:t>EN: Cobalt‐Catalyzed Enantioselective Vinyl Carbene Annulation: A Versatile Platform for Semisaturated Heterocycles</w:t>
      </w:r>
    </w:p>
    <w:p>
      <w:pPr>
        <w:spacing w:before="0" w:after="120"/>
      </w:pPr>
      <w:r>
        <w:rPr>
          <w:b/>
        </w:rPr>
        <w:t xml:space="preserve">Source: </w:t>
      </w:r>
      <w:r>
        <w:t>Wiley: Angewandte Chemie International Edition: Table of Contents</w:t>
      </w:r>
      <w:r>
        <w:t xml:space="preserve">    </w:t>
      </w:r>
      <w:r>
        <w:rPr>
          <w:b/>
        </w:rPr>
        <w:t xml:space="preserve">Pub date: </w:t>
      </w:r>
      <w:r>
        <w:t>2026-08-22 09:35:43+00:00</w:t>
      </w:r>
      <w:r>
        <w:t xml:space="preserve">    </w:t>
      </w:r>
      <w:r>
        <w:rPr>
          <w:b/>
        </w:rPr>
        <w:t xml:space="preserve">DOI: </w:t>
      </w:r>
      <w:hyperlink r:id="rId899">
        <w:r>
          <w:rPr>
            <w:color w:val="1155CC"/>
            <w:u w:val="single"/>
          </w:rPr>
          <w:t>10.1002/anie.6267376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半饱和杂环是天然产物和药物中的特殊支架，但获得这些手性结构的通用且通用的催化策略仍然是一个艰巨的挑战。在此，我们报告了一个统一的合成平台，利用地球上丰富的钴与手性化合物相结合</w:t>
      </w:r>
      <w:r>
        <w:t xml:space="preserve"> </w:t>
      </w:r>
      <w:r>
        <w:t>氮</w:t>
      </w:r>
      <w:r>
        <w:t xml:space="preserve"> </w:t>
      </w:r>
      <w:r>
        <w:t>,</w:t>
      </w:r>
      <w:r>
        <w:t xml:space="preserve"> </w:t>
      </w:r>
      <w:r>
        <w:t>氮</w:t>
      </w:r>
      <w:r>
        <w:t xml:space="preserve"> </w:t>
      </w:r>
      <w:r>
        <w:t>'-二氧化物配体解锁乙烯基卡宾的串联反应性，用于对映选择性构建不同的半饱和杂环。我们已经实现了三种不同的级联转化，分别以优异的产率、优异的对映选择性和高非对映选择性，模块化、高效地获得 2,3-二取代二氢苯并呋喃、1,2,3-三取代二氢吲哚和 2,3,4-三取代苯并吗啉。包括动力学研究和密度泛函理论 (DFT) 计算在内的机制研究已阐明级联途径涉及乙烯基 C(sp</w:t>
      </w:r>
      <w:r>
        <w:rPr>
          <w:vertAlign w:val="subscript"/>
        </w:rPr>
        <w:t>2</w:t>
      </w:r>
      <w:r>
        <w:t>)−H 或 N−H 插入类胡萝卜素，然后进行分子内共轭加成级联。克级合成和多功能产物衍生化进一步凸显了该方案的实用性，为手性杂环的合成提供了强大而实用的工具。</w:t>
      </w:r>
    </w:p>
    <w:p>
      <w:pPr>
        <w:spacing w:before="0" w:after="200" w:lineRule="auto" w:line="276"/>
      </w:pPr>
      <w:r>
        <w:rPr>
          <w:b/>
        </w:rPr>
        <w:t xml:space="preserve">Abstract (EN): </w:t>
      </w:r>
      <w:r>
        <w:t>Semisaturated heterocycles are privileged scaffolds in natural products and pharmaceuticals, yet a general and versatile catalytic strategy to access these chiral architectures remains a formidable challenge. Herein, we report a unified synthetic platform utilizing the earth‐abundant cobalt coupled with a chiral</w:t>
      </w:r>
      <w:r>
        <w:t xml:space="preserve"> </w:t>
      </w:r>
      <w:r>
        <w:t>N</w:t>
      </w:r>
      <w:r>
        <w:t xml:space="preserve"> </w:t>
      </w:r>
      <w:r>
        <w:t>,</w:t>
      </w:r>
      <w:r>
        <w:t xml:space="preserve"> </w:t>
      </w:r>
      <w:r>
        <w:t>N</w:t>
      </w:r>
      <w:r>
        <w:t xml:space="preserve"> </w:t>
      </w:r>
      <w:r>
        <w:t>′‐dioxide ligand to unlock the tandem reactivity of vinyl carbenes for the enantioselective construction of diverse semisaturated heterocycles. We have achieved three distinct cascade transformations for modular and efficient access to 2,3‐disubstituted dihydrobenzofurans, 1,2,3‐trisubstituted indolines, and 2,3,4‐trisubstituted benzomorpholines in excellent yields, exceptional enantioselectivities, and high diastereoselectivities, respectively. Mechanistic investigations, including kinetic studies and density functional theory (DFT) calculations, have elucidated that the cascade pathway involves vinylougous C(sp</w:t>
      </w:r>
      <w:r>
        <w:rPr>
          <w:vertAlign w:val="subscript"/>
        </w:rPr>
        <w:t>2</w:t>
      </w:r>
      <w:r>
        <w:t>)−H or N−H insertion of carbenoids, followed by an intramolecular conjugate addition cascade.The practical utility of this protocol is further highlighted by gram‐scale syntheses and versatile product derivatizations, offering a powerful and practical tool for the synthesis of chiral heterocycles.</w:t>
      </w:r>
    </w:p>
    <w:p>
      <w:pPr>
        <w:spacing w:before="120" w:after="120"/>
      </w:pPr>
      <w:r>
        <w:rPr>
          <w:sz w:val="18"/>
        </w:rPr>
        <w:t>——————————————————————————————————————————————————————————————————————</w:t>
      </w:r>
    </w:p>
    <w:p>
      <w:pPr>
        <w:spacing w:before="160" w:after="40" w:line="240" w:lineRule="auto"/>
      </w:pPr>
      <w:r>
        <w:rPr>
          <w:b/>
        </w:rPr>
        <w:t xml:space="preserve">[228] </w:t>
      </w:r>
      <w:hyperlink r:id="rId900">
        <w:r>
          <w:rPr>
            <w:color w:val="1155CC"/>
            <w:u w:val="single"/>
          </w:rPr>
          <w:t>可逆氧化还原循环：真菌烷基水杨醛生物合成中的中毒和解毒机制</w:t>
        </w:r>
      </w:hyperlink>
    </w:p>
    <w:p>
      <w:pPr>
        <w:spacing w:before="0" w:after="80"/>
      </w:pPr>
      <w:r>
        <w:rPr>
          <w:i/>
          <w:sz w:val="20"/>
        </w:rPr>
        <w:t>EN: Reversible Redox Cycling: A Mechanism for Toxification and Detoxification in Fungal Alkyl Salicylaldehyde Biosynthesis</w:t>
      </w:r>
    </w:p>
    <w:p>
      <w:pPr>
        <w:spacing w:before="0" w:after="120"/>
      </w:pPr>
      <w:r>
        <w:rPr>
          <w:b/>
        </w:rPr>
        <w:t xml:space="preserve">Source: </w:t>
      </w:r>
      <w:r>
        <w:t>Wiley: Angewandte Chemie International Edition: Table of Contents</w:t>
      </w:r>
      <w:r>
        <w:t xml:space="preserve">    </w:t>
      </w:r>
      <w:r>
        <w:rPr>
          <w:b/>
        </w:rPr>
        <w:t xml:space="preserve">Pub date: </w:t>
      </w:r>
      <w:r>
        <w:t>2026-08-22 09:40:12+00:00</w:t>
      </w:r>
      <w:r>
        <w:t xml:space="preserve">    </w:t>
      </w:r>
      <w:r>
        <w:rPr>
          <w:b/>
        </w:rPr>
        <w:t xml:space="preserve">DOI: </w:t>
      </w:r>
      <w:hyperlink r:id="rId901">
        <w:r>
          <w:rPr>
            <w:color w:val="1155CC"/>
            <w:u w:val="single"/>
          </w:rPr>
          <w:t>10.1002/anie.3171374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天然产物生产商如何耐受他们合成的活性和有毒化合物有助于发现新的治疗方法和破译不寻常的生物合成机制。烷基水杨醛是广泛分布于真菌中的次生代谢产物，具有巨大的结构多样性和多种生物活性。然而，真菌分隔这些活性物质以避免自毒性的机制仍然知之甚少。在本研究中，通过异源重建和生化表征来自水杨醛的烷基水杨醛生物合成基因簇</w:t>
      </w:r>
      <w:r>
        <w:t xml:space="preserve"> </w:t>
      </w:r>
      <w:r>
        <w:t>水苏属</w:t>
      </w:r>
      <w:r>
        <w:t xml:space="preserve"> </w:t>
      </w:r>
      <w:r>
        <w:t>sp。 g12，我们发现了一种由可逆氧化还原循环驱动的多酶自我抵抗策略。生物合成途径利用细胞内还原酶 StrM 将醛前体解毒成稳定的醇前药，确保安全的生物合成和细胞外排。一旦从细胞中输出，细胞外氧化酶 StrJ 就会通过再生醛类来引发毒性。此外，多余的还原酶 StrH 和 StrK 通过快速重新还原重新进入细胞的任何有毒醛来提供“双保险”解毒防御。总的来说，我们的研究结果描述了真菌烷基水杨醛生物合成中常见的自我抵抗机制，并为高活性醛天然产物的安全微生物合成提供了策略。</w:t>
      </w:r>
    </w:p>
    <w:p>
      <w:pPr>
        <w:spacing w:before="0" w:after="200" w:lineRule="auto" w:line="276"/>
      </w:pPr>
      <w:r>
        <w:rPr>
          <w:b/>
        </w:rPr>
        <w:t xml:space="preserve">Abstract (EN): </w:t>
      </w:r>
      <w:r>
        <w:t>Understanding how natural product producers tolerate the reactive and toxic compounds they synthesize contributes to discovering novel therapeutics and deciphering unusual biosynthetic mechanisms. Alkyl salicylaldehydes are secondary metabolites widely distributed in fungi, exhibiting great structural diversity and various biological activities. However, the mechanism by which fungi partition these reactive species to avoid self‐toxicity remains poorly understood. In this study, by heterologous reconstruction and biochemical characterization of the alkyl salicylaldehyde biosynthetic gene cluster from</w:t>
      </w:r>
      <w:r>
        <w:t xml:space="preserve"> </w:t>
      </w:r>
      <w:r>
        <w:t>Stachybotrys</w:t>
      </w:r>
      <w:r>
        <w:t xml:space="preserve"> </w:t>
      </w:r>
      <w:r>
        <w:t>sp. g12, we uncovered a multienzyme self‐resistance strategy driven by a reversible redox cycle. The biosynthetic pathway employs the intracellular reductase StrM to detoxify the aldehyde precursor into a stable alcohol prodrug, ensuring safe biosynthesis and cellular efflux. Once exported from the cell, the extracellular oxidase, StrJ, triggers toxification by regenerating the aldehyde species. Furthermore, the redundant reductases StrH and StrK provide a “double‐insurance” detoxification defense by rapidly re‐reducing any toxic aldehydes that reenter the cell. Collectively, our findings characterize a self‐resistance mechanism common in fungal alkyl salicylaldehyde biosynthesis and provide a strategy for the safe microbial synthesis of highly reactive aldehyde natural products.</w:t>
      </w:r>
    </w:p>
    <w:p>
      <w:pPr>
        <w:spacing w:before="120" w:after="120"/>
      </w:pPr>
      <w:r>
        <w:rPr>
          <w:sz w:val="18"/>
        </w:rPr>
        <w:t>——————————————————————————————————————————————————————————————————————</w:t>
      </w:r>
    </w:p>
    <w:p>
      <w:pPr>
        <w:spacing w:before="160" w:after="40" w:line="240" w:lineRule="auto"/>
      </w:pPr>
      <w:r>
        <w:rPr>
          <w:b/>
        </w:rPr>
        <w:t xml:space="preserve">[229] </w:t>
      </w:r>
      <w:hyperlink r:id="rId902">
        <w:r>
          <w:rPr>
            <w:color w:val="1155CC"/>
            <w:u w:val="single"/>
          </w:rPr>
          <w:t>高压合成量子稳定的超氢化锰MnH7</w:t>
        </w:r>
      </w:hyperlink>
    </w:p>
    <w:p>
      <w:pPr>
        <w:spacing w:before="0" w:after="80"/>
      </w:pPr>
      <w:r>
        <w:rPr>
          <w:i/>
          <w:sz w:val="20"/>
        </w:rPr>
        <w:t>EN: High‐Pressure Synthesis of Quantum‐Stabilised Manganese Superhydride MnH7</w:t>
      </w:r>
    </w:p>
    <w:p>
      <w:pPr>
        <w:spacing w:before="0" w:after="120"/>
      </w:pPr>
      <w:r>
        <w:rPr>
          <w:b/>
        </w:rPr>
        <w:t xml:space="preserve">Source: </w:t>
      </w:r>
      <w:r>
        <w:t>Wiley: Angewandte Chemie International Edition: Table of Contents</w:t>
      </w:r>
      <w:r>
        <w:t xml:space="preserve">    </w:t>
      </w:r>
      <w:r>
        <w:rPr>
          <w:b/>
        </w:rPr>
        <w:t xml:space="preserve">Pub date: </w:t>
      </w:r>
      <w:r>
        <w:t>2026-08-22 09:42:45+00:00</w:t>
      </w:r>
      <w:r>
        <w:t xml:space="preserve">    </w:t>
      </w:r>
      <w:r>
        <w:rPr>
          <w:b/>
        </w:rPr>
        <w:t xml:space="preserve">DOI: </w:t>
      </w:r>
      <w:hyperlink r:id="rId903">
        <w:r>
          <w:rPr>
            <w:color w:val="1155CC"/>
            <w:u w:val="single"/>
          </w:rPr>
          <w:t>10.1002/anie.9526719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通过高温高压金刚石砧室研究结合原位同步加速器粉末 X 射线衍射，我们研究了锰和氢之间高达 182 GPa 的反应性。在 118 GPa 的介质中激光加热锰会产生体心四方晶系，它具有在 IV-XII 族过渡金属二元氢化物中观察到的最高氢含量。此外，我们还观察到另外两种新的氢化物为次要相，具有四方晶体结构和立方晶体结构，分别在 105 和 118 GPa 的压力下形成。减压后，在分解成一氢化物之前保持稳定至 30 GPa。我们采用密度泛函理论的从头算量子化学计算表明， 和 的关键稳定因子是零点能量，然而，在氘化样品的晶体结构上没有观察到同位素效应。</w:t>
      </w:r>
    </w:p>
    <w:p>
      <w:pPr>
        <w:spacing w:before="0" w:after="200" w:lineRule="auto" w:line="276"/>
      </w:pPr>
      <w:r>
        <w:rPr>
          <w:b/>
        </w:rPr>
        <w:t xml:space="preserve">Abstract (EN): </w:t>
      </w:r>
      <w:r>
        <w:t>Through high‐temperature, high‐pressure diamond anvil cell studies combined with in situ synchrotron powder x‐ray diffraction, we investigate the reactivity between manganese and hydrogen up to 182 GPa. Laser heating manganese in an  medium at 118 GPa yields body‐centred tetragonal , which has the highest hydrogen content ever observed in the binary hydrides of group IV–XII transition metals. In addition, we also observe two other new hydrides as minor phases,  with a tetragonal crystal structure and cubic , formed at the pressures of 105 and 118 GPa, respectively. Upon decompression,  and  remain stable down to 30 GPa before decomposing into the monohydride. Our ab initio quantum chemistry computations employing density‐functional theory reveal that the key stabilisation factor of  and  is zero‐point energy, however, no isotope effect is observed on the crystal structures of the deuterated samples.</w:t>
      </w:r>
    </w:p>
    <w:p>
      <w:pPr>
        <w:spacing w:before="120" w:after="120"/>
      </w:pPr>
      <w:r>
        <w:rPr>
          <w:sz w:val="18"/>
        </w:rPr>
        <w:t>——————————————————————————————————————————————————————————————————————</w:t>
      </w:r>
    </w:p>
    <w:p>
      <w:pPr>
        <w:spacing w:before="160" w:after="40" w:line="240" w:lineRule="auto"/>
      </w:pPr>
      <w:r>
        <w:rPr>
          <w:b/>
        </w:rPr>
        <w:t xml:space="preserve">[230] </w:t>
      </w:r>
      <w:hyperlink r:id="rId904">
        <w:r>
          <w:rPr>
            <w:color w:val="1155CC"/>
            <w:u w:val="single"/>
          </w:rPr>
          <w:t>螺纹状态对 γ-环糊精-芘凝胶力学的影响</w:t>
        </w:r>
      </w:hyperlink>
    </w:p>
    <w:p>
      <w:pPr>
        <w:spacing w:before="0" w:after="80"/>
      </w:pPr>
      <w:r>
        <w:rPr>
          <w:i/>
          <w:sz w:val="20"/>
        </w:rPr>
        <w:t>EN: Impact of Threading State on the Mechanics of γ‐Cyclodextrin–Pyrene Gels</w:t>
      </w:r>
    </w:p>
    <w:p>
      <w:pPr>
        <w:spacing w:before="0" w:after="120"/>
      </w:pPr>
      <w:r>
        <w:rPr>
          <w:b/>
        </w:rPr>
        <w:t xml:space="preserve">Source: </w:t>
      </w:r>
      <w:r>
        <w:t>Wiley: Angewandte Chemie International Edition: Table of Contents</w:t>
      </w:r>
      <w:r>
        <w:t xml:space="preserve">    </w:t>
      </w:r>
      <w:r>
        <w:rPr>
          <w:b/>
        </w:rPr>
        <w:t xml:space="preserve">Pub date: </w:t>
      </w:r>
      <w:r>
        <w:t>2026-08-22 09:47:08+00:00</w:t>
      </w:r>
      <w:r>
        <w:t xml:space="preserve">    </w:t>
      </w:r>
      <w:r>
        <w:rPr>
          <w:b/>
        </w:rPr>
        <w:t xml:space="preserve">DOI: </w:t>
      </w:r>
      <w:hyperlink r:id="rId905">
        <w:r>
          <w:rPr>
            <w:color w:val="1155CC"/>
            <w:u w:val="single"/>
          </w:rPr>
          <w:t>10.1002/anie.1958506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共价和超分子交联在聚合物网络的机械鲁棒性和环境适应性之间强加了固有的权衡。机械互锁连接点提供了一种替代路线，可以在不影响结构完整性的情况下实现拓扑运动。在此，报道了一种模块化方法，通过将丙烯酸 2-羟乙酯（HEA）与双螺纹（dt-）假[4]轮烷交联剂共聚来构建拓扑工程凝胶，该交联剂是通过 γ-环糊精（γ-CD）和丙烯酸酯封端的芘衍生物络合形成的。通过调整预凝胶配方中的 HEA/水比例，超分子组装体可以从 dt- 实体转变为单线 (st-) 实体，从而获得化学成分相同但结构不同的凝胶——dt-滑环网络与 st-聚轮烷共价网络。 dt 网络表现出溶剂依赖性荧光、膨胀和粘弹性，而这在 st 网络或共价对照凝胶中都没有观察到。体网络的机械测试表明，dt 网络表现出高延展性（&gt; 1050% 断裂应变）、应变率相关的硬化和断裂，以及循环变形下高韧性和相对较低滞后的良好组合，而在缺乏 dt 结构的网络中没有观察到这一点。总的来说，这些结果建立了由交联拓扑决定的结构-性能关系，证明了 dt 互锁基序如何编码机械性能和环境响应</w:t>
      </w:r>
    </w:p>
    <w:p>
      <w:pPr>
        <w:spacing w:before="0" w:after="200" w:lineRule="auto" w:line="276"/>
      </w:pPr>
      <w:r>
        <w:rPr>
          <w:b/>
        </w:rPr>
        <w:t xml:space="preserve">Abstract (EN): </w:t>
      </w:r>
      <w:r>
        <w:t>Conventional covalent and supramolecular crosslinks impose inherent trade‐offs between mechanical robustness and environmental adaptability in polymer networks. Mechanically interlocked junctions offer an alternative route by enabling topological motion without compromising structural integrity. Here, a modular approach is reported to construct topology‐engineered gels by copolymerizing 2‐hydroxyethyl acrylate (HEA) with doubly threaded (dt‐) pseudo[4]rotaxane crosslinkers, formed via the complexation of γ‐cyclodextrin (γ‐CD) and acrylate‐end‐capped pyrene derivatives. By tuning the HEA/water ratio in pre‐gel formulations, the supramolecular assembly can be shifted from dt‐ to singly threaded (st‐) entities, enabling access to gels with the same chemical composition but different architectures—dt‐slide ring network versus st‐polyrotaxane covalent network. The dt‐network exhibits solvent‐dependent fluorescence, swelling, and viscoelasticity that is not observed in either the st‐network or a covalent control gel. Mechanical testing of the bulk networks reveals that the dt‐network exhibits high extensibility (&amp;gt;1050% strain at break), strain rate‐dependent stiffening and rupture, and a favorable combination of high toughness and comparatively low hysteresis under cyclic deformation that is not observed in the networks lacking the dt‐architecture. Overall, these results establish a structure–property relationship dictated by crosslinking topology, demonstrating how dt‐interlocked motifs can encode both mechanical performance and environmental responsiveness in soft materials.</w:t>
      </w:r>
    </w:p>
    <w:p>
      <w:pPr>
        <w:spacing w:before="120" w:after="120"/>
      </w:pPr>
      <w:r>
        <w:rPr>
          <w:sz w:val="18"/>
        </w:rPr>
        <w:t>——————————————————————————————————————————————————————————————————————</w:t>
      </w:r>
    </w:p>
    <w:p>
      <w:pPr>
        <w:spacing w:before="160" w:after="40" w:line="240" w:lineRule="auto"/>
      </w:pPr>
      <w:r>
        <w:rPr>
          <w:b/>
        </w:rPr>
        <w:t xml:space="preserve">[231] </w:t>
      </w:r>
      <w:hyperlink r:id="rId906">
        <w:r>
          <w:rPr>
            <w:color w:val="1155CC"/>
            <w:u w:val="single"/>
          </w:rPr>
          <w:t>超越Oxo-Wall：六配位CoIV-Oxo复合物的合成和反应性</w:t>
        </w:r>
      </w:hyperlink>
    </w:p>
    <w:p>
      <w:pPr>
        <w:spacing w:before="0" w:after="80"/>
      </w:pPr>
      <w:r>
        <w:rPr>
          <w:i/>
          <w:sz w:val="20"/>
        </w:rPr>
        <w:t>EN: Beyond the Oxo‐Wall: Synthesis and Reactivity of a Six‐Coordinate Formally CoIV‐Oxo Complex</w:t>
      </w:r>
    </w:p>
    <w:p>
      <w:pPr>
        <w:spacing w:before="0" w:after="120"/>
      </w:pPr>
      <w:r>
        <w:rPr>
          <w:b/>
        </w:rPr>
        <w:t xml:space="preserve">Source: </w:t>
      </w:r>
      <w:r>
        <w:t>Wiley: Angewandte Chemie International Edition: Table of Contents</w:t>
      </w:r>
      <w:r>
        <w:t xml:space="preserve">    </w:t>
      </w:r>
      <w:r>
        <w:rPr>
          <w:b/>
        </w:rPr>
        <w:t xml:space="preserve">Pub date: </w:t>
      </w:r>
      <w:r>
        <w:t>2026-08-22 09:48:53+00:00</w:t>
      </w:r>
      <w:r>
        <w:t xml:space="preserve">    </w:t>
      </w:r>
      <w:r>
        <w:rPr>
          <w:b/>
        </w:rPr>
        <w:t xml:space="preserve">DOI: </w:t>
      </w:r>
      <w:hyperlink r:id="rId907">
        <w:r>
          <w:rPr>
            <w:color w:val="1155CC"/>
            <w:u w:val="single"/>
          </w:rPr>
          <w:t>10.1002/anie.6875653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尽管它们在许多氧化过程中都有影响，但特征良好的高价钴氧配合物却很少。在这项研究中，我们提出了六配位 Co(IV)-oxo 配合物的第一个例子，[Co(TQA)(O)(OH)]</w:t>
      </w:r>
      <w:r>
        <w:t xml:space="preserve"> </w:t>
      </w:r>
      <w:r>
        <w:t>+</w:t>
      </w:r>
      <w:r>
        <w:t xml:space="preserve"> </w:t>
      </w:r>
      <w:r>
        <w:t>（</w:t>
      </w:r>
      <w:r>
        <w:rPr>
          <w:vertAlign w:val="subscript"/>
        </w:rPr>
        <w:t>1</w:t>
      </w:r>
      <w:r>
        <w:t>, TQA = 三(2-喹啉基甲基)胺)。 CSI-MS 显示掺入了来自过酸氧化剂的氧原子和来自水中的另外一个氧原子。 EPR 光谱表明</w:t>
      </w:r>
      <w:r>
        <w:rPr>
          <w:vertAlign w:val="subscript"/>
        </w:rPr>
        <w:t>1</w:t>
      </w:r>
      <w:r>
        <w:t>包含一个</w:t>
      </w:r>
      <w:r>
        <w:t xml:space="preserve"> </w:t>
      </w:r>
      <w:r>
        <w:t>S</w:t>
      </w:r>
      <w:r>
        <w:t xml:space="preserve"> </w:t>
      </w:r>
      <w:r>
        <w:t>=</w:t>
      </w:r>
      <w:r>
        <w:rPr>
          <w:vertAlign w:val="subscript"/>
        </w:rPr>
        <w:t>3</w:t>
      </w:r>
      <w:r>
        <w:t>/</w:t>
      </w:r>
      <w:r>
        <w:rPr>
          <w:vertAlign w:val="subscript"/>
        </w:rPr>
        <w:t>2</w:t>
      </w:r>
      <w:r>
        <w:t>钴中心，与Co一致</w:t>
      </w:r>
      <w:r>
        <w:t xml:space="preserve"> </w:t>
      </w:r>
      <w:r>
        <w:t>四号</w:t>
      </w:r>
      <w:r>
        <w:t xml:space="preserve"> </w:t>
      </w:r>
      <w:r>
        <w:t>氧化态，同时两者共振拉曼（</w:t>
      </w:r>
      <w:r>
        <w:t xml:space="preserve"> </w:t>
      </w:r>
      <w:r>
        <w:t>ν</w:t>
      </w:r>
      <w:r>
        <w:t xml:space="preserve"> </w:t>
      </w:r>
      <w:r>
        <w:t>= 775 厘米</w:t>
      </w:r>
      <w:r>
        <w:t xml:space="preserve"> </w:t>
      </w:r>
      <w:r>
        <w:t>−1</w:t>
      </w:r>
      <w:r>
        <w:t xml:space="preserve"> </w:t>
      </w:r>
      <w:r>
        <w:t>) 和 EXAFS (Co─O = 1.69 Å) 表明 Co-oxo 部分的形成。 CASSCF(11,10)/NEVPT2 计算表明</w:t>
      </w:r>
      <w:r>
        <w:rPr>
          <w:vertAlign w:val="subscript"/>
        </w:rPr>
        <w:t>1</w:t>
      </w:r>
      <w:r>
        <w:t>最好的描述是 Co(IV)-oxo 化合物，具有显着的 Co(III)-oxyl 特征，有助于基态波函数。综合体</w:t>
      </w:r>
      <w:r>
        <w:rPr>
          <w:vertAlign w:val="subscript"/>
        </w:rPr>
        <w:t>1</w:t>
      </w:r>
      <w:r>
        <w:t>在 –85°C 下动力学相对稳定，但在高温 (&gt; –50°C) 下会衰减。我们发现</w:t>
      </w:r>
      <w:r>
        <w:rPr>
          <w:vertAlign w:val="subscript"/>
        </w:rPr>
        <w:t>1</w:t>
      </w:r>
      <w:r>
        <w:t>是一种有效的氢原子转移 (HAT) 和氧原子转移 (OAT) 试剂，能够氧化多种底物，包括甲苯和</w:t>
      </w:r>
    </w:p>
    <w:p>
      <w:pPr>
        <w:spacing w:before="0" w:after="200" w:lineRule="auto" w:line="276"/>
      </w:pPr>
      <w:r>
        <w:rPr>
          <w:b/>
        </w:rPr>
        <w:t xml:space="preserve">Abstract (EN): </w:t>
      </w:r>
      <w:r>
        <w:t>Despite their implication in a number of oxidation processes, there is a paucity of well‐characterized high‐valent cobalt‐oxo complexes. In this study, we present the first example of a six‐coordinate formally Co(IV)‐oxo complex, [Co(TQA)(O)(OH)]</w:t>
      </w:r>
      <w:r>
        <w:t xml:space="preserve"> </w:t>
      </w:r>
      <w:r>
        <w:t>+</w:t>
      </w:r>
      <w:r>
        <w:t xml:space="preserve"> </w:t>
      </w:r>
      <w:r>
        <w:t>(</w:t>
      </w:r>
      <w:r>
        <w:rPr>
          <w:vertAlign w:val="subscript"/>
        </w:rPr>
        <w:t>1</w:t>
      </w:r>
      <w:r>
        <w:t>, TQA = tris(2‐quinolylmethyl)amine). CSI‐MS shows the incorporation of an oxygen atom from a peracid oxidant and an additional one from water. EPR spectroscopy shows that</w:t>
      </w:r>
      <w:r>
        <w:rPr>
          <w:vertAlign w:val="subscript"/>
        </w:rPr>
        <w:t>1</w:t>
      </w:r>
      <w:r>
        <w:t>contains an</w:t>
      </w:r>
      <w:r>
        <w:t xml:space="preserve"> </w:t>
      </w:r>
      <w:r>
        <w:t>S</w:t>
      </w:r>
      <w:r>
        <w:t xml:space="preserve"> </w:t>
      </w:r>
      <w:r>
        <w:t>=</w:t>
      </w:r>
      <w:r>
        <w:rPr>
          <w:vertAlign w:val="subscript"/>
        </w:rPr>
        <w:t>3</w:t>
      </w:r>
      <w:r>
        <w:t>/</w:t>
      </w:r>
      <w:r>
        <w:rPr>
          <w:vertAlign w:val="subscript"/>
        </w:rPr>
        <w:t>2</w:t>
      </w:r>
      <w:r>
        <w:t>cobalt‐center, consistent with the Co</w:t>
      </w:r>
      <w:r>
        <w:t xml:space="preserve"> </w:t>
      </w:r>
      <w:r>
        <w:t>IV</w:t>
      </w:r>
      <w:r>
        <w:t xml:space="preserve"> </w:t>
      </w:r>
      <w:r>
        <w:t>oxidation state, while both resonance Raman (</w:t>
      </w:r>
      <w:r>
        <w:t xml:space="preserve"> </w:t>
      </w:r>
      <w:r>
        <w:t>ν</w:t>
      </w:r>
      <w:r>
        <w:t xml:space="preserve"> </w:t>
      </w:r>
      <w:r>
        <w:t>= 775 cm</w:t>
      </w:r>
      <w:r>
        <w:t xml:space="preserve"> </w:t>
      </w:r>
      <w:r>
        <w:t>−1</w:t>
      </w:r>
      <w:r>
        <w:t xml:space="preserve"> </w:t>
      </w:r>
      <w:r>
        <w:t>) and EXAFS (Co─O = 1.69 Å) indicate the formation of a Co‐oxo moiety. CASSCF(11,10)/NEVPT2 calculations suggest that</w:t>
      </w:r>
      <w:r>
        <w:rPr>
          <w:vertAlign w:val="subscript"/>
        </w:rPr>
        <w:t>1</w:t>
      </w:r>
      <w:r>
        <w:t>is best described as a Co(IV)‐oxo compound with significant Co(III)‐oxyl character contributing to the ground state wavefunction. Complex</w:t>
      </w:r>
      <w:r>
        <w:rPr>
          <w:vertAlign w:val="subscript"/>
        </w:rPr>
        <w:t>1</w:t>
      </w:r>
      <w:r>
        <w:t>is relatively kinetically stable at –85°C but decays at elevated temperatures (&amp;gt; –50°C). We find that</w:t>
      </w:r>
      <w:r>
        <w:rPr>
          <w:vertAlign w:val="subscript"/>
        </w:rPr>
        <w:t>1</w:t>
      </w:r>
      <w:r>
        <w:t>is a competent hydrogen atom transfer (HAT) and oxygen atom transfer (OAT) reagent capable of oxidizing a wide variety of substrates including toluene and</w:t>
      </w:r>
      <w:r>
        <w:t xml:space="preserve"> </w:t>
      </w:r>
      <w:r>
        <w:t>N,N</w:t>
      </w:r>
      <w:r>
        <w:t xml:space="preserve"> </w:t>
      </w:r>
      <w:r>
        <w:t>‐dimethylaniline. Although H/D‐kinetic isotope studies demonstrate that proton movement takes place during the HAT rate limiting step, the substrate oxidation rate depends on substrate oxidation potential and not the C─H BDFE, suggesting these reactions are controlled by the underlying electron‐transfer process.</w:t>
      </w:r>
    </w:p>
    <w:p>
      <w:pPr>
        <w:spacing w:before="120" w:after="120"/>
      </w:pPr>
      <w:r>
        <w:rPr>
          <w:sz w:val="18"/>
        </w:rPr>
        <w:t>——————————————————————————————————————————————————————————————————————</w:t>
      </w:r>
    </w:p>
    <w:p>
      <w:pPr>
        <w:spacing w:before="160" w:after="40" w:line="240" w:lineRule="auto"/>
      </w:pPr>
      <w:r>
        <w:rPr>
          <w:b/>
        </w:rPr>
        <w:t xml:space="preserve">[232] </w:t>
      </w:r>
      <w:hyperlink r:id="rId908">
        <w:r>
          <w:rPr>
            <w:color w:val="1155CC"/>
            <w:u w:val="single"/>
          </w:rPr>
          <w:t>通过添加硫脲的分子马达光增强氯离子传输</w:t>
        </w:r>
      </w:hyperlink>
    </w:p>
    <w:p>
      <w:pPr>
        <w:spacing w:before="0" w:after="80"/>
      </w:pPr>
      <w:r>
        <w:rPr>
          <w:i/>
          <w:sz w:val="20"/>
        </w:rPr>
        <w:t>EN: Light‐Enhanced Chloride Transport by Thiourea‐Appended Molecular Motor</w:t>
      </w:r>
    </w:p>
    <w:p>
      <w:pPr>
        <w:spacing w:before="0" w:after="120"/>
      </w:pPr>
      <w:r>
        <w:rPr>
          <w:b/>
        </w:rPr>
        <w:t xml:space="preserve">Source: </w:t>
      </w:r>
      <w:r>
        <w:t>Wiley: Angewandte Chemie International Edition: Table of Contents</w:t>
      </w:r>
      <w:r>
        <w:t xml:space="preserve">    </w:t>
      </w:r>
      <w:r>
        <w:rPr>
          <w:b/>
        </w:rPr>
        <w:t xml:space="preserve">Pub date: </w:t>
      </w:r>
      <w:r>
        <w:t>2026-08-22 09:55:17+00:00</w:t>
      </w:r>
      <w:r>
        <w:t xml:space="preserve">    </w:t>
      </w:r>
      <w:r>
        <w:rPr>
          <w:b/>
        </w:rPr>
        <w:t xml:space="preserve">DOI: </w:t>
      </w:r>
      <w:hyperlink r:id="rId909">
        <w:r>
          <w:rPr>
            <w:color w:val="1155CC"/>
            <w:u w:val="single"/>
          </w:rPr>
          <w:t>10.1002/anie.4755839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溶质跨脂质双层膜转运的调节是许多生物过程的核心，通常由动态响应刺激的蛋白质转运蛋白介导。开发模拟这种响应行为的人工系统仍然是一个重大挑战。在这里，我们展示了使用连接到硫脲阴离子结合基序的 Feringa 型分子旋转马达在光照射下增强氯离子传输。基于电机的转运蛋白的光生亚稳态活性比暗状态高出 85%，其中转运过程本身是梯度驱动的（被动转运）。需要连续的光能输入来维持更活跃的亚稳态非平衡状态。这项工作展示了光驱动分子马达在促进和调节跨膜阴离子转运中的应用。我们的研究将为基于分子马达的策略的开发提供指导，该策略将推动人工转运蛋白向具有时空可控活性的动态光响应系统发展。</w:t>
      </w:r>
    </w:p>
    <w:p>
      <w:pPr>
        <w:spacing w:before="0" w:after="200" w:lineRule="auto" w:line="276"/>
      </w:pPr>
      <w:r>
        <w:rPr>
          <w:b/>
        </w:rPr>
        <w:t xml:space="preserve">Abstract (EN): </w:t>
      </w:r>
      <w:r>
        <w:t>The regulation of solute transport across lipid bilayer membranes is central to many biological processes and is typically mediated by protein transporters that dynamically respond to stimuli. The development of artificial systems that emulate such responsive behavior remains a major challenge. Here, we show enhancement of chloride transport under light irradiation using a Feringa‐type molecular rotary motor connected to a thiourea anion‐binding motif. The photogenerated metastable state of the motor‐based transporter exhibits up to 85% higher activity relative to its dark state, where the transport process itself is gradient‐driven (passive transport). Continuous light energy input is required to sustain the more active metastable nonequilibrium state. This work demonstrates application of light‐driven molecular motor to facilitate and regulate transmembrane anion transport. Our studies will be of guidance in the development of molecular motor‐based strategies that will advance artificial transporters toward dynamic light‐responsive systems with spatiotemporally controllable activity.</w:t>
      </w:r>
    </w:p>
    <w:p>
      <w:pPr>
        <w:spacing w:before="120" w:after="120"/>
      </w:pPr>
      <w:r>
        <w:rPr>
          <w:sz w:val="18"/>
        </w:rPr>
        <w:t>——————————————————————————————————————————————————————————————————————</w:t>
      </w:r>
    </w:p>
    <w:p>
      <w:pPr>
        <w:spacing w:before="160" w:after="40" w:line="240" w:lineRule="auto"/>
      </w:pPr>
      <w:r>
        <w:rPr>
          <w:b/>
        </w:rPr>
        <w:t xml:space="preserve">[233] </w:t>
      </w:r>
      <w:hyperlink r:id="rId910">
        <w:r>
          <w:rPr>
            <w:color w:val="1155CC"/>
            <w:u w:val="single"/>
          </w:rPr>
          <w:t>轴向手性芳香胶囊内线性芳香低聚物的非共价 PL、CD 和 CPL 活化</w:t>
        </w:r>
      </w:hyperlink>
    </w:p>
    <w:p>
      <w:pPr>
        <w:spacing w:before="0" w:after="80"/>
      </w:pPr>
      <w:r>
        <w:rPr>
          <w:i/>
          <w:sz w:val="20"/>
        </w:rPr>
        <w:t>EN: Non‐Covalent PL, CD, and CPL Activation of Linear Aromatic Oligomers within Axially Chiral Aromatic Capsules</w:t>
      </w:r>
    </w:p>
    <w:p>
      <w:pPr>
        <w:spacing w:before="0" w:after="120"/>
      </w:pPr>
      <w:r>
        <w:rPr>
          <w:b/>
        </w:rPr>
        <w:t xml:space="preserve">Source: </w:t>
      </w:r>
      <w:r>
        <w:t>Wiley: Angewandte Chemie International Edition: Table of Contents</w:t>
      </w:r>
      <w:r>
        <w:t xml:space="preserve">    </w:t>
      </w:r>
      <w:r>
        <w:rPr>
          <w:b/>
        </w:rPr>
        <w:t xml:space="preserve">Pub date: </w:t>
      </w:r>
      <w:r>
        <w:t>2026-08-22 09:58:32+00:00</w:t>
      </w:r>
      <w:r>
        <w:t xml:space="preserve">    </w:t>
      </w:r>
      <w:r>
        <w:rPr>
          <w:b/>
        </w:rPr>
        <w:t xml:space="preserve">DOI: </w:t>
      </w:r>
      <w:hyperlink r:id="rId911">
        <w:r>
          <w:rPr>
            <w:color w:val="1155CC"/>
            <w:u w:val="single"/>
          </w:rPr>
          <w:t>10.1002/anie.4171725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低聚芳香族化合物的刚性框架和强聚集特性，共价官能化对于增强/诱导低聚芳香族化合物的发光和手性光学特性是必需的。在此，我们报道了线性芳香族低聚物在环境水性条件下被轴向手性芳香族胶囊封装后表现出强烈的 PL、CD 和 CPL 特性。治疗</w:t>
      </w:r>
      <w:r>
        <w:t xml:space="preserve"> </w:t>
      </w:r>
      <w:r>
        <w:t>帕拉</w:t>
      </w:r>
      <w:r>
        <w:t xml:space="preserve"> </w:t>
      </w:r>
      <w:r>
        <w:t>‐亚苯基低聚物与手性 BINOL 基两亲物在水中生成主客体复合材料，表现出基于低聚物的 PL、CD 和 CPL 谱带，具有很强的强度（高达</w:t>
      </w:r>
      <w:r>
        <w:t xml:space="preserve"> </w:t>
      </w:r>
      <w:r>
        <w:t>Φ</w:t>
      </w:r>
      <w:r>
        <w:t xml:space="preserve"> </w:t>
      </w:r>
      <w:r>
        <w:t>F</w:t>
      </w:r>
      <w:r>
        <w:t xml:space="preserve"> </w:t>
      </w:r>
      <w:r>
        <w:t>= 36%，|</w:t>
      </w:r>
      <w:r>
        <w:t xml:space="preserve"> </w:t>
      </w:r>
      <w:r>
        <w:t>克</w:t>
      </w:r>
      <w:r>
        <w:t xml:space="preserve"> </w:t>
      </w:r>
      <w:r>
        <w:t>腹肌</w:t>
      </w:r>
      <w:r>
        <w:t xml:space="preserve"> </w:t>
      </w:r>
      <w:r>
        <w:t>| = 6 × 10</w:t>
      </w:r>
      <w:r>
        <w:t xml:space="preserve"> </w:t>
      </w:r>
      <w:r>
        <w:t>−3</w:t>
      </w:r>
      <w:r>
        <w:t xml:space="preserve"> </w:t>
      </w:r>
      <w:r>
        <w:t>, 和 |</w:t>
      </w:r>
      <w:r>
        <w:t xml:space="preserve"> </w:t>
      </w:r>
      <w:r>
        <w:t>克</w:t>
      </w:r>
      <w:r>
        <w:t xml:space="preserve"> </w:t>
      </w:r>
      <w:r>
        <w:t>卢姆</w:t>
      </w:r>
      <w:r>
        <w:t xml:space="preserve"> </w:t>
      </w:r>
      <w:r>
        <w:t>| = 3 × 10</w:t>
      </w:r>
      <w:r>
        <w:t xml:space="preserve"> </w:t>
      </w:r>
      <w:r>
        <w:t>−3</w:t>
      </w:r>
      <w:r>
        <w:t xml:space="preserve"> </w:t>
      </w:r>
      <w:r>
        <w:t>）。该方法适用于其他包含芴、咔唑和噻吩环的芳香族低聚物，并进一步增强 PL 和 CPL（高达</w:t>
      </w:r>
      <w:r>
        <w:t xml:space="preserve"> </w:t>
      </w:r>
      <w:r>
        <w:t>Φ</w:t>
      </w:r>
      <w:r>
        <w:t xml:space="preserve"> </w:t>
      </w:r>
      <w:r>
        <w:t>F</w:t>
      </w:r>
      <w:r>
        <w:t xml:space="preserve"> </w:t>
      </w:r>
      <w:r>
        <w:t>= 87% 和 |</w:t>
      </w:r>
      <w:r>
        <w:t xml:space="preserve"> </w:t>
      </w:r>
      <w:r>
        <w:t>克</w:t>
      </w:r>
      <w:r>
        <w:t xml:space="preserve"> </w:t>
      </w:r>
      <w:r>
        <w:t>卢姆</w:t>
      </w:r>
      <w:r>
        <w:t xml:space="preserve"> </w:t>
      </w:r>
      <w:r>
        <w:t>| = 4 × 10</w:t>
      </w:r>
      <w:r>
        <w:t xml:space="preserve"> </w:t>
      </w:r>
      <w:r>
        <w:t>−3</w:t>
      </w:r>
      <w:r>
        <w:t xml:space="preserve"> </w:t>
      </w:r>
      <w:r>
        <w:t>）用所得复合材料进行了证明。观察到的手性光学特征源于适应性芳香腔中紧密的主客体 CH-π 相互作用。除了低聚物之外，还从相应的聚合物中发现了基于聚合物的手性光学活性</w:t>
      </w:r>
    </w:p>
    <w:p>
      <w:pPr>
        <w:spacing w:before="0" w:after="200" w:lineRule="auto" w:line="276"/>
      </w:pPr>
      <w:r>
        <w:rPr>
          <w:b/>
        </w:rPr>
        <w:t xml:space="preserve">Abstract (EN): </w:t>
      </w:r>
      <w:r>
        <w:t>Covalent functionalization is requisite to enhancing/inducing the luminescent and chiroptical properties of oligo‐aromatic compounds, owing to their rigid framework and strong aggregation characters. Here we report that linear aromatic oligomers display intense PL, CD, and CPL properties upon encapsulation by axially‐chiral aromatic capsules under ambient aqueous conditions. The treatment of</w:t>
      </w:r>
      <w:r>
        <w:t xml:space="preserve"> </w:t>
      </w:r>
      <w:r>
        <w:t>para</w:t>
      </w:r>
      <w:r>
        <w:t xml:space="preserve"> </w:t>
      </w:r>
      <w:r>
        <w:t>‐phenylene oligomers with chiral BINOL‐based amphiphiles generates host‐guest composites in water, exhibiting oligomer‐based PL, CD, and CPL bands with strong intensities (up to</w:t>
      </w:r>
      <w:r>
        <w:t xml:space="preserve"> </w:t>
      </w:r>
      <w:r>
        <w:t>Φ</w:t>
      </w:r>
      <w:r>
        <w:t xml:space="preserve"> </w:t>
      </w:r>
      <w:r>
        <w:t>F</w:t>
      </w:r>
      <w:r>
        <w:t xml:space="preserve"> </w:t>
      </w:r>
      <w:r>
        <w:t>= 36%, |</w:t>
      </w:r>
      <w:r>
        <w:t xml:space="preserve"> </w:t>
      </w:r>
      <w:r>
        <w:t>g</w:t>
      </w:r>
      <w:r>
        <w:t xml:space="preserve"> </w:t>
      </w:r>
      <w:r>
        <w:t>abs</w:t>
      </w:r>
      <w:r>
        <w:t xml:space="preserve"> </w:t>
      </w:r>
      <w:r>
        <w:t>| = 6 × 10</w:t>
      </w:r>
      <w:r>
        <w:t xml:space="preserve"> </w:t>
      </w:r>
      <w:r>
        <w:t>−3</w:t>
      </w:r>
      <w:r>
        <w:t xml:space="preserve"> </w:t>
      </w:r>
      <w:r>
        <w:t>, and |</w:t>
      </w:r>
      <w:r>
        <w:t xml:space="preserve"> </w:t>
      </w:r>
      <w:r>
        <w:t>g</w:t>
      </w:r>
      <w:r>
        <w:t xml:space="preserve"> </w:t>
      </w:r>
      <w:r>
        <w:t>lum</w:t>
      </w:r>
      <w:r>
        <w:t xml:space="preserve"> </w:t>
      </w:r>
      <w:r>
        <w:t>| = 3 × 10</w:t>
      </w:r>
      <w:r>
        <w:t xml:space="preserve"> </w:t>
      </w:r>
      <w:r>
        <w:t>−3</w:t>
      </w:r>
      <w:r>
        <w:t xml:space="preserve"> </w:t>
      </w:r>
      <w:r>
        <w:t>). This method is applicable to other aromatic oligomers, comprising fluorene, carbazole, and thiophene rings, and further PL and CPL enhancement (up to</w:t>
      </w:r>
      <w:r>
        <w:t xml:space="preserve"> </w:t>
      </w:r>
      <w:r>
        <w:t>Φ</w:t>
      </w:r>
      <w:r>
        <w:t xml:space="preserve"> </w:t>
      </w:r>
      <w:r>
        <w:t>F</w:t>
      </w:r>
      <w:r>
        <w:t xml:space="preserve"> </w:t>
      </w:r>
      <w:r>
        <w:t>= 87% and |</w:t>
      </w:r>
      <w:r>
        <w:t xml:space="preserve"> </w:t>
      </w:r>
      <w:r>
        <w:t>g</w:t>
      </w:r>
      <w:r>
        <w:t xml:space="preserve"> </w:t>
      </w:r>
      <w:r>
        <w:t>lum</w:t>
      </w:r>
      <w:r>
        <w:t xml:space="preserve"> </w:t>
      </w:r>
      <w:r>
        <w:t>| = 4 × 10</w:t>
      </w:r>
      <w:r>
        <w:t xml:space="preserve"> </w:t>
      </w:r>
      <w:r>
        <w:t>−3</w:t>
      </w:r>
      <w:r>
        <w:t xml:space="preserve"> </w:t>
      </w:r>
      <w:r>
        <w:t>) is demonstrated with the resultant composites. The observed chiroptical features stem from tight host‐guest CH‐π interactions in the adaptable aromatic cavity. Besides the oligomers, polymer‐based chiroptical activities are found from the corresponding polymers upon encapsulation. In the solid state, the host‐guest composites display further prominent CD and CPL bands, using fluorene trimers (|</w:t>
      </w:r>
      <w:r>
        <w:t xml:space="preserve"> </w:t>
      </w:r>
      <w:r>
        <w:t>g</w:t>
      </w:r>
      <w:r>
        <w:t xml:space="preserve"> </w:t>
      </w:r>
      <w:r>
        <w:t>abs</w:t>
      </w:r>
      <w:r>
        <w:t xml:space="preserve"> </w:t>
      </w:r>
      <w:r>
        <w:t>| = |</w:t>
      </w:r>
      <w:r>
        <w:t xml:space="preserve"> </w:t>
      </w:r>
      <w:r>
        <w:t>g</w:t>
      </w:r>
      <w:r>
        <w:t xml:space="preserve"> </w:t>
      </w:r>
      <w:r>
        <w:t>lum</w:t>
      </w:r>
      <w:r>
        <w:t xml:space="preserve"> </w:t>
      </w:r>
      <w:r>
        <w:t>| = ∼3 × 10</w:t>
      </w:r>
      <w:r>
        <w:t xml:space="preserve"> </w:t>
      </w:r>
      <w:r>
        <w:t>−2</w:t>
      </w:r>
      <w:r>
        <w:t xml:space="preserve"> </w:t>
      </w:r>
      <w:r>
        <w:t>). This study is the first example of the PL, CD, and CPL activation of simple aromatic oligomers to a large extent, via non‐covalent encapsulation. The present strategy will facilitate the supramolecular fusion between aromatic oligo/polymers and chiral functions.</w:t>
      </w:r>
    </w:p>
    <w:p>
      <w:pPr>
        <w:spacing w:before="120" w:after="120"/>
      </w:pPr>
      <w:r>
        <w:rPr>
          <w:sz w:val="18"/>
        </w:rPr>
        <w:t>——————————————————————————————————————————————————————————————————————</w:t>
      </w:r>
    </w:p>
    <w:p>
      <w:pPr>
        <w:spacing w:before="160" w:after="40" w:line="240" w:lineRule="auto"/>
      </w:pPr>
      <w:r>
        <w:rPr>
          <w:b/>
        </w:rPr>
        <w:t xml:space="preserve">[234] </w:t>
      </w:r>
      <w:hyperlink r:id="rId912">
        <w:r>
          <w:rPr>
            <w:color w:val="1155CC"/>
            <w:u w:val="single"/>
          </w:rPr>
          <w:t>具有主动清洁功能的可穿戴形态自适应入耳式设备，用于多模式健康监测</w:t>
        </w:r>
      </w:hyperlink>
    </w:p>
    <w:p>
      <w:pPr>
        <w:spacing w:before="0" w:after="80"/>
      </w:pPr>
      <w:r>
        <w:rPr>
          <w:i/>
          <w:sz w:val="20"/>
        </w:rPr>
        <w:t>EN: Wearable Morphology‐Adaptive in‐Ear Device With Active Cleansing Capability for Multimodal Health Monitoring</w:t>
      </w:r>
    </w:p>
    <w:p>
      <w:pPr>
        <w:spacing w:before="0" w:after="120"/>
      </w:pPr>
      <w:r>
        <w:rPr>
          <w:b/>
        </w:rPr>
        <w:t xml:space="preserve">Source: </w:t>
      </w:r>
      <w:r>
        <w:t>Wiley: Advanced Materials: Table of Contents</w:t>
      </w:r>
      <w:r>
        <w:t xml:space="preserve">    </w:t>
      </w:r>
      <w:r>
        <w:rPr>
          <w:b/>
        </w:rPr>
        <w:t xml:space="preserve">Pub date: </w:t>
      </w:r>
      <w:r>
        <w:t>2026-08-22 11:10:06+00:00</w:t>
      </w:r>
      <w:r>
        <w:t xml:space="preserve">    </w:t>
      </w:r>
      <w:r>
        <w:rPr>
          <w:b/>
        </w:rPr>
        <w:t xml:space="preserve">DOI: </w:t>
      </w:r>
      <w:hyperlink r:id="rId913">
        <w:r>
          <w:rPr>
            <w:color w:val="1155CC"/>
            <w:u w:val="single"/>
          </w:rPr>
          <w:t>10.1002/adma.74628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入耳式设备的多模态生理监测是非侵入式和无创健康监测的绝佳解决方案。然而，耳道尺寸较小，不同个体的形态存在差异，而且耳垢带来了一些挑战，例如由于复杂的耳道几何形状而导致传感器和皮肤之间的非保形界面、设备安装问题、生物污垢阻塞层、设备对听力的阻塞和不适。在这里，我们报告了一种多模式自清洁、入耳式非侵入式和可配置电子（科学）设备，该设备适应各种耳道几何形状，并在传感器耳道界面执行主动耳垢清洁。通过将传感器浸入水中触发，直径为 2 毫米的小型圆柱形装置在耳朵中膨胀，并转变为中心直径可达 9 毫米的纺锤形状，从而与耳道自适应接触并形成稳定的传感器耳道界面。所提出的入耳式设备还具有蜡清洁功能，可以自动打破生物污垢屏障，并将传感器-皮肤界面阻抗降低 20%。 SCIENCE 与微型电路集成，可同时移动和无线记录脑电图 (EEG)、心电图 (ECG) 和核心体温。</w:t>
      </w:r>
    </w:p>
    <w:p>
      <w:pPr>
        <w:spacing w:before="0" w:after="200" w:lineRule="auto" w:line="276"/>
      </w:pPr>
      <w:r>
        <w:rPr>
          <w:b/>
        </w:rPr>
        <w:t xml:space="preserve">Abstract (EN): </w:t>
      </w:r>
      <w:r>
        <w:t>Multimodal physiological monitoring using in‐ear devices is an excellent solution for nonintrusive and noninvasive health monitoring. However, the small size of the ear canal, variation in its morphology in different individuals, and ear wax introduce challenges such as a non‐conformal interface between the sensors and the skin due to the complex ear canal geometry, device fitting issues, biofouling blockage layers, hearing blockage by the device and discomfort. Here, we report a multimodal self‐cleansing, in‐ear nonintrusive and configurable electronic (SCIENCE) device which adapts to various canal geometries and performs active wax cleaning at the sensor‐canal interfaces. Triggered by immersing the sensor in water, the small cylindrical device with a diameter of 2 mm expands once in the ear, and it converts to a spindle shape with a center diameter that can reach 9 mm, thus leading to adaptive contact with the ear canal and forming a stable sensor‐canal interface. The proposed in‐ear device was also endowed with wax cleaning capability to automatically break the biofouling barrier and decrease the sensor‐skin interface impedance by 20%. SCIENCE is integrated with miniaturized circuits and enables simultaneous mobile and wireless recording of electroencephalography (EEG), electrocardiography (ECG), and core body temperature.</w:t>
      </w:r>
    </w:p>
    <w:p>
      <w:pPr>
        <w:spacing w:before="120" w:after="120"/>
      </w:pPr>
      <w:r>
        <w:rPr>
          <w:sz w:val="18"/>
        </w:rPr>
        <w:t>——————————————————————————————————————————————————————————————————————</w:t>
      </w:r>
    </w:p>
    <w:p>
      <w:pPr>
        <w:spacing w:before="160" w:after="40" w:line="240" w:lineRule="auto"/>
      </w:pPr>
      <w:r>
        <w:rPr>
          <w:b/>
        </w:rPr>
        <w:t xml:space="preserve">[235] </w:t>
      </w:r>
      <w:hyperlink r:id="rId914">
        <w:r>
          <w:rPr>
            <w:color w:val="1155CC"/>
            <w:u w:val="single"/>
          </w:rPr>
          <w:t>由无机分子晶体隧道层实现的二维半导体高度可调肖特基势垒</w:t>
        </w:r>
      </w:hyperlink>
    </w:p>
    <w:p>
      <w:pPr>
        <w:spacing w:before="0" w:after="80"/>
      </w:pPr>
      <w:r>
        <w:rPr>
          <w:i/>
          <w:sz w:val="20"/>
        </w:rPr>
        <w:t>EN: Highly Tunable Schottky Barrier to 2D Semiconductors Enabled by an Inorganic‐Molecular‐Crystal Tunneling Layer</w:t>
      </w:r>
    </w:p>
    <w:p>
      <w:pPr>
        <w:spacing w:before="0" w:after="120"/>
      </w:pPr>
      <w:r>
        <w:rPr>
          <w:b/>
        </w:rPr>
        <w:t xml:space="preserve">Source: </w:t>
      </w:r>
      <w:r>
        <w:t>Wiley: Advanced Materials: Table of Contents</w:t>
      </w:r>
      <w:r>
        <w:t xml:space="preserve">    </w:t>
      </w:r>
      <w:r>
        <w:rPr>
          <w:b/>
        </w:rPr>
        <w:t xml:space="preserve">Pub date: </w:t>
      </w:r>
      <w:r>
        <w:t>2026-08-22 12:06:37+00:00</w:t>
      </w:r>
      <w:r>
        <w:t xml:space="preserve">    </w:t>
      </w:r>
      <w:r>
        <w:rPr>
          <w:b/>
        </w:rPr>
        <w:t xml:space="preserve">DOI: </w:t>
      </w:r>
      <w:hyperlink r:id="rId915">
        <w:r>
          <w:rPr>
            <w:color w:val="1155CC"/>
            <w:u w:val="single"/>
          </w:rPr>
          <w:t>10.1002/adma.74761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肖特基势垒的有效调节决定了金属-半导体界面上的电荷传输，对于优化电子和光电器件的性能至关重要。然而，金属和半导体之间的界面紊乱和轨道重叠会引起费米能级钉扎（FLP），使得肖特基势垒高度（SBH）对金属功函数基本上不敏感。在这里，我们证明了沉积超薄的锑无机分子晶体层</w:t>
      </w:r>
      <w:r>
        <w:rPr>
          <w:vertAlign w:val="subscript"/>
        </w:rPr>
        <w:t>2</w:t>
      </w:r>
      <w:r>
        <w:t>氧</w:t>
      </w:r>
      <w:r>
        <w:rPr>
          <w:vertAlign w:val="subscript"/>
        </w:rPr>
        <w:t>3</w:t>
      </w:r>
      <w:r>
        <w:t>金属和二维半导体之间的结合可以消除 FLP，从而实现高度可调的 SBH 调制。由于其范德华结构，Sb</w:t>
      </w:r>
      <w:r>
        <w:rPr>
          <w:vertAlign w:val="subscript"/>
        </w:rPr>
        <w:t>2</w:t>
      </w:r>
      <w:r>
        <w:t>氧</w:t>
      </w:r>
      <w:r>
        <w:rPr>
          <w:vertAlign w:val="subscript"/>
        </w:rPr>
        <w:t>3</w:t>
      </w:r>
      <w:r>
        <w:t>不会引入多余的缺陷，并保护脆弱的二维通道免受金属沉积损坏，从而产生干净、无缺陷的界面。掺入Sb</w:t>
      </w:r>
      <w:r>
        <w:rPr>
          <w:vertAlign w:val="subscript"/>
        </w:rPr>
        <w:t>2</w:t>
      </w:r>
      <w:r>
        <w:t>氧</w:t>
      </w:r>
      <w:r>
        <w:rPr>
          <w:vertAlign w:val="subscript"/>
        </w:rPr>
        <w:t>3</w:t>
      </w:r>
      <w:r>
        <w:t>隧道层显着降低了 2D MoS 中的 SBH</w:t>
      </w:r>
      <w:r>
        <w:rPr>
          <w:vertAlign w:val="subscript"/>
        </w:rPr>
        <w:t>2</w:t>
      </w:r>
      <w:r>
        <w:t>晶体管和 2D WSe 的极性</w:t>
      </w:r>
      <w:r>
        <w:rPr>
          <w:vertAlign w:val="subscript"/>
        </w:rPr>
        <w:t>2</w:t>
      </w:r>
      <w:r>
        <w:t>基于 FET 可以从 n 型切换为</w:t>
      </w:r>
      <w:r>
        <w:t xml:space="preserve"> </w:t>
      </w:r>
      <w:r>
        <w:t>p</w:t>
      </w:r>
      <w:r>
        <w:t xml:space="preserve"> </w:t>
      </w:r>
      <w:r>
        <w:t>‐型通过调整接触金属功函数。钉扎因子从-0.11变为-0.93左右，接近理想的莫特肖特基极限。这种可扩展的策略在高性能二维电子学中具有广泛的适用性。</w:t>
      </w:r>
    </w:p>
    <w:p>
      <w:pPr>
        <w:spacing w:before="0" w:after="200" w:lineRule="auto" w:line="276"/>
      </w:pPr>
      <w:r>
        <w:rPr>
          <w:b/>
        </w:rPr>
        <w:t xml:space="preserve">Abstract (EN): </w:t>
      </w:r>
      <w:r>
        <w:t>Effective tuning of the Schottky barrier, which determines charge transport across the metal‐semiconductor interface, is essential for optimizing the performance of electronics and optoelectronic devices. However, interfacial disorders and orbital overlap between metals and semiconductors induce Fermi‐level pinning (FLP), making the Schottky barrier height (SBH) largely insensitive to metal work function. Here, we demonstrate that depositing an ultrathin inorganic molecular crystal layer of Sb</w:t>
      </w:r>
      <w:r>
        <w:rPr>
          <w:vertAlign w:val="subscript"/>
        </w:rPr>
        <w:t>2</w:t>
      </w:r>
      <w:r>
        <w:t>O</w:t>
      </w:r>
      <w:r>
        <w:rPr>
          <w:vertAlign w:val="subscript"/>
        </w:rPr>
        <w:t>3</w:t>
      </w:r>
      <w:r>
        <w:t>between metal and 2D semiconductors can eliminate FLP, enabling highly tunable SBH modulation. Owing to its van der Waals structure, Sb</w:t>
      </w:r>
      <w:r>
        <w:rPr>
          <w:vertAlign w:val="subscript"/>
        </w:rPr>
        <w:t>2</w:t>
      </w:r>
      <w:r>
        <w:t>O</w:t>
      </w:r>
      <w:r>
        <w:rPr>
          <w:vertAlign w:val="subscript"/>
        </w:rPr>
        <w:t>3</w:t>
      </w:r>
      <w:r>
        <w:t>introduces no excess defects and protects the fragile 2D channel from metal deposition damage, yielding a clean, defect‐free interface. Incorporation of Sb</w:t>
      </w:r>
      <w:r>
        <w:rPr>
          <w:vertAlign w:val="subscript"/>
        </w:rPr>
        <w:t>2</w:t>
      </w:r>
      <w:r>
        <w:t>O</w:t>
      </w:r>
      <w:r>
        <w:rPr>
          <w:vertAlign w:val="subscript"/>
        </w:rPr>
        <w:t>3</w:t>
      </w:r>
      <w:r>
        <w:t>tunneling layer significantly reduces the SBH in 2D MoS</w:t>
      </w:r>
      <w:r>
        <w:rPr>
          <w:vertAlign w:val="subscript"/>
        </w:rPr>
        <w:t>2</w:t>
      </w:r>
      <w:r>
        <w:t>transistors, and the polarity of 2D WSe</w:t>
      </w:r>
      <w:r>
        <w:rPr>
          <w:vertAlign w:val="subscript"/>
        </w:rPr>
        <w:t>2</w:t>
      </w:r>
      <w:r>
        <w:t>‐based FET can be switched from n‐type to</w:t>
      </w:r>
      <w:r>
        <w:t xml:space="preserve"> </w:t>
      </w:r>
      <w:r>
        <w:t>p</w:t>
      </w:r>
      <w:r>
        <w:t xml:space="preserve"> </w:t>
      </w:r>
      <w:r>
        <w:t>‐type via adjusting the contact metal work function. The pinning factor turns from −0.11 to around −0.93, approaching the ideal Mott‐Schottky limit. This scalable strategy offers broad applicability in high‐performance 2D electronics.</w:t>
      </w:r>
    </w:p>
    <w:p>
      <w:pPr>
        <w:spacing w:before="120" w:after="120"/>
      </w:pPr>
      <w:r>
        <w:rPr>
          <w:sz w:val="18"/>
        </w:rPr>
        <w:t>——————————————————————————————————————————————————————————————————————</w:t>
      </w:r>
    </w:p>
    <w:p>
      <w:pPr>
        <w:spacing w:before="160" w:after="40" w:line="240" w:lineRule="auto"/>
      </w:pPr>
      <w:r>
        <w:rPr>
          <w:b/>
        </w:rPr>
        <w:t xml:space="preserve">[236] </w:t>
      </w:r>
      <w:hyperlink r:id="rId916">
        <w:r>
          <w:rPr>
            <w:color w:val="1155CC"/>
            <w:u w:val="single"/>
          </w:rPr>
          <w:t>受粘膜启发的动态生物界面设计了针对致病微生物群失调的生物膜预防生态位</w:t>
        </w:r>
      </w:hyperlink>
    </w:p>
    <w:p>
      <w:pPr>
        <w:spacing w:before="0" w:after="80"/>
      </w:pPr>
      <w:r>
        <w:rPr>
          <w:i/>
          <w:sz w:val="20"/>
        </w:rPr>
        <w:t>EN: A Mucosa‐Inspired Dynamic Biointerface Engineering a Biofilm‐Preventive Niche Against Pathogenic Microbiome Dysbiosis</w:t>
      </w:r>
    </w:p>
    <w:p>
      <w:pPr>
        <w:spacing w:before="0" w:after="120"/>
      </w:pPr>
      <w:r>
        <w:rPr>
          <w:b/>
        </w:rPr>
        <w:t xml:space="preserve">Source: </w:t>
      </w:r>
      <w:r>
        <w:t>Wiley: Advanced Materials: Table of Contents</w:t>
      </w:r>
      <w:r>
        <w:t xml:space="preserve">    </w:t>
      </w:r>
      <w:r>
        <w:rPr>
          <w:b/>
        </w:rPr>
        <w:t xml:space="preserve">Pub date: </w:t>
      </w:r>
      <w:r>
        <w:t>2026-08-22 15:57:58+00:00</w:t>
      </w:r>
      <w:r>
        <w:t xml:space="preserve">    </w:t>
      </w:r>
      <w:r>
        <w:rPr>
          <w:b/>
        </w:rPr>
        <w:t xml:space="preserve">DOI: </w:t>
      </w:r>
      <w:hyperlink r:id="rId917">
        <w:r>
          <w:rPr>
            <w:color w:val="1155CC"/>
            <w:u w:val="single"/>
          </w:rPr>
          <w:t>10.1002/adma.74745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微生物组-宿主轴内的稳定共生对于人类健康至关重要。然而，由于生物材料对微生物组进化的不可预测的影响，使用生物材料预防微生物组失调仍然具有挑战性。受共生粘膜防御生态位的启发，我们开发了一种生物界面，可形成工程化粘膜启发的动态生态位，以防止致病性生态失调。该生物界面具有动态两性离子网络，可模拟粘膜的生物物理防御功能。值得注意的是，通过利用其动态生态位，生物界面限制微生物附着和聚集，从而防止生物膜形成。综合宏基因组分析表明，微生物群落在组成和功能上适应了这种生物膜预防性动态生物界面。特别是，革兰氏阴性细菌相对减少，与毒力和生物膜形成相关的途径丰度也减少。因此，粘膜启发的生物界面从本质上防止了致病性生态失调的发展。这项研究证明了基于材料的生态位工程从材料尺度引导微生物群落生态转变的突破性潜力。</w:t>
      </w:r>
    </w:p>
    <w:p>
      <w:pPr>
        <w:spacing w:before="0" w:after="200" w:lineRule="auto" w:line="276"/>
      </w:pPr>
      <w:r>
        <w:rPr>
          <w:b/>
        </w:rPr>
        <w:t xml:space="preserve">Abstract (EN): </w:t>
      </w:r>
      <w:r>
        <w:t>A stable symbiosis within the microbiome‐host axis is essential for human health. However, preventing microbiome dysbiosis using biomaterials remains challenging due to their unpredictable influence on microbiome evolution. Inspired by the defensive niche of symbiotic mucosa, we have developed a biointerface that forms an engineered mucosa‐inspired dynamic niche to prevent pathogenic dysbiosis. This biointerface features a dynamic zwitterionic network that emulates the mucosa's biophysical defensive functions. Notably, by leveraging its dynamic niche, the biointerface restricts microbial attachment and aggregation, thereby preventing biofilm formation. Comprehensive metagenomic analyses reveal that microbial communities adapt to this biofilm‐preventive dynamic biointerface compositionally and functionally. In particular, Gram‐negative bacteria were relatively reduced, along with decreased abundance of pathways associated with virulence and biofilm formation. Consequently, the mucosa‐inspired biointerface intrinsically prevents the development of pathogenic dysbiosis. This study demonstrates the groundbreaking potential of material‐based niche engineering to guide the ecological shifts of microbial communities from the material scale.</w:t>
      </w:r>
    </w:p>
    <w:p>
      <w:pPr>
        <w:spacing w:before="120" w:after="120"/>
      </w:pPr>
      <w:r>
        <w:rPr>
          <w:sz w:val="18"/>
        </w:rPr>
        <w:t>——————————————————————————————————————————————————————————————————————</w:t>
      </w:r>
    </w:p>
    <w:p>
      <w:pPr>
        <w:spacing w:before="160" w:after="40" w:line="240" w:lineRule="auto"/>
      </w:pPr>
      <w:r>
        <w:rPr>
          <w:b/>
        </w:rPr>
        <w:t xml:space="preserve">[237] </w:t>
      </w:r>
      <w:hyperlink r:id="rId918">
        <w:r>
          <w:rPr>
            <w:color w:val="1155CC"/>
            <w:u w:val="single"/>
          </w:rPr>
          <w:t>亚化学计量超分子共组装策略实现高效手性转移和 CPL 放大</w:t>
        </w:r>
      </w:hyperlink>
    </w:p>
    <w:p>
      <w:pPr>
        <w:spacing w:before="0" w:after="80"/>
      </w:pPr>
      <w:r>
        <w:rPr>
          <w:i/>
          <w:sz w:val="20"/>
        </w:rPr>
        <w:t>EN: Sub‐Stoichiometric Supramolecular Co‐Assembly Strategy Enabling Efficient Chirality Transfer and CPL Amplification</w:t>
      </w:r>
    </w:p>
    <w:p>
      <w:pPr>
        <w:spacing w:before="0" w:after="120"/>
      </w:pPr>
      <w:r>
        <w:rPr>
          <w:b/>
        </w:rPr>
        <w:t xml:space="preserve">Source: </w:t>
      </w:r>
      <w:r>
        <w:t>Wiley: Advanced Materials: Table of Contents</w:t>
      </w:r>
      <w:r>
        <w:t xml:space="preserve">    </w:t>
      </w:r>
      <w:r>
        <w:rPr>
          <w:b/>
        </w:rPr>
        <w:t xml:space="preserve">Pub date: </w:t>
      </w:r>
      <w:r>
        <w:t>2026-08-22 16:04:26+00:00</w:t>
      </w:r>
      <w:r>
        <w:t xml:space="preserve">    </w:t>
      </w:r>
      <w:r>
        <w:rPr>
          <w:b/>
        </w:rPr>
        <w:t xml:space="preserve">DOI: </w:t>
      </w:r>
      <w:hyperlink r:id="rId919">
        <w:r>
          <w:rPr>
            <w:color w:val="1155CC"/>
            <w:u w:val="single"/>
          </w:rPr>
          <w:t>10.1002/adma.74767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转移使分子不对称性从离散的构建块传播到分层组件，为工程功能纳米结构提供了基本框架。然而，传统的超分子共组装通常需要化学计量或过量的客体负载才能实现有效的手性转移，由于立体化学通讯效率低下，这一要求常常会损害结构保真度和手性光学效率。在这里，我们报告了一种亚化学计量的共组装策略，其中痕量的非手性调节剂（小檗碱，BBR）协同插入手性超分子框架（LPF/DPF；左手/右手苯丙氨酸凝胶剂）内，以诱导有效的手性光学放大。我们证明，0.2 的最小客体与主体摩尔比足以捕获和放大主体手性，产生发光不对称因子（|</w:t>
      </w:r>
      <w:r>
        <w:t xml:space="preserve"> </w:t>
      </w:r>
      <w:r>
        <w:t>克</w:t>
      </w:r>
      <w:r>
        <w:t xml:space="preserve"> </w:t>
      </w:r>
      <w:r>
        <w:t>卢姆</w:t>
      </w:r>
      <w:r>
        <w:t xml:space="preserve"> </w:t>
      </w:r>
      <w:r>
        <w:t>| ≈ 0.08）比化学计量当量产生的结果高一个数量级。机理研究表明，在这个亚化学计量阈值下的稀疏插层保留了潜在的氢键网络，同时通过协同 π-π 和静电相互作用强制执行精确的螺旋配准，从而确保热力学稳定性（Δ</w:t>
      </w:r>
      <w:r>
        <w:t xml:space="preserve"> </w:t>
      </w:r>
      <w:r>
        <w:t>G</w:t>
      </w:r>
      <w:r>
        <w:t xml:space="preserve"> </w:t>
      </w:r>
      <w:r>
        <w:t>°）。虽然化学计量过量会导致动力学捕获的非螺旋聚集体，但这种亚化学计量控制建立了一种</w:t>
      </w:r>
    </w:p>
    <w:p>
      <w:pPr>
        <w:spacing w:before="0" w:after="200" w:lineRule="auto" w:line="276"/>
      </w:pPr>
      <w:r>
        <w:rPr>
          <w:b/>
        </w:rPr>
        <w:t xml:space="preserve">Abstract (EN): </w:t>
      </w:r>
      <w:r>
        <w:t>Chirality transfer enables molecular asymmetry to propagate from discrete building blocks into hierarchical assemblies, providing a fundamental framework for engineering functional nanostructures. However, conventional supramolecular co‐assembly typically necessitates stoichiometric or excess guest loading to achieve effective chirality transfer, a requirement that often compromises structural fidelity and chiroptical efficiency due to inefficient stereochemical communication. Here, we report a sub‐stoichiometric co‐assembly strategy wherein trace amounts of an achiral modulator (berberine, BBR) cooperatively intercalate within a chiral supramolecular framework (LPF/DPF; left‐/right‐handed phenylalanine‐based gelators) to induce potent chiroptical amplification. We demonstrate that a minimal guest‐to‐host mole ratio of 0.2 is sufficient to capture and amplify host chirality, yielding luminescence dissymmetry factors (|</w:t>
      </w:r>
      <w:r>
        <w:t xml:space="preserve"> </w:t>
      </w:r>
      <w:r>
        <w:t>g</w:t>
      </w:r>
      <w:r>
        <w:t xml:space="preserve"> </w:t>
      </w:r>
      <w:r>
        <w:t>lum</w:t>
      </w:r>
      <w:r>
        <w:t xml:space="preserve"> </w:t>
      </w:r>
      <w:r>
        <w:t>| ≈ 0.08) an order of magnitude higher than those produced by stoichiometric equivalents. Mechanistic investigations reveal that sparse intercalation at this sub‐stoichiometric threshold preserves the underlying hydrogen‐bonded network while enforcing a precise helical registry through synergistic π–π and electrostatic interactions that ensures thermodynamic stability (Δ</w:t>
      </w:r>
      <w:r>
        <w:t xml:space="preserve"> </w:t>
      </w:r>
      <w:r>
        <w:t>G</w:t>
      </w:r>
      <w:r>
        <w:t xml:space="preserve"> </w:t>
      </w:r>
      <w:r>
        <w:t>°). While stoichiometric excess results in kinetically trapped, non‐helical aggregates, this sub‐stoichiometric control establishes a robust design principle for translating molecular‐scale interactions into high‐performance chiroptical materials with minimal guest loading.</w:t>
      </w:r>
    </w:p>
    <w:p>
      <w:pPr>
        <w:spacing w:before="120" w:after="120"/>
      </w:pPr>
      <w:r>
        <w:rPr>
          <w:sz w:val="18"/>
        </w:rPr>
        <w:t>——————————————————————————————————————————————————————————————————————</w:t>
      </w:r>
    </w:p>
    <w:p>
      <w:pPr>
        <w:spacing w:before="160" w:after="40" w:line="240" w:lineRule="auto"/>
      </w:pPr>
      <w:r>
        <w:rPr>
          <w:b/>
        </w:rPr>
        <w:t xml:space="preserve">[238] </w:t>
      </w:r>
      <w:hyperlink r:id="rId920">
        <w:r>
          <w:rPr>
            <w:color w:val="1155CC"/>
            <w:u w:val="single"/>
          </w:rPr>
          <w:t>用于配电系统中增强隐私的多产消者能源交易的物理信息变压器-KAN 网络</w:t>
        </w:r>
      </w:hyperlink>
    </w:p>
    <w:p>
      <w:pPr>
        <w:spacing w:before="0" w:after="80"/>
      </w:pPr>
      <w:r>
        <w:rPr>
          <w:i/>
          <w:sz w:val="20"/>
        </w:rPr>
        <w:t>EN: A physics-informed transformer-KAN network for privacy-enhanced multi-prosumer energy trading in distribution systems</w:t>
      </w:r>
    </w:p>
    <w:p>
      <w:pPr>
        <w:spacing w:before="0" w:after="120"/>
      </w:pPr>
      <w:r>
        <w:rPr>
          <w:b/>
        </w:rPr>
        <w:t xml:space="preserve">Source: </w:t>
      </w:r>
      <w:r>
        <w:t>ScienceDirect Publication: Applied Energy</w:t>
      </w:r>
      <w:r>
        <w:t xml:space="preserve">    </w:t>
      </w:r>
      <w:r>
        <w:rPr>
          <w:b/>
        </w:rPr>
        <w:t xml:space="preserve">Pub date: </w:t>
      </w:r>
      <w:r>
        <w:t>2026-08-23 00:00:00+00:00</w:t>
      </w:r>
      <w:r>
        <w:t xml:space="preserve">    </w:t>
      </w:r>
      <w:r>
        <w:rPr>
          <w:b/>
        </w:rPr>
        <w:t xml:space="preserve">DOI: </w:t>
      </w:r>
      <w:hyperlink r:id="rId921">
        <w:r>
          <w:rPr>
            <w:color w:val="1155CC"/>
            <w:u w:val="single"/>
          </w:rPr>
          <w:t>10.1016/j.apenergy.2026.128697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[239] </w:t>
      </w:r>
      <w:hyperlink r:id="rId922">
        <w:r>
          <w:rPr>
            <w:color w:val="1155CC"/>
            <w:u w:val="single"/>
          </w:rPr>
          <w:t>用于控制释放磺酸 (HSOH) 的氨基亚磺酰供体平台</w:t>
        </w:r>
      </w:hyperlink>
    </w:p>
    <w:p>
      <w:pPr>
        <w:spacing w:before="0" w:after="80"/>
      </w:pPr>
      <w:r>
        <w:rPr>
          <w:i/>
          <w:sz w:val="20"/>
        </w:rPr>
        <w:t>EN: Aminosulfine‐Based Donor Platform for Controlled Release of Sulfenic Acid (HSOH)</w:t>
      </w:r>
    </w:p>
    <w:p>
      <w:pPr>
        <w:spacing w:before="0" w:after="120"/>
      </w:pPr>
      <w:r>
        <w:rPr>
          <w:b/>
        </w:rPr>
        <w:t xml:space="preserve">Source: </w:t>
      </w:r>
      <w:r>
        <w:t>Wiley: Angewandte Chemie International Edition: Table of Contents</w:t>
      </w:r>
      <w:r>
        <w:t xml:space="preserve">    </w:t>
      </w:r>
      <w:r>
        <w:rPr>
          <w:b/>
        </w:rPr>
        <w:t xml:space="preserve">Pub date: </w:t>
      </w:r>
      <w:r>
        <w:t>2026-08-23 17:46:14+00:00</w:t>
      </w:r>
      <w:r>
        <w:t xml:space="preserve">    </w:t>
      </w:r>
      <w:r>
        <w:rPr>
          <w:b/>
        </w:rPr>
        <w:t xml:space="preserve">DOI: </w:t>
      </w:r>
      <w:hyperlink r:id="rId923">
        <w:r>
          <w:rPr>
            <w:color w:val="1155CC"/>
            <w:u w:val="single"/>
          </w:rPr>
          <w:t>10.1002/anie.2643229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源自硫化氢的活性硫物质是氧化还原信号传导的核心调节剂；然而，由于缺乏化学定义的供体系统，次磺酸（HSOH）仍然基本上无法获得。在这里，我们报告了一种基于结合氨基亚磺酸（硫代酰胺 S-氧化物）基序的分子内环化释放平台的受控 HSOH 生成的机械描述策略。含有酯基的氨基亚磺酸衍生物可以通过α-酰胺离子的亲核性经历独特的酰基转移过程，然后进行分子内环化以释放HSOH，为短暂的HSOH释放提供化学上易于处理的途径。系统的构效关系和动力学研究进一步表明，实现有效的HSOH释放需要酰基转移速率和分子内环化速率之间精确的动力学匹配。使用互补的化学捕获方法和过硫化物选择性荧光探针，我们证明瞬时产生的 HSOH 表现出极高的反应活性，即使在低浓度下也能快速发生歧化并有效促进硫醇过硫化。重要的是，HSOH 信号传导可在细胞氧-葡萄糖剥夺模型中提供针对氧化损伤的保护。这项工作建立了一个化学定义的框架，用于探测 HSOH 引发的硫信号传导，并为这种难以捉摸的活性硫物质的反应性和生物学意义提供了基本见解。</w:t>
      </w:r>
    </w:p>
    <w:p>
      <w:pPr>
        <w:spacing w:before="0" w:after="200" w:lineRule="auto" w:line="276"/>
      </w:pPr>
      <w:r>
        <w:rPr>
          <w:b/>
        </w:rPr>
        <w:t xml:space="preserve">Abstract (EN): </w:t>
      </w:r>
      <w:r>
        <w:t>Reactive sulfur species derived from hydrogen sulfide are central regulators of redox signaling; however, sulfenic acid (HSOH) has remained largely inaccessible owing to the absence of chemically defined donor systems. Here we report a mechanistically delineated strategy for controlled HSOH generation based on an intramolecular cyclization–release platform incorporating an aminosulfine (thioamide S‐oxide) motif. Aminosulfine derivatives containing an ester group can undergo a unique acyl transfer process via the nucleophilicity of the α‐amide ion, followed by intramolecular cyclization to release HSOH, providing a chemically tractable route for transient HSOH release. Systematic structure–activity relationship and kinetic studies further indicate that achieving efficient HSOH release requires precise kinetic matching between the acyl transfer rate and the intramolecular cyclization rate. Using complementary chemical trapping approaches and a persulfide‐selective fluorescent probe, we demonstrate that transiently generated HSOH exhibits exceptionally high reactivity, rapidly undergoing disproportionation and efficiently promoting thiol persulfidation even at low concentrations. Importantly, HSOH signaling confers protection against oxidative injury in a cellular oxygen–glucose deprivation model. This work establishes a chemically defined framework for probing HSOH‐initiated sulfur signaling and provides fundamental insights into the reactivity and biological implications of this elusive reactive sulfur species.</w:t>
      </w:r>
    </w:p>
    <w:p>
      <w:pPr>
        <w:spacing w:before="120" w:after="120"/>
      </w:pPr>
      <w:r>
        <w:rPr>
          <w:sz w:val="18"/>
        </w:rPr>
        <w:t>——————————————————————————————————————————————————————————————————————</w:t>
      </w:r>
    </w:p>
    <w:p>
      <w:pPr>
        <w:spacing w:before="160" w:after="40" w:line="240" w:lineRule="auto"/>
      </w:pPr>
      <w:r>
        <w:rPr>
          <w:b/>
        </w:rPr>
        <w:t xml:space="preserve">[240] </w:t>
      </w:r>
      <w:hyperlink r:id="rId924">
        <w:r>
          <w:rPr>
            <w:color w:val="1155CC"/>
            <w:u w:val="single"/>
          </w:rPr>
          <w:t>通过调节腐蚀反应，纳米零价铁在水中老化 1 年后还原性提高 100 倍</w:t>
        </w:r>
      </w:hyperlink>
    </w:p>
    <w:p>
      <w:pPr>
        <w:spacing w:before="0" w:after="80"/>
      </w:pPr>
      <w:r>
        <w:rPr>
          <w:i/>
          <w:sz w:val="20"/>
        </w:rPr>
        <w:t>EN: 100‐Fold Reductivity Enhancement of Nanoscale Zero‐Valent Iron After 1‐Year Aging in Water via Regulating Corrosion Reactions</w:t>
      </w:r>
    </w:p>
    <w:p>
      <w:pPr>
        <w:spacing w:before="0" w:after="120"/>
      </w:pPr>
      <w:r>
        <w:rPr>
          <w:b/>
        </w:rPr>
        <w:t xml:space="preserve">Source: </w:t>
      </w:r>
      <w:r>
        <w:t>Wiley: Angewandte Chemie International Edition: Table of Contents</w:t>
      </w:r>
      <w:r>
        <w:t xml:space="preserve">    </w:t>
      </w:r>
      <w:r>
        <w:rPr>
          <w:b/>
        </w:rPr>
        <w:t xml:space="preserve">Pub date: </w:t>
      </w:r>
      <w:r>
        <w:t>2026-08-23 17:47:58+00:00</w:t>
      </w:r>
      <w:r>
        <w:t xml:space="preserve">    </w:t>
      </w:r>
      <w:r>
        <w:rPr>
          <w:b/>
        </w:rPr>
        <w:t xml:space="preserve">DOI: </w:t>
      </w:r>
      <w:hyperlink r:id="rId925">
        <w:r>
          <w:rPr>
            <w:color w:val="1155CC"/>
            <w:u w:val="single"/>
          </w:rPr>
          <w:t>10.1002/anie.2256553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零价铁（nZVI）是原位地下水修复中最有前途的还原剂，但由于长期（例如数年）应用过程中水氧化导致还原性显着损失，其在世界范围内的现场应用几十年来相当有限。在此，我们报道了一种聚硅氧烷（Fe）改性的 nZVI（PSO（Fe）-nZVI，269.0 ± 23.5 nm），其表面和内部具有松散的疏水性 C16 链和 Si─O 基团。值得注意的是，在水中老化 420 天后，PSO(Fe)-nZVI 对三氯乙烯和 Cr(VI) 的还原速率常数分别提高了 102 倍和 211 倍，比 nZVI 高 4 个数量级。 PSO(Fe)-nZVI上松散的C16链可以调节水中的Fe(0)→Fe(II)反应，将比表面积提高131倍，并暴露更多活性Fe物种。 Si─O基团可以与Fe(II)结合并抑制Fe(II)→Fe(III)反应，保留70.8%的活性Fe物种。这项工作强调了表面工程对腐蚀反应的调节，以提高 nZVI 的还原性能，用于长期地下水修复。</w:t>
      </w:r>
    </w:p>
    <w:p>
      <w:pPr>
        <w:spacing w:before="0" w:after="200" w:lineRule="auto" w:line="276"/>
      </w:pPr>
      <w:r>
        <w:rPr>
          <w:b/>
        </w:rPr>
        <w:t xml:space="preserve">Abstract (EN): </w:t>
      </w:r>
      <w:r>
        <w:t>Nanoscale zero‐valent iron (nZVI) is the most promising reductant for in situ groundwater remediation, but its field application around the world is quite limited for decades, due to significant reductivity loss by water oxidation during long‐term (e.g., years) application. Herein, we report a polysiloxane(Fe)‐modified nZVI (PSO(Fe)‐nZVI, 269.0 ± 23.5 nm) featuring loosened hydrophobic C16 chains and Si─O groups on the surface and interior. Remarkably, after 420‐day aging in water, PSO(Fe)‐nZVI exhibits 102‐fold and 211‐fold enhancements of reduction rate constants for trichloroethylene and Cr(VI), respectively, 4‐order‐of‐magnitude higher than nZVI. The loosened C16 chains on PSO(Fe)‐nZVI could regulate Fe(0)→Fe(II) reaction in water to enhance specific surface area by 131 folds and expose more active Fe species. The Si─O groups could combine with Fe(II) and inhibit the Fe(II)→Fe(III) reaction to reserve 70.8% of active Fe species. This work highlights the regulation of corrosion reactions by surface engineering to boost the reduction performance of nZVI for long‐term groundwater remediation.</w:t>
      </w:r>
    </w:p>
    <w:p>
      <w:pPr>
        <w:spacing w:before="120" w:after="120"/>
      </w:pPr>
      <w:r>
        <w:rPr>
          <w:sz w:val="18"/>
        </w:rPr>
        <w:t>——————————————————————————————————————————————————————————————————————</w:t>
      </w:r>
    </w:p>
    <w:p>
      <w:pPr>
        <w:spacing w:before="160" w:after="40" w:line="240" w:lineRule="auto"/>
      </w:pPr>
      <w:r>
        <w:rPr>
          <w:b/>
        </w:rPr>
        <w:t xml:space="preserve">[241] </w:t>
      </w:r>
      <w:hyperlink r:id="rId926">
        <w:r>
          <w:rPr>
            <w:color w:val="1155CC"/>
            <w:u w:val="single"/>
          </w:rPr>
          <w:t>重新审视 MgO 上的 CO 吸附：极化分辨识别阶梯边缘作为 MgO(100) 和 MgO(110) 上的主要缺陷</w:t>
        </w:r>
      </w:hyperlink>
    </w:p>
    <w:p>
      <w:pPr>
        <w:spacing w:before="0" w:after="80"/>
      </w:pPr>
      <w:r>
        <w:rPr>
          <w:i/>
          <w:sz w:val="20"/>
        </w:rPr>
        <w:t>EN: CO‐Adsorption on MgO Revisited: Polarization‐Resolved Identification of Step Edges as the Dominant Defects on MgO(100) and MgO(110)</w:t>
      </w:r>
    </w:p>
    <w:p>
      <w:pPr>
        <w:spacing w:before="0" w:after="120"/>
      </w:pPr>
      <w:r>
        <w:rPr>
          <w:b/>
        </w:rPr>
        <w:t xml:space="preserve">Source: </w:t>
      </w:r>
      <w:r>
        <w:t>Wiley: Angewandte Chemie International Edition: Table of Contents</w:t>
      </w:r>
      <w:r>
        <w:t xml:space="preserve">    </w:t>
      </w:r>
      <w:r>
        <w:rPr>
          <w:b/>
        </w:rPr>
        <w:t xml:space="preserve">Pub date: </w:t>
      </w:r>
      <w:r>
        <w:t>2026-08-23 17:50:19+00:00</w:t>
      </w:r>
      <w:r>
        <w:t xml:space="preserve">    </w:t>
      </w:r>
      <w:r>
        <w:rPr>
          <w:b/>
        </w:rPr>
        <w:t xml:space="preserve">DOI: </w:t>
      </w:r>
      <w:hyperlink r:id="rId927">
        <w:r>
          <w:rPr>
            <w:color w:val="1155CC"/>
            <w:u w:val="single"/>
          </w:rPr>
          <w:t>10.1002/anie.2101486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氧化镁是一种典型的离子氧化物，但其实验观察到的化学活性仍然难以与其宽带隙和不可还原特性相协调。在这里，我们将偏振相关的红外反射吸收光谱与混合密度泛函理论相结合，研究了明确的 MgO 单晶表面上的 CO 吸附，明确地阐明了表面取向、点缺陷和低配位阶跃边缘位点的作用。使用CO作为位点敏感振动探针，我们证明了MgO(100)的反应性源自四重配位的Mg</w:t>
      </w:r>
      <w:r>
        <w:t xml:space="preserve"> </w:t>
      </w:r>
      <w:r>
        <w:t>4c</w:t>
      </w:r>
      <w:r>
        <w:t xml:space="preserve"> </w:t>
      </w:r>
      <w:r>
        <w:t>2+</w:t>
      </w:r>
      <w:r>
        <w:t xml:space="preserve"> </w:t>
      </w:r>
      <w:r>
        <w:t>阶跃边缘位点而不是阶梯肖特基缺陷。在实验与理论之间的定量一致性中观察到了独特的振动特征、吸附几何形状和结合能。在更开放的 MgO(110) 表面上，其中 Mg</w:t>
      </w:r>
      <w:r>
        <w:t xml:space="preserve"> </w:t>
      </w:r>
      <w:r>
        <w:t>4c</w:t>
      </w:r>
      <w:r>
        <w:t xml:space="preserve"> </w:t>
      </w:r>
      <w:r>
        <w:t>2+</w:t>
      </w:r>
      <w:r>
        <w:t xml:space="preserve"> </w:t>
      </w:r>
      <w:r>
        <w:t>场地是露台固有的，出现了协调控制的趋势：Mg</w:t>
      </w:r>
      <w:r>
        <w:t xml:space="preserve"> </w:t>
      </w:r>
      <w:r>
        <w:t>4c</w:t>
      </w:r>
      <w:r>
        <w:t xml:space="preserve"> </w:t>
      </w:r>
      <w:r>
        <w:t>2+</w:t>
      </w:r>
      <w:r>
        <w:t xml:space="preserve"> </w:t>
      </w:r>
      <w:r>
        <w:t>位点比 Mg 更牢固地结合 CO，并表现出更高的频带</w:t>
      </w:r>
      <w:r>
        <w:t xml:space="preserve"> </w:t>
      </w:r>
      <w:r>
        <w:t>5c</w:t>
      </w:r>
      <w:r>
        <w:t xml:space="preserve"> </w:t>
      </w:r>
      <w:r>
        <w:t>2+</w:t>
      </w:r>
      <w:r>
        <w:t xml:space="preserve"> </w:t>
      </w:r>
      <w:r>
        <w:t>网站。跃迁偶极矩（TDM）分析进一步揭示了低配位位点红外强度的显着增强，强调了在光谱解释中考虑位点特定偶极子强度的必要性。这些结果建立了扩展</w:t>
      </w:r>
    </w:p>
    <w:p>
      <w:pPr>
        <w:spacing w:before="0" w:after="200" w:lineRule="auto" w:line="276"/>
      </w:pPr>
      <w:r>
        <w:rPr>
          <w:b/>
        </w:rPr>
        <w:t xml:space="preserve">Abstract (EN): </w:t>
      </w:r>
      <w:r>
        <w:t>Magnesium oxide is a paradigmatic ionic oxide, yet its experimentally observed chemical activity remains difficult to reconcile with its wide band gap and non‐reducible character. Here, we combine polarization‐dependent infrared reflection–absorption spectroscopy with hybrid density functional theory to investigate CO adsorption on well‐defined MgO single‐crystal surfaces, explicitly disentangling the roles of surface orientation, point defects, and low‐coordination step‐edge sites. Using CO as a site‐sensitive vibrational probe, we demonstrate that the reactivity of MgO(100) originates from fourfold‐coordinated Mg</w:t>
      </w:r>
      <w:r>
        <w:t xml:space="preserve"> </w:t>
      </w:r>
      <w:r>
        <w:t>4c</w:t>
      </w:r>
      <w:r>
        <w:t xml:space="preserve"> </w:t>
      </w:r>
      <w:r>
        <w:t>2+</w:t>
      </w:r>
      <w:r>
        <w:t xml:space="preserve"> </w:t>
      </w:r>
      <w:r>
        <w:t>step‐edge sites rather than terrace Schottky defects. Distinct vibrational signatures, adsorption geometries, and binding energies are observed in quantitative agreement between experiment and theory. On the more open MgO(110) surface, where Mg</w:t>
      </w:r>
      <w:r>
        <w:t xml:space="preserve"> </w:t>
      </w:r>
      <w:r>
        <w:t>4c</w:t>
      </w:r>
      <w:r>
        <w:t xml:space="preserve"> </w:t>
      </w:r>
      <w:r>
        <w:t>2+</w:t>
      </w:r>
      <w:r>
        <w:t xml:space="preserve"> </w:t>
      </w:r>
      <w:r>
        <w:t>sites are intrinsic to the terrace, a coordination‐controlled trend emerges: Mg</w:t>
      </w:r>
      <w:r>
        <w:t xml:space="preserve"> </w:t>
      </w:r>
      <w:r>
        <w:t>4c</w:t>
      </w:r>
      <w:r>
        <w:t xml:space="preserve"> </w:t>
      </w:r>
      <w:r>
        <w:t>2+</w:t>
      </w:r>
      <w:r>
        <w:t xml:space="preserve"> </w:t>
      </w:r>
      <w:r>
        <w:t>sites bind CO more strongly and exhibit higher‐frequency bands than Mg</w:t>
      </w:r>
      <w:r>
        <w:t xml:space="preserve"> </w:t>
      </w:r>
      <w:r>
        <w:t>5c</w:t>
      </w:r>
      <w:r>
        <w:t xml:space="preserve"> </w:t>
      </w:r>
      <w:r>
        <w:t>2+</w:t>
      </w:r>
      <w:r>
        <w:t xml:space="preserve"> </w:t>
      </w:r>
      <w:r>
        <w:t>sites. Analysis of transition dipole moments (TDM) further reveals a substantial enhancement of infrared intensities at low‐coordinated sites, underscoring the need to account for site‐specific dipole strengths in spectral interpretation. These results establish extended low‐coordination motifs as the dominant defect sites on MgO surfaces, with direct implications for metal anchoring and the design of defect‐engineered oxide catalysts.</w:t>
      </w:r>
    </w:p>
    <w:p>
      <w:pPr>
        <w:spacing w:before="120" w:after="120"/>
      </w:pPr>
      <w:r>
        <w:rPr>
          <w:sz w:val="18"/>
        </w:rPr>
        <w:t>——————————————————————————————————————————————————————————————————————</w:t>
      </w:r>
    </w:p>
    <w:p>
      <w:pPr>
        <w:spacing w:before="160" w:after="40" w:line="240" w:lineRule="auto"/>
      </w:pPr>
      <w:r>
        <w:rPr>
          <w:b/>
        </w:rPr>
        <w:t xml:space="preserve">[242] </w:t>
      </w:r>
      <w:hyperlink r:id="rId928">
        <w:r>
          <w:rPr>
            <w:color w:val="1155CC"/>
            <w:u w:val="single"/>
          </w:rPr>
          <w:t>光激活合成分子马达实现核酸的机械囚禁</w:t>
        </w:r>
      </w:hyperlink>
    </w:p>
    <w:p>
      <w:pPr>
        <w:spacing w:before="0" w:after="80"/>
      </w:pPr>
      <w:r>
        <w:rPr>
          <w:i/>
          <w:sz w:val="20"/>
        </w:rPr>
        <w:t>EN: Mechanical Caging of Nucleic Acids Enabled by Light‐Activated Synthetic Molecular Motors</w:t>
      </w:r>
    </w:p>
    <w:p>
      <w:pPr>
        <w:spacing w:before="0" w:after="120"/>
      </w:pPr>
      <w:r>
        <w:rPr>
          <w:b/>
        </w:rPr>
        <w:t xml:space="preserve">Source: </w:t>
      </w:r>
      <w:r>
        <w:t>Wiley: Angewandte Chemie International Edition: Table of Contents</w:t>
      </w:r>
      <w:r>
        <w:t xml:space="preserve">    </w:t>
      </w:r>
      <w:r>
        <w:rPr>
          <w:b/>
        </w:rPr>
        <w:t xml:space="preserve">Pub date: </w:t>
      </w:r>
      <w:r>
        <w:t>2026-08-23 17:59:57+00:00</w:t>
      </w:r>
      <w:r>
        <w:t xml:space="preserve">    </w:t>
      </w:r>
      <w:r>
        <w:rPr>
          <w:b/>
        </w:rPr>
        <w:t xml:space="preserve">DOI: </w:t>
      </w:r>
      <w:hyperlink r:id="rId929">
        <w:r>
          <w:rPr>
            <w:color w:val="1155CC"/>
            <w:u w:val="single"/>
          </w:rPr>
          <w:t>10.1002/anie.4279044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对核酸活性的控制是生物技术和治疗开发的核心。大多数现有策略依赖于安装掩蔽核碱基或主链功能的保护基团（即化学笼），其中活性的调节来自生物分子化学特性的改变。在这里，受到 DNA 超螺旋等生物机制的启发，通过机械施加的构象约束来调节核酸功能，我们引入机械笼作为替代策略。光驱动的合成分子马达通过四个束缚点与单链 DNA 集成，创建了一种将马达旋转与 DNA 构象耦合的拓扑结构。对照实验证实，运动掺入保留了 ssDNA 的内在特性，包括其与互补链杂交的能力。光激活后，单向电机旋转驱动 DNA 进入受限构象，从而抑制杂交并降低对外切核酸酶消化的敏感性。分子动力学模拟进一步提供了分子水平的见解，了解电机驱动的机械约束如何影响核酸的构象整体和功能可及性。酸不稳定系链的结合使得按需运动分离能够恢复天然构象整体和 DNA 功能。总之，这些结果建立了外部控制的机械笼养-脱笼循环，并引入了通过机械输入大鼠控制生物分子功能的策略</w:t>
      </w:r>
    </w:p>
    <w:p>
      <w:pPr>
        <w:spacing w:before="0" w:after="200" w:lineRule="auto" w:line="276"/>
      </w:pPr>
      <w:r>
        <w:rPr>
          <w:b/>
        </w:rPr>
        <w:t xml:space="preserve">Abstract (EN): </w:t>
      </w:r>
      <w:r>
        <w:t>Control over nucleic acid activity is central to biotechnology and therapeutic development. Most existing strategies rely on installing protecting groups that mask nucleobases or backbone functionalities (i.e., chemical caging), where modulation of activity arises from alteration of the biomolecule's chemical identity. Here, inspired by biological mechanisms such as DNA supercoiling that regulate nucleic acid function through mechanically imposed conformational constraints, we introduce mechanical caging as an alternative strategy. A light‐driven synthetic molecular motor was integrated with single‐stranded DNA through four tethering points, creating a topology that couples motor rotation to DNA conformation. Control experiments confirmed that motor incorporation preserves intrinsic properties of ssDNA, including its ability to hybridize with complementary strands. Upon photoactivation, unidirectional motor rotation drives DNA into constrained conformations that suppress hybridization and reduce susceptibility to exonuclease digestion. Molecular dynamics simulations further provide molecular‐level insight into how motor‐driven mechanical constraints may impact the conformational ensemble and functional accessibility of nucleic acids. Incorporation of acid‐labile tethers enables on‐demand motor detachment to restore the native conformational ensemble and DNA function. Together, these results establish an externally controlled mechanical caging–decaging cycle and introduce a strategy for controlling biomolecular function through mechanical input rather than chemical masking.</w:t>
      </w:r>
    </w:p>
    <w:p>
      <w:pPr>
        <w:spacing w:before="120" w:after="120"/>
      </w:pPr>
      <w:r>
        <w:rPr>
          <w:sz w:val="18"/>
        </w:rPr>
        <w:t>——————————————————————————————————————————————————————————————————————</w:t>
      </w:r>
    </w:p>
    <w:p>
      <w:pPr>
        <w:spacing w:before="160" w:after="40" w:line="240" w:lineRule="auto"/>
      </w:pPr>
      <w:r>
        <w:rPr>
          <w:b/>
        </w:rPr>
        <w:t xml:space="preserve">[243] </w:t>
      </w:r>
      <w:hyperlink r:id="rId930">
        <w:r>
          <w:rPr>
            <w:color w:val="1155CC"/>
            <w:u w:val="single"/>
          </w:rPr>
          <w:t>反应-输运耦合驱动燃料驱动超分子聚合中的时空组织</w:t>
        </w:r>
      </w:hyperlink>
    </w:p>
    <w:p>
      <w:pPr>
        <w:spacing w:before="0" w:after="80"/>
      </w:pPr>
      <w:r>
        <w:rPr>
          <w:i/>
          <w:sz w:val="20"/>
        </w:rPr>
        <w:t>EN: Reaction–Transport Coupling Drives Spatiotemporal Organization in Fuel‐Driven Supramolecular Polymerization</w:t>
      </w:r>
    </w:p>
    <w:p>
      <w:pPr>
        <w:spacing w:before="0" w:after="120"/>
      </w:pPr>
      <w:r>
        <w:rPr>
          <w:b/>
        </w:rPr>
        <w:t xml:space="preserve">Source: </w:t>
      </w:r>
      <w:r>
        <w:t>Wiley: Angewandte Chemie International Edition: Table of Contents</w:t>
      </w:r>
      <w:r>
        <w:t xml:space="preserve">    </w:t>
      </w:r>
      <w:r>
        <w:rPr>
          <w:b/>
        </w:rPr>
        <w:t xml:space="preserve">Pub date: </w:t>
      </w:r>
      <w:r>
        <w:t>2026-08-23 18:00:34+00:00</w:t>
      </w:r>
      <w:r>
        <w:t xml:space="preserve">    </w:t>
      </w:r>
      <w:r>
        <w:rPr>
          <w:b/>
        </w:rPr>
        <w:t xml:space="preserve">DOI: </w:t>
      </w:r>
      <w:hyperlink r:id="rId931">
        <w:r>
          <w:rPr>
            <w:color w:val="1155CC"/>
            <w:u w:val="single"/>
          </w:rPr>
          <w:t>10.1002/anie.5055917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燃料超分子系统提供了一个通用平台，用于生成非平衡结构和动态不稳定性，包括化学振荡和让人想起生物组织的行波。然而，仍然缺乏能够捕捉这种时空秩序出现的最小机械框架。在这里，我们为燃料驱动的超分子聚合开发了一个最小的反应-传输框架，它将活化-失活化学与协同组装、断裂和聚合物长度依赖的扩散结合起来。该模型捕获了由 Hopf 分岔产生的自主振荡，并演示了时间不稳定性如何在包含传输后演变为空间自组织。我们表明，反应动力学和状态依赖的迁移率之间的非线性相互作用产生了移动聚合前沿、振荡波动力学和复杂的时空模式。传播前沿表现出近弹道动力学，揭示了从反应反馈和动态演变的扩散率中出现的基本上非平衡的传输机制。这些发现建立了一个连接耗散自组装、非线性传输和活性物质的最小物理框架，同时为能够自主时空组织的可编程超分子材料提供了设计原理。</w:t>
      </w:r>
    </w:p>
    <w:p>
      <w:pPr>
        <w:spacing w:before="0" w:after="200" w:lineRule="auto" w:line="276"/>
      </w:pPr>
      <w:r>
        <w:rPr>
          <w:b/>
        </w:rPr>
        <w:t xml:space="preserve">Abstract (EN): </w:t>
      </w:r>
      <w:r>
        <w:t>Chemically fueled supramolecular systems provide a versatile platform for generating nonequilibrium structures and dynamical instabilities, including chemical oscillations and traveling waves reminiscent of biological organization. However, a minimal mechanistic framework capable of capturing the emergence of such spatiotemporal order is still lacking. Here, we develop a minimal reaction–transport framework for fuel‐driven supramolecular polymerization that couples activation–deactivation chemistry with cooperative assembly, fragmentation, and polymer length‐dependent diffusion. The model captures autonomous oscillations arising through a Hopf bifurcation and demonstrates how temporal instabilities evolve into spatial self‐organization upon inclusion of transport. We show that the nonlinear interplay between reaction kinetics and state‐dependent mobility gives rise to traveling polymerization fronts, oscillatory wave dynamics, and complex spatiotemporal patterns. The propagating fronts exhibit near‐ballistic dynamics, revealing a fundamentally nonequilibrium transport mechanism emerging from reactive feedback and dynamically evolving diffusivity. These findings establish a minimal physical framework connecting dissipative self‐assembly, nonlinear transport, and active matter, while providing design principles for programmable supramolecular materials capable of autonomous spatiotemporal organization.</w:t>
      </w:r>
    </w:p>
    <w:p>
      <w:pPr>
        <w:spacing w:before="120" w:after="120"/>
      </w:pPr>
      <w:r>
        <w:rPr>
          <w:sz w:val="18"/>
        </w:rPr>
        <w:t>——————————————————————————————————————————————————————————————————————</w:t>
      </w:r>
    </w:p>
    <w:p>
      <w:pPr>
        <w:spacing w:before="160" w:after="40" w:line="240" w:lineRule="auto"/>
      </w:pPr>
      <w:r>
        <w:rPr>
          <w:b/>
        </w:rPr>
        <w:t xml:space="preserve">[244] </w:t>
      </w:r>
      <w:hyperlink r:id="rId932">
        <w:r>
          <w:rPr>
            <w:color w:val="1155CC"/>
            <w:u w:val="single"/>
          </w:rPr>
          <w:t>介孔二氧化硅上确定的双核镍位点将分子表面模拟转化为多相催化</w:t>
        </w:r>
      </w:hyperlink>
    </w:p>
    <w:p>
      <w:pPr>
        <w:spacing w:before="0" w:after="80"/>
      </w:pPr>
      <w:r>
        <w:rPr>
          <w:i/>
          <w:sz w:val="20"/>
        </w:rPr>
        <w:t>EN: Defined Dinuclear Nickel Sites on Mesoporous Silica Translate Molecular Surface Mimics to Heterogeneous Catalysis</w:t>
      </w:r>
    </w:p>
    <w:p>
      <w:pPr>
        <w:spacing w:before="0" w:after="120"/>
      </w:pPr>
      <w:r>
        <w:rPr>
          <w:b/>
        </w:rPr>
        <w:t xml:space="preserve">Source: </w:t>
      </w:r>
      <w:r>
        <w:t>Wiley: Angewandte Chemie International Edition: Table of Contents</w:t>
      </w:r>
      <w:r>
        <w:t xml:space="preserve">    </w:t>
      </w:r>
      <w:r>
        <w:rPr>
          <w:b/>
        </w:rPr>
        <w:t xml:space="preserve">Pub date: </w:t>
      </w:r>
      <w:r>
        <w:t>2026-08-23 18:01:04+00:00</w:t>
      </w:r>
      <w:r>
        <w:t xml:space="preserve">    </w:t>
      </w:r>
      <w:r>
        <w:rPr>
          <w:b/>
        </w:rPr>
        <w:t xml:space="preserve">DOI: </w:t>
      </w:r>
      <w:hyperlink r:id="rId933">
        <w:r>
          <w:rPr>
            <w:color w:val="1155CC"/>
            <w:u w:val="single"/>
          </w:rPr>
          <w:t>10.1002/anie.5073615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双核过渡金属体系中的金属-金属协同作用为控制催化转化的反应性和选择性提供了独特的机会。在这里，我们受到分子化学的启发，报道了接枝到介孔 SBA-15 上的双金属镍系统的组装（Ni-NDI-APTES@SBA-15</w:t>
      </w:r>
      <w:r>
        <w:rPr>
          <w:vertAlign w:val="subscript"/>
        </w:rPr>
        <w:t>250</w:t>
      </w:r>
      <w:r>
        <w:t>）。 SBA-15 明确的介观结构能够固定双核镍单元，同时保持它们的邻近性和协同反应性。全面的表征，包括 PXRD、N</w:t>
      </w:r>
      <w:r>
        <w:rPr>
          <w:vertAlign w:val="subscript"/>
        </w:rPr>
        <w:t>2</w:t>
      </w:r>
      <w:r>
        <w:t>物理吸附、DRIFT-IR、S/TEM、XPS、EA、ICP-OES、TGA 和固态 NMR，证实了 Ni 的成功掺入</w:t>
      </w:r>
      <w:r>
        <w:rPr>
          <w:vertAlign w:val="subscript"/>
        </w:rPr>
        <w:t>2</w:t>
      </w:r>
      <w:r>
        <w:t>物种和介孔框架的保留。 Ni-NDI-APTES@SBA-15的催化性能</w:t>
      </w:r>
      <w:r>
        <w:rPr>
          <w:vertAlign w:val="subscript"/>
        </w:rPr>
        <w:t>250</w:t>
      </w:r>
      <w:r>
        <w:t>在末端炔烃的环三聚反应中进行了评估，并与代表性的均相单核和双核镍催化剂进行了比较。 Ni-NDI-APTES@SBA-15</w:t>
      </w:r>
      <w:r>
        <w:rPr>
          <w:vertAlign w:val="subscript"/>
        </w:rPr>
        <w:t>250</w:t>
      </w:r>
      <w:r>
        <w:t>保留了分子双核催化剂的协同反应性和高区域选择性，而表面结合环境引入了独特的底物依赖性化学选择性，如二炔底物的选择性单环三聚而不是均相类似物所青睐的双环化所例证。此外，Ni-NDI-APTES@SBA-15</w:t>
      </w:r>
      <w:r>
        <w:rPr>
          <w:vertAlign w:val="subscript"/>
        </w:rPr>
        <w:t>250</w:t>
      </w:r>
      <w:r>
        <w:t>结合了优秀的</w:t>
      </w:r>
    </w:p>
    <w:p>
      <w:pPr>
        <w:spacing w:before="0" w:after="200" w:lineRule="auto" w:line="276"/>
      </w:pPr>
      <w:r>
        <w:rPr>
          <w:b/>
        </w:rPr>
        <w:t xml:space="preserve">Abstract (EN): </w:t>
      </w:r>
      <w:r>
        <w:t>Metal–metal cooperativity in dinuclear transition‐metal systems offers unique opportunities for controlling reactivity and selectivity in catalytic transformations. Here, we report, inspired by molecular chemistry, the assembly of a bimetallic nickel system grafted onto mesoporous SBA‐15 (Ni‐NDI‐APTES@SBA‐15</w:t>
      </w:r>
      <w:r>
        <w:rPr>
          <w:vertAlign w:val="subscript"/>
        </w:rPr>
        <w:t>250</w:t>
      </w:r>
      <w:r>
        <w:t>). The well‐defined mesostructure of SBA‐15 enables the immobilization of dinuclear nickel units while preserving their proximity and cooperative reactivity. Comprehensive characterization, including PXRD, N</w:t>
      </w:r>
      <w:r>
        <w:rPr>
          <w:vertAlign w:val="subscript"/>
        </w:rPr>
        <w:t>2</w:t>
      </w:r>
      <w:r>
        <w:t>physisorption, DRIFT‐IR, S/TEM, XPS, EA, ICP‐OES, TGA, and solid‐state NMR, confirms the successful incorporation of Ni</w:t>
      </w:r>
      <w:r>
        <w:rPr>
          <w:vertAlign w:val="subscript"/>
        </w:rPr>
        <w:t>2</w:t>
      </w:r>
      <w:r>
        <w:t>species and retention of the mesoporous framework. The catalytic performance of Ni‐NDI‐APTES@SBA‐15</w:t>
      </w:r>
      <w:r>
        <w:rPr>
          <w:vertAlign w:val="subscript"/>
        </w:rPr>
        <w:t>250</w:t>
      </w:r>
      <w:r>
        <w:t>was evaluated in the cyclotrimerization of terminal alkynes and compared with representative homogeneous mono‐ and dinuclear nickel catalysts. Ni‐NDI‐APTES@SBA‐15</w:t>
      </w:r>
      <w:r>
        <w:rPr>
          <w:vertAlign w:val="subscript"/>
        </w:rPr>
        <w:t>250</w:t>
      </w:r>
      <w:r>
        <w:t>preserves the cooperative reactivity and high regioselectivity of the molecular dinuclear catalyst while the surface‐bound environment introduces a distinct, substrate‐dependent chemoselectivity, as exemplified by the selective monocyclotrimerization of diyne substrates instead of the double cyclization favored by the homogeneous analogue. Moreover, Ni‐NDI‐APTES@SBA‐15</w:t>
      </w:r>
      <w:r>
        <w:rPr>
          <w:vertAlign w:val="subscript"/>
        </w:rPr>
        <w:t>250</w:t>
      </w:r>
      <w:r>
        <w:t>combines excellent catalytic performance with operational stability, recyclability, and negligible nickel leaching demonstrating that an immobilized catalyst can preserve molecular bimetallic reactivity while modulating catalytic pathways through the local supported environment.</w:t>
      </w:r>
    </w:p>
    <w:p>
      <w:pPr>
        <w:spacing w:before="120" w:after="120"/>
      </w:pPr>
      <w:r>
        <w:rPr>
          <w:sz w:val="18"/>
        </w:rPr>
        <w:t>——————————————————————————————————————————————————————————————————————</w:t>
      </w:r>
    </w:p>
    <w:p>
      <w:pPr>
        <w:spacing w:before="160" w:after="40" w:line="240" w:lineRule="auto"/>
      </w:pPr>
      <w:r>
        <w:rPr>
          <w:b/>
        </w:rPr>
        <w:t xml:space="preserve">[245] </w:t>
      </w:r>
      <w:hyperlink r:id="rId934">
        <w:r>
          <w:rPr>
            <w:color w:val="1155CC"/>
            <w:u w:val="single"/>
          </w:rPr>
          <w:t>1,1,3,3-四甲基二硅氧烷和叔丁醇钾原位生成强氢化物碱对弱酸性 C(sp3)─H 键进行去质子化和烷基化</w:t>
        </w:r>
      </w:hyperlink>
    </w:p>
    <w:p>
      <w:pPr>
        <w:spacing w:before="0" w:after="80"/>
      </w:pPr>
      <w:r>
        <w:rPr>
          <w:i/>
          <w:sz w:val="20"/>
        </w:rPr>
        <w:t>EN: Deprotonation and Alkylation of Weakly Acidic C(sp3)─H Bonds Through In Situ Generation of a Strong Hydride Base From 1,1,3,3‐Tetramethyldisiloxane and Potassium tert‐Butoxide</w:t>
      </w:r>
    </w:p>
    <w:p>
      <w:pPr>
        <w:spacing w:before="0" w:after="120"/>
      </w:pPr>
      <w:r>
        <w:rPr>
          <w:b/>
        </w:rPr>
        <w:t xml:space="preserve">Source: </w:t>
      </w:r>
      <w:r>
        <w:t>Wiley: Angewandte Chemie International Edition: Table of Contents</w:t>
      </w:r>
      <w:r>
        <w:t xml:space="preserve">    </w:t>
      </w:r>
      <w:r>
        <w:rPr>
          <w:b/>
        </w:rPr>
        <w:t xml:space="preserve">Pub date: </w:t>
      </w:r>
      <w:r>
        <w:t>2026-08-23 18:01:35+00:00</w:t>
      </w:r>
      <w:r>
        <w:t xml:space="preserve">    </w:t>
      </w:r>
      <w:r>
        <w:rPr>
          <w:b/>
        </w:rPr>
        <w:t xml:space="preserve">DOI: </w:t>
      </w:r>
      <w:hyperlink r:id="rId935">
        <w:r>
          <w:rPr>
            <w:color w:val="1155CC"/>
            <w:u w:val="single"/>
          </w:rPr>
          <w:t>10.1002/anie.7132408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弱酸性C(sp)的直接去质子化</w:t>
      </w:r>
      <w:r>
        <w:rPr>
          <w:vertAlign w:val="subscript"/>
        </w:rPr>
        <w:t>3</w:t>
      </w:r>
      <w:r>
        <w:t>)─H 键仍然是生成碳亲核试剂的基本策略，但通常需要强碱、低温条件和逐步方案。能够对这些底物进行单步去质子化和烷基化的通用方法仍然难以捉摸。在此，我们报道了 1,1,3,3-四甲基二硅氧烷 (TMDSO) 和叔丁醇钾 (KO) 的组合</w:t>
      </w:r>
      <w:r>
        <w:t xml:space="preserve"> </w:t>
      </w:r>
      <w:r>
        <w:t>t</w:t>
      </w:r>
      <w:r>
        <w:t xml:space="preserve"> </w:t>
      </w:r>
      <w:r>
        <w:t>Bu) 能够使用简单的烷基卤化物亲电子试剂在单个操作步骤中直接烷基化弱酸性底物，特别是 2-烷基和 4-烷基吡啶。通过原位活化和烷基化可以获得多种C─H烷基化产物，无需预先形成有机金属中间体。机理实验和 DFT 计算支持 TMDSO 和 KO 的途径</w:t>
      </w:r>
      <w:r>
        <w:t xml:space="preserve"> </w:t>
      </w:r>
      <w:r>
        <w:t>t</w:t>
      </w:r>
      <w:r>
        <w:t xml:space="preserve"> </w:t>
      </w:r>
      <w:r>
        <w:t>Bu 协同生成具有 KH 样反应性的瞬态底物相关氢碱。关键底物——钾相互作用，包括 N 配位和阳离子——</w:t>
      </w:r>
      <w:r>
        <w:t xml:space="preserve"> </w:t>
      </w:r>
      <w:r>
        <w:t>π</w:t>
      </w:r>
      <w:r>
        <w:t xml:space="preserve"> </w:t>
      </w:r>
      <w:r>
        <w:t>结合、预组织系统并通过并发 H 实现速率确定的去质子化</w:t>
      </w:r>
      <w:r>
        <w:rPr>
          <w:vertAlign w:val="subscript"/>
        </w:rPr>
        <w:t>2</w:t>
      </w:r>
      <w:r>
        <w:t>进化，后面是S</w:t>
      </w:r>
      <w:r>
        <w:t xml:space="preserve"> </w:t>
      </w:r>
      <w:r>
        <w:t>氮</w:t>
      </w:r>
      <w:r>
        <w:t xml:space="preserve"> </w:t>
      </w:r>
      <w:r>
        <w:t>2烷基化。这些发现揭示了一种独特的碱激活模式，该模式结合了高碱度和异常的耐受性。</w:t>
      </w:r>
    </w:p>
    <w:p>
      <w:pPr>
        <w:spacing w:before="0" w:after="200" w:lineRule="auto" w:line="276"/>
      </w:pPr>
      <w:r>
        <w:rPr>
          <w:b/>
        </w:rPr>
        <w:t xml:space="preserve">Abstract (EN): </w:t>
      </w:r>
      <w:r>
        <w:t>The direct deprotonation of weakly acidic C(sp</w:t>
      </w:r>
      <w:r>
        <w:rPr>
          <w:vertAlign w:val="subscript"/>
        </w:rPr>
        <w:t>3</w:t>
      </w:r>
      <w:r>
        <w:t>)─H bonds remains a fundamental strategy for generating carbon nucleophiles, but typically requires strong bases, cryogenic conditions, and stepwise protocols. A general method enabling single‐step deprotonation and alkylation of these substrates remains elusive. Herein, we report that a combination of 1,1,3,3‐tetramethyldisiloxane (TMDSO) and potassium tert‐butoxide (KO</w:t>
      </w:r>
      <w:r>
        <w:t xml:space="preserve"> </w:t>
      </w:r>
      <w:r>
        <w:t>t</w:t>
      </w:r>
      <w:r>
        <w:t xml:space="preserve"> </w:t>
      </w:r>
      <w:r>
        <w:t>Bu) enables the direct alkylation of weakly acidic substrates, particularly 2‐alkyl and 4‐alkyl pyridines, in a single operational step using simple alkyl halide electrophiles. A broad range of C─H alkylation products is obtained via in situ activation and alkylation, without the need for preformation of organometallic intermediates. Mechanistic experiments and DFT calculations support a pathway in which TMDSO and KO</w:t>
      </w:r>
      <w:r>
        <w:t xml:space="preserve"> </w:t>
      </w:r>
      <w:r>
        <w:t>t</w:t>
      </w:r>
      <w:r>
        <w:t xml:space="preserve"> </w:t>
      </w:r>
      <w:r>
        <w:t>Bu cooperatively generate a transient, substrate‐associated hydridic base with KH‐like reactivity. Key substrate—potassium interactions, including N‐coordination and cation–</w:t>
      </w:r>
      <w:r>
        <w:t xml:space="preserve"> </w:t>
      </w:r>
      <w:r>
        <w:t>π</w:t>
      </w:r>
      <w:r>
        <w:t xml:space="preserve"> </w:t>
      </w:r>
      <w:r>
        <w:t>binding, preorganize the system and enable rate‐determining deprotonation with concurrent H</w:t>
      </w:r>
      <w:r>
        <w:rPr>
          <w:vertAlign w:val="subscript"/>
        </w:rPr>
        <w:t>2</w:t>
      </w:r>
      <w:r>
        <w:t>evolution, followed by S</w:t>
      </w:r>
      <w:r>
        <w:t xml:space="preserve"> </w:t>
      </w:r>
      <w:r>
        <w:t>N</w:t>
      </w:r>
      <w:r>
        <w:t xml:space="preserve"> </w:t>
      </w:r>
      <w:r>
        <w:t>2 alkylation. These findings reveal a distinct mode of base activation that combines high basicity with unusual tolerance of alkyl halides, providing a practical approach to the alkylation of weakly acidic C─H bonds.</w:t>
      </w:r>
    </w:p>
    <w:p>
      <w:pPr>
        <w:spacing w:before="120" w:after="120"/>
      </w:pPr>
      <w:r>
        <w:rPr>
          <w:sz w:val="18"/>
        </w:rPr>
        <w:t>——————————————————————————————————————————————————————————————————————</w:t>
      </w:r>
    </w:p>
    <w:p>
      <w:pPr>
        <w:spacing w:before="160" w:after="40" w:line="240" w:lineRule="auto"/>
      </w:pPr>
      <w:r>
        <w:rPr>
          <w:b/>
        </w:rPr>
        <w:t xml:space="preserve">[246] </w:t>
      </w:r>
      <w:hyperlink r:id="rId936">
        <w:r>
          <w:rPr>
            <w:color w:val="1155CC"/>
            <w:u w:val="single"/>
          </w:rPr>
          <w:t>伊娃·普卢哈洛娃</w:t>
        </w:r>
      </w:hyperlink>
    </w:p>
    <w:p>
      <w:pPr>
        <w:spacing w:before="0" w:after="80"/>
      </w:pPr>
      <w:r>
        <w:rPr>
          <w:i/>
          <w:sz w:val="20"/>
        </w:rPr>
        <w:t>EN: Eva Pluhařová</w:t>
      </w:r>
    </w:p>
    <w:p>
      <w:pPr>
        <w:spacing w:before="0" w:after="120"/>
      </w:pPr>
      <w:r>
        <w:rPr>
          <w:b/>
        </w:rPr>
        <w:t xml:space="preserve">Source: </w:t>
      </w:r>
      <w:r>
        <w:t>Wiley: Angewandte Chemie International Edition: Table of Contents</w:t>
      </w:r>
      <w:r>
        <w:t xml:space="preserve">    </w:t>
      </w:r>
      <w:r>
        <w:rPr>
          <w:b/>
        </w:rPr>
        <w:t xml:space="preserve">Pub date: </w:t>
      </w:r>
      <w:r>
        <w:t>2026-08-23 18:08:33+00:00</w:t>
      </w:r>
      <w:r>
        <w:t xml:space="preserve">    </w:t>
      </w:r>
      <w:r>
        <w:rPr>
          <w:b/>
        </w:rPr>
        <w:t xml:space="preserve">DOI: </w:t>
      </w:r>
      <w:hyperlink r:id="rId937">
        <w:r>
          <w:rPr>
            <w:color w:val="1155CC"/>
            <w:u w:val="single"/>
          </w:rPr>
          <w:t>10.1002/anie.3525961</w:t>
        </w:r>
      </w:hyperlink>
    </w:p>
    <w:p>
      <w:pPr>
        <w:spacing w:before="0" w:after="120"/>
      </w:pPr>
      <w:r>
        <w:rPr>
          <w:b/>
        </w:rPr>
        <w:t xml:space="preserve">Notes: </w:t>
      </w:r>
      <w:r>
        <w:t>abstract_source=pubmed</w:t>
      </w:r>
    </w:p>
    <w:p>
      <w:pPr>
        <w:spacing w:before="0" w:after="80" w:lineRule="auto" w:line="276"/>
      </w:pPr>
      <w:r>
        <w:rPr>
          <w:b/>
        </w:rPr>
        <w:t xml:space="preserve">摘要（ZH）: </w:t>
      </w:r>
      <w:r>
        <w:t>“我选择化学作为职业，因为分子很酷，我喜欢看看它们如何相互作用……我最喜欢的一句话来自尤金·维格纳（Eugene Wigner）：‘很高兴知道计算机能够理解这个问题。但我也想理解它……’”在她的简介中了解更多关于 Eva Pluhařová 的信息……简介。</w:t>
      </w:r>
    </w:p>
    <w:p>
      <w:pPr>
        <w:spacing w:before="0" w:after="200" w:lineRule="auto" w:line="276"/>
      </w:pPr>
      <w:r>
        <w:rPr>
          <w:b/>
        </w:rPr>
        <w:t xml:space="preserve">Abstract (EN): </w:t>
      </w:r>
      <w:r>
        <w:t>"I chose chemistry as a career because molecules are cool and I like to see how they interact… My favorite quote is from Eugene Wigner: 'It is nice to know that the computer understands the problem. But I would like to understand it too…'" Find out more about Eva Pluhařová in her Introducing… Profile.</w:t>
      </w:r>
    </w:p>
    <w:p>
      <w:pPr>
        <w:spacing w:before="120" w:after="120"/>
      </w:pPr>
      <w:r>
        <w:rPr>
          <w:sz w:val="18"/>
        </w:rPr>
        <w:t>——————————————————————————————————————————————————————————————————————</w:t>
      </w:r>
    </w:p>
    <w:p>
      <w:pPr>
        <w:spacing w:before="160" w:after="40" w:line="240" w:lineRule="auto"/>
      </w:pPr>
      <w:r>
        <w:rPr>
          <w:b/>
        </w:rPr>
        <w:t xml:space="preserve">[247] </w:t>
      </w:r>
      <w:hyperlink r:id="rId938">
        <w:r>
          <w:rPr>
            <w:color w:val="1155CC"/>
            <w:u w:val="single"/>
          </w:rPr>
          <w:t>金属卤化物多孔骨架中 Peierls 不稳定性的抑制</w:t>
        </w:r>
      </w:hyperlink>
    </w:p>
    <w:p>
      <w:pPr>
        <w:spacing w:before="0" w:after="80"/>
      </w:pPr>
      <w:r>
        <w:rPr>
          <w:i/>
          <w:sz w:val="20"/>
        </w:rPr>
        <w:t>EN: Suppression of Peierls Instability in a Metal−Halide Porous Framework</w:t>
      </w:r>
    </w:p>
    <w:p>
      <w:pPr>
        <w:spacing w:before="0" w:after="120"/>
      </w:pPr>
      <w:r>
        <w:rPr>
          <w:b/>
        </w:rPr>
        <w:t xml:space="preserve">Source: </w:t>
      </w:r>
      <w:r>
        <w:t>Wiley: Angewandte Chemie International Edition: Table of Contents</w:t>
      </w:r>
      <w:r>
        <w:t xml:space="preserve">    </w:t>
      </w:r>
      <w:r>
        <w:rPr>
          <w:b/>
        </w:rPr>
        <w:t xml:space="preserve">Pub date: </w:t>
      </w:r>
      <w:r>
        <w:t>2026-08-23 18:09:31+00:00</w:t>
      </w:r>
      <w:r>
        <w:t xml:space="preserve">    </w:t>
      </w:r>
      <w:r>
        <w:rPr>
          <w:b/>
        </w:rPr>
        <w:t xml:space="preserve">DOI: </w:t>
      </w:r>
      <w:hyperlink r:id="rId939">
        <w:r>
          <w:rPr>
            <w:color w:val="1155CC"/>
            <w:u w:val="single"/>
          </w:rPr>
          <w:t>10.1002/anie.7724982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佩尔斯畸变是低维材料中由电子-声子耦合驱动的晶格不稳定性，它在费米能级打开能隙并引发金属-绝缘体转变。抑制这种畸变对于稳定低维系统中的金属和超导态至关重要，但在没有外部化学掺杂或高压条件的情况下实现这种抑制仍然具有挑战性。金属有机框架（MOF）形成具有明确通道和功能位点的周期性多孔结构。在这项工作中，我们利用多孔框架的固有周期性静电势来抑制一维铂-卤化物（Pt-X）链中的 Peierls 不稳定性。通过将 Pt−X 链集成到多孔材料的有序纳米通道中，我们实现了对可检测到的 Peierls 畸变的抑制，这一点可以通过不存在晶格畸变以及其电导率大约四个数量级的增强（从 4.8 × 10</w:t>
      </w:r>
      <w:r>
        <w:t xml:space="preserve"> </w:t>
      </w:r>
      <w:r>
        <w:t>−6</w:t>
      </w:r>
      <w:r>
        <w:t xml:space="preserve"> </w:t>
      </w:r>
      <w:r>
        <w:t>至 4.3 × 10</w:t>
      </w:r>
      <w:r>
        <w:t xml:space="preserve"> </w:t>
      </w:r>
      <w:r>
        <w:t>−2</w:t>
      </w:r>
      <w:r>
        <w:t xml:space="preserve"> </w:t>
      </w:r>
      <w:r>
        <w:t>S/cm）与扭曲的对应物相比。这项研究展示了一个例子，其中多孔框架的固有周期性静电势可用于抑制 Peierls 畸变，为在低维电子材料中实现可控电子特性提供新的见解。</w:t>
      </w:r>
    </w:p>
    <w:p>
      <w:pPr>
        <w:spacing w:before="0" w:after="200" w:lineRule="auto" w:line="276"/>
      </w:pPr>
      <w:r>
        <w:rPr>
          <w:b/>
        </w:rPr>
        <w:t xml:space="preserve">Abstract (EN): </w:t>
      </w:r>
      <w:r>
        <w:t>Peierls distortion is a lattice instability in low‐dimensional materials driven by electron–phonon coupling, which opens an energy gap at the Fermi level and induces a metal–insulator transition. Suppressing this distortion is crucial for stabilizing metallic and superconducting states in low‐dimensional systems, yet achieving such suppression remains challenging without external chemical doping or high‐pressure conditions. Metal–organic framework (MOF) forms a periodic porous structure with well‐defined channels and functional sites. In this work, we harness the intrinsic periodic electrostatic potential of a porous framework to suppress the Peierls instability in one‐dimensional platinum−halide (Pt−X) chains. By integrating Pt−X chains into the ordered nanochannels of the porous material, we achieved suppression of detectable Peierls distortion, as evidenced by the absence of lattice distortion and an approximately four‐order‐of‐magnitude enhancement in its electrical conductivity (from 4.8 × 10</w:t>
      </w:r>
      <w:r>
        <w:t xml:space="preserve"> </w:t>
      </w:r>
      <w:r>
        <w:t>−6</w:t>
      </w:r>
      <w:r>
        <w:t xml:space="preserve"> </w:t>
      </w:r>
      <w:r>
        <w:t>to 4.3 × 10</w:t>
      </w:r>
      <w:r>
        <w:t xml:space="preserve"> </w:t>
      </w:r>
      <w:r>
        <w:t>−2</w:t>
      </w:r>
      <w:r>
        <w:t xml:space="preserve"> </w:t>
      </w:r>
      <w:r>
        <w:t>S/cm) compared to the distorted counterparts. This study demonstrates an example where the intrinsic periodic electrostatic potential of a porous framework can be employed to suppress the Peierls distortion, providing new insight for achieving controllable electronic properties in low‐dimensional electronic materials.</w:t>
      </w:r>
    </w:p>
    <w:p>
      <w:pPr>
        <w:spacing w:before="120" w:after="120"/>
      </w:pPr>
      <w:r>
        <w:rPr>
          <w:sz w:val="18"/>
        </w:rPr>
        <w:t>——————————————————————————————————————————————————————————————————————</w:t>
      </w:r>
    </w:p>
    <w:p>
      <w:pPr>
        <w:spacing w:before="160" w:after="40" w:line="240" w:lineRule="auto"/>
      </w:pPr>
      <w:r>
        <w:rPr>
          <w:b/>
        </w:rPr>
        <w:t xml:space="preserve">[248] </w:t>
      </w:r>
      <w:hyperlink r:id="rId940">
        <w:r>
          <w:rPr>
            <w:color w:val="1155CC"/>
            <w:u w:val="single"/>
          </w:rPr>
          <w:t>合成后的锌修饰可纠正催化氧化 Ti-MWW 沸石的形态</w:t>
        </w:r>
      </w:hyperlink>
    </w:p>
    <w:p>
      <w:pPr>
        <w:spacing w:before="0" w:after="80"/>
      </w:pPr>
      <w:r>
        <w:rPr>
          <w:i/>
          <w:sz w:val="20"/>
        </w:rPr>
        <w:t>EN: Post‐Synthetic Zinc Modifications to Correct Speciation in Ti‐MWW Zeolites for Catalytic Oxidation</w:t>
      </w:r>
    </w:p>
    <w:p>
      <w:pPr>
        <w:spacing w:before="0" w:after="120"/>
      </w:pPr>
      <w:r>
        <w:rPr>
          <w:b/>
        </w:rPr>
        <w:t xml:space="preserve">Source: </w:t>
      </w:r>
      <w:r>
        <w:t>Wiley: Angewandte Chemie International Edition: Table of Contents</w:t>
      </w:r>
      <w:r>
        <w:t xml:space="preserve">    </w:t>
      </w:r>
      <w:r>
        <w:rPr>
          <w:b/>
        </w:rPr>
        <w:t xml:space="preserve">Pub date: </w:t>
      </w:r>
      <w:r>
        <w:t>2026-08-23 18:16:42+00:00</w:t>
      </w:r>
      <w:r>
        <w:t xml:space="preserve">    </w:t>
      </w:r>
      <w:r>
        <w:rPr>
          <w:b/>
        </w:rPr>
        <w:t xml:space="preserve">DOI: </w:t>
      </w:r>
      <w:hyperlink r:id="rId941">
        <w:r>
          <w:rPr>
            <w:color w:val="1155CC"/>
            <w:u w:val="single"/>
          </w:rPr>
          <w:t>10.1002/anie.2516685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Ti-MWW是含钛沸石的重要成员，在工业上用作选择性氧化的多相催化剂。然而，由于缺乏能够跟踪多个物种之间的转化和相互作用的表征方法，更活跃变体的开发常常受到阻碍；合成后修饰的使用进一步加剧了这种情况。结合显微镜和各种光谱技术表明，Zn 的促进作用与其亲水性硅烷醇巢的愈合密切相关，同时生成小 TiO2</w:t>
      </w:r>
      <w:r>
        <w:t xml:space="preserve"> </w:t>
      </w:r>
      <w:r>
        <w:t>x</w:t>
      </w:r>
      <w:r>
        <w:t xml:space="preserve"> </w:t>
      </w:r>
      <w:r>
        <w:t>集群。值得注意的是，这些变化伴随着框架外 TiO2 的 Ti 重量负载依赖性修改</w:t>
      </w:r>
      <w:r>
        <w:rPr>
          <w:vertAlign w:val="subscript"/>
        </w:rPr>
        <w:t>2</w:t>
      </w:r>
      <w:r>
        <w:t>和 Zn 物种的形成。总的来说，我们的研究不仅强调了多种物种之间的相互作用，而且使得含钛沸石的后改性能够更合理地发展。</w:t>
      </w:r>
    </w:p>
    <w:p>
      <w:pPr>
        <w:spacing w:before="0" w:after="200" w:lineRule="auto" w:line="276"/>
      </w:pPr>
      <w:r>
        <w:rPr>
          <w:b/>
        </w:rPr>
        <w:t xml:space="preserve">Abstract (EN): </w:t>
      </w:r>
      <w:r>
        <w:t>Ti‐MWW is an important member of Ti‐containing zeolites, industrially employed as heterogeneous catalyst for selective oxidations. However, the development of more active variants is often hampered by the lack of characterization methods able to track transformations and interplay between a multitude of species; this is further exacerbated by the use of post‐synthetic modifications. Combining microscopy and various spectroscopic techniques show that the promotional role of Zn is closely linked to its healing of hydrophilic silanol nests, while simultaneously generating small TiO</w:t>
      </w:r>
      <w:r>
        <w:t xml:space="preserve"> </w:t>
      </w:r>
      <w:r>
        <w:t>x</w:t>
      </w:r>
      <w:r>
        <w:t xml:space="preserve"> </w:t>
      </w:r>
      <w:r>
        <w:t>clusters. Notably, these changes are accompanied by Ti weight loading dependent modifications of the extra‐framework TiO</w:t>
      </w:r>
      <w:r>
        <w:rPr>
          <w:vertAlign w:val="subscript"/>
        </w:rPr>
        <w:t>2</w:t>
      </w:r>
      <w:r>
        <w:t>and formation of Zn species. Overall, our study not only highlights the interplay between a plethora of species, but enables a more rational development of post‐modification of Ti‐containing zeolites.</w:t>
      </w:r>
    </w:p>
    <w:p>
      <w:pPr>
        <w:spacing w:before="120" w:after="120"/>
      </w:pPr>
      <w:r>
        <w:rPr>
          <w:sz w:val="18"/>
        </w:rPr>
        <w:t>——————————————————————————————————————————————————————————————————————</w:t>
      </w:r>
    </w:p>
    <w:p>
      <w:pPr>
        <w:spacing w:before="160" w:after="40" w:line="240" w:lineRule="auto"/>
      </w:pPr>
      <w:r>
        <w:rPr>
          <w:b/>
        </w:rPr>
        <w:t xml:space="preserve">[249] </w:t>
      </w:r>
      <w:hyperlink r:id="rId942">
        <w:r>
          <w:rPr>
            <w:color w:val="1155CC"/>
            <w:u w:val="single"/>
          </w:rPr>
          <w:t>外骨骼即将上市（到您附近的商店）</w:t>
        </w:r>
      </w:hyperlink>
    </w:p>
    <w:p>
      <w:pPr>
        <w:spacing w:before="0" w:after="80"/>
      </w:pPr>
      <w:r>
        <w:rPr>
          <w:i/>
          <w:sz w:val="20"/>
        </w:rPr>
        <w:t>EN: The exoskeletons are coming (to a store near you)</w:t>
      </w:r>
    </w:p>
    <w:p>
      <w:pPr>
        <w:spacing w:before="0" w:after="120"/>
      </w:pPr>
      <w:r>
        <w:rPr>
          <w:b/>
        </w:rPr>
        <w:t xml:space="preserve">Source: </w:t>
      </w:r>
      <w:r>
        <w:t>Nature</w:t>
      </w:r>
      <w:r>
        <w:t xml:space="preserve">    </w:t>
      </w:r>
      <w:r>
        <w:rPr>
          <w:b/>
        </w:rPr>
        <w:t xml:space="preserve">Pub date: </w:t>
      </w:r>
      <w:r>
        <w:t>2026-08-24 00:00:00+00:00</w:t>
      </w:r>
      <w:r>
        <w:t xml:space="preserve">    </w:t>
      </w:r>
      <w:r>
        <w:rPr>
          <w:b/>
        </w:rPr>
        <w:t xml:space="preserve">DOI: </w:t>
      </w:r>
      <w:hyperlink r:id="rId943">
        <w:r>
          <w:rPr>
            <w:color w:val="1155CC"/>
            <w:u w:val="single"/>
          </w:rPr>
          <w:t>10.1038/d41586-026-02641-y</w:t>
        </w:r>
      </w:hyperlink>
    </w:p>
    <w:p>
      <w:pPr>
        <w:spacing w:before="0" w:after="120"/>
      </w:pPr>
      <w:r>
        <w:rPr>
          <w:b/>
        </w:rPr>
        <w:t xml:space="preserve">Notes: </w:t>
      </w:r>
      <w:r>
        <w:t>abstract_source=rss_nature</w:t>
      </w:r>
    </w:p>
    <w:p>
      <w:pPr>
        <w:spacing w:before="0" w:after="80" w:lineRule="auto" w:line="276"/>
      </w:pPr>
      <w:r>
        <w:rPr>
          <w:b/>
        </w:rPr>
        <w:t xml:space="preserve">摘要（ZH）: </w:t>
      </w:r>
      <w:r>
        <w:t>帮助人们行走、跑步和跳跃的技术正在迅速从实验室转移到远足步道。</w:t>
      </w:r>
    </w:p>
    <w:p>
      <w:pPr>
        <w:spacing w:before="0" w:after="200" w:lineRule="auto" w:line="276"/>
      </w:pPr>
      <w:r>
        <w:rPr>
          <w:b/>
        </w:rPr>
        <w:t xml:space="preserve">Abstract (EN): </w:t>
      </w:r>
      <w:r>
        <w:t>Technology to help people walk, run and jump is moving rapidly from labs to hiking trails.</w:t>
      </w:r>
    </w:p>
    <w:p>
      <w:pPr>
        <w:spacing w:before="120" w:after="120"/>
      </w:pPr>
      <w:r>
        <w:rPr>
          <w:sz w:val="18"/>
        </w:rPr>
        <w:t>——————————————————————————————————————————————————————————————————————</w:t>
      </w:r>
    </w:p>
    <w:p>
      <w:pPr>
        <w:spacing w:before="160" w:after="40" w:line="240" w:lineRule="auto"/>
      </w:pPr>
      <w:r>
        <w:rPr>
          <w:b/>
        </w:rPr>
        <w:t xml:space="preserve">[250] </w:t>
      </w:r>
      <w:hyperlink r:id="rId944">
        <w:r>
          <w:rPr>
            <w:color w:val="1155CC"/>
            <w:u w:val="single"/>
          </w:rPr>
          <w:t>通量介导的配体交换重组金属有机框架玻璃</w:t>
        </w:r>
      </w:hyperlink>
    </w:p>
    <w:p>
      <w:pPr>
        <w:spacing w:before="0" w:after="80"/>
      </w:pPr>
      <w:r>
        <w:rPr>
          <w:i/>
          <w:sz w:val="20"/>
        </w:rPr>
        <w:t>EN: Flux-mediated ligand exchange restructures metal–organic framework glasses</w:t>
      </w:r>
    </w:p>
    <w:p>
      <w:pPr>
        <w:spacing w:before="0" w:after="120"/>
      </w:pPr>
      <w:r>
        <w:rPr>
          <w:b/>
        </w:rPr>
        <w:t xml:space="preserve">Source: </w:t>
      </w:r>
      <w:r>
        <w:t>Nature Materials</w:t>
      </w:r>
      <w:r>
        <w:t xml:space="preserve">    </w:t>
      </w:r>
      <w:r>
        <w:rPr>
          <w:b/>
        </w:rPr>
        <w:t xml:space="preserve">Pub date: </w:t>
      </w:r>
      <w:r>
        <w:t>2026-08-24 00:00:00+00:00</w:t>
      </w:r>
      <w:r>
        <w:t xml:space="preserve">    </w:t>
      </w:r>
      <w:r>
        <w:rPr>
          <w:b/>
        </w:rPr>
        <w:t xml:space="preserve">DOI: </w:t>
      </w:r>
      <w:hyperlink r:id="rId945">
        <w:r>
          <w:rPr>
            <w:color w:val="1155CC"/>
            <w:u w:val="single"/>
          </w:rPr>
          <w:t>10.1038/s41563-026-02712-5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源自金属有机框架 (MOF) 的熔融淬火玻璃将玻璃的可加工性与 MOF 的模块化和微孔性结合在一起，但在结构和功能上仍不如晶体类似物多样化。在这里，我们展示了螯合配体 1,10-菲咯啉作为有机助熔剂，降低了选定 MOF 的玻璃化转变温度，并在熔化过程中诱导配体交换，从而能够控制 MOF 玻璃中的局部配位和全局拓扑。在公司</w:t>
      </w:r>
      <w:r>
        <w:t xml:space="preserve"> </w:t>
      </w:r>
      <w:r>
        <w:t>2+</w:t>
      </w:r>
      <w:r>
        <w:t xml:space="preserve"> </w:t>
      </w:r>
      <w:r>
        <w:t>基于系统，菲咯啉与金属节点配位，通过形成末端配体增加配位数并减少网络连接性。这种配位球工程提供了传统无机或有机玻璃中不易实现的结构控制水平。至关重要的是，较低的加工温度抑制了热分解，从而能够合成 Co</w:t>
      </w:r>
      <w:r>
        <w:t xml:space="preserve"> </w:t>
      </w:r>
      <w:r>
        <w:t>2+</w:t>
      </w:r>
      <w:r>
        <w:t xml:space="preserve"> </w:t>
      </w:r>
      <w:r>
        <w:t>基于 MOF 的玻璃不含磁性杂质。这些玻璃表现出反铁磁耦合，代表了通过熔融淬火形成的磁性 MOF 玻璃的独特示例。最后，我们将该策略扩展到其他不可熔化的基于羧酸盐的 MOF，将通量介导的配体交换建立为具有定制连接性和性能的混合玻璃的通用途径。</w:t>
      </w:r>
    </w:p>
    <w:p>
      <w:pPr>
        <w:spacing w:before="0" w:after="200" w:lineRule="auto" w:line="276"/>
      </w:pPr>
      <w:r>
        <w:rPr>
          <w:b/>
        </w:rPr>
        <w:t xml:space="preserve">Abstract (EN): </w:t>
      </w:r>
      <w:r>
        <w:t>Melt-quenched glasses derived from metal–organic frameworks (MOFs) combine the processability of glasses with the modularity and microporosity of MOFs, yet remain structurally and functionally less diverse than crystalline analogues. Here we show that the chelating ligand 1,10-phenanthroline acts as an organic flux that lowers the glass transition temperature of selected MOFs and induces ligand exchange during melting, thereby enabling control over local coordination and global topology in MOF glasses. In Co</w:t>
      </w:r>
      <w:r>
        <w:t xml:space="preserve"> </w:t>
      </w:r>
      <w:r>
        <w:t>2+</w:t>
      </w:r>
      <w:r>
        <w:t xml:space="preserve"> </w:t>
      </w:r>
      <w:r>
        <w:t>-based systems, phenanthroline coordinates to the metal nodes, increases the coordination number and reduces network connectivity by forming terminal ligands. This coordination sphere engineering affords a level of structural control not readily achievable in conventional inorganic or organic glasses. Crucially, the lower processing temperature suppresses thermal decomposition, enabling the synthesis of Co</w:t>
      </w:r>
      <w:r>
        <w:t xml:space="preserve"> </w:t>
      </w:r>
      <w:r>
        <w:t>2+</w:t>
      </w:r>
      <w:r>
        <w:t xml:space="preserve"> </w:t>
      </w:r>
      <w:r>
        <w:t>-based MOF glasses free of magnetic impurities. These glasses exhibit antiferromagnetic coupling and represent unique examples of magnetic MOF glasses formed by melt quenching. Finally, we extend the strategy to otherwise non-meltable carboxylate-based MOFs, establishing flux-mediated ligand exchange as a versatile route to hybrid glasses with tailored connectivity and properties.</w:t>
      </w:r>
    </w:p>
    <w:p>
      <w:pPr>
        <w:spacing w:before="120" w:after="120"/>
      </w:pPr>
      <w:r>
        <w:rPr>
          <w:sz w:val="18"/>
        </w:rPr>
        <w:t>——————————————————————————————————————————————————————————————————————</w:t>
      </w:r>
    </w:p>
    <w:p>
      <w:pPr>
        <w:spacing w:before="160" w:after="40" w:line="240" w:lineRule="auto"/>
      </w:pPr>
      <w:r>
        <w:rPr>
          <w:b/>
        </w:rPr>
        <w:t xml:space="preserve">[251] </w:t>
      </w:r>
      <w:hyperlink r:id="rId946">
        <w:r>
          <w:rPr>
            <w:color w:val="1155CC"/>
            <w:u w:val="single"/>
          </w:rPr>
          <w:t>通过近似狄拉克半金属进行垂直交变磁序的电操纵和检测</w:t>
        </w:r>
      </w:hyperlink>
    </w:p>
    <w:p>
      <w:pPr>
        <w:spacing w:before="0" w:after="80"/>
      </w:pPr>
      <w:r>
        <w:rPr>
          <w:i/>
          <w:sz w:val="20"/>
        </w:rPr>
        <w:t>EN: Electrical manipulation and detection of perpendicular altermagnetic order via a proximitized Dirac semimetal</w:t>
      </w:r>
    </w:p>
    <w:p>
      <w:pPr>
        <w:spacing w:before="0" w:after="120"/>
      </w:pPr>
      <w:r>
        <w:rPr>
          <w:b/>
        </w:rPr>
        <w:t xml:space="preserve">Source: </w:t>
      </w:r>
      <w:r>
        <w:t>Nature Materials</w:t>
      </w:r>
      <w:r>
        <w:t xml:space="preserve">    </w:t>
      </w:r>
      <w:r>
        <w:rPr>
          <w:b/>
        </w:rPr>
        <w:t xml:space="preserve">Pub date: </w:t>
      </w:r>
      <w:r>
        <w:t>2026-08-24 00:00:00+00:00</w:t>
      </w:r>
      <w:r>
        <w:t xml:space="preserve">    </w:t>
      </w:r>
      <w:r>
        <w:rPr>
          <w:b/>
        </w:rPr>
        <w:t xml:space="preserve">DOI: </w:t>
      </w:r>
      <w:hyperlink r:id="rId947">
        <w:r>
          <w:rPr>
            <w:color w:val="1155CC"/>
            <w:u w:val="single"/>
          </w:rPr>
          <w:t>10.1038/s41563-026-02721-4</w:t>
        </w:r>
      </w:hyperlink>
    </w:p>
    <w:p>
      <w:pPr>
        <w:spacing w:before="0" w:after="120"/>
      </w:pPr>
      <w:r>
        <w:rPr>
          <w:b/>
        </w:rPr>
        <w:t xml:space="preserve">Notes: </w:t>
      </w:r>
      <w:r>
        <w:t>abstract_source=pubmed</w:t>
      </w:r>
    </w:p>
    <w:p>
      <w:pPr>
        <w:spacing w:before="0" w:after="80" w:lineRule="auto" w:line="276"/>
      </w:pPr>
      <w:r>
        <w:rPr>
          <w:b/>
        </w:rPr>
        <w:t xml:space="preserve">摘要（ZH）: </w:t>
      </w:r>
      <w:r>
        <w:t>交替磁体将类反铁磁磁补偿与类铁磁破缺时间反转对称性相结合，为高密度和超快自旋电子应用带来了巨大前景。然而，垂直交变磁序的检测和切换从根本上受到磁对称性的限制，限制了基础研究和实际实现。在这里，我们通过设计 PtTe2/CrSb 的狄拉克半金属/交变磁体异质结构，展示了垂直交变磁序的稳健电学读数和确定性切换。该设计接口可通过交变邻近效应实现反常霍尔读数，并提供高效的自旋轨道扭矩，用于操纵 CrSb 中的外延垂直 Néel 矢量。这些发现极大地拓宽了交变磁异质结构的功能范围，并为可扩展的交变磁存储器铺平了道路。</w:t>
      </w:r>
    </w:p>
    <w:p>
      <w:pPr>
        <w:spacing w:before="0" w:after="200" w:lineRule="auto" w:line="276"/>
      </w:pPr>
      <w:r>
        <w:rPr>
          <w:b/>
        </w:rPr>
        <w:t xml:space="preserve">Abstract (EN): </w:t>
      </w:r>
      <w:r>
        <w:t>Altermagnets, which combine antiferromagnetic-like magnetic compensation with ferromagnetic-like broken time-reversal symmetry, hold great promise for high-density and ultrafast spintronic applications. However, the detection and switching of perpendicular altermagnetic order are fundamentally constrained by magnetic symmetry, restricting both fundamental studies and practical implementation. Here we demonstrate the robust electrical reading and deterministic switching of perpendicular altermagnetic order by designing a Dirac semimetal/altermagnet heterostructure of PtTe2/CrSb. This engineered interface enables anomalous Hall read-out via the altermagnetic proximity effect and delivers efficient spin-orbit torque for manipulating the epitaxial perpendicular Néel vector in CrSb. These findings substantially broaden the functional scope of altermagnetic heterostructures and pave the way for scalable altermagnetic memory.</w:t>
      </w:r>
    </w:p>
    <w:p>
      <w:pPr>
        <w:spacing w:before="120" w:after="120"/>
      </w:pPr>
      <w:r>
        <w:rPr>
          <w:sz w:val="18"/>
        </w:rPr>
        <w:t>——————————————————————————————————————————————————————————————————————</w:t>
      </w:r>
    </w:p>
    <w:p>
      <w:pPr>
        <w:spacing w:before="160" w:after="40" w:line="240" w:lineRule="auto"/>
      </w:pPr>
      <w:r>
        <w:rPr>
          <w:b/>
        </w:rPr>
        <w:t xml:space="preserve">[252] </w:t>
      </w:r>
      <w:hyperlink r:id="rId948">
        <w:r>
          <w:rPr>
            <w:color w:val="1155CC"/>
            <w:u w:val="single"/>
          </w:rPr>
          <w:t>前沿技术市场太狭窄——以下是拓宽市场的方法</w:t>
        </w:r>
      </w:hyperlink>
    </w:p>
    <w:p>
      <w:pPr>
        <w:spacing w:before="0" w:after="80"/>
      </w:pPr>
      <w:r>
        <w:rPr>
          <w:i/>
          <w:sz w:val="20"/>
        </w:rPr>
        <w:t>EN: Frontier-technology markets are too narrow — here’s how to widen them</w:t>
      </w:r>
    </w:p>
    <w:p>
      <w:pPr>
        <w:spacing w:before="0" w:after="120"/>
      </w:pPr>
      <w:r>
        <w:rPr>
          <w:b/>
        </w:rPr>
        <w:t xml:space="preserve">Source: </w:t>
      </w:r>
      <w:r>
        <w:t>Nature</w:t>
      </w:r>
      <w:r>
        <w:t xml:space="preserve">    </w:t>
      </w:r>
      <w:r>
        <w:rPr>
          <w:b/>
        </w:rPr>
        <w:t xml:space="preserve">Pub date: </w:t>
      </w:r>
      <w:r>
        <w:t>2026-08-24 00:00:00+00:00</w:t>
      </w:r>
      <w:r>
        <w:t xml:space="preserve">    </w:t>
      </w:r>
      <w:r>
        <w:rPr>
          <w:b/>
        </w:rPr>
        <w:t xml:space="preserve">DOI: </w:t>
      </w:r>
      <w:hyperlink r:id="rId949">
        <w:r>
          <w:rPr>
            <w:color w:val="1155CC"/>
            <w:u w:val="single"/>
          </w:rPr>
          <w:t>10.1038/d41586-026-02572-8</w:t>
        </w:r>
      </w:hyperlink>
    </w:p>
    <w:p>
      <w:pPr>
        <w:spacing w:before="0" w:after="120"/>
      </w:pPr>
      <w:r>
        <w:rPr>
          <w:b/>
        </w:rPr>
        <w:t xml:space="preserve">Notes: </w:t>
      </w:r>
      <w:r>
        <w:t>abstract_source=rss_nature</w:t>
      </w:r>
    </w:p>
    <w:p>
      <w:pPr>
        <w:spacing w:before="0" w:after="80" w:lineRule="auto" w:line="276"/>
      </w:pPr>
      <w:r>
        <w:rPr>
          <w:b/>
        </w:rPr>
        <w:t xml:space="preserve">摘要（ZH）: </w:t>
      </w:r>
      <w:r>
        <w:t>政府需要尽可能保持采购流程开放，否则他们将面临技术锁定的风险。</w:t>
      </w:r>
    </w:p>
    <w:p>
      <w:pPr>
        <w:spacing w:before="0" w:after="200" w:lineRule="auto" w:line="276"/>
      </w:pPr>
      <w:r>
        <w:rPr>
          <w:b/>
        </w:rPr>
        <w:t xml:space="preserve">Abstract (EN): </w:t>
      </w:r>
      <w:r>
        <w:t>Governments need to keep their procurement processes as open as possible, or they will face risks of technological lock-in down the line.</w:t>
      </w:r>
    </w:p>
    <w:p>
      <w:pPr>
        <w:spacing w:before="120" w:after="120"/>
      </w:pPr>
      <w:r>
        <w:rPr>
          <w:sz w:val="18"/>
        </w:rPr>
        <w:t>——————————————————————————————————————————————————————————————————————</w:t>
      </w:r>
    </w:p>
    <w:p>
      <w:pPr>
        <w:spacing w:before="160" w:after="40" w:line="240" w:lineRule="auto"/>
      </w:pPr>
      <w:r>
        <w:rPr>
          <w:b/>
        </w:rPr>
        <w:t xml:space="preserve">[253] </w:t>
      </w:r>
      <w:hyperlink r:id="rId950">
        <w:r>
          <w:rPr>
            <w:color w:val="1155CC"/>
            <w:u w:val="single"/>
          </w:rPr>
          <w:t>将患者自己的线粒体注射到眼睛中以试图恢复视力</w:t>
        </w:r>
      </w:hyperlink>
    </w:p>
    <w:p>
      <w:pPr>
        <w:spacing w:before="0" w:after="80"/>
      </w:pPr>
      <w:r>
        <w:rPr>
          <w:i/>
          <w:sz w:val="20"/>
        </w:rPr>
        <w:t>EN: Patient’s own mitochondria injected into eyes in attempt to restore vision</w:t>
      </w:r>
    </w:p>
    <w:p>
      <w:pPr>
        <w:spacing w:before="0" w:after="120"/>
      </w:pPr>
      <w:r>
        <w:rPr>
          <w:b/>
        </w:rPr>
        <w:t xml:space="preserve">Source: </w:t>
      </w:r>
      <w:r>
        <w:t>Nature</w:t>
      </w:r>
      <w:r>
        <w:t xml:space="preserve">    </w:t>
      </w:r>
      <w:r>
        <w:rPr>
          <w:b/>
        </w:rPr>
        <w:t xml:space="preserve">Pub date: </w:t>
      </w:r>
      <w:r>
        <w:t>2026-08-24 00:00:00+00:00</w:t>
      </w:r>
      <w:r>
        <w:t xml:space="preserve">    </w:t>
      </w:r>
      <w:r>
        <w:rPr>
          <w:b/>
        </w:rPr>
        <w:t xml:space="preserve">DOI: </w:t>
      </w:r>
      <w:hyperlink r:id="rId951">
        <w:r>
          <w:rPr>
            <w:color w:val="1155CC"/>
            <w:u w:val="single"/>
          </w:rPr>
          <w:t>10.1038/d41586-026-02616-z</w:t>
        </w:r>
      </w:hyperlink>
    </w:p>
    <w:p>
      <w:pPr>
        <w:spacing w:before="0" w:after="120"/>
      </w:pPr>
      <w:r>
        <w:rPr>
          <w:b/>
        </w:rPr>
        <w:t xml:space="preserve">Notes: </w:t>
      </w:r>
      <w:r>
        <w:t>abstract_source=rss_nature</w:t>
      </w:r>
    </w:p>
    <w:p>
      <w:pPr>
        <w:spacing w:before="0" w:after="80" w:lineRule="auto" w:line="276"/>
      </w:pPr>
      <w:r>
        <w:rPr>
          <w:b/>
        </w:rPr>
        <w:t xml:space="preserve">摘要（ZH）: </w:t>
      </w:r>
      <w:r>
        <w:t>将人自己的线粒体注射到视网膜中是安全的，但对恢复视力只能产生暂时的效果。</w:t>
      </w:r>
    </w:p>
    <w:p>
      <w:pPr>
        <w:spacing w:before="0" w:after="200" w:lineRule="auto" w:line="276"/>
      </w:pPr>
      <w:r>
        <w:rPr>
          <w:b/>
        </w:rPr>
        <w:t xml:space="preserve">Abstract (EN): </w:t>
      </w:r>
      <w:r>
        <w:t>Injection of a person’s own mitochondria into the retina was safe but had only a temporary effect on restoring vision.</w:t>
      </w:r>
    </w:p>
    <w:p>
      <w:pPr>
        <w:spacing w:before="120" w:after="120"/>
      </w:pPr>
      <w:r>
        <w:rPr>
          <w:sz w:val="18"/>
        </w:rPr>
        <w:t>——————————————————————————————————————————————————————————————————————</w:t>
      </w:r>
    </w:p>
    <w:p>
      <w:pPr>
        <w:spacing w:before="160" w:after="40" w:line="240" w:lineRule="auto"/>
      </w:pPr>
      <w:r>
        <w:rPr>
          <w:b/>
        </w:rPr>
        <w:t xml:space="preserve">[254] </w:t>
      </w:r>
      <w:hyperlink r:id="rId952">
        <w:r>
          <w:rPr>
            <w:color w:val="1155CC"/>
            <w:u w:val="single"/>
          </w:rPr>
          <w:t>每日简报：“雷震”如何探测地下地质</w:t>
        </w:r>
      </w:hyperlink>
    </w:p>
    <w:p>
      <w:pPr>
        <w:spacing w:before="0" w:after="80"/>
      </w:pPr>
      <w:r>
        <w:rPr>
          <w:i/>
          <w:sz w:val="20"/>
        </w:rPr>
        <w:t>EN: Daily briefing: How ‘thunderquakes’ probe underground geology</w:t>
      </w:r>
    </w:p>
    <w:p>
      <w:pPr>
        <w:spacing w:before="0" w:after="120"/>
      </w:pPr>
      <w:r>
        <w:rPr>
          <w:b/>
        </w:rPr>
        <w:t xml:space="preserve">Source: </w:t>
      </w:r>
      <w:r>
        <w:t>Nature</w:t>
      </w:r>
      <w:r>
        <w:t xml:space="preserve">    </w:t>
      </w:r>
      <w:r>
        <w:rPr>
          <w:b/>
        </w:rPr>
        <w:t xml:space="preserve">Pub date: </w:t>
      </w:r>
      <w:r>
        <w:t>2026-08-24 00:00:00+00:00</w:t>
      </w:r>
      <w:r>
        <w:t xml:space="preserve">    </w:t>
      </w:r>
      <w:r>
        <w:rPr>
          <w:b/>
        </w:rPr>
        <w:t xml:space="preserve">DOI: </w:t>
      </w:r>
      <w:hyperlink r:id="rId953">
        <w:r>
          <w:rPr>
            <w:color w:val="1155CC"/>
            <w:u w:val="single"/>
          </w:rPr>
          <w:t>10.1038/d41586-026-02665-4</w:t>
        </w:r>
      </w:hyperlink>
    </w:p>
    <w:p>
      <w:pPr>
        <w:spacing w:before="0" w:after="120"/>
      </w:pPr>
      <w:r>
        <w:rPr>
          <w:b/>
        </w:rPr>
        <w:t xml:space="preserve">Notes: </w:t>
      </w:r>
      <w:r>
        <w:t>abstract_source=rss_nature</w:t>
      </w:r>
    </w:p>
    <w:p>
      <w:pPr>
        <w:spacing w:before="0" w:after="80" w:lineRule="auto" w:line="276"/>
      </w:pPr>
      <w:r>
        <w:rPr>
          <w:b/>
        </w:rPr>
        <w:t xml:space="preserve">摘要（ZH）: </w:t>
      </w:r>
      <w:r>
        <w:t>雷声产生的声波可以帮助科学家探测地球，一个人自己的线粒体被注入他们的眼睛，试图恢复他们的视力，经济学家呼吁“支持工人”的人工智能。</w:t>
      </w:r>
    </w:p>
    <w:p>
      <w:pPr>
        <w:spacing w:before="0" w:after="200" w:lineRule="auto" w:line="276"/>
      </w:pPr>
      <w:r>
        <w:rPr>
          <w:b/>
        </w:rPr>
        <w:t xml:space="preserve">Abstract (EN): </w:t>
      </w:r>
      <w:r>
        <w:t>Thunder generates acoustic waves that can help scientists probe Earth, a person’s own mitochondria have been injected into their eyes in an attempt to restore their vision and economists call for ‘pro-worker’ AI.</w:t>
      </w:r>
    </w:p>
    <w:p>
      <w:pPr>
        <w:spacing w:before="120" w:after="120"/>
      </w:pPr>
      <w:r>
        <w:rPr>
          <w:sz w:val="18"/>
        </w:rPr>
        <w:t>——————————————————————————————————————————————————————————————————————</w:t>
      </w:r>
    </w:p>
    <w:p>
      <w:pPr>
        <w:spacing w:before="160" w:after="40" w:line="240" w:lineRule="auto"/>
      </w:pPr>
      <w:r>
        <w:rPr>
          <w:b/>
        </w:rPr>
        <w:t xml:space="preserve">[255] </w:t>
      </w:r>
      <w:hyperlink r:id="rId954">
        <w:r>
          <w:rPr>
            <w:color w:val="1155CC"/>
            <w:u w:val="single"/>
          </w:rPr>
          <w:t>生成社会学：利用大型语言模型来理解社会复杂性</w:t>
        </w:r>
      </w:hyperlink>
    </w:p>
    <w:p>
      <w:pPr>
        <w:spacing w:before="0" w:after="80"/>
      </w:pPr>
      <w:r>
        <w:rPr>
          <w:i/>
          <w:sz w:val="20"/>
        </w:rPr>
        <w:t>EN: Generative Sociology: Leveraging Large Language Models to Comprehend Social Complexity</w:t>
      </w:r>
    </w:p>
    <w:p>
      <w:pPr>
        <w:spacing w:before="0" w:after="120"/>
      </w:pPr>
      <w:r>
        <w:rPr>
          <w:b/>
        </w:rPr>
        <w:t xml:space="preserve">Source: </w:t>
      </w:r>
      <w:r>
        <w:t>National Science Review Advance Access</w:t>
      </w:r>
      <w:r>
        <w:t xml:space="preserve">    </w:t>
      </w:r>
      <w:r>
        <w:rPr>
          <w:b/>
        </w:rPr>
        <w:t xml:space="preserve">Pub date: </w:t>
      </w:r>
      <w:r>
        <w:t>2026-08-24 00:00:00+00:00</w:t>
      </w:r>
      <w:r>
        <w:t xml:space="preserve">    </w:t>
      </w:r>
      <w:r>
        <w:rPr>
          <w:b/>
        </w:rPr>
        <w:t xml:space="preserve">DOI: </w:t>
      </w:r>
      <w:hyperlink r:id="rId955">
        <w:r>
          <w:rPr>
            <w:color w:val="1155CC"/>
            <w:u w:val="single"/>
          </w:rPr>
          <w:t>10.1093/nsr/nwag513</w:t>
        </w:r>
      </w:hyperlink>
    </w:p>
    <w:p>
      <w:pPr>
        <w:spacing w:before="0" w:after="120"/>
      </w:pPr>
      <w:r>
        <w:rPr>
          <w:b/>
        </w:rPr>
        <w:t xml:space="preserve">Notes: </w:t>
      </w:r>
      <w:r>
        <w:t>abstract_source=crossref</w:t>
      </w:r>
    </w:p>
    <w:p>
      <w:pPr>
        <w:spacing w:before="0" w:after="80" w:lineRule="auto" w:line="276"/>
      </w:pPr>
      <w:r>
        <w:rPr>
          <w:b/>
        </w:rPr>
        <w:t xml:space="preserve">摘要（ZH）: </w:t>
      </w:r>
      <w:r>
        <w:t>本文提出了一种循环研究范式，引入基于主体的生成模拟，将社会实验扩展到传统实证研究的范围之外。</w:t>
      </w:r>
    </w:p>
    <w:p>
      <w:pPr>
        <w:spacing w:before="0" w:after="200" w:lineRule="auto" w:line="276"/>
      </w:pPr>
      <w:r>
        <w:rPr>
          <w:b/>
        </w:rPr>
        <w:t xml:space="preserve">Abstract (EN): </w:t>
      </w:r>
      <w:r>
        <w:t>This article proposes a cyclical research paradigm that introduces agent-based generative simulation, expanding social experimentation beyond the limits of traditional empirical research.</w:t>
      </w:r>
    </w:p>
    <w:p>
      <w:pPr>
        <w:spacing w:before="120" w:after="120"/>
      </w:pPr>
      <w:r>
        <w:rPr>
          <w:sz w:val="18"/>
        </w:rPr>
        <w:t>——————————————————————————————————————————————————————————————————————</w:t>
      </w:r>
    </w:p>
    <w:p>
      <w:pPr>
        <w:spacing w:before="160" w:after="40" w:line="240" w:lineRule="auto"/>
      </w:pPr>
      <w:r>
        <w:rPr>
          <w:b/>
        </w:rPr>
        <w:t xml:space="preserve">[256] </w:t>
      </w:r>
      <w:hyperlink r:id="rId956">
        <w:r>
          <w:rPr>
            <w:color w:val="1155CC"/>
            <w:u w:val="single"/>
          </w:rPr>
          <w:t>欧洲地面沉降的教训</w:t>
        </w:r>
      </w:hyperlink>
    </w:p>
    <w:p>
      <w:pPr>
        <w:spacing w:before="0" w:after="80"/>
      </w:pPr>
      <w:r>
        <w:rPr>
          <w:i/>
          <w:sz w:val="20"/>
        </w:rPr>
        <w:t>EN: Lessons learned from European land subsidence</w:t>
      </w:r>
    </w:p>
    <w:p>
      <w:pPr>
        <w:spacing w:before="0" w:after="120"/>
      </w:pPr>
      <w:r>
        <w:rPr>
          <w:b/>
        </w:rPr>
        <w:t xml:space="preserve">Source: </w:t>
      </w:r>
      <w:r>
        <w:t>Nature Sustainability</w:t>
      </w:r>
      <w:r>
        <w:t xml:space="preserve">    </w:t>
      </w:r>
      <w:r>
        <w:rPr>
          <w:b/>
        </w:rPr>
        <w:t xml:space="preserve">Pub date: </w:t>
      </w:r>
      <w:r>
        <w:t>2026-08-24 00:00:00+00:00</w:t>
      </w:r>
      <w:r>
        <w:t xml:space="preserve">    </w:t>
      </w:r>
      <w:r>
        <w:rPr>
          <w:b/>
        </w:rPr>
        <w:t xml:space="preserve">DOI: </w:t>
      </w:r>
      <w:hyperlink r:id="rId957">
        <w:r>
          <w:rPr>
            <w:color w:val="1155CC"/>
            <w:u w:val="single"/>
          </w:rPr>
          <w:t>10.1038/s41893-026-01918-4</w:t>
        </w:r>
      </w:hyperlink>
    </w:p>
    <w:p>
      <w:pPr>
        <w:spacing w:before="0" w:after="120"/>
      </w:pPr>
      <w:r>
        <w:rPr>
          <w:b/>
        </w:rPr>
        <w:t xml:space="preserve">Notes: </w:t>
      </w:r>
      <w:r>
        <w:t>abstract_source=rss_nature</w:t>
      </w:r>
    </w:p>
    <w:p>
      <w:pPr>
        <w:spacing w:before="0" w:after="80" w:lineRule="auto" w:line="276"/>
      </w:pPr>
      <w:r>
        <w:rPr>
          <w:b/>
        </w:rPr>
        <w:t xml:space="preserve">摘要（ZH）: </w:t>
      </w:r>
      <w:r>
        <w:t>数百万人受到地面沉降的影响，而人为驱动因素又加速了地面沉降。在整个欧洲，研究和政策的重点是管理这些驱动因素并减轻其影响，数据和监测基础设施在应对未来挑战中发挥着关键作用。</w:t>
      </w:r>
    </w:p>
    <w:p>
      <w:pPr>
        <w:spacing w:before="0" w:after="200" w:lineRule="auto" w:line="276"/>
      </w:pPr>
      <w:r>
        <w:rPr>
          <w:b/>
        </w:rPr>
        <w:t xml:space="preserve">Abstract (EN): </w:t>
      </w:r>
      <w:r>
        <w:t>Millions of people are impacted by land subsidence, which is accelerated by human-induced drivers. Across Europe, research and policy is focused on managing these drivers and mitigating their influence, with data and monitoring infrastructure playing a key role in tackling future challenges.</w:t>
      </w:r>
    </w:p>
    <w:p>
      <w:pPr>
        <w:spacing w:before="120" w:after="120"/>
      </w:pPr>
      <w:r>
        <w:rPr>
          <w:sz w:val="18"/>
        </w:rPr>
        <w:t>——————————————————————————————————————————————————————————————————————</w:t>
      </w:r>
    </w:p>
    <w:p>
      <w:pPr>
        <w:spacing w:before="160" w:after="40" w:line="240" w:lineRule="auto"/>
      </w:pPr>
      <w:r>
        <w:rPr>
          <w:b/>
        </w:rPr>
        <w:t xml:space="preserve">[257] </w:t>
      </w:r>
      <w:hyperlink r:id="rId958">
        <w:r>
          <w:rPr>
            <w:color w:val="1155CC"/>
            <w:u w:val="single"/>
          </w:rPr>
          <w:t>人工智能可以有意识吗？这个问题源于一个误解</w:t>
        </w:r>
      </w:hyperlink>
    </w:p>
    <w:p>
      <w:pPr>
        <w:spacing w:before="0" w:after="80"/>
      </w:pPr>
      <w:r>
        <w:rPr>
          <w:i/>
          <w:sz w:val="20"/>
        </w:rPr>
        <w:t>EN: Can AI ever be conscious? The question stems from a misconception</w:t>
      </w:r>
    </w:p>
    <w:p>
      <w:pPr>
        <w:spacing w:before="0" w:after="120"/>
      </w:pPr>
      <w:r>
        <w:rPr>
          <w:b/>
        </w:rPr>
        <w:t xml:space="preserve">Source: </w:t>
      </w:r>
      <w:r>
        <w:t>Nature</w:t>
      </w:r>
      <w:r>
        <w:t xml:space="preserve">    </w:t>
      </w:r>
      <w:r>
        <w:rPr>
          <w:b/>
        </w:rPr>
        <w:t xml:space="preserve">Pub date: </w:t>
      </w:r>
      <w:r>
        <w:t>2026-08-24 00:00:00+00:00</w:t>
      </w:r>
      <w:r>
        <w:t xml:space="preserve">    </w:t>
      </w:r>
      <w:r>
        <w:rPr>
          <w:b/>
        </w:rPr>
        <w:t xml:space="preserve">DOI: </w:t>
      </w:r>
      <w:hyperlink r:id="rId959">
        <w:r>
          <w:rPr>
            <w:color w:val="1155CC"/>
            <w:u w:val="single"/>
          </w:rPr>
          <w:t>10.1038/d41586-026-02571-9</w:t>
        </w:r>
      </w:hyperlink>
    </w:p>
    <w:p>
      <w:pPr>
        <w:spacing w:before="0" w:after="120"/>
      </w:pPr>
      <w:r>
        <w:rPr>
          <w:b/>
        </w:rPr>
        <w:t xml:space="preserve">Notes: </w:t>
      </w:r>
      <w:r>
        <w:t>abstract_source=rss_nature</w:t>
      </w:r>
    </w:p>
    <w:p>
      <w:pPr>
        <w:spacing w:before="0" w:after="80" w:lineRule="auto" w:line="276"/>
      </w:pPr>
      <w:r>
        <w:rPr>
          <w:b/>
        </w:rPr>
        <w:t xml:space="preserve">摘要（ZH）: </w:t>
      </w:r>
      <w:r>
        <w:t>一本书概述了人工智能、心理学和哲学领域如何忽视了意识的一个关键方面：身体。</w:t>
      </w:r>
    </w:p>
    <w:p>
      <w:pPr>
        <w:spacing w:before="0" w:after="200" w:lineRule="auto" w:line="276"/>
      </w:pPr>
      <w:r>
        <w:rPr>
          <w:b/>
        </w:rPr>
        <w:t xml:space="preserve">Abstract (EN): </w:t>
      </w:r>
      <w:r>
        <w:t>A book outlines how the fields of artificial intelligence, psychology and philosophy have neglected a key aspect of consciousness: the body.</w:t>
      </w:r>
    </w:p>
    <w:p>
      <w:pPr>
        <w:spacing w:before="120" w:after="120"/>
      </w:pPr>
      <w:r>
        <w:rPr>
          <w:sz w:val="18"/>
        </w:rPr>
        <w:t>——————————————————————————————————————————————————————————————————————</w:t>
      </w:r>
    </w:p>
    <w:p>
      <w:pPr>
        <w:spacing w:before="160" w:after="40" w:line="240" w:lineRule="auto"/>
      </w:pPr>
      <w:r>
        <w:rPr>
          <w:b/>
        </w:rPr>
        <w:t xml:space="preserve">[258] </w:t>
      </w:r>
      <w:hyperlink r:id="rId960">
        <w:r>
          <w:rPr>
            <w:color w:val="1155CC"/>
            <w:u w:val="single"/>
          </w:rPr>
          <w:t>具有 0.06 V 设定电压和高开关比的基于脱氧核糖核酸砖晶体的纺织忆阻器，作为神经形态计算的人工突触</w:t>
        </w:r>
      </w:hyperlink>
    </w:p>
    <w:p>
      <w:pPr>
        <w:spacing w:before="0" w:after="80"/>
      </w:pPr>
      <w:r>
        <w:rPr>
          <w:i/>
          <w:sz w:val="20"/>
        </w:rPr>
        <w:t>EN: Deoxyribonucleic Acid Brick Crystal-Based Textile Memristor with a Set Voltage of 0.06 V and a High Switching Ratio as an Artificial Synapse for Neuromorphic Computing</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961">
        <w:r>
          <w:rPr>
            <w:color w:val="1155CC"/>
            <w:u w:val="single"/>
          </w:rPr>
          <w:t>10.1021/acsami.6c06863</w:t>
        </w:r>
      </w:hyperlink>
    </w:p>
    <w:p>
      <w:pPr>
        <w:spacing w:before="0" w:after="120"/>
      </w:pPr>
      <w:r>
        <w:rPr>
          <w:b/>
        </w:rPr>
        <w:t xml:space="preserve">Notes: </w:t>
      </w:r>
      <w:r>
        <w:t>abstract_source=crossref</w:t>
      </w:r>
    </w:p>
    <w:p>
      <w:pPr>
        <w:spacing w:before="0" w:after="80" w:lineRule="auto" w:line="276"/>
      </w:pPr>
      <w:r>
        <w:rPr>
          <w:b/>
        </w:rPr>
        <w:t xml:space="preserve">摘要（ZH）: </w:t>
      </w:r>
      <w:r>
        <w:t>摘要 基于生物材料的忆阻器突触为创建高性能有机存储器件提供了可能性，在下一代环保神经形态计算中发挥着重要作用。脱氧核糖核酸（DNA）具有独特的导电性以及物理和化学稳定性，在自然界中广泛分布，已被用于阻变（RS）层以制备忆阻器。然而，所报道的基于DNA的忆阻器还需要进一步优化，以提高设定电压、开关比和能耗方面的性能。在此，我们展示了一种基于DNA砖晶体（DNAbc）的纺织忆阻器，它具有0.06 V的超低设置电压、107的高开关比、0.84/0.50 pJ的低设置/重置能耗，以及良好的循环稳定性和数据保留能力。与基于DNA的链状忆阻器相比，基于DNAbc的器件表现出优异的RS性能，展示了DNA砖晶体策略的优势，这可能与DNAbc结构中DNA螺旋的有序堆积和排列有关。为了进一步探索其神经形态计算应用的潜力，该设备被证明可以模拟典型的突触功能，包括长期增强/抑制、配对脉冲促进以及从短期可塑性到长期可塑性的转变。特别是，构建了 7 × 7 忆阻器阵列，以模拟基于尖峰电压依赖的可塑性特性的信号滤波功能。</w:t>
      </w:r>
    </w:p>
    <w:p>
      <w:pPr>
        <w:spacing w:before="0" w:after="200" w:lineRule="auto" w:line="276"/>
      </w:pPr>
      <w:r>
        <w:rPr>
          <w:b/>
        </w:rPr>
        <w:t xml:space="preserve">Abstract (EN): </w:t>
      </w:r>
      <w:r>
        <w:t>Memristor synapses based on biomaterials provide the possibility of creating high-performance organic memory devices, which play an important role in next-generation eco-friendly neuromorphic computing. Deoxyribonucleic acid (DNA) has unique electrical conductivity, as well as physical and chemical stability, which is extensively distributed in nature, and it has been used in the resistive switching (RS) layer to prepare memristors. However, the reported DNA-based memristors also require further optimization to improve the performance in terms of set voltage, switching ratio, and energy consumption. Herein, we demonstrate a DNA brick crystal (DNAbc)-based textile memristor, which shows an ultralow set voltage of 0.06 V, a high switching ratio of 107, a low set/reset energy consumption of 0.84/0.50 pJ, as well as good cycling stability and data retention capability. Compared with stranded DNA-based memristors, the DNAbc-based device exhibits superior RS performance, demonstrating the advantage of the DNA brick crystal strategy, which may be related to the ordered packing and arrangement of DNA helices in the DNAbc structure. To further explore its potential for neuromorphic computing applications, the device was demonstrated to emulate typical synaptic functions, including long-term potentiation/depression, paired-pulse facilitation, and the transition from short-term plasticity to long-term plasticity. In particular, a 7 × 7 memristor array was constructed to simulate the signal filtering function based on the spiking-voltage-dependent plasticity characteristic of the device. In image recognition using the CIFAR-10 dataset, the constructed network achieved an accuracy of 92.54%, which remained at 90.96% even when 50% noise was added to the input dataset, with corresponding loss functions of 0.06 and 0.21 under noise-free and 50% noise conditions, respectively. This work lays a foundation for the construction of wearable neuromorphic computing electronics and significantly advances the development of future computing textile systems.</w:t>
      </w:r>
    </w:p>
    <w:p>
      <w:pPr>
        <w:spacing w:before="120" w:after="120"/>
      </w:pPr>
      <w:r>
        <w:rPr>
          <w:sz w:val="18"/>
        </w:rPr>
        <w:t>——————————————————————————————————————————————————————————————————————</w:t>
      </w:r>
    </w:p>
    <w:p>
      <w:pPr>
        <w:spacing w:before="160" w:after="40" w:line="240" w:lineRule="auto"/>
      </w:pPr>
      <w:r>
        <w:rPr>
          <w:b/>
        </w:rPr>
        <w:t xml:space="preserve">[259] </w:t>
      </w:r>
      <w:hyperlink r:id="rId962">
        <w:r>
          <w:rPr>
            <w:color w:val="1155CC"/>
            <w:u w:val="single"/>
          </w:rPr>
          <w:t>使用自整流忆阻器阵列的拓扑塑性储层计算</w:t>
        </w:r>
      </w:hyperlink>
    </w:p>
    <w:p>
      <w:pPr>
        <w:spacing w:before="0" w:after="80"/>
      </w:pPr>
      <w:r>
        <w:rPr>
          <w:i/>
          <w:sz w:val="20"/>
        </w:rPr>
        <w:t>EN: Topologically Plastic Reservoir Computing with Self-rectifying Memristor Arrays</w:t>
      </w:r>
    </w:p>
    <w:p>
      <w:pPr>
        <w:spacing w:before="0" w:after="120"/>
      </w:pPr>
      <w:r>
        <w:rPr>
          <w:b/>
        </w:rPr>
        <w:t xml:space="preserve">Source: </w:t>
      </w:r>
      <w:r>
        <w:t>National Science Review Advance Access</w:t>
      </w:r>
      <w:r>
        <w:t xml:space="preserve">    </w:t>
      </w:r>
      <w:r>
        <w:rPr>
          <w:b/>
        </w:rPr>
        <w:t xml:space="preserve">Pub date: </w:t>
      </w:r>
      <w:r>
        <w:t>2026-08-24 00:00:00+00:00</w:t>
      </w:r>
      <w:r>
        <w:t xml:space="preserve">    </w:t>
      </w:r>
      <w:r>
        <w:rPr>
          <w:b/>
        </w:rPr>
        <w:t xml:space="preserve">DOI: </w:t>
      </w:r>
      <w:hyperlink r:id="rId963">
        <w:r>
          <w:rPr>
            <w:color w:val="1155CC"/>
            <w:u w:val="single"/>
          </w:rPr>
          <w:t>10.1093/nsr/nwag525</w:t>
        </w:r>
      </w:hyperlink>
    </w:p>
    <w:p>
      <w:pPr>
        <w:spacing w:before="0" w:after="120"/>
      </w:pPr>
      <w:r>
        <w:rPr>
          <w:b/>
        </w:rPr>
        <w:t xml:space="preserve">Notes: </w:t>
      </w:r>
      <w:r>
        <w:t>abstract_source=rss_oup</w:t>
      </w:r>
    </w:p>
    <w:p>
      <w:pPr>
        <w:spacing w:before="0" w:after="80" w:lineRule="auto" w:line="276"/>
      </w:pPr>
      <w:r>
        <w:rPr>
          <w:b/>
        </w:rPr>
        <w:t xml:space="preserve">摘要（ZH）: </w:t>
      </w:r>
      <w:r>
        <w:t>预测高维混沌系统（例如气象和气候动力学）的演化需要能够捕获复杂时空相关性的硬件高效框架。虽然储层计算（RC）提供了一种有前途的方法，但传统的实现方式受到固定网络拓扑的限制，无法适应现实世界混沌固有的非平稳、多尺度动态。在这里，我们介绍了一种具有拓扑可塑性的可重构 RC 系统，其核心功能本质上是由新型自整流忆阻器 (SRM) 阵列实现的。 SRM 器件具有高整流比 (&gt;106) 和 128 个可区分的电导状态，表现出独特的电压门控三模操作：用于局部非线性计算的低电压状态 (0–2 V)；高电压状态（2.5-3 V）可引起稳定的电阻切换，从而实现全局储层连通性的动态硬件级重新配置；以及阻止互导串扰的负电压状态 (−2V–0)。这种三模式操作允许物理硬件基板本身（16 kb SRM 阵列）改变其互连拓扑，以直接响应操作需求。当应用于经典洛伦兹系统时，我们的模型实现了 0.0613 的归一化均方误差 (NMSE)，核心阵列能量成本为 0.83 pJ/op。在气象动力学预报中，该系统在物理上实现了自适应调整的小世界网络库，在 30 天内保持 &gt; 90% 的逐帧精度，与固定拓扑相比提高了 7.6%</w:t>
      </w:r>
    </w:p>
    <w:p>
      <w:pPr>
        <w:spacing w:before="0" w:after="200" w:lineRule="auto" w:line="276"/>
      </w:pPr>
      <w:r>
        <w:rPr>
          <w:b/>
        </w:rPr>
        <w:t xml:space="preserve">Abstract (EN): </w:t>
      </w:r>
      <w:r>
        <w:t>Predicting the evolution of high-dimensional chaotic systems, such as meteorological and climate dynamics, demands hardware-efficient frameworks capable of capturing complex spatio-temporal correlations. While reservoir computing (RC) offers a promising approach, conventional implementations are constrained by fixed network topologies that cannot adapt to the non-stationary, multi-scale dynamics inherent to real-world chaos. Here, we introduce a reconfigurable RC system with topological plasticity whose core functionality is intrinsically enabled by a novel self-rectifying memristor (SRM) array. The SRM device, featuring high rectification ratio (&gt;106) and 128 distinguishable conductance states, exhibits a unique voltage-gated tri-modal operation: a low-voltage regime (0–2 V) for local nonlinear computation; a high-voltage regime (2.5–3 V) that induces stable resistive switching, enabling dynamic, hardware-level reconfiguration of global reservoir connectivity; and a negative-voltage regime (−2V–0) that blocks inter-conductance crosstalk. This tri-modal operation allows the physical hardware substrate itself—a 16 kb SRM array—to morph its interconnect topology in direct response to operational demands. When applied to the classical Lorenz system, our model achieves normalized mean squared error (NMSE) of 0.0613 with a core-array energy cost of 0.83 pJ/op. In meteorological dynamics forecasting, the system physically implements an adaptively tuned small‑world network reservoir, sustaining &gt; 90% frame‑by‑frame accuracy over 30 days—a 7.6% improvement versus the fixed‑topology reservoir hardware. Our work establishes a new paradigm of adaptive neuromorphic computing driven by device physics, providing a transformative hardware solution for the energy-efficient and high-fidelity forecasting of complex environmental phenomena.</w:t>
      </w:r>
    </w:p>
    <w:p>
      <w:pPr>
        <w:spacing w:before="120" w:after="120"/>
      </w:pPr>
      <w:r>
        <w:rPr>
          <w:sz w:val="18"/>
        </w:rPr>
        <w:t>——————————————————————————————————————————————————————————————————————</w:t>
      </w:r>
    </w:p>
    <w:p>
      <w:pPr>
        <w:spacing w:before="160" w:after="40" w:line="240" w:lineRule="auto"/>
      </w:pPr>
      <w:r>
        <w:rPr>
          <w:b/>
        </w:rPr>
        <w:t xml:space="preserve">[260] </w:t>
      </w:r>
      <w:hyperlink r:id="rId964">
        <w:r>
          <w:rPr>
            <w:color w:val="1155CC"/>
            <w:u w:val="single"/>
          </w:rPr>
          <w:t>克级微生物合成金丝桃素（一种低丰度复杂植物化学候选药物）</w:t>
        </w:r>
      </w:hyperlink>
    </w:p>
    <w:p>
      <w:pPr>
        <w:spacing w:before="0" w:after="80"/>
      </w:pPr>
      <w:r>
        <w:rPr>
          <w:i/>
          <w:sz w:val="20"/>
        </w:rPr>
        <w:t>EN: Gram-scale microbial synthesis of hypericin, a low-abundance complex phytochemical drug candidate</w:t>
      </w:r>
    </w:p>
    <w:p>
      <w:pPr>
        <w:spacing w:before="0" w:after="120"/>
      </w:pPr>
      <w:r>
        <w:rPr>
          <w:b/>
        </w:rPr>
        <w:t xml:space="preserve">Source: </w:t>
      </w:r>
      <w:r>
        <w:t>National Science Review Advance Access</w:t>
      </w:r>
      <w:r>
        <w:t xml:space="preserve">    </w:t>
      </w:r>
      <w:r>
        <w:rPr>
          <w:b/>
        </w:rPr>
        <w:t xml:space="preserve">Pub date: </w:t>
      </w:r>
      <w:r>
        <w:t>2026-08-24 00:00:00+00:00</w:t>
      </w:r>
      <w:r>
        <w:t xml:space="preserve">    </w:t>
      </w:r>
      <w:r>
        <w:rPr>
          <w:b/>
        </w:rPr>
        <w:t xml:space="preserve">DOI: </w:t>
      </w:r>
      <w:hyperlink r:id="rId965">
        <w:r>
          <w:rPr>
            <w:color w:val="1155CC"/>
            <w:u w:val="single"/>
          </w:rPr>
          <w:t>10.1093/nsr/nwag517</w:t>
        </w:r>
      </w:hyperlink>
    </w:p>
    <w:p>
      <w:pPr>
        <w:spacing w:before="0" w:after="120"/>
      </w:pPr>
      <w:r>
        <w:rPr>
          <w:b/>
        </w:rPr>
        <w:t xml:space="preserve">Notes: </w:t>
      </w:r>
      <w:r>
        <w:t>abstract_source=rss_oup</w:t>
      </w:r>
    </w:p>
    <w:p>
      <w:pPr>
        <w:spacing w:before="0" w:after="80" w:lineRule="auto" w:line="276"/>
      </w:pPr>
      <w:r>
        <w:rPr>
          <w:b/>
        </w:rPr>
        <w:t xml:space="preserve">摘要（ZH）: </w:t>
      </w:r>
      <w:r>
        <w:t>金丝桃素是一种有前景的肿瘤学和银屑病 II/III 期候选药物，但其可持续供应存在问题：多步合成需要大量资源，并且异源表达会被未知的植物途径阻断。在这里，我们重新设计了黄枝孢菌中的聚酮化合物生物合成途径</w:t>
      </w:r>
    </w:p>
    <w:p>
      <w:pPr>
        <w:spacing w:before="0" w:after="200" w:lineRule="auto" w:line="276"/>
      </w:pPr>
      <w:r>
        <w:rPr>
          <w:b/>
        </w:rPr>
        <w:t xml:space="preserve">Abstract (EN): </w:t>
      </w:r>
      <w:r>
        <w:t>Hypericin is a promising Phase II/III drug candidate for oncology and psoriasis, yet its sustainable supply is problematic: multi-step synthesis is resource-intensive, and heterologous expression is blocked by the unknown plant pathway. Here, we re-engineer the polyketide biosynthetic pathways in Cladosporium fulvum</w:t>
      </w:r>
    </w:p>
    <w:p>
      <w:pPr>
        <w:spacing w:before="120" w:after="120"/>
      </w:pPr>
      <w:r>
        <w:rPr>
          <w:sz w:val="18"/>
        </w:rPr>
        <w:t>——————————————————————————————————————————————————————————————————————</w:t>
      </w:r>
    </w:p>
    <w:p>
      <w:pPr>
        <w:spacing w:before="160" w:after="40" w:line="240" w:lineRule="auto"/>
      </w:pPr>
      <w:r>
        <w:rPr>
          <w:b/>
        </w:rPr>
        <w:t xml:space="preserve">[261] </w:t>
      </w:r>
      <w:hyperlink r:id="rId966">
        <w:r>
          <w:rPr>
            <w:color w:val="1155CC"/>
            <w:u w:val="single"/>
          </w:rPr>
          <w:t>不对称 Fe 单原子中的 Fe 3 d 电子离域可实现非自由基过一硫酸盐活化以降解微污染物</w:t>
        </w:r>
      </w:hyperlink>
    </w:p>
    <w:p>
      <w:pPr>
        <w:spacing w:before="0" w:after="80"/>
      </w:pPr>
      <w:r>
        <w:rPr>
          <w:i/>
          <w:sz w:val="20"/>
        </w:rPr>
        <w:t>EN: Fe 3 d Electron Delocalization in Asymmetric Fe Single Atoms Enables Nonradical Peroxymonosulfate Activation for Micropollutant Degradation</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967">
        <w:r>
          <w:rPr>
            <w:color w:val="1155CC"/>
            <w:u w:val="single"/>
          </w:rPr>
          <w:t>10.1021/acsami.6c08861</w:t>
        </w:r>
      </w:hyperlink>
    </w:p>
    <w:p>
      <w:pPr>
        <w:spacing w:before="0" w:after="120"/>
      </w:pPr>
      <w:r>
        <w:rPr>
          <w:b/>
        </w:rPr>
        <w:t xml:space="preserve">Notes: </w:t>
      </w:r>
      <w:r>
        <w:t>abstract_source=crossref</w:t>
      </w:r>
    </w:p>
    <w:p>
      <w:pPr>
        <w:spacing w:before="0" w:after="80" w:lineRule="auto" w:line="276"/>
      </w:pPr>
      <w:r>
        <w:rPr>
          <w:b/>
        </w:rPr>
        <w:t xml:space="preserve">摘要（ZH）: </w:t>
      </w:r>
      <w:r>
        <w:t>摘要 非自由基过一硫酸盐（PMS）活化为微污染物降解提供了一条选择性途径，但单原子位点氧化剂形态的轨道水平起源仍不清楚。在此，通过熔盐辅助热解沸石咪唑酯骨架前驱体合成了不对称 Fe 单原子催化剂 (Fe-N3-VN-C)，其中 NaCl 蚀刻丰富了吡咯-N 锚并稳定了低配位 Fe 中心。 Fe-N3-VN-C 在 3.5-9.5 的广泛 pH 范围内和废水基质中能够有效降解富电子微污染物，例如磺胺甲恶唑。通过猝灭实验和电子顺磁共振波谱的研究表明，单线态氧 (1O2) 是主要的活性物质，仅具有较小的自由基贡献。密度泛函理论计算表明，不对称配位会引起Fe 3d电子离域，从而增强Fe 3d-O 2p耦合，增强Fe-O共价性，加速界面电荷转移，并稳定Fe-O中间体。此外，相邻的吡咯N与Fe配合使吸附的污染物极化，形成双位点中心，促进选择性1O2的生成。这项工作确立了 Fe 3d 电子离域作为非自由基 PMS 活化的关键电子起源，并为设计用于实际水净化的单原子催化剂提供了机理基础。</w:t>
      </w:r>
    </w:p>
    <w:p>
      <w:pPr>
        <w:spacing w:before="0" w:after="200" w:lineRule="auto" w:line="276"/>
      </w:pPr>
      <w:r>
        <w:rPr>
          <w:b/>
        </w:rPr>
        <w:t xml:space="preserve">Abstract (EN): </w:t>
      </w:r>
      <w:r>
        <w:t>Nonradical peroxymonosulfate (PMS) activation provides a selective route for micropollutant degradation, yet the orbital-level origin of oxidant speciation at single-atom sites remains unclear. Herein, an asymmetric Fe single-atom catalyst (Fe–N3–VN–C) is synthesized via molten-salt-assisted pyrolysis of a zeolitic imidazolate framework precursor, where NaCl etching enriches pyrrolic-N anchors and stabilizes low-coordination Fe centers. Fe–N3–VN–C exhibits efficient degradation of electron-rich micropollutants, exemplified by sulfamethoxazole, over a wide pH range of 3.5–9.5 and in wastewater matrices. The study through quenching experiments and electron paramagnetic resonance spectroscopy indicates singlet oxygen (1O2) as the dominant reactive species, with only minor radical contributions. The density functional theory calculations reveal that asymmetric coordination induces Fe 3d electron delocalization, which reinforces Fe 3d–O 2p coupling, strengthens Fe–O covalency, accelerates interfacial charge transfer, and stabilizes Fe–O intermediates. In addition, adjacent pyrrolic N cooperates with Fe to polarize adsorbed pollutants, forming a dual-site center that promotes selective 1O2 generation. This work establishes Fe 3d electron delocalization as a key electronic origin of nonradical PMS activation and provides a mechanistic basis for designing single-atom catalysts for practical water purification.</w:t>
      </w:r>
    </w:p>
    <w:p>
      <w:pPr>
        <w:spacing w:before="120" w:after="120"/>
      </w:pPr>
      <w:r>
        <w:rPr>
          <w:sz w:val="18"/>
        </w:rPr>
        <w:t>——————————————————————————————————————————————————————————————————————</w:t>
      </w:r>
    </w:p>
    <w:p>
      <w:pPr>
        <w:spacing w:before="160" w:after="40" w:line="240" w:lineRule="auto"/>
      </w:pPr>
      <w:r>
        <w:rPr>
          <w:b/>
        </w:rPr>
        <w:t xml:space="preserve">[262] </w:t>
      </w:r>
      <w:hyperlink r:id="rId968">
        <w:r>
          <w:rPr>
            <w:color w:val="1155CC"/>
            <w:u w:val="single"/>
          </w:rPr>
          <w:t>叶绿体启发的治疗诊断纳米平台，用于自我维持的增氧光动力疗法和谷胱甘肽触发的碳中心自由基协同疗法</w:t>
        </w:r>
      </w:hyperlink>
    </w:p>
    <w:p>
      <w:pPr>
        <w:spacing w:before="0" w:after="80"/>
      </w:pPr>
      <w:r>
        <w:rPr>
          <w:i/>
          <w:sz w:val="20"/>
        </w:rPr>
        <w:t>EN: A Chloroplast-Inspired Theranostic Nanoplatform for Self-Sustaining Oxygen-Elevating Photodynamic Therapy and Glutathione-Triggered Carbon-Centered Radical Synergistic Therapy</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969">
        <w:r>
          <w:rPr>
            <w:color w:val="1155CC"/>
            <w:u w:val="single"/>
          </w:rPr>
          <w:t>10.1021/acsami.6c12420</w:t>
        </w:r>
      </w:hyperlink>
    </w:p>
    <w:p>
      <w:pPr>
        <w:spacing w:before="0" w:after="120"/>
      </w:pPr>
      <w:r>
        <w:rPr>
          <w:b/>
        </w:rPr>
        <w:t xml:space="preserve">Notes: </w:t>
      </w:r>
      <w:r>
        <w:t>abstract_source=crossref</w:t>
      </w:r>
    </w:p>
    <w:p>
      <w:pPr>
        <w:spacing w:before="0" w:after="80" w:lineRule="auto" w:line="276"/>
      </w:pPr>
      <w:r>
        <w:rPr>
          <w:b/>
        </w:rPr>
        <w:t xml:space="preserve">摘要（ZH）: </w:t>
      </w:r>
      <w:r>
        <w:t>摘要 实现药物精确递送至肿瘤部位可以最大限度地减少脱靶效应引起的全身副作用。作为一种依赖于氧含量的疗法，光动力疗法（PDT）受到肿瘤微环境（TME）缺氧性质的显着限制。与单一PDT的有限疗效相比，多种治疗方式的联合可以实现协同增强和更优的治疗效果。由于碳自由基疗法不依赖氧作为反应底物，因此它在机制上与氧依赖性 PDT 互补。在这项工作中，我们报告了一种新策略，用于开发治疗诊断纳米平台，用于通过 1530 nm 激光照射和谷胱甘肽 (GSH) 触发的碳中心自由基协同疗法激活长效 PDT，该疗法特异性响应 TME。该治疗诊断纳米平台（UCNPs@WOR：AF@CDC，UWAC）由三个组件组成：GSH响应性工程囊泡（CDC）、封装镧系元素上转换纳米颗粒的功能化金属有机框架（WOR）（UCNPs@WOR，UW）和碳自由基前药（ART-Fe，AF）。基于镧系元素的上转换纳米颗粒 (UCNP) 可以将 1530 nm 光上转换为 1390 nm，用于衰减最小化的第二近红外 (NIR-II) 荧光成像，并转换为可见光，作为水氧化光催化的光源。 1530 nm 光激活活性氧 (ROS) 的产生，通过 UW 介导的水解氧释放增强，与 GSH 触发的碳自由基前药释放协同作用</w:t>
      </w:r>
    </w:p>
    <w:p>
      <w:pPr>
        <w:spacing w:before="0" w:after="200" w:lineRule="auto" w:line="276"/>
      </w:pPr>
      <w:r>
        <w:rPr>
          <w:b/>
        </w:rPr>
        <w:t xml:space="preserve">Abstract (EN): </w:t>
      </w:r>
      <w:r>
        <w:t>Achieving precise drug delivery to the tumor site can minimize systemic side effects caused by off-target effects. As a therapy that depends on oxygen content, photodynamic therapy (PDT) is significantly constrained by the hypoxic nature of the tumor microenvironment (TME). Compared with the limited efficacy of single PDT, the combination of multiple treatment modalities can achieve synergistic enhancement and superior therapeutic outcomes. Since carbon radical therapy does not rely on oxygen as a reactive substrate, it is mechanistically complementary to oxygen-dependent PDT. In this work, we report a novel strategy for developing a theranostic nanoplatform for long-lasting PDT activated by 1530 nm laser irradiation and glutathione (GSH)-triggered carbon-centered radical synergistic therapy that responds specifically to the TME. This theranostic nanoplatform (UCNPs@WOR:AF@CDC, UWAC) comprises three components: GSH-responsive engineered vesicles (CDC), functionalized metal-organic frameworks (WOR) encapsulating lanthanide upconversion nanoparticles (UCNPs@WOR, UW), and carbon radical prodrugs (ART-Fe, AF). Lanthanide-based upconversion nanoparticles (UCNPs) could upconvert 1530 nm light to 1390 nm for attenuation-minimized second near-infrared (NIR-II) fluorescence imaging and to visible light that serves as the light source for photocatalysis for water oxidation. The 1530 nm light-activated generation of reactive oxygen species (ROS), enhanced by UW-mediated hydrolytic oxygen evolution, works in synergy with the GSH-triggered release of the carbon radical prodrug (AF) to achieve long-lasting therapeutic outcomes. Importantly, it could achieve tumor-specific drug release, triggered by the degradation of the engineered vesicles in response to elevated GSH levels. This work develops a novel theranostic nanoplatform, which could achieve GSH-activated drug delivery, deep-tissue penetration, and a long-lasting therapeutic effect.</w:t>
      </w:r>
    </w:p>
    <w:p>
      <w:pPr>
        <w:spacing w:before="120" w:after="120"/>
      </w:pPr>
      <w:r>
        <w:rPr>
          <w:sz w:val="18"/>
        </w:rPr>
        <w:t>——————————————————————————————————————————————————————————————————————</w:t>
      </w:r>
    </w:p>
    <w:p>
      <w:pPr>
        <w:spacing w:before="160" w:after="40" w:line="240" w:lineRule="auto"/>
      </w:pPr>
      <w:r>
        <w:rPr>
          <w:b/>
        </w:rPr>
        <w:t xml:space="preserve">[263] </w:t>
      </w:r>
      <w:hyperlink r:id="rId970">
        <w:r>
          <w:rPr>
            <w:color w:val="1155CC"/>
            <w:u w:val="single"/>
          </w:rPr>
          <w:t>高度各向异性准一维 δ-CsPbI3 单纳米线，装饰有金纳米颗粒，用于偏振敏感光电检测</w:t>
        </w:r>
      </w:hyperlink>
    </w:p>
    <w:p>
      <w:pPr>
        <w:spacing w:before="0" w:after="80"/>
      </w:pPr>
      <w:r>
        <w:rPr>
          <w:i/>
          <w:sz w:val="20"/>
        </w:rPr>
        <w:t>EN: Highly Anisotropic Quasi-1D δ-CsPbI3 Single Nanowire Decorated with Au Nanoparticles for Polarization-Sensitive Photodetection</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971">
        <w:r>
          <w:rPr>
            <w:color w:val="1155CC"/>
            <w:u w:val="single"/>
          </w:rPr>
          <w:t>10.1021/acsami.6c13319</w:t>
        </w:r>
      </w:hyperlink>
    </w:p>
    <w:p>
      <w:pPr>
        <w:spacing w:before="0" w:after="120"/>
      </w:pPr>
      <w:r>
        <w:rPr>
          <w:b/>
        </w:rPr>
        <w:t xml:space="preserve">Notes: </w:t>
      </w:r>
      <w:r>
        <w:t>abstract_source=crossref</w:t>
      </w:r>
    </w:p>
    <w:p>
      <w:pPr>
        <w:spacing w:before="0" w:after="80" w:lineRule="auto" w:line="276"/>
      </w:pPr>
      <w:r>
        <w:rPr>
          <w:b/>
        </w:rPr>
        <w:t xml:space="preserve">摘要（ZH）: </w:t>
      </w:r>
      <w:r>
        <w:t>摘要 基于具有本征晶格各向异性的低维材料的偏振敏感光电探测器的发展为下一代无偏振器和集成友好的偏振敏感光电器件铺平了道路。尽管它们在小型化方面具有优势，但相对较低的二色性比（DR）阻碍了进一步的工业化。在这项工作中，研究了钙钛矿的低维衍生物、准一维黄相（δ相）CsPbI3单纳米线（NW）用于偏振敏感光电检测。像差校正透射电子显微镜 (TEM) 和角分辨偏振拉曼光谱 (ARPRS) 揭示了 δ-CsPbI3 明显的晶体各向异性。原始的 δ-CsPbI3 单纳米线光电探测器在 405 nm 照明下表现出高达 8.3 的大 DR。为了克服 δ-CsPbI3 的间接带隙性质所产生的有限光电性能，通过热蒸发用金纳米颗粒 (NP) 装饰 δ-CsPbI3 单纳米线，引入局域表面等离子体共振 (LSPR)。与原始器件相比，金装饰器件的光电流增强高达约 9 倍，实现了 5.3 mA W–1 的光响应度 (R) 和 1.1 × 1010 Jones 的比探测率 (D*)，同时保留了高偏振灵敏度。此外，金装饰器件在环境条件下表现出明显的操作稳定性，在 400 个开关周期后仍保留了 92% 的初始光电流。这项工作揭示了 δ-CsPbI3 的巨大潜力</w:t>
      </w:r>
    </w:p>
    <w:p>
      <w:pPr>
        <w:spacing w:before="0" w:after="200" w:lineRule="auto" w:line="276"/>
      </w:pPr>
      <w:r>
        <w:rPr>
          <w:b/>
        </w:rPr>
        <w:t xml:space="preserve">Abstract (EN): </w:t>
      </w:r>
      <w:r>
        <w:t>The development of polarization-sensitive photodetectors based on low-dimensional materials with intrinsic lattice anisotropy has paved the way for next-generation polarizer-free and integration-friendly polarization-sensitive optoelectronic devices. Despite their superiority in miniaturization, the relatively low dichroic ratios (DRs) hinder further industrialization. In this work, low-dimensional derivatives of perovskite, quasi-1D yellow-phase (δ-phase) CsPbI3 single nanowires (NWs) are investigated for polarization-sensitive photodetection. Aberration-corrected transmission electron microscopy (TEM) and angle-resolved polarized Raman spectroscopy (ARPRS) reveal the pronounced crystallographic anisotropy of δ-CsPbI3. The pristine δ-CsPbI3 single NW photodetector exhibits a large DR of up to 8.3 under 405 nm illumination. To overcome the limited optoelectronic performance arising from the indirect bandgap nature of δ-CsPbI3, localized surface plasmon resonance (LSPR) is introduced by decorating the δ-CsPbI3 single NW with Au nanoparticles (NPs) via thermal evaporation. The Au-decorated device exhibits up to approximately 9-fold photocurrent enhancement compared with the pristine one, achieving a photoresponsivity (R) of 5.3 mA W–1 and a specific detectivity (D*) of 1.1 × 1010 Jones while retaining the high polarization sensitivity. In addition, the Au-decorated device demonstrates appreciable operational stability under ambient conditions, preserving 92% of its initial photocurrent after 400 switching cycles. This work unveils the great potential of the δ-CsPbI3 single NW for polarized light detection and demonstrates the feasibility of Au NP decoration regarding optoelectronic performance optimization, which can potentially be extended to other low-dimensional perovskite derivatives with analogous quasi-1D chain lattices.</w:t>
      </w:r>
    </w:p>
    <w:p>
      <w:pPr>
        <w:spacing w:before="120" w:after="120"/>
      </w:pPr>
      <w:r>
        <w:rPr>
          <w:sz w:val="18"/>
        </w:rPr>
        <w:t>——————————————————————————————————————————————————————————————————————</w:t>
      </w:r>
    </w:p>
    <w:p>
      <w:pPr>
        <w:spacing w:before="160" w:after="40" w:line="240" w:lineRule="auto"/>
      </w:pPr>
      <w:r>
        <w:rPr>
          <w:b/>
        </w:rPr>
        <w:t xml:space="preserve">[264] </w:t>
      </w:r>
      <w:hyperlink r:id="rId972">
        <w:r>
          <w:rPr>
            <w:color w:val="1155CC"/>
            <w:u w:val="single"/>
          </w:rPr>
          <w:t>肝素修饰的聚己内酯-丝素蛋白乳液基纳米/微纤维导管作为一种有前途的血液相容性管状移植物</w:t>
        </w:r>
      </w:hyperlink>
    </w:p>
    <w:p>
      <w:pPr>
        <w:spacing w:before="0" w:after="80"/>
      </w:pPr>
      <w:r>
        <w:rPr>
          <w:i/>
          <w:sz w:val="20"/>
        </w:rPr>
        <w:t>EN: Heparin-Ornamented Polycaprolactone–Silk Fibroin Emulsion-Based Nano-/Microfibrous Conduit as a Promising Hemocompatible Tubular Graft</w:t>
      </w:r>
    </w:p>
    <w:p>
      <w:pPr>
        <w:spacing w:before="0" w:after="120"/>
      </w:pPr>
      <w:r>
        <w:rPr>
          <w:b/>
        </w:rPr>
        <w:t xml:space="preserve">Source: </w:t>
      </w:r>
      <w:r>
        <w:t>ACS Applied Materials &amp; Interfaces: Latest Articles (ACS Publications)</w:t>
      </w:r>
      <w:r>
        <w:t xml:space="preserve">    </w:t>
      </w:r>
      <w:r>
        <w:rPr>
          <w:b/>
        </w:rPr>
        <w:t xml:space="preserve">Pub date: </w:t>
      </w:r>
      <w:r>
        <w:t>2026-08-24 00:00:00+00:00</w:t>
      </w:r>
      <w:r>
        <w:t xml:space="preserve">    </w:t>
      </w:r>
      <w:r>
        <w:rPr>
          <w:b/>
        </w:rPr>
        <w:t xml:space="preserve">DOI: </w:t>
      </w:r>
      <w:hyperlink r:id="rId973">
        <w:r>
          <w:rPr>
            <w:color w:val="1155CC"/>
            <w:u w:val="single"/>
          </w:rPr>
          <w:t>10.1021/acsami.6c09018</w:t>
        </w:r>
      </w:hyperlink>
    </w:p>
    <w:p>
      <w:pPr>
        <w:spacing w:before="0" w:after="120"/>
      </w:pPr>
      <w:r>
        <w:rPr>
          <w:b/>
        </w:rPr>
        <w:t xml:space="preserve">Notes: </w:t>
      </w:r>
      <w:r>
        <w:t>abstract_source=crossref</w:t>
      </w:r>
    </w:p>
    <w:p>
      <w:pPr>
        <w:spacing w:before="0" w:after="80" w:lineRule="auto" w:line="276"/>
      </w:pPr>
      <w:r>
        <w:rPr>
          <w:b/>
        </w:rPr>
        <w:t xml:space="preserve">摘要（ZH）: </w:t>
      </w:r>
      <w:r>
        <w:t>摘要 血管导管的基本先决条件是为其内流动的血液提供有利、健康的管腔界面。晚期血栓形成、凝血级联激活和血管闭塞等持续存在的问题与商业和小直径血管移植物 (SDVG)（直径&lt;6 毫米）在接触血流时相关。通过向管腔表面提供抗凝剂和抗血栓涂层来克服上述关键问题。本研究探索了将肝素接枝到聚己内酯（PCL）-丝素蛋白（SF）复合材料上，制成乳液电纺核壳纤维，然后进行 O2 等离子体改性和 3-（氨丙基）三乙氧基硅烷（APTES）硅烷化。 PSH5 表面的肝素密度为 ∼18.43 µg/cm2，远高于之前的研究。肝素移植纤维（PSH3和PSH5）表现出优异的血液相容性，溶血百分比为（∼0.2±0.003），保持血小板盘状形状（直径∼3.5–3.9μm）而无血小板活化/聚集，并保留盘状红细胞形态而无细胞凋亡（∼5.6–5.8μm直径）。 PSH5 纤维进一步支持人脐静脉内皮细胞 (HUVEC) 在其表面的生长和增殖，在体外研究中观察 12 天的 CD31 + HUVEC 汇合单层，5 天后细胞活力百分比为 121.8%。 PSH5 的皮下体内植入也显示出在植入新血管系统 60 天后有足够的肌肉层和胶原蛋白沉积。</w:t>
      </w:r>
    </w:p>
    <w:p>
      <w:pPr>
        <w:spacing w:before="0" w:after="200" w:lineRule="auto" w:line="276"/>
      </w:pPr>
      <w:r>
        <w:rPr>
          <w:b/>
        </w:rPr>
        <w:t xml:space="preserve">Abstract (EN): </w:t>
      </w:r>
      <w:r>
        <w:t>The essential prerequisite of a vascular conduit is to provide a conducive, healthy lumen interface to the flowing blood within it. The persistent problem of late thrombosis, coagulation cascade activation, and vessel occlusion is pertinent in commercial and small-diameter vascular grafts (SDVG) (&amp;lt;6 mm diameter), upon coming in contact with blood flow. The above critical issues are overcome by providing an anticoagulant and antithrombotic coating to the lumen surface. This study explored the grafting of heparin on the polycaprolactone (PCL)–silk fibroin (SF) composite fabricated as emulsion electrospun core–shell fibers, followed by O2 plasma modification and silanization with 3-(aminopropyl) triethoxysilane (APTES). The density of heparin on PSH5 surfaces was ∼18.43 µg/cm2, sufficiently higher than in previous studies. Heparin-grafted fibers (PSH3 and PSH5) exhibited exceptional hemocompatibility with hemolysis % of (∼0.2 ± 0.003), maintaining a platelet discoid shape (∼3.5–3.9 µm diameter) without platelet activation/aggregation and conserving disc-shaped RBC morphology without apoptosis (∼5.6–5.8 µm diameter). PSH5 fibers further supported human umbilical vein endothelial cell (HUVEC) growth and proliferation on their surfaces with % cell viability of 121.8% after 5 days, with observation of the CD31 + HUVEC confluent monolayer in in vitro studies for 12 days. Subcutaneous in vivo implantation of PSH5 also depicted sufficient muscular layers and collagen deposition after 60 days of implantation with neovasculatures.</w:t>
      </w:r>
    </w:p>
    <w:p>
      <w:pPr>
        <w:spacing w:before="120" w:after="120"/>
      </w:pPr>
      <w:r>
        <w:rPr>
          <w:sz w:val="18"/>
        </w:rPr>
        <w:t>——————————————————————————————————————————————————————————————————————</w:t>
      </w:r>
    </w:p>
    <w:p>
      <w:pPr>
        <w:spacing w:before="160" w:after="40" w:line="240" w:lineRule="auto"/>
      </w:pPr>
      <w:r>
        <w:rPr>
          <w:b/>
        </w:rPr>
        <w:t xml:space="preserve">[265] </w:t>
      </w:r>
      <w:hyperlink r:id="rId974">
        <w:r>
          <w:rPr>
            <w:color w:val="1155CC"/>
            <w:u w:val="single"/>
          </w:rPr>
          <w:t>通过加速条件扩散模型增强非均匀采样 NMR 谱重建的泛化能力</w:t>
        </w:r>
      </w:hyperlink>
    </w:p>
    <w:p>
      <w:pPr>
        <w:spacing w:before="0" w:after="80"/>
      </w:pPr>
      <w:r>
        <w:rPr>
          <w:i/>
          <w:sz w:val="20"/>
        </w:rPr>
        <w:t>EN: Enhancing generalization in non-uniformly sampled NMR spectra reconstruction via accelerated conditional diffusion models</w:t>
      </w:r>
    </w:p>
    <w:p>
      <w:pPr>
        <w:spacing w:before="0" w:after="120"/>
      </w:pPr>
      <w:r>
        <w:rPr>
          <w:b/>
        </w:rPr>
        <w:t xml:space="preserve">Source: </w:t>
      </w:r>
      <w:r>
        <w:t>National Science Review Advance Access</w:t>
      </w:r>
      <w:r>
        <w:t xml:space="preserve">    </w:t>
      </w:r>
      <w:r>
        <w:rPr>
          <w:b/>
        </w:rPr>
        <w:t xml:space="preserve">Pub date: </w:t>
      </w:r>
      <w:r>
        <w:t>2026-08-24 00:00:00+00:00</w:t>
      </w:r>
      <w:r>
        <w:t xml:space="preserve">    </w:t>
      </w:r>
      <w:r>
        <w:rPr>
          <w:b/>
        </w:rPr>
        <w:t xml:space="preserve">DOI: </w:t>
      </w:r>
      <w:hyperlink r:id="rId975">
        <w:r>
          <w:rPr>
            <w:color w:val="1155CC"/>
            <w:u w:val="single"/>
          </w:rPr>
          <w:t>10.1093/nsr/nwag527</w:t>
        </w:r>
      </w:hyperlink>
    </w:p>
    <w:p>
      <w:pPr>
        <w:spacing w:before="0" w:after="120"/>
      </w:pPr>
      <w:r>
        <w:rPr>
          <w:b/>
        </w:rPr>
        <w:t xml:space="preserve">Notes: </w:t>
      </w:r>
      <w:r>
        <w:t>abstract_source=rss_oup</w:t>
      </w:r>
    </w:p>
    <w:p>
      <w:pPr>
        <w:spacing w:before="0" w:after="80" w:lineRule="auto" w:line="276"/>
      </w:pPr>
      <w:r>
        <w:rPr>
          <w:b/>
        </w:rPr>
        <w:t xml:space="preserve">摘要（ZH）: </w:t>
      </w:r>
      <w:r>
        <w:t>多维核磁共振波谱提供了有关物种和结构的丰富的分子水平信息，在化学、生物学和材料科学领域具有广泛的意义。然而，其广泛应用通常受到采集时间延长的限制。将非均匀采样技术与光谱重建方法相结合，为这一采集瓶颈提供了一种有前景的解决方案。传统的重建方法很稳健，但受到算法假设和近似的限制，而深度学习方法可以克服这些限制并实现更高的重建保真度，尽管对未见过的数据的泛化仍然具有挑战性。在这里，我们提出了一种用于多维核磁共振谱重建的加速条件扩散模型，将任务制定为概率迭代去噪过程，在物理约束下逐步细化欠采样谱。实验表明，该方法在峰值恢复、伪影抑制以及跨多个采样条件和实验数据集的鲁棒性方面优于传统和端到端深度学习算法。</w:t>
      </w:r>
    </w:p>
    <w:p>
      <w:pPr>
        <w:spacing w:before="0" w:after="200" w:lineRule="auto" w:line="276"/>
      </w:pPr>
      <w:r>
        <w:rPr>
          <w:b/>
        </w:rPr>
        <w:t xml:space="preserve">Abstract (EN): </w:t>
      </w:r>
      <w:r>
        <w:t>Multidimensional NMR spectroscopy provides rich molecular-level information on species and structures, with broad significance across chemistry, biology, and materials science. However, its widespread application is generally limited by prolonged acquisition times. Combining non-uniform sampling techniques with spectra reconstruction methods offers a promising solution to this acquisition bottleneck. Traditional reconstruction methods are robust but constrained by algorithmic assumptions and approximations, whereas deep learning approaches can potentially overcome these limitations and achieve higher reconstruction fidelity, though generalization to unseen data remains challenging. Here, we present an accelerated conditional diffusion model for multidimensional NMR spectra reconstruction, formulating the task as a probabilistic iterative denoising process that progressively refines undersampled spectra under physical constraints. Experiments demonstrate that this method outperforms both traditional and end-to-end deep learning algorithms in peak recovery, artifact suppression, and robustness across multiple sampling conditions and experimental datasets.</w:t>
      </w:r>
    </w:p>
    <w:p>
      <w:pPr>
        <w:spacing w:before="120" w:after="120"/>
      </w:pPr>
      <w:r>
        <w:rPr>
          <w:sz w:val="18"/>
        </w:rPr>
        <w:t>——————————————————————————————————————————————————————————————————————</w:t>
      </w:r>
    </w:p>
    <w:p>
      <w:pPr>
        <w:spacing w:before="160" w:after="40" w:line="240" w:lineRule="auto"/>
      </w:pPr>
      <w:r>
        <w:rPr>
          <w:b/>
        </w:rPr>
        <w:t xml:space="preserve">[266] </w:t>
      </w:r>
      <w:hyperlink r:id="rId976">
        <w:r>
          <w:rPr>
            <w:color w:val="1155CC"/>
            <w:u w:val="single"/>
          </w:rPr>
          <w:t>用于可变形印刷光子学的分子工程超低损耗软聚合物</w:t>
        </w:r>
      </w:hyperlink>
    </w:p>
    <w:p>
      <w:pPr>
        <w:spacing w:before="0" w:after="80"/>
      </w:pPr>
      <w:r>
        <w:rPr>
          <w:i/>
          <w:sz w:val="20"/>
        </w:rPr>
        <w:t>EN: Molecularly Engineered Ultralow‐Loss Soft Polymers for Deformable Printed Photonics</w:t>
      </w:r>
    </w:p>
    <w:p>
      <w:pPr>
        <w:spacing w:before="0" w:after="120"/>
      </w:pPr>
      <w:r>
        <w:rPr>
          <w:b/>
        </w:rPr>
        <w:t xml:space="preserve">Source: </w:t>
      </w:r>
      <w:r>
        <w:t>Wiley: Advanced Materials: Table of Contents</w:t>
      </w:r>
      <w:r>
        <w:t xml:space="preserve">    </w:t>
      </w:r>
      <w:r>
        <w:rPr>
          <w:b/>
        </w:rPr>
        <w:t xml:space="preserve">Pub date: </w:t>
      </w:r>
      <w:r>
        <w:t>2026-08-24 04:02:18+00:00</w:t>
      </w:r>
      <w:r>
        <w:t xml:space="preserve">    </w:t>
      </w:r>
      <w:r>
        <w:rPr>
          <w:b/>
        </w:rPr>
        <w:t xml:space="preserve">DOI: </w:t>
      </w:r>
      <w:hyperlink r:id="rId977">
        <w:r>
          <w:rPr>
            <w:color w:val="1155CC"/>
            <w:u w:val="single"/>
          </w:rPr>
          <w:t>10.1002/adma.74723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单一聚合物网络中实现超低光学损耗、宽带透明度和机械柔软性仍然是软光子学的长期挑战。在这里，我们报告了一种分子工程类的紫外线固化硫醇-烯-芳香族聚合物，它可以协调光学性能与机械顺应性。通过将硫醇交联剂与芳香族丙烯酸酯结合形成低吸收网络，并引入含苯基共聚单体以减轻近红外振动泛音吸收，同时调整弹性和印刷适性，优化的 A50 配方表现出~0.004 dB cm的超低光学衰减</w:t>
      </w:r>
      <w:r>
        <w:t xml:space="preserve"> </w:t>
      </w:r>
      <w:r>
        <w:t>-</w:t>
      </w:r>
      <w:r>
        <w:rPr>
          <w:vertAlign w:val="subscript"/>
        </w:rPr>
        <w:t>1</w:t>
      </w:r>
      <w:r>
        <w:t>，以及从 310 至 1100 nm 的宽带透明度，以及在毫米级厚度下 380 nm 以上的透射率超过 90%。相同的配方保持机械合规性并支持高保真自由形式 UV 3D 打印，同时表现出高热稳定性（起始温度约 333°C）。利用光学和机械特性的结合，我们展示了可变形波导和仿生光机械装置，能够在重复的低力相互作用和顺从操纵下实现稳健的多通道光学传感。这项工作建立了一种分子设计策略，用于创建具有超低光学损耗的软聚合物，为下一代软光子接口和自适应机器人系统提供了材料平台。</w:t>
      </w:r>
    </w:p>
    <w:p>
      <w:pPr>
        <w:spacing w:before="0" w:after="200" w:lineRule="auto" w:line="276"/>
      </w:pPr>
      <w:r>
        <w:rPr>
          <w:b/>
        </w:rPr>
        <w:t xml:space="preserve">Abstract (EN): </w:t>
      </w:r>
      <w:r>
        <w:t>Achieving ultralow optical loss, broadband transparency, and mechanical softness within a single polymer network remains a long‐standing challenge for soft photonics. Here, we report a molecularly engineered class of UV‐curable thiol‐ene‐aromatic polymers that reconciles optical performance with mechanical compliance. By combining thiol crosslinkers with aromatic acrylates to form a low‐absorption network and introducing a phenyl‐bearing comonomer to mitigate near‐infrared vibrational overtone absorption while tuning elasticity and printability, the optimized A50 formulation exhibits ultralow optical attenuation of ∼0.004 dB cm</w:t>
      </w:r>
      <w:r>
        <w:t xml:space="preserve"> </w:t>
      </w:r>
      <w:r>
        <w:t>−</w:t>
      </w:r>
      <w:r>
        <w:rPr>
          <w:vertAlign w:val="subscript"/>
        </w:rPr>
        <w:t>1</w:t>
      </w:r>
      <w:r>
        <w:t>, together with broadband transparency from 310 to 1100 nm and transmittance exceeding 90% above 380 nm at millimeter‐scale thicknesses. The same formulation remains mechanically compliant and supports high‐fidelity freeform UV‐based 3D printing, while exhibiting high thermal stability (onset ≈333°C). Leveraging this combination of optical and mechanical properties, we demonstrate deformable waveguides and bioinspired optomechanical devices capable of robust, multichannel optical sensing under repeated low‐force interactions and compliant manipulation. This work establishes a molecular design strategy for creating soft polymers with ultralow optical loss, providing a materials platform for next‐generation soft photonic interfaces and adaptive robotic systems.</w:t>
      </w:r>
    </w:p>
    <w:p>
      <w:pPr>
        <w:spacing w:before="120" w:after="120"/>
      </w:pPr>
      <w:r>
        <w:rPr>
          <w:sz w:val="18"/>
        </w:rPr>
        <w:t>——————————————————————————————————————————————————————————————————————</w:t>
      </w:r>
    </w:p>
    <w:p>
      <w:pPr>
        <w:spacing w:before="160" w:after="40" w:line="240" w:lineRule="auto"/>
      </w:pPr>
      <w:r>
        <w:rPr>
          <w:b/>
        </w:rPr>
        <w:t xml:space="preserve">[267] </w:t>
      </w:r>
      <w:hyperlink r:id="rId978">
        <w:r>
          <w:rPr>
            <w:color w:val="1155CC"/>
            <w:u w:val="single"/>
          </w:rPr>
          <w:t>非晶态中间体通过阴离子交换驱动的对称性破缺介导范德华纳米片的形成</w:t>
        </w:r>
      </w:hyperlink>
    </w:p>
    <w:p>
      <w:pPr>
        <w:spacing w:before="0" w:after="80"/>
      </w:pPr>
      <w:r>
        <w:rPr>
          <w:i/>
          <w:sz w:val="20"/>
        </w:rPr>
        <w:t>EN: Amorphous Intermediates Mediate van der Waals Nanosheets Formation via Anion‐Exchange‐Driven Symmetry Breaking</w:t>
      </w:r>
    </w:p>
    <w:p>
      <w:pPr>
        <w:spacing w:before="0" w:after="120"/>
      </w:pPr>
      <w:r>
        <w:rPr>
          <w:b/>
        </w:rPr>
        <w:t xml:space="preserve">Source: </w:t>
      </w:r>
      <w:r>
        <w:t>Wiley: Angewandte Chemie International Edition: Table of Contents</w:t>
      </w:r>
      <w:r>
        <w:t xml:space="preserve">    </w:t>
      </w:r>
      <w:r>
        <w:rPr>
          <w:b/>
        </w:rPr>
        <w:t xml:space="preserve">Pub date: </w:t>
      </w:r>
      <w:r>
        <w:t>2026-08-24 04:03:10+00:00</w:t>
      </w:r>
      <w:r>
        <w:t xml:space="preserve">    </w:t>
      </w:r>
      <w:r>
        <w:rPr>
          <w:b/>
        </w:rPr>
        <w:t xml:space="preserve">DOI: </w:t>
      </w:r>
      <w:hyperlink r:id="rId979">
        <w:r>
          <w:rPr>
            <w:color w:val="1155CC"/>
            <w:u w:val="single"/>
          </w:rPr>
          <w:t>10.1002/anie.2791465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铁</w:t>
      </w:r>
      <w:r>
        <w:rPr>
          <w:vertAlign w:val="subscript"/>
        </w:rPr>
        <w:t>3</w:t>
      </w:r>
      <w:r>
        <w:t>锗碲</w:t>
      </w:r>
      <w:r>
        <w:rPr>
          <w:vertAlign w:val="subscript"/>
        </w:rPr>
        <w:t>2</w:t>
      </w:r>
      <w:r>
        <w:t>由于其卓越的电磁特性和自旋电子应用的潜力，作为二维（2D）范德华（vdW）磁性材料引起了广泛的关注。然而，多种金属物种之间复杂的热力学竞争，以及与致密非 vdW 框架向 vdW 层状结构转变相关的严重动力学障碍，迄今为止阻碍了溶液相合成，从而严重限制了深入的性能研究和机理理解。在这里，我们报告了一种胶体阴离子交换策略，可以实现 Fe 的溶液相合成</w:t>
      </w:r>
      <w:r>
        <w:rPr>
          <w:vertAlign w:val="subscript"/>
        </w:rPr>
        <w:t>3</w:t>
      </w:r>
      <w:r>
        <w:t>锗碲</w:t>
      </w:r>
      <w:r>
        <w:rPr>
          <w:vertAlign w:val="subscript"/>
        </w:rPr>
        <w:t>2</w:t>
      </w:r>
      <w:r>
        <w:t>。通过将实验与密度泛函理论（DFT）计算相结合，我们发现了一种非晶态中间体，它可以在动力学上将成分演化与结构重构解耦，从而降低能垒并实现结晶-非晶-再结晶相变。在此过程中，阴离子交换引起初始晶格的对称性破缺和随后的结构重组，最终驱动非vdW框架向vdW层状结构的转变。此外，该策略很容易扩展到其他二维材料系统，从而成功合成了顺磁性 CuFeTe</w:t>
      </w:r>
      <w:r>
        <w:rPr>
          <w:vertAlign w:val="subscript"/>
        </w:rPr>
        <w:t>2</w:t>
      </w:r>
      <w:r>
        <w:t>和镍碲</w:t>
      </w:r>
      <w:r>
        <w:rPr>
          <w:vertAlign w:val="subscript"/>
        </w:rPr>
        <w:t>2</w:t>
      </w:r>
    </w:p>
    <w:p>
      <w:pPr>
        <w:spacing w:before="0" w:after="200" w:lineRule="auto" w:line="276"/>
      </w:pPr>
      <w:r>
        <w:rPr>
          <w:b/>
        </w:rPr>
        <w:t xml:space="preserve">Abstract (EN): </w:t>
      </w:r>
      <w:r>
        <w:t>Fe</w:t>
      </w:r>
      <w:r>
        <w:rPr>
          <w:vertAlign w:val="subscript"/>
        </w:rPr>
        <w:t>3</w:t>
      </w:r>
      <w:r>
        <w:t>GeTe</w:t>
      </w:r>
      <w:r>
        <w:rPr>
          <w:vertAlign w:val="subscript"/>
        </w:rPr>
        <w:t>2</w:t>
      </w:r>
      <w:r>
        <w:t>has attracted considerable attention as a two‐dimensional (2D) van der Waals (vdW) magnetic material owing to its exceptional electromagnetic properties and potential for spintronic applications. However, complex thermodynamic competition among multiple metal species, together with severe kinetic barriers associated with the transformation from dense non‐vdW frameworks to vdW layered structures, has thus far prevented the solution phase synthesis, thereby severely limiting in‐depth property research and mechanistic understanding. Here we report a colloidal anion exchange strategy that enables the solution phase synthesis of Fe</w:t>
      </w:r>
      <w:r>
        <w:rPr>
          <w:vertAlign w:val="subscript"/>
        </w:rPr>
        <w:t>3</w:t>
      </w:r>
      <w:r>
        <w:t>GeTe</w:t>
      </w:r>
      <w:r>
        <w:rPr>
          <w:vertAlign w:val="subscript"/>
        </w:rPr>
        <w:t>2</w:t>
      </w:r>
      <w:r>
        <w:t>. By combining experiments with density functional theory (DFT) calculations, we identify an amorphous intermediate that kinetically decouples compositional evolution from structural reconstruction, thereby lowering the energy barrier and enabling a crystalline–amorphism–recrystalline phase transition. In this process, anion exchange induces symmetry breaking of the initial lattice and subsequent structural reorganization, ultimately driving the transformation from a non‐vdW framework to vdW layered structure. Moreover, this strategy is readily extended to other 2D material systems, leading to the successful synthesis of paramagnetic CuFeTe</w:t>
      </w:r>
      <w:r>
        <w:rPr>
          <w:vertAlign w:val="subscript"/>
        </w:rPr>
        <w:t>2</w:t>
      </w:r>
      <w:r>
        <w:t>and NiTe</w:t>
      </w:r>
      <w:r>
        <w:rPr>
          <w:vertAlign w:val="subscript"/>
        </w:rPr>
        <w:t>2</w:t>
      </w:r>
      <w:r>
        <w:t>as well as topological layered Bi</w:t>
      </w:r>
      <w:r>
        <w:rPr>
          <w:vertAlign w:val="subscript"/>
        </w:rPr>
        <w:t>2</w:t>
      </w:r>
      <w:r>
        <w:t>Te</w:t>
      </w:r>
      <w:r>
        <w:rPr>
          <w:vertAlign w:val="subscript"/>
        </w:rPr>
        <w:t>3</w:t>
      </w:r>
      <w:r>
        <w:t>, thereby establishing a general methodological pathway for accessing complex 2D vdW layered magnetic materials.</w:t>
      </w:r>
    </w:p>
    <w:p>
      <w:pPr>
        <w:spacing w:before="120" w:after="120"/>
      </w:pPr>
      <w:r>
        <w:rPr>
          <w:sz w:val="18"/>
        </w:rPr>
        <w:t>——————————————————————————————————————————————————————————————————————</w:t>
      </w:r>
    </w:p>
    <w:p>
      <w:pPr>
        <w:spacing w:before="160" w:after="40" w:line="240" w:lineRule="auto"/>
      </w:pPr>
      <w:r>
        <w:rPr>
          <w:b/>
        </w:rPr>
        <w:t xml:space="preserve">[268] </w:t>
      </w:r>
      <w:hyperlink r:id="rId980">
        <w:r>
          <w:rPr>
            <w:color w:val="1155CC"/>
            <w:u w:val="single"/>
          </w:rPr>
          <w:t>编程螺旋电荷捕获超结构以实现高性能白色圆偏振发光和多色长余辉发光</w:t>
        </w:r>
      </w:hyperlink>
    </w:p>
    <w:p>
      <w:pPr>
        <w:spacing w:before="0" w:after="80"/>
      </w:pPr>
      <w:r>
        <w:rPr>
          <w:i/>
          <w:sz w:val="20"/>
        </w:rPr>
        <w:t>EN: Programming Helical Charge‐Trapping Superstructures for High‐Performance White Circularly Polarized Luminescence and Multicolor Long‐Persistent Luminescence</w:t>
      </w:r>
    </w:p>
    <w:p>
      <w:pPr>
        <w:spacing w:before="0" w:after="120"/>
      </w:pPr>
      <w:r>
        <w:rPr>
          <w:b/>
        </w:rPr>
        <w:t xml:space="preserve">Source: </w:t>
      </w:r>
      <w:r>
        <w:t>Wiley: Advanced Materials: Table of Contents</w:t>
      </w:r>
      <w:r>
        <w:t xml:space="preserve">    </w:t>
      </w:r>
      <w:r>
        <w:rPr>
          <w:b/>
        </w:rPr>
        <w:t xml:space="preserve">Pub date: </w:t>
      </w:r>
      <w:r>
        <w:t>2026-08-24 04:05:11+00:00</w:t>
      </w:r>
      <w:r>
        <w:t xml:space="preserve">    </w:t>
      </w:r>
      <w:r>
        <w:rPr>
          <w:b/>
        </w:rPr>
        <w:t xml:space="preserve">DOI: </w:t>
      </w:r>
      <w:hyperlink r:id="rId981">
        <w:r>
          <w:rPr>
            <w:color w:val="1155CC"/>
            <w:u w:val="single"/>
          </w:rPr>
          <w:t>10.1002/adma.74722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具有不对称电子构型和发散轨道角动量的手性有机荧光粉是圆偏振发光 (CPL) 材料的基本构建模块，为彩色 LED 和显示器带来了巨大前景。然而，在单一发光体中实现高纯度、高效的白光 CPL (W-CPL) 和圆偏振长余辉发光 (CP-LPL) 仍然是一个艰巨的挑战。在此，我们报告了一种双光聚合策略来构建螺旋液晶电荷捕获手性结构，整合超分子胆甾型组装和原位烯烃光聚合。绝缘烯烃键几乎不干扰固有的单线态-三线态分布和磷光。双共价/非共价交联增强了聚合物的刚性，稳定了三线态激子，并形成手性激基复合物，从而通过荧光和磷光的组合产生高性能的W-CPL。优化的螺旋聚合物具有 0.34 s CP-RTP 寿命、∼20 s 余辉、39% 的量子效率和巨大的</w:t>
      </w:r>
      <w:r>
        <w:t xml:space="preserve"> </w:t>
      </w:r>
      <w:r>
        <w:t>克</w:t>
      </w:r>
      <w:r>
        <w:t xml:space="preserve"> </w:t>
      </w:r>
      <w:r>
        <w:t>p</w:t>
      </w:r>
      <w:r>
        <w:t xml:space="preserve"> </w:t>
      </w:r>
      <w:r>
        <w:t>小时</w:t>
      </w:r>
      <w:r>
        <w:t xml:space="preserve"> </w:t>
      </w:r>
      <w:r>
        <w:t>哦</w:t>
      </w:r>
      <w:r>
        <w:t xml:space="preserve"> </w:t>
      </w:r>
      <w:r>
        <w:t>s</w:t>
      </w:r>
      <w:r>
        <w:t xml:space="preserve"> </w:t>
      </w:r>
      <w:r>
        <w:t>通过电荷捕获和手性光反射因子（+1.24，-1.40）。手性 FRET 进一步实现黄色/橙色/红色/NIR CP-LPL。这种手性激基复合物聚合物具有耐湿、耐溶剂、耐热的特性，在 CP-WLED 和 3D 防伪方面显示出广泛的应用潜力。</w:t>
      </w:r>
    </w:p>
    <w:p>
      <w:pPr>
        <w:spacing w:before="0" w:after="200" w:lineRule="auto" w:line="276"/>
      </w:pPr>
      <w:r>
        <w:rPr>
          <w:b/>
        </w:rPr>
        <w:t xml:space="preserve">Abstract (EN): </w:t>
      </w:r>
      <w:r>
        <w:t>Chiral organic phosphors with asymmetric electronic configurations and divergent orbital angular momenta are fundamental building blocks for circularly polarized luminescence (CPL) materials, holding great promise for colored LEDs and displays. However, realizing high‐purity, high‐efficiency white CPL (W‐CPL) and circularly polarized long‐persistent luminescence (CP‐LPL) in a single luminophore remains a formidable challenge. Herein, we report a duplex photopolymerization strategy to construct helical liquid‐crystalline charge‐trapping chiral architectures, integrating supramolecular cholesteric assembly and in situ olefin photopolymerization. Insulating alkene linkages barely disturb intrinsic singlet–triplet distributions and phosphorescence. Dual covalent/noncovalent crosslinking enhances polymer rigidity, stabilizes triplet excitons, and forms chiral exciplexes to produce high‐performance W‐CPL from combined fluorescence and phosphorescence. The optimized helical polymer delivers a 0.34 s CP‐RTP lifetime, ∼20 s afterglow, 39% quantum efficiency, and giant</w:t>
      </w:r>
      <w:r>
        <w:t xml:space="preserve"> </w:t>
      </w:r>
      <w:r>
        <w:t>g</w:t>
      </w:r>
      <w:r>
        <w:t xml:space="preserve"> </w:t>
      </w:r>
      <w:r>
        <w:t>p</w:t>
      </w:r>
      <w:r>
        <w:t xml:space="preserve"> </w:t>
      </w:r>
      <w:r>
        <w:t>h</w:t>
      </w:r>
      <w:r>
        <w:t xml:space="preserve"> </w:t>
      </w:r>
      <w:r>
        <w:t>o</w:t>
      </w:r>
      <w:r>
        <w:t xml:space="preserve"> </w:t>
      </w:r>
      <w:r>
        <w:t>s</w:t>
      </w:r>
      <w:r>
        <w:t xml:space="preserve"> </w:t>
      </w:r>
      <w:r>
        <w:t>factors (+1.24, −1.40) via charge trapping and chiral light reflection. Chiral FRET further enables yellow/orange/red/NIR CP‐LPL. This chiral exciplex polymer resists moisture, solvents, and heat, showing broad application potential in CP‐WLEDs and 3D anti‐counterfeiting.</w:t>
      </w:r>
    </w:p>
    <w:p>
      <w:pPr>
        <w:spacing w:before="120" w:after="120"/>
      </w:pPr>
      <w:r>
        <w:rPr>
          <w:sz w:val="18"/>
        </w:rPr>
        <w:t>——————————————————————————————————————————————————————————————————————</w:t>
      </w:r>
    </w:p>
    <w:p>
      <w:pPr>
        <w:spacing w:before="160" w:after="40" w:line="240" w:lineRule="auto"/>
      </w:pPr>
      <w:r>
        <w:rPr>
          <w:b/>
        </w:rPr>
        <w:t xml:space="preserve">[269] </w:t>
      </w:r>
      <w:hyperlink r:id="rId982">
        <w:r>
          <w:rPr>
            <w:color w:val="1155CC"/>
            <w:u w:val="single"/>
          </w:rPr>
          <w:t>酯化胆固醇缀合物能够在静脉给药后实现 LNP 介导的 mRNA 递送至血脑屏障</w:t>
        </w:r>
      </w:hyperlink>
    </w:p>
    <w:p>
      <w:pPr>
        <w:spacing w:before="0" w:after="80"/>
      </w:pPr>
      <w:r>
        <w:rPr>
          <w:i/>
          <w:sz w:val="20"/>
        </w:rPr>
        <w:t>EN: Esterified Cholesterol Conjugates Enable LNP‐Mediated mRNA Delivery to the Blood–Brain Barrier Following Intravenous Administration</w:t>
      </w:r>
    </w:p>
    <w:p>
      <w:pPr>
        <w:spacing w:before="0" w:after="120"/>
      </w:pPr>
      <w:r>
        <w:rPr>
          <w:b/>
        </w:rPr>
        <w:t xml:space="preserve">Source: </w:t>
      </w:r>
      <w:r>
        <w:t>Wiley: Advanced Materials: Table of Contents</w:t>
      </w:r>
      <w:r>
        <w:t xml:space="preserve">    </w:t>
      </w:r>
      <w:r>
        <w:rPr>
          <w:b/>
        </w:rPr>
        <w:t xml:space="preserve">Pub date: </w:t>
      </w:r>
      <w:r>
        <w:t>2026-08-24 04:05:21+00:00</w:t>
      </w:r>
      <w:r>
        <w:t xml:space="preserve">    </w:t>
      </w:r>
      <w:r>
        <w:rPr>
          <w:b/>
        </w:rPr>
        <w:t xml:space="preserve">DOI: </w:t>
      </w:r>
      <w:hyperlink r:id="rId983">
        <w:r>
          <w:rPr>
            <w:color w:val="1155CC"/>
            <w:u w:val="single"/>
          </w:rPr>
          <w:t>10.1002/adma.74762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血脑屏障（BBB）通过调节大脑和外周循环之间的分子和细胞交换，在维持中枢神经系统稳态中发挥着关键作用。虽然大多数递送策略侧重于穿过血脑屏障，但直接靶向脑内皮细胞可能为治疗干预提供补充且更可控的替代方案。本研究提出了一种无配体脂质纳米颗粒 (LNP) 平台，可通过全身给药将 mRNA 有效递送至脑内皮。使用模块化合成策略来生成化学多样化的基于胆固醇的脂质库。对 486 个 LNP 的筛选确定了一种优化的四组分配方，由 C6O2B2（新型胆固醇脂质）、DODAP、DSPC 和 DMG-PEG 组成，该配方可在脑内皮细胞中实现高转染效率，而不会掺入游离胆固醇或破坏 BBB 完整性和功能，例如聚焦超声 (FUS) 技术中使用的那些。这种靶向 BBB 的 LNP 平台避免了神经元和胶质细胞转染，从而为脑血管基因传递提供了一种无创且可扩展的方法。这项工作建立了一类新的基于胆固醇的脂质，并为针对 BBB 相关疾病的下一代 RNA 疗法奠定了基础。</w:t>
      </w:r>
    </w:p>
    <w:p>
      <w:pPr>
        <w:spacing w:before="0" w:after="200" w:lineRule="auto" w:line="276"/>
      </w:pPr>
      <w:r>
        <w:rPr>
          <w:b/>
        </w:rPr>
        <w:t xml:space="preserve">Abstract (EN): </w:t>
      </w:r>
      <w:r>
        <w:t>The blood–brain barrier (BBB) plays a critical role in maintaining central nervous system homeostasis by regulating molecular and cellular exchange between the brain and peripheral circulation. While most delivery strategies focus on crossing the BBB, targeting brain endothelial cells directly may offer a complementary and more controlled alternative for therapeutic intervention. This study presents a ligand‐free lipid nanoparticle (LNP) platform that enables efficient mRNA delivery to the brain endothelium via systemic administration. A modular synthesis strategy was used to generate a chemically diverse library of cholesterol‐based lipids. Screening of 486 LNPs identified an optimized four‐component formulation consisting of C6O2B2 (novel cholesterol‐based lipid), DODAP, DSPC, and DMG‐PEG, which achieves high transfection efficiency in brain endothelial cells without the incorporation of free cholesterol or disruption of BBB integrity and function, such as those utilized in focused ultrasound (FUS) techniques. This BBB‐targeting LNP platform avoids neuronal and glial transfection, thereby offering a noninvasive, and scalable approach for cerebrovascular gene delivery. The work establishes a new class of cholesterol‐based lipids and provides a foundation for next‐generation RNA therapeutics targeting BBB‐associated diseases.</w:t>
      </w:r>
    </w:p>
    <w:p>
      <w:pPr>
        <w:spacing w:before="120" w:after="120"/>
      </w:pPr>
      <w:r>
        <w:rPr>
          <w:sz w:val="18"/>
        </w:rPr>
        <w:t>——————————————————————————————————————————————————————————————————————</w:t>
      </w:r>
    </w:p>
    <w:p>
      <w:pPr>
        <w:spacing w:before="160" w:after="40" w:line="240" w:lineRule="auto"/>
      </w:pPr>
      <w:r>
        <w:rPr>
          <w:b/>
        </w:rPr>
        <w:t xml:space="preserve">[270] </w:t>
      </w:r>
      <w:hyperlink r:id="rId984">
        <w:r>
          <w:rPr>
            <w:color w:val="1155CC"/>
            <w:u w:val="single"/>
          </w:rPr>
          <w:t>通过位错饥饿增强抗疲劳性的纳米金属超材料</w:t>
        </w:r>
      </w:hyperlink>
    </w:p>
    <w:p>
      <w:pPr>
        <w:spacing w:before="0" w:after="80"/>
      </w:pPr>
      <w:r>
        <w:rPr>
          <w:i/>
          <w:sz w:val="20"/>
        </w:rPr>
        <w:t>EN: Nano‐Architected Metallic Metamaterial With Enhanced Fatigue Resistance via Dislocation Starvation</w:t>
      </w:r>
    </w:p>
    <w:p>
      <w:pPr>
        <w:spacing w:before="0" w:after="120"/>
      </w:pPr>
      <w:r>
        <w:rPr>
          <w:b/>
        </w:rPr>
        <w:t xml:space="preserve">Source: </w:t>
      </w:r>
      <w:r>
        <w:t>Wiley: Advanced Materials: Table of Contents</w:t>
      </w:r>
      <w:r>
        <w:t xml:space="preserve">    </w:t>
      </w:r>
      <w:r>
        <w:rPr>
          <w:b/>
        </w:rPr>
        <w:t xml:space="preserve">Pub date: </w:t>
      </w:r>
      <w:r>
        <w:t>2026-08-24 04:25:07+00:00</w:t>
      </w:r>
      <w:r>
        <w:t xml:space="preserve">    </w:t>
      </w:r>
      <w:r>
        <w:rPr>
          <w:b/>
        </w:rPr>
        <w:t xml:space="preserve">DOI: </w:t>
      </w:r>
      <w:hyperlink r:id="rId985">
        <w:r>
          <w:rPr>
            <w:color w:val="1155CC"/>
            <w:u w:val="single"/>
          </w:rPr>
          <w:t>10.1002/adma.74447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缺乏晶界作为晶体学障碍，金属单晶在循环载荷下经常遭受严重的应变局部化，导致其抗疲劳性较低，尽管它们在需要微观结构稳定性的应用中具有优势。这项研究表明，可以通过利用金属单晶缩小到纳米尺度时出现的位错饥饿来克服这种内在的权衡。对 300 nm 宽的镍 (Ni) 单晶进行的拉压疲劳测试表明，疲劳裂纹萌生极限超过 800 MPa，比块体镍单晶高出一个数量级以上。原位透射电子显微镜实验直接捕获循环加载过程中的位错饥饿，证实应变局部化（通常作为疲劳裂纹萌生的前兆）被完全抑制。基于这种机制，纳米结构的镍单晶超材料被设计用于宏观地利用位错饥饿。尽管相对密度仅为~50%，但超材料表现出的疲劳裂纹萌生极限约为均质镍单晶的两倍。这些发现引入了位错饥饿驱动的设计原理，可同时增强金属单晶的抗疲劳性和减轻重量，从而开辟了超越传统限制的新范例。</w:t>
      </w:r>
    </w:p>
    <w:p>
      <w:pPr>
        <w:spacing w:before="0" w:after="200" w:lineRule="auto" w:line="276"/>
      </w:pPr>
      <w:r>
        <w:rPr>
          <w:b/>
        </w:rPr>
        <w:t xml:space="preserve">Abstract (EN): </w:t>
      </w:r>
      <w:r>
        <w:t>Metal single crystals often suffer from severe strain localization under cyclic loading due to the absence of grain boundaries that act as crystallographic obstacles, resulting in their low fatigue resistance despite their advantages in applications requiring microstructural stability. This study demonstrates that this intrinsic trade‐off can be overcome by exploiting dislocation starvation that arises as metal single crystals are reduced to the nanoscale. Tension–compression fatigue tests on 300 nm‐wide nickel (Ni) single crystals reveal a fatigue‐crack initiation limit exceeding 800 MPa, more than an order of magnitude higher than that of bulk Ni single crystals. In situ transmission electron microscopy experiments directly capture dislocation starvation during cyclic loading, confirming that strain localization, which typically serves as a precursor to fatigue‐crack initiation, is completely suppressed. Based on this mechanism, a nano‐architected Ni single‐crystal metamaterial is designed to macroscopically harness dislocation starvation. Despite a relative density of only ∼50%, the metamaterial exhibits a fatigue‐crack initiation limit about twice that of homogeneous Ni single crystals. These findings introduce a dislocation‐starvation‐driven design principle for simultaneously enhancing fatigue resistance and reducing weight in metal single crystals, thereby opening a new paradigm beyond the conventional limitations.</w:t>
      </w:r>
    </w:p>
    <w:p>
      <w:pPr>
        <w:spacing w:before="120" w:after="120"/>
      </w:pPr>
      <w:r>
        <w:rPr>
          <w:sz w:val="18"/>
        </w:rPr>
        <w:t>——————————————————————————————————————————————————————————————————————</w:t>
      </w:r>
    </w:p>
    <w:p>
      <w:pPr>
        <w:spacing w:before="160" w:after="40" w:line="240" w:lineRule="auto"/>
      </w:pPr>
      <w:r>
        <w:rPr>
          <w:b/>
        </w:rPr>
        <w:t xml:space="preserve">[271] </w:t>
      </w:r>
      <w:hyperlink r:id="rId986">
        <w:r>
          <w:rPr>
            <w:color w:val="1155CC"/>
            <w:u w:val="single"/>
          </w:rPr>
          <w:t>原子级精确异质结构上的二维突变纳米结混合 sp-sp2 键</w:t>
        </w:r>
      </w:hyperlink>
    </w:p>
    <w:p>
      <w:pPr>
        <w:spacing w:before="0" w:after="80"/>
      </w:pPr>
      <w:r>
        <w:rPr>
          <w:i/>
          <w:sz w:val="20"/>
        </w:rPr>
        <w:t>EN: 2D Abrupt Nano‐Junctions Blending sp–sp2 Bonds on Atomically Precise Heterostructures</w:t>
      </w:r>
    </w:p>
    <w:p>
      <w:pPr>
        <w:spacing w:before="0" w:after="120"/>
      </w:pPr>
      <w:r>
        <w:rPr>
          <w:b/>
        </w:rPr>
        <w:t xml:space="preserve">Source: </w:t>
      </w:r>
      <w:r>
        <w:t>Wiley: Advanced Materials: Table of Contents</w:t>
      </w:r>
      <w:r>
        <w:t xml:space="preserve">    </w:t>
      </w:r>
      <w:r>
        <w:rPr>
          <w:b/>
        </w:rPr>
        <w:t xml:space="preserve">Pub date: </w:t>
      </w:r>
      <w:r>
        <w:t>2026-08-24 04:33:08+00:00</w:t>
      </w:r>
      <w:r>
        <w:t xml:space="preserve">    </w:t>
      </w:r>
      <w:r>
        <w:rPr>
          <w:b/>
        </w:rPr>
        <w:t xml:space="preserve">DOI: </w:t>
      </w:r>
      <w:hyperlink r:id="rId987">
        <w:r>
          <w:rPr>
            <w:color w:val="1155CC"/>
            <w:u w:val="single"/>
          </w:rPr>
          <w:t>10.1002/adma.74740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二维异质结构组合</w:t>
      </w:r>
      <w:r>
        <w:t xml:space="preserve"> </w:t>
      </w:r>
      <w:r>
        <w:t>sp</w:t>
      </w:r>
      <w:r>
        <w:t xml:space="preserve"> </w:t>
      </w:r>
      <w:r>
        <w:t>–</w:t>
      </w:r>
      <w:r>
        <w:t xml:space="preserve"> </w:t>
      </w:r>
      <w:r>
        <w:t>sp</w:t>
      </w:r>
      <w:r>
        <w:t xml:space="preserve"> </w:t>
      </w:r>
      <w:r>
        <w:t>杂化——将石墨烯与基于石墨炔的同素异形体混合——为增强电子和传输特性的可调性提供了巨大的潜力，同时提供了显着的结构灵活性，这是下一代纳米电子学的理想特性。尽管有这样的潜力，但它们的实验实现仍然难以捉摸，因为合成的碳异质结构仅限于掺杂的石墨烯基系统，仅表现出</w:t>
      </w:r>
      <w:r>
        <w:t xml:space="preserve"> </w:t>
      </w:r>
      <w:r>
        <w:t>sp</w:t>
      </w:r>
      <w:r>
        <w:t xml:space="preserve"> </w:t>
      </w:r>
      <w:r>
        <w:t>杂交。在这里，共价键的表面合成</w:t>
      </w:r>
      <w:r>
        <w:t xml:space="preserve"> </w:t>
      </w:r>
      <w:r>
        <w:t>sp</w:t>
      </w:r>
      <w:r>
        <w:t xml:space="preserve"> </w:t>
      </w:r>
      <w:r>
        <w:t>–</w:t>
      </w:r>
      <w:r>
        <w:t xml:space="preserve"> </w:t>
      </w:r>
      <w:r>
        <w:t>sp</w:t>
      </w:r>
      <w:r>
        <w:t xml:space="preserve"> </w:t>
      </w:r>
      <w:r>
        <w:t>展示了 Au(111) 上石墨烯纳米带和石墨二炔网络之间的横向异质结构。原子分辨率扫描隧道显微镜结合密度泛函理论，揭示了纳米带和石墨二炔之间共价界面键的形成机制，也凸显了表面化学的关键作用。溴原子源自分子脱卤并沿着纳米带化学吸附，抑制连接形成，但通过控制这些副产物的去除，键合效率可提高高达 66%。电子结构和输运计算表明，二维异质结构本身的特点是两个子系统的解缠结特性，形成原子窄的</w:t>
      </w:r>
    </w:p>
    <w:p>
      <w:pPr>
        <w:spacing w:before="0" w:after="200" w:lineRule="auto" w:line="276"/>
      </w:pPr>
      <w:r>
        <w:rPr>
          <w:b/>
        </w:rPr>
        <w:t xml:space="preserve">Abstract (EN): </w:t>
      </w:r>
      <w:r>
        <w:t>Two‐dimensional heterostructures combining</w:t>
      </w:r>
      <w:r>
        <w:t xml:space="preserve"> </w:t>
      </w:r>
      <w:r>
        <w:t>sp</w:t>
      </w:r>
      <w:r>
        <w:t xml:space="preserve"> </w:t>
      </w:r>
      <w:r>
        <w:t>–</w:t>
      </w:r>
      <w:r>
        <w:t xml:space="preserve"> </w:t>
      </w:r>
      <w:r>
        <w:t>sp</w:t>
      </w:r>
      <w:r>
        <w:t xml:space="preserve"> </w:t>
      </w:r>
      <w:r>
        <w:t>hybridization—blending graphene with graphyne‐based allotropes—offer substantial potential for enhancing the tunability of electronic and transport properties while providing significant structural flexibility, which are desirable characteristics for next‐generation nanoscale electronics. Despite such potential, their experimental realization remains elusive, as synthesized carbon heterostructures are limited to doped, graphene‐based systems exhibiting exclusively</w:t>
      </w:r>
      <w:r>
        <w:t xml:space="preserve"> </w:t>
      </w:r>
      <w:r>
        <w:t>sp</w:t>
      </w:r>
      <w:r>
        <w:t xml:space="preserve"> </w:t>
      </w:r>
      <w:r>
        <w:t>hybridization. Here, the on‐surface synthesis of covalently bonded</w:t>
      </w:r>
      <w:r>
        <w:t xml:space="preserve"> </w:t>
      </w:r>
      <w:r>
        <w:t>sp</w:t>
      </w:r>
      <w:r>
        <w:t xml:space="preserve"> </w:t>
      </w:r>
      <w:r>
        <w:t>–</w:t>
      </w:r>
      <w:r>
        <w:t xml:space="preserve"> </w:t>
      </w:r>
      <w:r>
        <w:t>sp</w:t>
      </w:r>
      <w:r>
        <w:t xml:space="preserve"> </w:t>
      </w:r>
      <w:r>
        <w:t>lateral heterostructures between graphene nanoribbons and graphdiyne networks on Au(111) is demonstrated. Atomic‐resolution scanning tunneling microscopy, combined with density functional theory, reveals the formation mechanism of the covalent interfacial bonds between nanoribbons and graphdiynes, also highlighting the key role of surface chemistry. Bromine atoms, deriving from the molecules dehalogenation and chemisorbed along the nanoribbon, inhibit junction formation, but bonding efficiency can be boosted up to 66% by controlled removal of these byproducts. Electronic structure and transport calculations show that the 2D heterostructure by itself is characterized by disentangled properties for the two subsystems, forming an atomically narrow junction, enabling voltage‐tunable spatial current separation in two dimensions. These results define a viable strategy for engineering graphene‐based</w:t>
      </w:r>
      <w:r>
        <w:t xml:space="preserve"> </w:t>
      </w:r>
      <w:r>
        <w:t>sp</w:t>
      </w:r>
      <w:r>
        <w:t xml:space="preserve"> </w:t>
      </w:r>
      <w:r>
        <w:t>–</w:t>
      </w:r>
      <w:r>
        <w:t xml:space="preserve"> </w:t>
      </w:r>
      <w:r>
        <w:t>sp</w:t>
      </w:r>
      <w:r>
        <w:t xml:space="preserve"> </w:t>
      </w:r>
      <w:r>
        <w:t>heterostructures, paving the way for the design and synthesis of all‐carbon nanoscale electronic architectures.</w:t>
      </w:r>
    </w:p>
    <w:p>
      <w:pPr>
        <w:spacing w:before="120" w:after="120"/>
      </w:pPr>
      <w:r>
        <w:rPr>
          <w:sz w:val="18"/>
        </w:rPr>
        <w:t>——————————————————————————————————————————————————————————————————————</w:t>
      </w:r>
    </w:p>
    <w:p>
      <w:pPr>
        <w:spacing w:before="160" w:after="40" w:line="240" w:lineRule="auto"/>
      </w:pPr>
      <w:r>
        <w:rPr>
          <w:b/>
        </w:rPr>
        <w:t xml:space="preserve">[272] </w:t>
      </w:r>
      <w:hyperlink r:id="rId988">
        <w:r>
          <w:rPr>
            <w:color w:val="1155CC"/>
            <w:u w:val="single"/>
          </w:rPr>
          <w:t>辉煌的孤立的脆弱性：世界岛屿生命面临的迫在眉睫的全球威胁</w:t>
        </w:r>
      </w:hyperlink>
    </w:p>
    <w:p>
      <w:pPr>
        <w:spacing w:before="0" w:after="80"/>
      </w:pPr>
      <w:r>
        <w:rPr>
          <w:i/>
          <w:sz w:val="20"/>
        </w:rPr>
        <w:t>EN: The fragility of splendid isolation: Imminent global threat for the world’s island life</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989">
        <w:r>
          <w:rPr>
            <w:color w:val="1155CC"/>
            <w:u w:val="single"/>
          </w:rPr>
          <w:t>10.1073/pnas.2623374123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990">
        <w:r>
          <w:rPr>
            <w:color w:val="1155CC"/>
            <w:u w:val="single"/>
          </w:rPr>
          <w:t>重塑人类世的病原体生态</w:t>
        </w:r>
      </w:hyperlink>
    </w:p>
    <w:p>
      <w:pPr>
        <w:spacing w:before="0" w:after="80"/>
      </w:pPr>
      <w:r>
        <w:rPr>
          <w:i/>
          <w:sz w:val="20"/>
        </w:rPr>
        <w:t>EN: Reshaping pathogen ecology in the Anthropocene</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991">
        <w:r>
          <w:rPr>
            <w:color w:val="1155CC"/>
            <w:u w:val="single"/>
          </w:rPr>
          <w:t>10.1073/pnas.2624730123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[274] </w:t>
      </w:r>
      <w:hyperlink r:id="rId992">
        <w:r>
          <w:rPr>
            <w:color w:val="1155CC"/>
            <w:u w:val="single"/>
          </w:rPr>
          <w:t>对 Sharp 等人《木贼属中的极端三氧同位素分馏》的修正</w:t>
        </w:r>
      </w:hyperlink>
    </w:p>
    <w:p>
      <w:pPr>
        <w:spacing w:before="0" w:after="80"/>
      </w:pPr>
      <w:r>
        <w:rPr>
          <w:i/>
          <w:sz w:val="20"/>
        </w:rPr>
        <w:t>EN: Correction for Sharp et al., Extreme triple oxygen isotope fractionation in Equisetum</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993">
        <w:r>
          <w:rPr>
            <w:color w:val="1155CC"/>
            <w:u w:val="single"/>
          </w:rPr>
          <w:t>10.1073/pnas.2626418123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[275] </w:t>
      </w:r>
      <w:hyperlink r:id="rId994">
        <w:r>
          <w:rPr>
            <w:color w:val="1155CC"/>
            <w:u w:val="single"/>
          </w:rPr>
          <w:t>纠正黄和董的观点，从美丽的回路到可行的疗法：解决基于针灸的神经调节的转化鸿沟</w:t>
        </w:r>
      </w:hyperlink>
    </w:p>
    <w:p>
      <w:pPr>
        <w:spacing w:before="0" w:after="80"/>
      </w:pPr>
      <w:r>
        <w:rPr>
          <w:i/>
          <w:sz w:val="20"/>
        </w:rPr>
        <w:t>EN: Correction for Huang and Dong, From a beautiful circuit to a viable therapy: Addressing the translational chasm in acupuncture-based neuromodulation</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995">
        <w:r>
          <w:rPr>
            <w:color w:val="1155CC"/>
            <w:u w:val="single"/>
          </w:rPr>
          <w:t>10.1073/pnas.2627926123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[276] </w:t>
      </w:r>
      <w:hyperlink r:id="rId996">
        <w:r>
          <w:rPr>
            <w:color w:val="1155CC"/>
            <w:u w:val="single"/>
          </w:rPr>
          <w:t>使用 AutoGaitA 跨物种识别保守和不同的运动学策略</w:t>
        </w:r>
      </w:hyperlink>
    </w:p>
    <w:p>
      <w:pPr>
        <w:spacing w:before="0" w:after="80"/>
      </w:pPr>
      <w:r>
        <w:rPr>
          <w:i/>
          <w:sz w:val="20"/>
        </w:rPr>
        <w:t>EN: Cross-species identification of conserved and divergent locomotor kinematic strategies using AutoGaitA</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997">
        <w:r>
          <w:rPr>
            <w:color w:val="1155CC"/>
            <w:u w:val="single"/>
          </w:rPr>
          <w:t>10.1073/pnas.2534093123</w:t>
        </w:r>
      </w:hyperlink>
    </w:p>
    <w:p>
      <w:pPr>
        <w:spacing w:before="0" w:after="120"/>
      </w:pPr>
      <w:r>
        <w:rPr>
          <w:b/>
        </w:rPr>
        <w:t xml:space="preserve">Notes: </w:t>
      </w:r>
      <w:r>
        <w:t>abstract_source=crossref</w:t>
      </w:r>
    </w:p>
    <w:p>
      <w:pPr>
        <w:spacing w:before="0" w:after="80" w:lineRule="auto" w:line="276"/>
      </w:pPr>
      <w:r>
        <w:rPr>
          <w:b/>
        </w:rPr>
        <w:t xml:space="preserve">摘要（ZH）: </w:t>
      </w:r>
      <w:r>
        <w:t>不同的行为需要神经系统执行专门的运动程序，每个程序都具有独特的身体肌肉协调模式。这些程序的执行和适应是否遵循跨物种和扰动的保守原则仍不清楚。为了比较不同物种、扰动和行为的运动程序，我们开发了 Python 工具箱自动步态分析 (AutoGaitA)。使用 AutoGaitA 并从运动学推断，我们发现果蝇、小鼠和人类的运动程序依赖于不同的机制来产生肢体推进强度，但采用类似的从远端到近端的关节运动速度梯度。此外，我们还发现，衰老会导致所有物种的推进力丧失，同时保持速度梯度。此外，我们观察到，在小鼠中，运动程序作为伴随扰动（即衰老和任务难度）的综合功能而适应。总而言之，使用我们新开发的多功能定量框架 AutoGaitA，我们开始揭示生理和扰动状态下运动程序执行的保守和发散机制。</w:t>
      </w:r>
    </w:p>
    <w:p>
      <w:pPr>
        <w:spacing w:before="0" w:after="200" w:lineRule="auto" w:line="276"/>
      </w:pPr>
      <w:r>
        <w:rPr>
          <w:b/>
        </w:rPr>
        <w:t xml:space="preserve">Abstract (EN): </w:t>
      </w:r>
      <w:r>
        <w:t>Distinct behaviors require the nervous system to execute specialized motor programs, each characterized by unique patterns of body muscle coordination. Whether the execution and adaptation of these programs follow conserved principles across species and perturbations remains unclear. To compare motor programs across species, perturbations, and behaviors, we developed the Python toolbox Automated Gait Analysis (AutoGaitA). Using AutoGaitA and inferring from kinematics, we found that locomotor programs in flies, mice, and humans rely on diverse mechanisms to generate limb propulsive strength, but employ a similar distal-to-proximal gradient of joint movement velocities. In addition, we showed that aging induces a loss of propulsive strength in all species while preserving the velocity gradient. Furthermore, we observed that in mice, locomotor programs adapt as an integrated function of concomitant perturbations, namely aging and task difficulty. Taken together, using our newly developed versatile quantitative framework AutoGaitA, we began to reveal the conserved and divergent mechanisms underlying the execution of locomotor programs in physiological and perturbed states.</w:t>
      </w:r>
    </w:p>
    <w:p>
      <w:pPr>
        <w:spacing w:before="120" w:after="120"/>
      </w:pPr>
      <w:r>
        <w:rPr>
          <w:sz w:val="18"/>
        </w:rPr>
        <w:t>——————————————————————————————————————————————————————————————————————</w:t>
      </w:r>
    </w:p>
    <w:p>
      <w:pPr>
        <w:spacing w:before="160" w:after="40" w:line="240" w:lineRule="auto"/>
      </w:pPr>
      <w:r>
        <w:rPr>
          <w:b/>
        </w:rPr>
        <w:t xml:space="preserve">[277] </w:t>
      </w:r>
      <w:hyperlink r:id="rId998">
        <w:r>
          <w:rPr>
            <w:color w:val="1155CC"/>
            <w:u w:val="single"/>
          </w:rPr>
          <w:t>不同低碳水化合物食物消耗期间肠道微生物组与代谢组的相互作用</w:t>
        </w:r>
      </w:hyperlink>
    </w:p>
    <w:p>
      <w:pPr>
        <w:spacing w:before="0" w:after="80"/>
      </w:pPr>
      <w:r>
        <w:rPr>
          <w:i/>
          <w:sz w:val="20"/>
        </w:rPr>
        <w:t>EN: Gut microbiome–metabolome interactions during varied low-carbohydrate food consumption</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999">
        <w:r>
          <w:rPr>
            <w:color w:val="1155CC"/>
            <w:u w:val="single"/>
          </w:rPr>
          <w:t>10.1073/pnas.2533462123</w:t>
        </w:r>
      </w:hyperlink>
    </w:p>
    <w:p>
      <w:pPr>
        <w:spacing w:before="0" w:after="120"/>
      </w:pPr>
      <w:r>
        <w:rPr>
          <w:b/>
        </w:rPr>
        <w:t xml:space="preserve">Notes: </w:t>
      </w:r>
      <w:r>
        <w:t>abstract_source=crossref</w:t>
      </w:r>
    </w:p>
    <w:p>
      <w:pPr>
        <w:spacing w:before="0" w:after="80" w:lineRule="auto" w:line="276"/>
      </w:pPr>
      <w:r>
        <w:rPr>
          <w:b/>
        </w:rPr>
        <w:t xml:space="preserve">摘要（ZH）: </w:t>
      </w:r>
      <w:r>
        <w:t>低碳水化合物 (LC) 食物与减肥、胰岛素抵抗和减少炎症有关。肠道微生物可能通过改变宿主的免疫和代谢状态来驱动这些影响，但最佳的替代策略（例如蛋白质与脂肪）和生化影响仍然不确定。因此，我们对犬类（n = 35）进行了一项随机交叉研究，使用高碳水化合物食物为期 4 周，然后每隔 5 周间隔两次使用低碳水化合物食物，用脂肪或蛋白质代替碳水化合物。每个时间间隔后收集的粪便和血液样本进行代谢组分析，并对粪便进行鸟枪法宏基因组和宏转录组测序。我们观察到食物与整体粪便和血清化学物质以及肠道微生物组成之间存在很强的关联。</w:t>
      </w:r>
      <w:r>
        <w:t xml:space="preserve"> </w:t>
      </w:r>
      <w:r>
        <w:t>双歧杆菌</w:t>
      </w:r>
      <w:r>
        <w:t xml:space="preserve"> </w:t>
      </w:r>
      <w:r>
        <w:t>种。在食用任何一种 LC 食物期间，这些细菌的数量显着减少，而厚壁菌门的许多物种却有所增加。除了广泛的分类学变化之外，我们还发现几种微生物相关的代谢物（色氨酸衍生物、次级胆汁酸和短链脂肪酸发酵）因不同的LC食物而发生大量变化。总体而言，我们还发现喂食低浓度食物（尤其是高脂肪食物）的狗粪便中氨基酸含量呈明显下降趋势。再加上粪便二肽水平下降和粪便氨增加，这些发现表明肠道微生物组内发生了广泛的代谢变化，可能朝着蛋白质分解代谢的方向变化。总之，数据表明多种碳水化合物替代品</w:t>
      </w:r>
    </w:p>
    <w:p>
      <w:pPr>
        <w:spacing w:before="0" w:after="200" w:lineRule="auto" w:line="276"/>
      </w:pPr>
      <w:r>
        <w:rPr>
          <w:b/>
        </w:rPr>
        <w:t xml:space="preserve">Abstract (EN): </w:t>
      </w:r>
      <w:r>
        <w:t>Low-carbohydrate (LC) foods have been associated with weight loss, insulin resistance, and reduced inflammation. Gut microbes may drive these effects by changing the host’s immune and metabolic state, yet the optimal replacement strategies (e.g., protein vs. fat) and the biochemical impacts are still uncertain. Thus, we conducted a randomized cross-over study in canines (n = 35) using a high-carbohydrate food for 4 wk, followed by two 5-wk intervals of LC foods replacing carbohydrates with fat or protein. Feces and blood samples collected after each interval underwent metabolome profiling, as well as shotgun metagenomic and metatranscriptomic sequencing from feces. We observed strong associations between food and overall fecal and serum chemical and gut microbial composition.</w:t>
      </w:r>
      <w:r>
        <w:t xml:space="preserve"> </w:t>
      </w:r>
      <w:r>
        <w:t>Bifidobacterium</w:t>
      </w:r>
      <w:r>
        <w:t xml:space="preserve"> </w:t>
      </w:r>
      <w:r>
        <w:t>spp. were significantly reduced during consumption of either LC food, whereas many species from Firmicutes increased. In addition to broad taxonomic changes, we also found that several microbially associated metabolites (tryptophan derivatives, secondary bile acids, and short-chain fatty acid fermentation) shifted in abundance in response to differing LC foods. Broadly, we also identified a strong trend toward decreased amino acids in the feces of dogs fed LC foods, particularly the high fat food. Coupled with decreased fecal dipeptide levels and increased fecal ammonia, these findings indicate a broad metabolic shift within the gut microbiome, potentially toward protein catabolism. Together, the data suggest that diverse carbohydrate replacement strategies induce extensive gut reprogramming, with some changes dependent on whether carbohydrate energy was replaced with fat or protein.</w:t>
      </w:r>
    </w:p>
    <w:p>
      <w:pPr>
        <w:spacing w:before="120" w:after="120"/>
      </w:pPr>
      <w:r>
        <w:rPr>
          <w:sz w:val="18"/>
        </w:rPr>
        <w:t>——————————————————————————————————————————————————————————————————————</w:t>
      </w:r>
    </w:p>
    <w:p>
      <w:pPr>
        <w:spacing w:before="160" w:after="40" w:line="240" w:lineRule="auto"/>
      </w:pPr>
      <w:r>
        <w:rPr>
          <w:b/>
        </w:rPr>
        <w:t xml:space="preserve">[278] </w:t>
      </w:r>
      <w:hyperlink r:id="rId1000">
        <w:r>
          <w:rPr>
            <w:color w:val="1155CC"/>
            <w:u w:val="single"/>
          </w:rPr>
          <w:t>SIRT2 脱酰酶调节剂控制 EBV 感染和有丝分裂激活中的 B 细胞代谢重编程</w:t>
        </w:r>
      </w:hyperlink>
    </w:p>
    <w:p>
      <w:pPr>
        <w:spacing w:before="0" w:after="80"/>
      </w:pPr>
      <w:r>
        <w:rPr>
          <w:i/>
          <w:sz w:val="20"/>
        </w:rPr>
        <w:t>EN: SIRT2 deacylase modulators control B cell metabolic reprogramming in EBV infection and mitogenic activation</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01">
        <w:r>
          <w:rPr>
            <w:color w:val="1155CC"/>
            <w:u w:val="single"/>
          </w:rPr>
          <w:t>10.1073/pnas.2532225123</w:t>
        </w:r>
      </w:hyperlink>
    </w:p>
    <w:p>
      <w:pPr>
        <w:spacing w:before="0" w:after="120"/>
      </w:pPr>
      <w:r>
        <w:rPr>
          <w:b/>
        </w:rPr>
        <w:t xml:space="preserve">Notes: </w:t>
      </w:r>
      <w:r>
        <w:t>abstract_source=crossref</w:t>
      </w:r>
    </w:p>
    <w:p>
      <w:pPr>
        <w:spacing w:before="0" w:after="80" w:lineRule="auto" w:line="276"/>
      </w:pPr>
      <w:r>
        <w:rPr>
          <w:b/>
        </w:rPr>
        <w:t xml:space="preserve">摘要（ZH）: </w:t>
      </w:r>
      <w:r>
        <w:t>Sirtuin-2 (SIRT2) 是一种细胞脱酰酶，调节细胞周期进程和代谢稳态。最近，SIRT2 已成为具有抗癌和抗病毒潜力的靶点。然而，SIRT2 在病毒驱动的癌症中的作用和靶向性仍有待探索。 EB 病毒 (EBV) 是一种普遍存在的疱疹病毒，具有致癌潜力，在 B 淋巴细胞中建立潜伏期，通常由强大的 T 细胞免疫反应控制。在损害这种反应的环境中，例如移植后的免疫抑制，EBV 可能导致 B 细胞淋巴瘤。由于广泛的免疫抑制和不同的反应率限制了现有淋巴瘤治疗的有效性，因此需要新的策略。在这里，我们报道 SIRT2 选择性化合物在体外阻断 EBV 介导的 B 细胞转化和 EBV 或丝裂原驱动的 B 细胞分裂。 SIRT2 调节显着改变 EBV 感染的 B 细胞的基因表达和代谢，减少线粒体呼吸，驱动线粒体肿胀，并诱导营养应激和自噬。 SIRT2 调节剂治疗可驱动参与脂质代谢、中心碳代谢和氧化磷酸化的靶标过度乙酰化。 EBV 阳性和 EBV 阴性 B 细胞淋巴瘤在 SIRT2 调节后依靠糖酵解来避免细胞死亡，揭示了可用于杀死淋巴瘤细胞的代谢脆弱性。总体而言，我们已经确定了 SIRT2 如何成为 B 细胞淋巴瘤治疗潜力的靶点，同时还定义了核外细胞的基本作用</w:t>
      </w:r>
    </w:p>
    <w:p>
      <w:pPr>
        <w:spacing w:before="0" w:after="200" w:lineRule="auto" w:line="276"/>
      </w:pPr>
      <w:r>
        <w:rPr>
          <w:b/>
        </w:rPr>
        <w:t xml:space="preserve">Abstract (EN): </w:t>
      </w:r>
      <w:r>
        <w:t>Sirtuin-2 (SIRT2) is a cellular deacylase, regulating cell cycle progression and metabolic homeostasis. Recently, SIRT2 has emerged as a target with both anticancer and antiviral potential. However, the role and targetability of SIRT2 in viral-driven cancers remains unexplored. Epstein–Barr virus (EBV) is a ubiquitous herpesvirus with oncogenic potential that establishes latency in B lymphocytes and is typically controlled by a robust T cell immune response. In settings that compromise this response, such as immune suppression following transplant, EBV can cause B cell lymphomas. With broad immunosuppression and varying response rates limiting the effectiveness of existing lymphoma therapeutics, new strategies are necessary. Here, we report that SIRT2-selective compounds block EBV-mediated B cell transformation and EBV or mitogen-driven B cell division in vitro. SIRT2 modulation significantly alters gene expression and metabolism of EBV-infected B cells, reducing mitochondrial respiration, driving mitochondrial swelling, and inducing nutrient stress and autophagy. Treatment with SIRT2 modulators drives hyperacetylation of targets involved in lipid metabolism, central carbon metabolism, and oxidative phosphorylation. EBV-positive and EBV-negative B cell lymphomas rely on glycolysis to avoid cell death after SIRT2 modulation, revealing a metabolic vulnerability that can be harnessed to kill lymphoma cells. Overall, we have identified how SIRT2 could be implicated as a target of therapeutic potential for B cell lymphomas, while also defining fundamental roles for extranuclear lysine acetylation in regulating B cell proliferation and metabolism.</w:t>
      </w:r>
    </w:p>
    <w:p>
      <w:pPr>
        <w:spacing w:before="120" w:after="120"/>
      </w:pPr>
      <w:r>
        <w:rPr>
          <w:sz w:val="18"/>
        </w:rPr>
        <w:t>——————————————————————————————————————————————————————————————————————</w:t>
      </w:r>
    </w:p>
    <w:p>
      <w:pPr>
        <w:spacing w:before="160" w:after="40" w:line="240" w:lineRule="auto"/>
      </w:pPr>
      <w:r>
        <w:rPr>
          <w:b/>
        </w:rPr>
        <w:t xml:space="preserve">[279] </w:t>
      </w:r>
      <w:hyperlink r:id="rId1002">
        <w:r>
          <w:rPr>
            <w:color w:val="1155CC"/>
            <w:u w:val="single"/>
          </w:rPr>
          <w:t>位点特异性磷酸化影响 Ycf1p R 区域的结构和相互作用</w:t>
        </w:r>
      </w:hyperlink>
    </w:p>
    <w:p>
      <w:pPr>
        <w:spacing w:before="0" w:after="80"/>
      </w:pPr>
      <w:r>
        <w:rPr>
          <w:i/>
          <w:sz w:val="20"/>
        </w:rPr>
        <w:t>EN: Site-specific phosphorylation affects the structure and interactions of the Ycf1p R region</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03">
        <w:r>
          <w:rPr>
            <w:color w:val="1155CC"/>
            <w:u w:val="single"/>
          </w:rPr>
          <w:t>10.1073/pnas.2532795123</w:t>
        </w:r>
      </w:hyperlink>
    </w:p>
    <w:p>
      <w:pPr>
        <w:spacing w:before="0" w:after="120"/>
      </w:pPr>
      <w:r>
        <w:rPr>
          <w:b/>
        </w:rPr>
        <w:t xml:space="preserve">Notes: </w:t>
      </w:r>
      <w:r>
        <w:t>abstract_source=crossref</w:t>
      </w:r>
    </w:p>
    <w:p>
      <w:pPr>
        <w:spacing w:before="0" w:after="80" w:lineRule="auto" w:line="276"/>
      </w:pPr>
      <w:r>
        <w:rPr>
          <w:b/>
        </w:rPr>
        <w:t xml:space="preserve">摘要（ZH）: </w:t>
      </w:r>
      <w:r>
        <w:t>许多 ATP 结合盒 (ABC) 蛋白在溶质跨生物膜的主动转运中发挥作用。 ABC 蛋白至少包含两个重复的跨膜结构域 (TMD) 和核苷酸结合结构域 (NBD)。在许多 ABC 蛋白中，TMD-NBD 半部通过本质上无序的接头连接，该接头通过磷酸化调节 ABC 蛋白的活性。这些调节 (R) 区域在冷冻电镜图中通常不可见或分辨率较低。因此，关于 R 区磷酸化如何控制 ABC 转运蛋白活性的信息缺失。使用核磁共振波谱，我们辨别了酵母镉因子 1 蛋白 (Ycf1p) 中 R 区的结构特征和相互作用，Ycf1p 是一种与人类多药耐药蛋白 1 同源的 C 亚家族 ABC 蛋白。我们的数据表明，整个 R 区具有随磷酸化而变化的残余二级结构，包括通常不可见的 R 区片段。数据证明 R 区与 NBD1 以及 NBD2 相互作用。 NBD/R 区域相互作用取决于 R 区域的磷酸化状态以及 NBD 的核苷酸结合和寡聚状态，表明 R 区域相互作用在运输周期中如何变化。补充生化研究表明，R 区磷酸化会影响 NBD 的 ATP 酶活性。酵母活力测定强调了 R 区残留结构和相互作用对 Ycf1p 活性的重要性。结构、生化和体内研究增强了我们对 R 区如何影响反式的分子水平理解。</w:t>
      </w:r>
    </w:p>
    <w:p>
      <w:pPr>
        <w:spacing w:before="0" w:after="200" w:lineRule="auto" w:line="276"/>
      </w:pPr>
      <w:r>
        <w:rPr>
          <w:b/>
        </w:rPr>
        <w:t xml:space="preserve">Abstract (EN): </w:t>
      </w:r>
      <w:r>
        <w:t>Many ATP-binding cassette (ABC) proteins function in active transport of solutes across biological membranes. At minimum, ABC proteins contain two repeats of a transmembrane domain (TMD) and a nucleotide binding domain (NBD). In many ABC proteins, the TMD-NBD halves are connected by an intrinsically disordered linker that regulates the activity of the ABC protein through phosphorylation. These regulatory (R) regions are often invisible or at low-resolution in cryo-EM maps. Thus, information about how R region phosphorylation controls ABC transporter activity is missing. Using NMR spectroscopy, we discern the structural features and interactions of the R region from the yeast cadmium factor 1 protein (Ycf1p), a C subfamily ABC protein that is homologous to human multidrug resistance protein 1. Our data show that the entire R region possesses residual secondary structure that changes with phosphorylation, including for often-invisible R region segments. The data demonstrate R region interactions with NBD1 and also with NBD2. NBD/R region interactions depend on the phosphorylation state of the R region and on the nucleotide-bound and oligomeric states of the NBDs, indicating how R region interactions change during the transport cycle. Complementary biochemical studies show that R region phosphorylation affects the ATPase activity of the NBDs. Yeast viability assays highlight the importance of R region residual structure and interactions on Ycf1p activity. The structural, biochemical, and in vivo studies enhance our molecular-level understanding of how R region affects the transport cycle of Ycf1p and related ABC proteins.</w:t>
      </w:r>
    </w:p>
    <w:p>
      <w:pPr>
        <w:spacing w:before="120" w:after="120"/>
      </w:pPr>
      <w:r>
        <w:rPr>
          <w:sz w:val="18"/>
        </w:rPr>
        <w:t>——————————————————————————————————————————————————————————————————————</w:t>
      </w:r>
    </w:p>
    <w:p>
      <w:pPr>
        <w:spacing w:before="160" w:after="40" w:line="240" w:lineRule="auto"/>
      </w:pPr>
      <w:r>
        <w:rPr>
          <w:b/>
        </w:rPr>
        <w:t xml:space="preserve">[280] </w:t>
      </w:r>
      <w:hyperlink r:id="rId1004">
        <w:r>
          <w:rPr>
            <w:color w:val="1155CC"/>
            <w:u w:val="single"/>
          </w:rPr>
          <w:t>视杆双极细胞通路有助于关闭视网膜神经节细胞的周围反应</w:t>
        </w:r>
      </w:hyperlink>
    </w:p>
    <w:p>
      <w:pPr>
        <w:spacing w:before="0" w:after="80"/>
      </w:pPr>
      <w:r>
        <w:rPr>
          <w:i/>
          <w:sz w:val="20"/>
        </w:rPr>
        <w:t>EN: The rod bipolar cell pathway contributes to surround responses in OFF retinal ganglion cells</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05">
        <w:r>
          <w:rPr>
            <w:color w:val="1155CC"/>
            <w:u w:val="single"/>
          </w:rPr>
          <w:t>10.1073/pnas.2532792123</w:t>
        </w:r>
      </w:hyperlink>
    </w:p>
    <w:p>
      <w:pPr>
        <w:spacing w:before="0" w:after="120"/>
      </w:pPr>
      <w:r>
        <w:rPr>
          <w:b/>
        </w:rPr>
        <w:t xml:space="preserve">Notes: </w:t>
      </w:r>
      <w:r>
        <w:t>abstract_source=crossref</w:t>
      </w:r>
    </w:p>
    <w:p>
      <w:pPr>
        <w:spacing w:before="0" w:after="80" w:lineRule="auto" w:line="276"/>
      </w:pPr>
      <w:r>
        <w:rPr>
          <w:b/>
        </w:rPr>
        <w:t xml:space="preserve">摘要（ZH）: </w:t>
      </w:r>
      <w:r>
        <w:t>感觉神经元可能会受到其感受野中心之外的刺激的影响，但这种环绕调制背后的机制仍然知之甚少。在视网膜中，许多 OFF 神经节细胞对感受野中心之外的 ON 刺激表现出反应。然而，用传统的实验方法来解开导致这些反应的途径和细胞类型一直是一个挑战。在这里，我们结合光遗传学、双光子全息刺激和多电极阵列记录来识别该电路中涉及的中间视网膜细胞类型。我们发现，由杆状双极细胞和 AII 无长突细胞组成的通路（弱光条件下杆状驱动信号的主要中继之一）在介导这种环绕调制中发挥着关键作用。具体来说，交叉抑制利用负责周围抑制的相同无长突细胞来抑制远处的神经节细胞。这表明视网膜重新利用现有电路进行环绕调制，通过多功能抑制途径优化资源。</w:t>
      </w:r>
    </w:p>
    <w:p>
      <w:pPr>
        <w:spacing w:before="0" w:after="200" w:lineRule="auto" w:line="276"/>
      </w:pPr>
      <w:r>
        <w:rPr>
          <w:b/>
        </w:rPr>
        <w:t xml:space="preserve">Abstract (EN): </w:t>
      </w:r>
      <w:r>
        <w:t>Sensory neurons can be influenced by stimuli beyond their receptive field center, yet the mechanisms underlying this surround modulation remain poorly understood. In the retina, many OFF ganglion cells exhibit responses to ON stimulation outside their receptive field center. However, disentangling the pathways and cell types contributing to these responses has been challenging with traditional experimental approaches. Here, we combined optogenetics, two-photon holographic stimulation, and multielectrode array recordings to identify the intermediate retinal cell types involved in this circuit. We found that the pathway consisting of rod bipolar cells and AII amacrine cells—one of the primary relays of rod-driven signals under low-light conditions—plays a key role in mediating this surround modulation. Specifically, crossover inhibition exploits the same amacrine cells responsible for surround suppression to disinhibit distant ganglion cells. This suggests that the retina repurposes existing circuits for surround modulation, optimizing resources through multifunctional inhibitory pathways.</w:t>
      </w:r>
    </w:p>
    <w:p>
      <w:pPr>
        <w:spacing w:before="120" w:after="120"/>
      </w:pPr>
      <w:r>
        <w:rPr>
          <w:sz w:val="18"/>
        </w:rPr>
        <w:t>——————————————————————————————————————————————————————————————————————</w:t>
      </w:r>
    </w:p>
    <w:p>
      <w:pPr>
        <w:spacing w:before="160" w:after="40" w:line="240" w:lineRule="auto"/>
      </w:pPr>
      <w:r>
        <w:rPr>
          <w:b/>
        </w:rPr>
        <w:t xml:space="preserve">[281] </w:t>
      </w:r>
      <w:hyperlink r:id="rId1006">
        <w:r>
          <w:rPr>
            <w:color w:val="1155CC"/>
            <w:u w:val="single"/>
          </w:rPr>
          <w:t>HLA I 类逃逸推动了 SARS-CoV-2 在人群中的进化</w:t>
        </w:r>
      </w:hyperlink>
    </w:p>
    <w:p>
      <w:pPr>
        <w:spacing w:before="0" w:after="80"/>
      </w:pPr>
      <w:r>
        <w:rPr>
          <w:i/>
          <w:sz w:val="20"/>
        </w:rPr>
        <w:t>EN: HLA class I escape drives the evolution of SARS-CoV-2 in human populations</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07">
        <w:r>
          <w:rPr>
            <w:color w:val="1155CC"/>
            <w:u w:val="single"/>
          </w:rPr>
          <w:t>10.1073/pnas.2619192123</w:t>
        </w:r>
      </w:hyperlink>
    </w:p>
    <w:p>
      <w:pPr>
        <w:spacing w:before="0" w:after="120"/>
      </w:pPr>
      <w:r>
        <w:rPr>
          <w:b/>
        </w:rPr>
        <w:t xml:space="preserve">Notes: </w:t>
      </w:r>
      <w:r>
        <w:t>abstract_source=crossref</w:t>
      </w:r>
    </w:p>
    <w:p>
      <w:pPr>
        <w:spacing w:before="0" w:after="80" w:lineRule="auto" w:line="276"/>
      </w:pPr>
      <w:r>
        <w:rPr>
          <w:b/>
        </w:rPr>
        <w:t xml:space="preserve">摘要（ZH）: </w:t>
      </w:r>
      <w:r>
        <w:t>逃避细胞毒性 T 细胞 (CTL) 反应在严重急性呼吸综合征相关冠状病毒 2 (SARS-CoV-2) 进化中的作用仍存在争议。在这里，我们研究了 SARS-CoV-2 变体的起源和传播，这些变体的突变减少了人类白细胞抗原 (HLA) I 类等位基因在人群中的常见表现。我们发现，作为关注变体特征的 35% 的突变以及所有后续病毒突变的 39% 会促进病毒表位的逃逸。允许逃避更常见的 HLA 等位基因的突变频率更高，特别是在这些 HLA 等位基因更频繁的国家，这表明逃避是由人类宿主群体的当地遗传组成选择的。我们还表明，在一般人群传播链中积累的病毒突变与人群 HLA I 类等位基因频率相匹配，以及或优于持续感染期间获得的突变，这表明有利于逃逸突变的选择不仅限于免疫功能低下的个体。总之，这些数据揭示了 CTL 逃逸是选择的一个方面、进化的驱动因素以及 SARS-CoV-2 的流行病学关注点。</w:t>
      </w:r>
    </w:p>
    <w:p>
      <w:pPr>
        <w:spacing w:before="0" w:after="200" w:lineRule="auto" w:line="276"/>
      </w:pPr>
      <w:r>
        <w:rPr>
          <w:b/>
        </w:rPr>
        <w:t xml:space="preserve">Abstract (EN): </w:t>
      </w:r>
      <w:r>
        <w:t>The role of escape from the cytotoxic T cell (CTL) response in Severe acute respiratory syndrome-related coronavirus 2 (SARS-CoV-2) evolution remains controversial. Here, we study the origin and spread of SARS-CoV-2 variants whose mutations reduce presentation by the human leukocyte antigen (HLA) class I alleles common in human populations. We find that 35% of mutations that are characteristic of the variants of concern, and 39% of all subsequent viral mutations, facilitate escape of viral epitopes from presentation. Mutations allowing escape from more common HLA alleles reach higher frequencies, particularly in those countries where these HLA alleles are more frequent, indicating that escape is selected by the local genetic composition of the human host population. We also show that viral mutations that accumulated in general-population transmission chains matched population HLA class I allele frequencies as well as, or better than, mutations acquired during persistent infections, suggesting that selection in favor of escape mutations is not limited to immunocompromised individuals. Together, these data reveal CTL escape as a facet of selection, a driver of evolution, and an epidemiological concern for SARS-CoV-2.</w:t>
      </w:r>
    </w:p>
    <w:p>
      <w:pPr>
        <w:spacing w:before="120" w:after="120"/>
      </w:pPr>
      <w:r>
        <w:rPr>
          <w:sz w:val="18"/>
        </w:rPr>
        <w:t>——————————————————————————————————————————————————————————————————————</w:t>
      </w:r>
    </w:p>
    <w:p>
      <w:pPr>
        <w:spacing w:before="160" w:after="40" w:line="240" w:lineRule="auto"/>
      </w:pPr>
      <w:r>
        <w:rPr>
          <w:b/>
        </w:rPr>
        <w:t xml:space="preserve">[282] </w:t>
      </w:r>
      <w:hyperlink r:id="rId1008">
        <w:r>
          <w:rPr>
            <w:color w:val="1155CC"/>
            <w:u w:val="single"/>
          </w:rPr>
          <w:t>表观转录组线粒体 RNA 监测的丧失导致上皮 I 型干扰素和自身免疫炎症</w:t>
        </w:r>
      </w:hyperlink>
    </w:p>
    <w:p>
      <w:pPr>
        <w:spacing w:before="0" w:after="80"/>
      </w:pPr>
      <w:r>
        <w:rPr>
          <w:i/>
          <w:sz w:val="20"/>
        </w:rPr>
        <w:t>EN: Loss of epitranscriptomic mitochondrial RNA surveillance drives epithelial type I interferon and inflammation in autoimmunity</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09">
        <w:r>
          <w:rPr>
            <w:color w:val="1155CC"/>
            <w:u w:val="single"/>
          </w:rPr>
          <w:t>10.1073/pnas.2534325123</w:t>
        </w:r>
      </w:hyperlink>
    </w:p>
    <w:p>
      <w:pPr>
        <w:spacing w:before="0" w:after="120"/>
      </w:pPr>
      <w:r>
        <w:rPr>
          <w:b/>
        </w:rPr>
        <w:t xml:space="preserve">Notes: </w:t>
      </w:r>
      <w:r>
        <w:t>abstract_source=crossref</w:t>
      </w:r>
    </w:p>
    <w:p>
      <w:pPr>
        <w:spacing w:before="0" w:after="80" w:lineRule="auto" w:line="276"/>
      </w:pPr>
      <w:r>
        <w:rPr>
          <w:b/>
        </w:rPr>
        <w:t xml:space="preserve">摘要（ZH）: </w:t>
      </w:r>
      <w:r>
        <w:t>慢性干扰素 (IFN) 激活是系统性红斑狼疮和干燥病 (SjD) 等自身免疫性疾病的标志，而上皮细胞是其中的关键因素。尽管病毒和逆转录因子触发因素已被提议作为触发因素，但患者组织中的直接证据有限，并且上皮干扰素失调的内源性机制仍不清楚。线粒体双链 RNA (mt-dsRNA) 是一种有效的 I 型干扰素 (IFN-I) 诱导剂，但其在上皮细胞中的调节作用尚不清楚。我们确定了 RNA 甲基转移酶 METTL3 稳定的机制</w:t>
      </w:r>
      <w:r>
        <w:t xml:space="preserve"> </w:t>
      </w:r>
      <w:r>
        <w:t>雷克斯奥2</w:t>
      </w:r>
      <w:r>
        <w:t xml:space="preserve"> </w:t>
      </w:r>
      <w:r>
        <w:t>原代唾液腺上皮细胞中的 mRNA 通过</w:t>
      </w:r>
      <w:r>
        <w:t xml:space="preserve"> </w:t>
      </w:r>
      <w:r>
        <w:t>N6</w:t>
      </w:r>
      <w:r>
        <w:t xml:space="preserve"> </w:t>
      </w:r>
      <w:r>
        <w:t>-甲基腺苷（m</w:t>
      </w:r>
      <w:r>
        <w:rPr>
          <w:vertAlign w:val="subscript"/>
        </w:rPr>
        <w:t>6</w:t>
      </w:r>
      <w:r>
        <w:t>A）修改。 REXO2 编码控制 mt-dsRNA 的线粒体核酸外切酶。 METTL3 抑制会减少 REXO2，导致 mt-dsRNA 积累、IFN-I 信号放大和炎症。单细胞和大量转录组分析以及 SjD 患者和对照唾液腺组织的免疫荧光显示，SjD 中 REXO2 表达减少，IFN-I 特征升高。</w:t>
      </w:r>
      <w:r>
        <w:t xml:space="preserve"> </w:t>
      </w:r>
      <w:r>
        <w:t>雷克索2</w:t>
      </w:r>
      <w:r>
        <w:t xml:space="preserve"> </w:t>
      </w:r>
      <w:r>
        <w:t>在自发性 SjD 小鼠模型的上皮细胞中同样下调。 REXO2 缺失会放大多种上皮环境中的 IFN-I 反应和炎症，而甲基供体则恢复 REXO2 并抑制 IFN 激活，突出显示 IFN 驱动的自身免疫性疾病中的一个可靶向调节检查点，以及潜在的平行检查点。</w:t>
      </w:r>
    </w:p>
    <w:p>
      <w:pPr>
        <w:spacing w:before="0" w:after="200" w:lineRule="auto" w:line="276"/>
      </w:pPr>
      <w:r>
        <w:rPr>
          <w:b/>
        </w:rPr>
        <w:t xml:space="preserve">Abstract (EN): </w:t>
      </w:r>
      <w:r>
        <w:t>Chronic interferon (IFN) activation is a hallmark of autoimmune diseases such as systemic lupus erythematosus and Sjögren’s disease (SjD), where epithelial cells are key contributors. Although viral and retroelement triggers have been proposed as triggers, direct evidence in patient tissues is limited, and endogenous mechanisms of epithelial IFN dysregulation remain unclear. Mitochondrial double-stranded RNA (mt-dsRNA) is a potent type I IFN (IFN-I) inducer, but its regulation in epithelial cells is poorly understood. We identify a mechanism in which the RNA methyltransferase METTL3 stabilizes</w:t>
      </w:r>
      <w:r>
        <w:t xml:space="preserve"> </w:t>
      </w:r>
      <w:r>
        <w:t>REXO2</w:t>
      </w:r>
      <w:r>
        <w:t xml:space="preserve"> </w:t>
      </w:r>
      <w:r>
        <w:t>mRNA in primary salivary gland epithelial cells through</w:t>
      </w:r>
      <w:r>
        <w:t xml:space="preserve"> </w:t>
      </w:r>
      <w:r>
        <w:t>N6</w:t>
      </w:r>
      <w:r>
        <w:t xml:space="preserve"> </w:t>
      </w:r>
      <w:r>
        <w:t>-methyladenosine (m</w:t>
      </w:r>
      <w:r>
        <w:rPr>
          <w:vertAlign w:val="subscript"/>
        </w:rPr>
        <w:t>6</w:t>
      </w:r>
      <w:r>
        <w:t>A) modification. REXO2 encodes a mitochondrial exonuclease that controls mt-dsRNA. METTL3 inhibition reduces REXO2, causing mt-dsRNA accumulation and IFN-I signaling amplification and inflammation. Single-cell and bulk transcriptomic analyses, together with immunofluorescence of salivary gland tissues from SjD patients and controls, reveal reduced REXO2 expression and elevated IFN-I signatures in SjD.</w:t>
      </w:r>
      <w:r>
        <w:t xml:space="preserve"> </w:t>
      </w:r>
      <w:r>
        <w:t>Rexo2</w:t>
      </w:r>
      <w:r>
        <w:t xml:space="preserve"> </w:t>
      </w:r>
      <w:r>
        <w:t>is likewise downregulated in epithelial cells of a spontaneous SjD mouse model. REXO2 loss amplifies IFN-I responses and inflammation across several epithelial contexts, while methyl donors restore REXO2 and dampen IFN activation, highlighting a targetable regulatory checkpoint in IFN-driven autoimmune diseases, alongside potential parallel stress pathways.</w:t>
      </w:r>
    </w:p>
    <w:p>
      <w:pPr>
        <w:spacing w:before="120" w:after="120"/>
      </w:pPr>
      <w:r>
        <w:rPr>
          <w:sz w:val="18"/>
        </w:rPr>
        <w:t>——————————————————————————————————————————————————————————————————————</w:t>
      </w:r>
    </w:p>
    <w:p>
      <w:pPr>
        <w:spacing w:before="160" w:after="40" w:line="240" w:lineRule="auto"/>
      </w:pPr>
      <w:r>
        <w:rPr>
          <w:b/>
        </w:rPr>
        <w:t xml:space="preserve">[283] </w:t>
      </w:r>
      <w:hyperlink r:id="rId1010">
        <w:r>
          <w:rPr>
            <w:color w:val="1155CC"/>
            <w:u w:val="single"/>
          </w:rPr>
          <w:t>声音定位的听觉生态学：狩猎蝙蝠以牺牲耳间位置线索为代价最大化前向灵敏度</w:t>
        </w:r>
      </w:hyperlink>
    </w:p>
    <w:p>
      <w:pPr>
        <w:spacing w:before="0" w:after="80"/>
      </w:pPr>
      <w:r>
        <w:rPr>
          <w:i/>
          <w:sz w:val="20"/>
        </w:rPr>
        <w:t>EN: Auditory ecology of sound localization: Hunting bats maximize forward sensitivity at the expense of interaural location cues</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11">
        <w:r>
          <w:rPr>
            <w:color w:val="1155CC"/>
            <w:u w:val="single"/>
          </w:rPr>
          <w:t>10.1073/pnas.2623372123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1012">
        <w:r>
          <w:rPr>
            <w:color w:val="1155CC"/>
            <w:u w:val="single"/>
          </w:rPr>
          <w:t>肠嗜铬细胞作为细胞整合中心，用于协同微生物信号传导来调节肠道血清素和运动</w:t>
        </w:r>
      </w:hyperlink>
    </w:p>
    <w:p>
      <w:pPr>
        <w:spacing w:before="0" w:after="80"/>
      </w:pPr>
      <w:r>
        <w:rPr>
          <w:i/>
          <w:sz w:val="20"/>
        </w:rPr>
        <w:t>EN: Enterochromaffin cells as a cellular integration hub for cooperative microbial signaling to modulate gut serotonin and motility</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13">
        <w:r>
          <w:rPr>
            <w:color w:val="1155CC"/>
            <w:u w:val="single"/>
          </w:rPr>
          <w:t>10.1073/pnas.2533336123</w:t>
        </w:r>
      </w:hyperlink>
    </w:p>
    <w:p>
      <w:pPr>
        <w:spacing w:before="0" w:after="120"/>
      </w:pPr>
      <w:r>
        <w:rPr>
          <w:b/>
        </w:rPr>
        <w:t xml:space="preserve">Notes: </w:t>
      </w:r>
      <w:r>
        <w:t>abstract_source=crossref</w:t>
      </w:r>
    </w:p>
    <w:p>
      <w:pPr>
        <w:spacing w:before="0" w:after="80" w:lineRule="auto" w:line="276"/>
      </w:pPr>
      <w:r>
        <w:rPr>
          <w:b/>
        </w:rPr>
        <w:t xml:space="preserve">摘要（ZH）: </w:t>
      </w:r>
      <w:r>
        <w:t>肠上皮暴露于微生物群衍生化合物的多种组合中；然而，宿主整合这些信号的机制仍然不明确。通过研究两种高度丰富的微生物代谢物，我们确定嘌呤代谢物次黄嘌呤是直接驱动信号传导的效应代谢物，短链脂肪酸丁酸盐是调节宿主反应性的调节代谢物。具体来说，次黄嘌呤激活肠嗜铬细胞 (EC) 中的腺苷 A1 受体 - TRPC4 轴，引发钙流入和血清素释放，从而加速局部胃肠道转运并增加全身血小板活化。相比之下，丁酸盐在表观遗传上上调特定的 G 蛋白偶联受体和离子通道，以增强对次黄嘌呤以及神经递质去甲肾上腺素和多巴胺的反应。这些发现定义了一个协同信号传导框架，并强调了 EC 细胞作为独特的上皮信号传导中枢的作用，其感知和整合微生物代谢信号以驱动生理反应。我们的研究结果为利用组合微生物信号传导的治疗策略提供了机制基础。</w:t>
      </w:r>
    </w:p>
    <w:p>
      <w:pPr>
        <w:spacing w:before="0" w:after="200" w:lineRule="auto" w:line="276"/>
      </w:pPr>
      <w:r>
        <w:rPr>
          <w:b/>
        </w:rPr>
        <w:t xml:space="preserve">Abstract (EN): </w:t>
      </w:r>
      <w:r>
        <w:t>The intestinal epithelium is exposed to diverse combinations of microbiota-derived compounds; however, the mechanisms by which the host integrates these signals remain poorly defined. Studying two highly abundant microbial metabolites, we identified the purine metabolite hypoxanthine as an effector metabolite that directly drives signaling and the short-chain fatty acid butyrate as a regulatory metabolite that conditions host responsiveness. Specifically, hypoxanthine activates the adenosine A1 receptor–TRPC4 axis in enterochromaffin (EC) cells, triggering calcium influx and serotonin release resulting in accelerated gastrointestinal transit locally and increased platelet activation systemically. In contrast, butyrate epigenetically upregulates specific G protein–coupled receptors and ion channels to enhance response to hypoxanthine and the neurotransmitters norepinephrine and dopamine. These findings define a cooperative signaling framework and highlight the role of EC cells as a distinct epithelial signaling hub that senses and integrates microbial metabolite signals to drive physiological responses. Our findings provide a mechanistic foundation for therapeutic strategies that leverage combinatorial microbial signaling.</w:t>
      </w:r>
    </w:p>
    <w:p>
      <w:pPr>
        <w:spacing w:before="120" w:after="120"/>
      </w:pPr>
      <w:r>
        <w:rPr>
          <w:sz w:val="18"/>
        </w:rPr>
        <w:t>——————————————————————————————————————————————————————————————————————</w:t>
      </w:r>
    </w:p>
    <w:p>
      <w:pPr>
        <w:spacing w:before="160" w:after="40" w:line="240" w:lineRule="auto"/>
      </w:pPr>
      <w:r>
        <w:rPr>
          <w:b/>
        </w:rPr>
        <w:t xml:space="preserve">[285] </w:t>
      </w:r>
      <w:hyperlink r:id="rId1014">
        <w:r>
          <w:rPr>
            <w:color w:val="1155CC"/>
            <w:u w:val="single"/>
          </w:rPr>
          <w:t>在干燥的世界中液压安全性下降</w:t>
        </w:r>
      </w:hyperlink>
    </w:p>
    <w:p>
      <w:pPr>
        <w:spacing w:before="0" w:after="80"/>
      </w:pPr>
      <w:r>
        <w:rPr>
          <w:i/>
          <w:sz w:val="20"/>
        </w:rPr>
        <w:t>EN: Declining hydraulic safety in a drier world</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15">
        <w:r>
          <w:rPr>
            <w:color w:val="1155CC"/>
            <w:u w:val="single"/>
          </w:rPr>
          <w:t>10.1073/pnas.2622754123</w:t>
        </w:r>
      </w:hyperlink>
    </w:p>
    <w:p>
      <w:pPr>
        <w:spacing w:before="0" w:after="120"/>
      </w:pPr>
      <w:r>
        <w:rPr>
          <w:b/>
        </w:rPr>
        <w:t xml:space="preserve">Notes: </w:t>
      </w:r>
      <w:r>
        <w:t>abstract_source=crossref</w:t>
      </w:r>
    </w:p>
    <w:p>
      <w:pPr>
        <w:spacing w:before="0" w:after="80" w:lineRule="auto" w:line="276"/>
      </w:pPr>
      <w:r>
        <w:rPr>
          <w:b/>
        </w:rPr>
        <w:t xml:space="preserve">摘要（ZH）: </w:t>
      </w:r>
      <w:r>
        <w:t>在气候变化下，世界各地的森林越来越多地遭受土壤干旱的影响，其命运取决于维持水运输（水力学）和光合作用等基本功能的能力。驯化有望减轻干旱影响，但树木驯化的程度在很大程度上尚未经过测试，这限制了我们的预测信心。在这里，我们检查了 40 个全球分布的森林径流减少 (TFE) 实验的 24 种生理属性，没有发现任何证据表明树木会调整其水力或光合作用系统来应对干旱。无论针叶树或阔叶树、当地降水水平或干旱处理的持续时间和严重程度如何，与抗栓塞性、水力效率、叶片养分和 Rubisco 羧化能力相关的关键属性保持不变。然而，干旱引起的组织水势下降，加上栓塞抵抗力不变，导致水力安全裕度变窄，从而增加了水力故障的风险。尽管由于气孔关闭，净光合速率显着下降，但非结构碳水化合物（淀粉和糖）保持稳定，表明碳水化合物分配转向储存。这些发现表明，树木在干燥条件下保持其水力和光合作用能力，使它们能够在降雨后的有利时期最大限度地吸收碳，同时在干旱期间面临更大的水力衰竭风险。生理适应不太可能缓解未来的干旱</w:t>
      </w:r>
    </w:p>
    <w:p>
      <w:pPr>
        <w:spacing w:before="0" w:after="200" w:lineRule="auto" w:line="276"/>
      </w:pPr>
      <w:r>
        <w:rPr>
          <w:b/>
        </w:rPr>
        <w:t xml:space="preserve">Abstract (EN): </w:t>
      </w:r>
      <w:r>
        <w:t>Forests worldwide are increasingly exposed to soil drought under climate change, with their fates depending on the ability to maintain essential functions like water transport (hydraulics) and photosynthesis. Acclimation is expected to mitigate drought impacts, but the extent to which trees acclimate remains largely untested, which limits our predictive confidence. Here, we examined 24 physiological attributes from 40 globally distributed forest throughfall reduction (TFE) experiments and found no evidence that trees adjusted their hydraulic or photosynthetic systems in response to drought. Key attributes related to embolism resistance, hydraulic efficiency, leaf nutrients, and Rubisco carboxylation capacity remained unchanged, regardless of coniferous or broadleaf trees, local precipitation levels, or the duration and severity of drought treatments. However, drought-induced declines in tissue water potentials, combined with unchanged embolism resistance, led to narrower hydraulic safety margins and thus an increased risk of hydraulic failure. Although net photosynthetic rate declined significantly due to stomatal closure, nonstructural carbohydrates (starch and sugars) remained stable, suggesting a shift in carbohydrate allocation toward storage. These findings indicate that trees maintain their hydraulic and photosynthetic capacities under drier conditions, enabling them to maximize carbon assimilation on favorable periods following rainfall, while facing an increased risk of hydraulic failure during drought. Physiological acclimation is unlikely to mitigate future drought impacts, while tree mortality from hydraulic failure is likely to increase.</w:t>
      </w:r>
    </w:p>
    <w:p>
      <w:pPr>
        <w:spacing w:before="120" w:after="120"/>
      </w:pPr>
      <w:r>
        <w:rPr>
          <w:sz w:val="18"/>
        </w:rPr>
        <w:t>——————————————————————————————————————————————————————————————————————</w:t>
      </w:r>
    </w:p>
    <w:p>
      <w:pPr>
        <w:spacing w:before="160" w:after="40" w:line="240" w:lineRule="auto"/>
      </w:pPr>
      <w:r>
        <w:rPr>
          <w:b/>
        </w:rPr>
        <w:t xml:space="preserve">[286] </w:t>
      </w:r>
      <w:hyperlink r:id="rId1016">
        <w:r>
          <w:rPr>
            <w:color w:val="1155CC"/>
            <w:u w:val="single"/>
          </w:rPr>
          <w:t>卡尔宾丁对控制运动不同方面的中脑多巴胺能神经元进行分层</w:t>
        </w:r>
      </w:hyperlink>
    </w:p>
    <w:p>
      <w:pPr>
        <w:spacing w:before="0" w:after="80"/>
      </w:pPr>
      <w:r>
        <w:rPr>
          <w:i/>
          <w:sz w:val="20"/>
        </w:rPr>
        <w:t>EN: Calbindin stratifies midbrain dopaminergic neurons governing distinct aspects of locomotion</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17">
        <w:r>
          <w:rPr>
            <w:color w:val="1155CC"/>
            <w:u w:val="single"/>
          </w:rPr>
          <w:t>10.1073/pnas.2613593123</w:t>
        </w:r>
      </w:hyperlink>
    </w:p>
    <w:p>
      <w:pPr>
        <w:spacing w:before="0" w:after="120"/>
      </w:pPr>
      <w:r>
        <w:rPr>
          <w:b/>
        </w:rPr>
        <w:t xml:space="preserve">Notes: </w:t>
      </w:r>
      <w:r>
        <w:t>abstract_source=crossref</w:t>
      </w:r>
    </w:p>
    <w:p>
      <w:pPr>
        <w:spacing w:before="0" w:after="80" w:lineRule="auto" w:line="276"/>
      </w:pPr>
      <w:r>
        <w:rPr>
          <w:b/>
        </w:rPr>
        <w:t xml:space="preserve">摘要（ZH）: </w:t>
      </w:r>
      <w:r>
        <w:t>尽管在描绘中脑多巴胺（DA）神经元的分子多样性和投射模式方面取得了进展，但亚型特异性对运动学习和运动执行的贡献仍然不清楚。在这里，我们应用交叉消融和抑制化学遗传学来剖析钙结合蛋白表达（CALB1</w:t>
      </w:r>
      <w:r>
        <w:t xml:space="preserve"> </w:t>
      </w:r>
      <w:r>
        <w:t>+</w:t>
      </w:r>
      <w:r>
        <w:t xml:space="preserve"> </w:t>
      </w:r>
      <w:r>
        <w:t>）和非表达（CALB1</w:t>
      </w:r>
      <w:r>
        <w:t xml:space="preserve"> </w:t>
      </w:r>
      <w:r>
        <w:t>-</w:t>
      </w:r>
      <w:r>
        <w:t>) 运动中的 DA 神经元。使用新设计的交叉可自动切割 Caspase3 构建体，我们消除了 CALB1</w:t>
      </w:r>
      <w:r>
        <w:t xml:space="preserve"> </w:t>
      </w:r>
      <w:r>
        <w:t>+</w:t>
      </w:r>
      <w:r>
        <w:t xml:space="preserve"> </w:t>
      </w:r>
      <w:r>
        <w:t>或CALB1</w:t>
      </w:r>
      <w:r>
        <w:t xml:space="preserve"> </w:t>
      </w:r>
      <w:r>
        <w:t>-</w:t>
      </w:r>
      <w:r>
        <w:t>小鼠中脑中的 DA 神经元。 CALB1</w:t>
      </w:r>
      <w:r>
        <w:t xml:space="preserve"> </w:t>
      </w:r>
      <w:r>
        <w:t>-</w:t>
      </w:r>
      <w:r>
        <w:t>DA 神经元消融导致严重的体重减轻，而 CALB1</w:t>
      </w:r>
      <w:r>
        <w:t xml:space="preserve"> </w:t>
      </w:r>
      <w:r>
        <w:t>+</w:t>
      </w:r>
      <w:r>
        <w:t xml:space="preserve"> </w:t>
      </w:r>
      <w:r>
        <w:t>DA 神经元消融不会造成明显的健康损害。尽管如此，任一亚型的丧失都会导致随意运动的启动和活力出现类似运动迟缓的表型。仅消融 CALB1</w:t>
      </w:r>
      <w:r>
        <w:t xml:space="preserve"> </w:t>
      </w:r>
      <w:r>
        <w:t>-</w:t>
      </w:r>
      <w:r>
        <w:t>DA 神经元损害了加速旋转棒的性能。为了测试这些表型是否是 DA 亚型活性的结果，我们使用抑制性 DREADD hM4Di 使任一群体沉默。与消融一致，沉默 CALB1</w:t>
      </w:r>
      <w:r>
        <w:t xml:space="preserve"> </w:t>
      </w:r>
      <w:r>
        <w:t>-</w:t>
      </w:r>
      <w:r>
        <w:t>DA 神经元影响转棒的初始性能，而 CALB1 的抑制</w:t>
      </w:r>
      <w:r>
        <w:t xml:space="preserve"> </w:t>
      </w:r>
      <w:r>
        <w:t>+</w:t>
      </w:r>
      <w:r>
        <w:t xml:space="preserve"> </w:t>
      </w:r>
      <w:r>
        <w:t>DA 神经元不会影响第一天的表现，但会阻碍全天的进步。双方都沉默</w:t>
      </w:r>
    </w:p>
    <w:p>
      <w:pPr>
        <w:spacing w:before="0" w:after="200" w:lineRule="auto" w:line="276"/>
      </w:pPr>
      <w:r>
        <w:rPr>
          <w:b/>
        </w:rPr>
        <w:t xml:space="preserve">Abstract (EN): </w:t>
      </w:r>
      <w:r>
        <w:t>Despite advances in delineating the molecular diversity and projection patterns of midbrain dopamine (DA) neurons, subtype-specific contributions to motor learning and movement execution remain poorly defined. Here, we applied intersectional ablation and inhibitory chemogenetics to dissect the roles of calbindin-expressing (CALB1</w:t>
      </w:r>
      <w:r>
        <w:t xml:space="preserve"> </w:t>
      </w:r>
      <w:r>
        <w:t>+</w:t>
      </w:r>
      <w:r>
        <w:t xml:space="preserve"> </w:t>
      </w:r>
      <w:r>
        <w:t>) and nonexpressing (CALB1</w:t>
      </w:r>
      <w:r>
        <w:t xml:space="preserve"> </w:t>
      </w:r>
      <w:r>
        <w:t>−</w:t>
      </w:r>
      <w:r>
        <w:t>) DA neurons in locomotion. Using newly engineered intersectional autocleavable Caspase3 constructs, we ablated CALB1</w:t>
      </w:r>
      <w:r>
        <w:t xml:space="preserve"> </w:t>
      </w:r>
      <w:r>
        <w:t>+</w:t>
      </w:r>
      <w:r>
        <w:t xml:space="preserve"> </w:t>
      </w:r>
      <w:r>
        <w:t>or CALB1</w:t>
      </w:r>
      <w:r>
        <w:t xml:space="preserve"> </w:t>
      </w:r>
      <w:r>
        <w:t>−</w:t>
      </w:r>
      <w:r>
        <w:t>DA neurons in the mouse midbrain. CALB1</w:t>
      </w:r>
      <w:r>
        <w:t xml:space="preserve"> </w:t>
      </w:r>
      <w:r>
        <w:t>−</w:t>
      </w:r>
      <w:r>
        <w:t>DA neuron ablation caused severe weight loss, whereas CALB1</w:t>
      </w:r>
      <w:r>
        <w:t xml:space="preserve"> </w:t>
      </w:r>
      <w:r>
        <w:t>+</w:t>
      </w:r>
      <w:r>
        <w:t xml:space="preserve"> </w:t>
      </w:r>
      <w:r>
        <w:t>DA neuron ablation produced no overt health impairments. Nonetheless, loss of either subtype led to a bradykinetic-like phenotype on the initiation and vigor of voluntary movements. Only ablation of CALB1</w:t>
      </w:r>
      <w:r>
        <w:t xml:space="preserve"> </w:t>
      </w:r>
      <w:r>
        <w:t>−</w:t>
      </w:r>
      <w:r>
        <w:t>DA neurons impaired performance on the accelerated rotarod. To test if these phenotypes are the result of DA subtype activity, we silenced either population using the inhibitory DREADD hM4Di. Consistent with ablation, silencing CALB1</w:t>
      </w:r>
      <w:r>
        <w:t xml:space="preserve"> </w:t>
      </w:r>
      <w:r>
        <w:t>−</w:t>
      </w:r>
      <w:r>
        <w:t>DA neurons impacted the initial performance on the rotarod, whereas inhibition of CALB1</w:t>
      </w:r>
      <w:r>
        <w:t xml:space="preserve"> </w:t>
      </w:r>
      <w:r>
        <w:t>+</w:t>
      </w:r>
      <w:r>
        <w:t xml:space="preserve"> </w:t>
      </w:r>
      <w:r>
        <w:t>DA neurons did not impact performance on the first day, but prevented across-day improvement. Silencing both populations impaired the initiation and vigor of voluntary movements. We next investigated whether this locomotor phenotype stemmed from reduced DA release in the dorsolateral striatum (DLS). While CALB1</w:t>
      </w:r>
      <w:r>
        <w:t xml:space="preserve"> </w:t>
      </w:r>
      <w:r>
        <w:t>−</w:t>
      </w:r>
      <w:r>
        <w:t>silencing abrogated DA transients in the DLS, CALB1</w:t>
      </w:r>
      <w:r>
        <w:t xml:space="preserve"> </w:t>
      </w:r>
      <w:r>
        <w:t>+</w:t>
      </w:r>
      <w:r>
        <w:t xml:space="preserve"> </w:t>
      </w:r>
      <w:r>
        <w:t>silencing unexpectedly resulted in increased transients in DLS. Thus, our results demonstrate that DA transients in the DLS are not invariably coupled with movement execution. Altogether, these findings uncover both distinct and shared roles of molecularly defined DA subtypes in shaping different aspects of locomotion.</w:t>
      </w:r>
    </w:p>
    <w:p>
      <w:pPr>
        <w:spacing w:before="120" w:after="120"/>
      </w:pPr>
      <w:r>
        <w:rPr>
          <w:sz w:val="18"/>
        </w:rPr>
        <w:t>——————————————————————————————————————————————————————————————————————</w:t>
      </w:r>
    </w:p>
    <w:p>
      <w:pPr>
        <w:spacing w:before="160" w:after="40" w:line="240" w:lineRule="auto"/>
      </w:pPr>
      <w:r>
        <w:rPr>
          <w:b/>
        </w:rPr>
        <w:t xml:space="preserve">[287] </w:t>
      </w:r>
      <w:hyperlink r:id="rId1018">
        <w:r>
          <w:rPr>
            <w:color w:val="1155CC"/>
            <w:u w:val="single"/>
          </w:rPr>
          <w:t>通过分布数据揭示直翅目昆虫隐藏的全球多样性和采样差距</w:t>
        </w:r>
      </w:hyperlink>
    </w:p>
    <w:p>
      <w:pPr>
        <w:spacing w:before="0" w:after="80"/>
      </w:pPr>
      <w:r>
        <w:rPr>
          <w:i/>
          <w:sz w:val="20"/>
        </w:rPr>
        <w:t>EN: Hidden global diversity and sampling gaps in Orthoptera insects revealed through distribution data</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19">
        <w:r>
          <w:rPr>
            <w:color w:val="1155CC"/>
            <w:u w:val="single"/>
          </w:rPr>
          <w:t>10.1073/pnas.2529490123</w:t>
        </w:r>
      </w:hyperlink>
    </w:p>
    <w:p>
      <w:pPr>
        <w:spacing w:before="0" w:after="120"/>
      </w:pPr>
      <w:r>
        <w:rPr>
          <w:b/>
        </w:rPr>
        <w:t xml:space="preserve">Notes: </w:t>
      </w:r>
      <w:r>
        <w:t>abstract_source=crossref</w:t>
      </w:r>
    </w:p>
    <w:p>
      <w:pPr>
        <w:spacing w:before="0" w:after="80" w:lineRule="auto" w:line="276"/>
      </w:pPr>
      <w:r>
        <w:rPr>
          <w:b/>
        </w:rPr>
        <w:t xml:space="preserve">摘要（ZH）: </w:t>
      </w:r>
      <w:r>
        <w:t>昆虫对陆地生态系统至关重要，但在全球生物多样性评估中的代表性仍然不足。这项宏观生态学研究利用超过 830,000 条地理参考记录、物种分布模型和环境数据，对直翅目（蚱蜢、蝗虫、蟋蟀和螽斯）多样性模式进行了全球分析。分析揭示了亚洲、南美洲和非洲热带和亚热带地区的多样性和特有性热点。生物群落水平的比较表明，潮湿的热带森林和地中海地区拥有高度丰富的Ensifera物种和特有物种，而Caelifera物种的多样性在草原和沙漠中更高。这两个亚目表现出截然不同的生物地理模式：Ensifera 显示出典型的热带多样性梯度，而 Caelifera 则呈现出物种范围更广的双峰模式。然而，对于这两个亚目来说，其高多样性区域面临着快速的土地利用变化。通过将生物多样性数据与特有现象、抽样差距和土地利用压力相结合，该研究制作了一张“紧急地图”，以指导紧急实地调查和保护工作。这项工作强调需要优先考虑研究不足但生物丰富的地区，并强调专家策划的数据库（如直翅目物种档案）在生物多样性研究和保护规划中的重要性。</w:t>
      </w:r>
    </w:p>
    <w:p>
      <w:pPr>
        <w:spacing w:before="0" w:after="200" w:lineRule="auto" w:line="276"/>
      </w:pPr>
      <w:r>
        <w:rPr>
          <w:b/>
        </w:rPr>
        <w:t xml:space="preserve">Abstract (EN): </w:t>
      </w:r>
      <w:r>
        <w:t>Insects are essential to terrestrial ecosystems but remain underrepresented in global biodiversity assessments. This macroecological study presents a global analysis of diversity patterns in Orthoptera (grasshoppers, locusts, crickets, and katydids), using over 830,000 georeferenced records, species distribution models, and environmental data. The analysis revealed hotspots of diversity and endemism in tropical and subtropical regions of Asia, South America, and Africa. Biome-level comparisons showed that moist tropical forests and Mediterranean regions harbor high richness and endemism of Ensifera, while Caelifera diversity is higher in grasslands and deserts. The two suborders exhibit contrasting biogeographic patterns: Ensifera shows a classic tropical diversity gradient, whereas Caelifera presents a bimodal pattern with wider species ranges. However, for both suborders, their high-diversity regions face rapid land-use change. By integrating biodiversity data with endemism, sampling gaps, and land-use pressures, the study produces an “emergency map” to guide urgent field surveys and conservation efforts. The work emphasizes the need to prioritize poorly studied yet biologically rich regions and highlights the importance of expert-curated databases like the Orthoptera Species File in biodiversity research and conservation planning.</w:t>
      </w:r>
    </w:p>
    <w:p>
      <w:pPr>
        <w:spacing w:before="120" w:after="120"/>
      </w:pPr>
      <w:r>
        <w:rPr>
          <w:sz w:val="18"/>
        </w:rPr>
        <w:t>——————————————————————————————————————————————————————————————————————</w:t>
      </w:r>
    </w:p>
    <w:p>
      <w:pPr>
        <w:spacing w:before="160" w:after="40" w:line="240" w:lineRule="auto"/>
      </w:pPr>
      <w:r>
        <w:rPr>
          <w:b/>
        </w:rPr>
        <w:t xml:space="preserve">[288] </w:t>
      </w:r>
      <w:hyperlink r:id="rId1020">
        <w:r>
          <w:rPr>
            <w:color w:val="1155CC"/>
            <w:u w:val="single"/>
          </w:rPr>
          <w:t>换档为人类行走提供动力</w:t>
        </w:r>
      </w:hyperlink>
    </w:p>
    <w:p>
      <w:pPr>
        <w:spacing w:before="0" w:after="80"/>
      </w:pPr>
      <w:r>
        <w:rPr>
          <w:i/>
          <w:sz w:val="20"/>
        </w:rPr>
        <w:t>EN: Shifting gears to power human walking</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21">
        <w:r>
          <w:rPr>
            <w:color w:val="1155CC"/>
            <w:u w:val="single"/>
          </w:rPr>
          <w:t>10.1073/pnas.2524115123</w:t>
        </w:r>
      </w:hyperlink>
    </w:p>
    <w:p>
      <w:pPr>
        <w:spacing w:before="0" w:after="120"/>
      </w:pPr>
      <w:r>
        <w:rPr>
          <w:b/>
        </w:rPr>
        <w:t xml:space="preserve">Notes: </w:t>
      </w:r>
      <w:r>
        <w:t>abstract_source=crossref</w:t>
      </w:r>
    </w:p>
    <w:p>
      <w:pPr>
        <w:spacing w:before="0" w:after="80" w:lineRule="auto" w:line="276"/>
      </w:pPr>
      <w:r>
        <w:rPr>
          <w:b/>
        </w:rPr>
        <w:t xml:space="preserve">摘要（ZH）: </w:t>
      </w:r>
      <w:r>
        <w:t>肌肉骨骼系统具有大量功能相似的肌肉，但这种明显冗余的性能优势仍不清楚。在这里，我们展示了具有相似功能但不同力臂的肌肉，有助于行走时的动态变速机制。研究表明，随着推出过程中关节速度的增加，踝关节发电会从大力臂肌肉（小腿三头肌）过渡到小力臂肌肉（胫骨后肌、腓骨肌和外趾屈肌）。计算模型表明，考虑到肌肉几何形状和结构的根本差异，顺序功率定相自然地从肌肉肌腱动力学中产生。行走过程中的肌腱动力学测量与模型预测一致，并表明小跖屈肌对人类行走的推动力比之前认识的要大得多。这些发现提供了对肌肉冗余的功能作用的见解，并提出了控制运动中协同肌肉协调募集的基本原则。</w:t>
      </w:r>
    </w:p>
    <w:p>
      <w:pPr>
        <w:spacing w:before="0" w:after="200" w:lineRule="auto" w:line="276"/>
      </w:pPr>
      <w:r>
        <w:rPr>
          <w:b/>
        </w:rPr>
        <w:t xml:space="preserve">Abstract (EN): </w:t>
      </w:r>
      <w:r>
        <w:t>The musculoskeletal system features an abundance of functionally similar muscles, yet the performance benefits of this apparent redundancy remain unclear. Here, we show that muscles with similar function, but distinct moment arms, facilitate a dynamic gear-shifting mechanism in walking. Ankle power generation is shown to transition from large (triceps surae) to small (posterior tibialis, peroneals, and extrinsic toe flexors) moment arm muscles as joint velocity increases during pushoff. Computational models reveal that the sequential power phasing emerges naturally from muscle-tendon dynamics given the underlying differences in muscle geometry and architecture. Tendon kinetic measures during walking align with the model predictions and reveal that small plantarflexors contribute substantially more to powering human walking than previously recognized. These findings provide insights into the functional role of muscle redundancy, and suggest a fundamental principle governing the coordinated recruitment of synergistic muscles in locomotion.</w:t>
      </w:r>
    </w:p>
    <w:p>
      <w:pPr>
        <w:spacing w:before="120" w:after="120"/>
      </w:pPr>
      <w:r>
        <w:rPr>
          <w:sz w:val="18"/>
        </w:rPr>
        <w:t>——————————————————————————————————————————————————————————————————————</w:t>
      </w:r>
    </w:p>
    <w:p>
      <w:pPr>
        <w:spacing w:before="160" w:after="40" w:line="240" w:lineRule="auto"/>
      </w:pPr>
      <w:r>
        <w:rPr>
          <w:b/>
        </w:rPr>
        <w:t xml:space="preserve">[289] </w:t>
      </w:r>
      <w:hyperlink r:id="rId1022">
        <w:r>
          <w:rPr>
            <w:color w:val="1155CC"/>
            <w:u w:val="single"/>
          </w:rPr>
          <w:t>过去 47,000 年干旱中亚的水分动态：来自洞穴记录的见解</w:t>
        </w:r>
      </w:hyperlink>
    </w:p>
    <w:p>
      <w:pPr>
        <w:spacing w:before="0" w:after="80"/>
      </w:pPr>
      <w:r>
        <w:rPr>
          <w:i/>
          <w:sz w:val="20"/>
        </w:rPr>
        <w:t>EN: The moisture dynamics in arid Central Asia over the last 47,000 years: Insights from the speleothem record</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23">
        <w:r>
          <w:rPr>
            <w:color w:val="1155CC"/>
            <w:u w:val="single"/>
          </w:rPr>
          <w:t>10.1073/pnas.2537342123</w:t>
        </w:r>
      </w:hyperlink>
    </w:p>
    <w:p>
      <w:pPr>
        <w:spacing w:before="0" w:after="120"/>
      </w:pPr>
      <w:r>
        <w:rPr>
          <w:b/>
        </w:rPr>
        <w:t xml:space="preserve">Notes: </w:t>
      </w:r>
      <w:r>
        <w:t>abstract_source=crossref</w:t>
      </w:r>
    </w:p>
    <w:p>
      <w:pPr>
        <w:spacing w:before="0" w:after="80" w:lineRule="auto" w:line="276"/>
      </w:pPr>
      <w:r>
        <w:rPr>
          <w:b/>
        </w:rPr>
        <w:t xml:space="preserve">摘要（ZH）: </w:t>
      </w:r>
      <w:r>
        <w:t>水资源对于干旱中亚人类社会的生存和发展至关重要。然而，我们对区域水文气候变化和水分动态的了解仍然有限。在这里，我们提出了一个精确年代的、高分辨率的洞穴化石 δ</w:t>
      </w:r>
      <w:r>
        <w:rPr>
          <w:vertAlign w:val="subscript"/>
        </w:rPr>
        <w:t>18</w:t>
      </w:r>
      <w:r>
        <w:t>乌兹别克斯坦北部洞穴的 O 记录重建了降水 δ 的变化</w:t>
      </w:r>
      <w:r>
        <w:rPr>
          <w:vertAlign w:val="subscript"/>
        </w:rPr>
        <w:t>18</w:t>
      </w:r>
      <w:r>
        <w:t>O 过去 47,000 年。冰期期间，洞穴δ相对较低</w:t>
      </w:r>
      <w:r>
        <w:rPr>
          <w:vertAlign w:val="subscript"/>
        </w:rPr>
        <w:t>18</w:t>
      </w:r>
      <w:r>
        <w:t>O 值与北部高纬度地区的降水同位素记录一致。乌兹别克斯坦记录与格陵兰冰芯δ之间的密切对应</w:t>
      </w:r>
      <w:r>
        <w:rPr>
          <w:vertAlign w:val="subscript"/>
        </w:rPr>
        <w:t>18</w:t>
      </w:r>
      <w:r>
        <w:t>Heinrich Stadial 1期间的O表明温度对区域降水δ有很强的控制作用</w:t>
      </w:r>
      <w:r>
        <w:rPr>
          <w:vertAlign w:val="subscript"/>
        </w:rPr>
        <w:t>18</w:t>
      </w:r>
      <w:r>
        <w:t>O，尽管 Dansgaard-Oeschger 量表变异性表达较弱。在全新世期间，洞穴化石δ</w:t>
      </w:r>
      <w:r>
        <w:rPr>
          <w:vertAlign w:val="subscript"/>
        </w:rPr>
        <w:t>18</w:t>
      </w:r>
      <w:r>
        <w:t>O 在 8 ka BP 附近达到最小值，然后向现在增加，与乌兹别克斯坦南部和亚洲季风地区的记录大致一致，但百年至千年尺度的变化不太一致。在模型模拟的支持下，我们提出，在冰川期和全新世中期，当冬季气温较低时，区域降水以北风和西北风的水汽输送为主，这与高纬度温度梯度增强和西风南移有关。在骗子</w:t>
      </w:r>
    </w:p>
    <w:p>
      <w:pPr>
        <w:spacing w:before="0" w:after="200" w:lineRule="auto" w:line="276"/>
      </w:pPr>
      <w:r>
        <w:rPr>
          <w:b/>
        </w:rPr>
        <w:t xml:space="preserve">Abstract (EN): </w:t>
      </w:r>
      <w:r>
        <w:t>Water resources are crucial for the survival and development of human societies in arid Central Asia. However, our understanding of regional hydroclimate variability and moisture dynamics remains limited. Here, we present a precisely dated, high-resolution speleothem δ</w:t>
      </w:r>
      <w:r>
        <w:rPr>
          <w:vertAlign w:val="subscript"/>
        </w:rPr>
        <w:t>18</w:t>
      </w:r>
      <w:r>
        <w:t>O record from caves in northern Uzbekistan that reconstructs changes in precipitation δ</w:t>
      </w:r>
      <w:r>
        <w:rPr>
          <w:vertAlign w:val="subscript"/>
        </w:rPr>
        <w:t>18</w:t>
      </w:r>
      <w:r>
        <w:t>O over the last 47,000 years. During the glacial interval, relatively low speleothem δ</w:t>
      </w:r>
      <w:r>
        <w:rPr>
          <w:vertAlign w:val="subscript"/>
        </w:rPr>
        <w:t>18</w:t>
      </w:r>
      <w:r>
        <w:t>O values align with precipitation isotope records from high northern latitudes. The close correspondence between the Uzbekistan record and Greenland ice-core δ</w:t>
      </w:r>
      <w:r>
        <w:rPr>
          <w:vertAlign w:val="subscript"/>
        </w:rPr>
        <w:t>18</w:t>
      </w:r>
      <w:r>
        <w:t>O during Heinrich Stadial 1 indicates a strong temperature control on regional precipitation δ</w:t>
      </w:r>
      <w:r>
        <w:rPr>
          <w:vertAlign w:val="subscript"/>
        </w:rPr>
        <w:t>18</w:t>
      </w:r>
      <w:r>
        <w:t>O, although Dansgaard-Oeschger-scale variability is weakly expressed. During the Holocene, speleothem δ</w:t>
      </w:r>
      <w:r>
        <w:rPr>
          <w:vertAlign w:val="subscript"/>
        </w:rPr>
        <w:t>18</w:t>
      </w:r>
      <w:r>
        <w:t>O reached minimum values near 8 ka BP and then increased toward the present, broadly consistent with records from southern Uzbekistan and the Asian monsoon region, but with less coherent centennial- to millennial-scale variability. Supported by model simulations, we propose that during the glacial and mid-Holocene, when winter temperatures were low, the regional precipitation was dominated by northerly and northwesterly moisture transport linked to enhanced high-latitude temperature gradients and southward-shifted westerlies. In contrast, late Holocene hydroclimate increasingly reflected southerly to southwesterly cyclonic moisture transport from the eastern Mediterranean and the Near East, driven by northward-shifted westerlies. These results show that arid Central Asian hydroclimate and precipitation δ</w:t>
      </w:r>
      <w:r>
        <w:rPr>
          <w:vertAlign w:val="subscript"/>
        </w:rPr>
        <w:t>18</w:t>
      </w:r>
      <w:r>
        <w:t>O have been shaped by the position and strength of the westerlies through major reorganizations in moisture-source trajectories, with direct implications for understanding future water availability as subtropical and temperate circulation zones shift northward.</w:t>
      </w:r>
    </w:p>
    <w:p>
      <w:pPr>
        <w:spacing w:before="120" w:after="120"/>
      </w:pPr>
      <w:r>
        <w:rPr>
          <w:sz w:val="18"/>
        </w:rPr>
        <w:t>——————————————————————————————————————————————————————————————————————</w:t>
      </w:r>
    </w:p>
    <w:p>
      <w:pPr>
        <w:spacing w:before="160" w:after="40" w:line="240" w:lineRule="auto"/>
      </w:pPr>
      <w:r>
        <w:rPr>
          <w:b/>
        </w:rPr>
        <w:t xml:space="preserve">[290] </w:t>
      </w:r>
      <w:hyperlink r:id="rId1024">
        <w:r>
          <w:rPr>
            <w:color w:val="1155CC"/>
            <w:u w:val="single"/>
          </w:rPr>
          <w:t>埃迪卡拉管状动物的化学共生营养策略</w:t>
        </w:r>
      </w:hyperlink>
    </w:p>
    <w:p>
      <w:pPr>
        <w:spacing w:before="0" w:after="80"/>
      </w:pPr>
      <w:r>
        <w:rPr>
          <w:i/>
          <w:sz w:val="20"/>
        </w:rPr>
        <w:t>EN: Chemosymbiotic trophic strategy in an Ediacaran tubular animal</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25">
        <w:r>
          <w:rPr>
            <w:color w:val="1155CC"/>
            <w:u w:val="single"/>
          </w:rPr>
          <w:t>10.1073/pnas.2526201123</w:t>
        </w:r>
      </w:hyperlink>
    </w:p>
    <w:p>
      <w:pPr>
        <w:spacing w:before="0" w:after="120"/>
      </w:pPr>
      <w:r>
        <w:rPr>
          <w:b/>
        </w:rPr>
        <w:t xml:space="preserve">Notes: </w:t>
      </w:r>
      <w:r>
        <w:t>abstract_source=crossref</w:t>
      </w:r>
    </w:p>
    <w:p>
      <w:pPr>
        <w:spacing w:before="0" w:after="80" w:lineRule="auto" w:line="276"/>
      </w:pPr>
      <w:r>
        <w:rPr>
          <w:b/>
        </w:rPr>
        <w:t xml:space="preserve">摘要（ZH）: </w:t>
      </w:r>
      <w:r>
        <w:t>化学共生可能是早期动物进化和多样化的关键驱动力。然而，早期后生动物化石记录中动物与微生物营养关系的证据仍然很少，这主要是由于可靠的地球化学指标和合适的化石途径的可用性有限。在这里，我们报告了极低的钼同位素（δ</w:t>
      </w:r>
      <w:r>
        <w:rPr>
          <w:vertAlign w:val="subscript"/>
        </w:rPr>
        <w:t>98</w:t>
      </w:r>
      <w:r>
        <w:t>埃迪卡拉末期黄铁矿化石中的 Mo）值</w:t>
      </w:r>
      <w:r>
        <w:t xml:space="preserve"> </w:t>
      </w:r>
      <w:r>
        <w:t>芋管属</w:t>
      </w:r>
      <w:r>
        <w:t xml:space="preserve"> </w:t>
      </w:r>
      <w:r>
        <w:t>，一种非生物矿化的云形动物，代表一些最早的后生动物。如此低的 δ</w:t>
      </w:r>
      <w:r>
        <w:rPr>
          <w:vertAlign w:val="subscript"/>
        </w:rPr>
        <w:t>98</w:t>
      </w:r>
      <w:r>
        <w:t>Mo值仅在含有硫氧化细菌共生体的现代冷泉化学共生管虫中已知。均匀低 δ</w:t>
      </w:r>
      <w:r>
        <w:rPr>
          <w:vertAlign w:val="subscript"/>
        </w:rPr>
        <w:t>34</w:t>
      </w:r>
      <w:r>
        <w:t>化石的 S 特征表明，在常生埋藏环境下，早期成岩作用中的快速黄铁矿化保存了原始的</w:t>
      </w:r>
      <w:r>
        <w:t xml:space="preserve"> </w:t>
      </w:r>
      <w:r>
        <w:t>芋管属</w:t>
      </w:r>
      <w:r>
        <w:t xml:space="preserve"> </w:t>
      </w:r>
      <w:r>
        <w:t>几丁质δ</w:t>
      </w:r>
      <w:r>
        <w:rPr>
          <w:vertAlign w:val="subscript"/>
        </w:rPr>
        <w:t>98</w:t>
      </w:r>
      <w:r>
        <w:t>Mo. 大量 δ</w:t>
      </w:r>
      <w:r>
        <w:rPr>
          <w:vertAlign w:val="subscript"/>
        </w:rPr>
        <w:t>34</w:t>
      </w:r>
      <w:r>
        <w:t>S 分馏相对于海水硫酸盐和高 Δ</w:t>
      </w:r>
      <w:r>
        <w:rPr>
          <w:vertAlign w:val="subscript"/>
        </w:rPr>
        <w:t>33</w:t>
      </w:r>
      <w:r>
        <w:t>S值表明活性微生物H</w:t>
      </w:r>
      <w:r>
        <w:rPr>
          <w:vertAlign w:val="subscript"/>
        </w:rPr>
        <w:t>2</w:t>
      </w:r>
      <w:r>
        <w:t>硫氧化发生在它们的栖息地内。我们的研究结果证明</w:t>
      </w:r>
      <w:r>
        <w:t xml:space="preserve"> </w:t>
      </w:r>
      <w:r>
        <w:t>芋管属</w:t>
      </w:r>
      <w:r>
        <w:t xml:space="preserve"> </w:t>
      </w:r>
      <w:r>
        <w:t>可能与硫氧化细菌发生化学共生——这是化石记录中最早得到地球化学支持的案例。这种营养策略就像</w:t>
      </w:r>
    </w:p>
    <w:p>
      <w:pPr>
        <w:spacing w:before="0" w:after="200" w:lineRule="auto" w:line="276"/>
      </w:pPr>
      <w:r>
        <w:rPr>
          <w:b/>
        </w:rPr>
        <w:t xml:space="preserve">Abstract (EN): </w:t>
      </w:r>
      <w:r>
        <w:t>Chemosymbiosis may have been a key driver of early animal evolution and diversification. Yet evidence for animal–microbe nutritional partnerships in the fossil record of early metazoans remains scarce, largely owing to the limited availability of robust geochemical proxies and suitable fossilization pathways. Here, we report extremely low molybdenum isotope (δ</w:t>
      </w:r>
      <w:r>
        <w:rPr>
          <w:vertAlign w:val="subscript"/>
        </w:rPr>
        <w:t>98</w:t>
      </w:r>
      <w:r>
        <w:t>Mo) values in pyritized fossils of the terminal Ediacaran</w:t>
      </w:r>
      <w:r>
        <w:t xml:space="preserve"> </w:t>
      </w:r>
      <w:r>
        <w:t>Conotubus</w:t>
      </w:r>
      <w:r>
        <w:t xml:space="preserve"> </w:t>
      </w:r>
      <w:r>
        <w:t>, a nonbiomineralized cloudinomorph representing some of the earliest metazoans. Such low δ</w:t>
      </w:r>
      <w:r>
        <w:rPr>
          <w:vertAlign w:val="subscript"/>
        </w:rPr>
        <w:t>98</w:t>
      </w:r>
      <w:r>
        <w:t>Mo values are otherwise only known in modern cold-seep chemosymbiotic tubeworms hosting sulfur-oxidizing bacterial symbionts. Homogeneously low δ</w:t>
      </w:r>
      <w:r>
        <w:rPr>
          <w:vertAlign w:val="subscript"/>
        </w:rPr>
        <w:t>34</w:t>
      </w:r>
      <w:r>
        <w:t>S signatures of fossils indicate that rapid pyritization in early diagenesis under euxinic taphonomic settings preserved primary</w:t>
      </w:r>
      <w:r>
        <w:t xml:space="preserve"> </w:t>
      </w:r>
      <w:r>
        <w:t>Conotubus</w:t>
      </w:r>
      <w:r>
        <w:t xml:space="preserve"> </w:t>
      </w:r>
      <w:r>
        <w:t>chitinous δ</w:t>
      </w:r>
      <w:r>
        <w:rPr>
          <w:vertAlign w:val="subscript"/>
        </w:rPr>
        <w:t>98</w:t>
      </w:r>
      <w:r>
        <w:t>Mo. Substantial δ</w:t>
      </w:r>
      <w:r>
        <w:rPr>
          <w:vertAlign w:val="subscript"/>
        </w:rPr>
        <w:t>34</w:t>
      </w:r>
      <w:r>
        <w:t>S fractionation relative to seawater sulfate and high Δ</w:t>
      </w:r>
      <w:r>
        <w:rPr>
          <w:vertAlign w:val="subscript"/>
        </w:rPr>
        <w:t>33</w:t>
      </w:r>
      <w:r>
        <w:t>S values indicate that active microbial H</w:t>
      </w:r>
      <w:r>
        <w:rPr>
          <w:vertAlign w:val="subscript"/>
        </w:rPr>
        <w:t>2</w:t>
      </w:r>
      <w:r>
        <w:t>S oxidation occurred within their habitat. Our findings provide evidence that</w:t>
      </w:r>
      <w:r>
        <w:t xml:space="preserve"> </w:t>
      </w:r>
      <w:r>
        <w:t>Conotubus</w:t>
      </w:r>
      <w:r>
        <w:t xml:space="preserve"> </w:t>
      </w:r>
      <w:r>
        <w:t>may have engaged in chemosymbiosis with sulfur-oxidizing bacteria—the earliest geochemically supported case in the fossil record. This trophic strategy likely enabled</w:t>
      </w:r>
      <w:r>
        <w:t xml:space="preserve"> </w:t>
      </w:r>
      <w:r>
        <w:t>Conotubus</w:t>
      </w:r>
      <w:r>
        <w:t xml:space="preserve"> </w:t>
      </w:r>
      <w:r>
        <w:t>to thrive in the redox-stratified Ediacaran ocean where sulfide and oxidants coexisted, facilitating its ecological success.</w:t>
      </w:r>
    </w:p>
    <w:p>
      <w:pPr>
        <w:spacing w:before="120" w:after="120"/>
      </w:pPr>
      <w:r>
        <w:rPr>
          <w:sz w:val="18"/>
        </w:rPr>
        <w:t>——————————————————————————————————————————————————————————————————————</w:t>
      </w:r>
    </w:p>
    <w:p>
      <w:pPr>
        <w:spacing w:before="160" w:after="40" w:line="240" w:lineRule="auto"/>
      </w:pPr>
      <w:r>
        <w:rPr>
          <w:b/>
        </w:rPr>
        <w:t xml:space="preserve">[291] </w:t>
      </w:r>
      <w:hyperlink r:id="rId1026">
        <w:r>
          <w:rPr>
            <w:color w:val="1155CC"/>
            <w:u w:val="single"/>
          </w:rPr>
          <w:t>富含钙铝包裹体的星云磁场的古地磁证据</w:t>
        </w:r>
      </w:hyperlink>
    </w:p>
    <w:p>
      <w:pPr>
        <w:spacing w:before="0" w:after="80"/>
      </w:pPr>
      <w:r>
        <w:rPr>
          <w:i/>
          <w:sz w:val="20"/>
        </w:rPr>
        <w:t>EN: Paleomagnetic evidence for a nebular magnetic field from calcium-aluminum-rich inclusions</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27">
        <w:r>
          <w:rPr>
            <w:color w:val="1155CC"/>
            <w:u w:val="single"/>
          </w:rPr>
          <w:t>10.1073/pnas.2521660123</w:t>
        </w:r>
      </w:hyperlink>
    </w:p>
    <w:p>
      <w:pPr>
        <w:spacing w:before="0" w:after="120"/>
      </w:pPr>
      <w:r>
        <w:rPr>
          <w:b/>
        </w:rPr>
        <w:t xml:space="preserve">Notes: </w:t>
      </w:r>
      <w:r>
        <w:t>abstract_source=crossref</w:t>
      </w:r>
    </w:p>
    <w:p>
      <w:pPr>
        <w:spacing w:before="0" w:after="80" w:lineRule="auto" w:line="276"/>
      </w:pPr>
      <w:r>
        <w:rPr>
          <w:b/>
        </w:rPr>
        <w:t xml:space="preserve">摘要（ZH）: </w:t>
      </w:r>
      <w:r>
        <w:t>行星形成的初始阶段预计将发生在新生的原行星盘（PPD）中，该盘会吸积到嵌入下落包层中的原恒星上。这一阶段可能伴随着高凝结温度固体的形成，类似于富含钙铝的夹杂物（CAI），这是已知最古老的太阳系固体。然而，尚不清楚在 PPD 和太阳星云最年轻的演化阶段，磁力和/或引力是否主要驱动了吸积。在这里，我们报告了 CAI 的古地磁测量结果，表明它们记录了约 150 至 600 μT 的星云磁场。这种强度与磁场一致，磁场在驱动磁盘吸积的过程中发挥着关键作用，同时还将最内部的磁盘加热到 10</w:t>
      </w:r>
      <w:r>
        <w:rPr>
          <w:vertAlign w:val="subscript"/>
        </w:rPr>
        <w:t>3</w:t>
      </w:r>
      <w:r>
        <w:t>K 在太阳系形成的最早阶段。</w:t>
      </w:r>
    </w:p>
    <w:p>
      <w:pPr>
        <w:spacing w:before="0" w:after="200" w:lineRule="auto" w:line="276"/>
      </w:pPr>
      <w:r>
        <w:rPr>
          <w:b/>
        </w:rPr>
        <w:t xml:space="preserve">Abstract (EN): </w:t>
      </w:r>
      <w:r>
        <w:t>The initial stage of planet formation is expected to take place in a nascent protoplanetary disk (PPD) accreting onto the protostar embedded in an infalling envelope. This stage is likely accompanied by the formation of high-condensation temperature solids resembling calcium-aluminum-rich inclusions (CAIs), the oldest known solar system solids. However, it is unknown whether magnetism and/or gravity dominantly drove accretion in the youngest evolutionary stages of PPDs and the solar nebula. Here we report paleomagnetic measurements of CAIs indicating that they record a nebular magnetic field of ∼150 to 600 μT. This intensity is consistent with magnetic fields playing a key role driving disk accretion while also heating the very inner disk to 10</w:t>
      </w:r>
      <w:r>
        <w:rPr>
          <w:vertAlign w:val="subscript"/>
        </w:rPr>
        <w:t>3</w:t>
      </w:r>
      <w:r>
        <w:t>K at the earliest stages of solar system formation.</w:t>
      </w:r>
    </w:p>
    <w:p>
      <w:pPr>
        <w:spacing w:before="120" w:after="120"/>
      </w:pPr>
      <w:r>
        <w:rPr>
          <w:sz w:val="18"/>
        </w:rPr>
        <w:t>——————————————————————————————————————————————————————————————————————</w:t>
      </w:r>
    </w:p>
    <w:p>
      <w:pPr>
        <w:spacing w:before="160" w:after="40" w:line="240" w:lineRule="auto"/>
      </w:pPr>
      <w:r>
        <w:rPr>
          <w:b/>
        </w:rPr>
        <w:t xml:space="preserve">[292] </w:t>
      </w:r>
      <w:hyperlink r:id="rId1028">
        <w:r>
          <w:rPr>
            <w:color w:val="1155CC"/>
            <w:u w:val="single"/>
          </w:rPr>
          <w:t>光感应法拉第-戈德斯通波</w:t>
        </w:r>
      </w:hyperlink>
    </w:p>
    <w:p>
      <w:pPr>
        <w:spacing w:before="0" w:after="80"/>
      </w:pPr>
      <w:r>
        <w:rPr>
          <w:i/>
          <w:sz w:val="20"/>
        </w:rPr>
        <w:t>EN: Optically induced Faraday–Goldstone waves</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29">
        <w:r>
          <w:rPr>
            <w:color w:val="1155CC"/>
            <w:u w:val="single"/>
          </w:rPr>
          <w:t>10.1073/pnas.2535297123</w:t>
        </w:r>
      </w:hyperlink>
    </w:p>
    <w:p>
      <w:pPr>
        <w:spacing w:before="0" w:after="120"/>
      </w:pPr>
      <w:r>
        <w:rPr>
          <w:b/>
        </w:rPr>
        <w:t xml:space="preserve">Notes: </w:t>
      </w:r>
      <w:r>
        <w:t>abstract_source=crossref</w:t>
      </w:r>
    </w:p>
    <w:p>
      <w:pPr>
        <w:spacing w:before="0" w:after="80" w:lineRule="auto" w:line="276"/>
      </w:pPr>
      <w:r>
        <w:rPr>
          <w:b/>
        </w:rPr>
        <w:t xml:space="preserve">摘要（ZH）: </w:t>
      </w:r>
      <w:r>
        <w:t>法拉第波通常在驱动流体中观察到，是非线性和参数放大共同作用的结果。在这里，我们证明光脉冲可以产生类似的现象，其持续时间比有序量子固体中的泵浦时间尺度长得多。我们提出了对称破缺状态下超快光与物质相互作用的理论；希格斯（振幅）和戈德斯通（相位）模式之间的动态非线性耦合驱动了在空间和时间上振荡的新兴相子纹理：法拉第-戈德斯通波。该时空顺序的计算特征与 K 的测量结果很好地比较</w:t>
      </w:r>
      <w:r>
        <w:t xml:space="preserve"> </w:t>
      </w:r>
      <w:r>
        <w:t>0.3</w:t>
      </w:r>
      <w:r>
        <w:t xml:space="preserve"> </w:t>
      </w:r>
      <w:r>
        <w:t>氧化钼</w:t>
      </w:r>
      <w:r>
        <w:rPr>
          <w:vertAlign w:val="subscript"/>
        </w:rPr>
        <w:t>3</w:t>
      </w:r>
      <w:r>
        <w:t>;还预测了与这两种模式之间的相干能量交换相关的希格斯-戈德斯通跳动。我们证明，这种光产生的晶态对于热噪声具有鲁棒性，即使原始的戈德斯通模式并非如此。我们的研究结果为超快光脉冲量子材料中的周期性结构设计提供了一条途径。</w:t>
      </w:r>
    </w:p>
    <w:p>
      <w:pPr>
        <w:spacing w:before="0" w:after="200" w:lineRule="auto" w:line="276"/>
      </w:pPr>
      <w:r>
        <w:rPr>
          <w:b/>
        </w:rPr>
        <w:t xml:space="preserve">Abstract (EN): </w:t>
      </w:r>
      <w:r>
        <w:t>Faraday waves, typically observed in driven fluids, result from the confluence of nonlinearity and parametric amplification. Here we show that optical pulses can generate analogous phenomena that persist much longer than the pump time-scales in ordered quantum solids. We present a theory of ultrafast light–matter interactions within a symmetry-broken state; dynamical nonlinear coupling between the Higgs (amplitude) and the Goldstone (phase) modes drives an emergent phason texture that oscillates in space and in time: Faraday–Goldstone waves. Calculated signatures of this spatiotemporal order compare well with measurements on K</w:t>
      </w:r>
      <w:r>
        <w:t xml:space="preserve"> </w:t>
      </w:r>
      <w:r>
        <w:t>0.3</w:t>
      </w:r>
      <w:r>
        <w:t xml:space="preserve"> </w:t>
      </w:r>
      <w:r>
        <w:t>MoO</w:t>
      </w:r>
      <w:r>
        <w:rPr>
          <w:vertAlign w:val="subscript"/>
        </w:rPr>
        <w:t>3</w:t>
      </w:r>
      <w:r>
        <w:t>; Higgs–Goldstone beating, associated with coherent energy exchange between these two modes, is also predicted. We show this light-generated crystalline state is robust to thermal noise, even when the original Goldstone mode is not. Our results offer a pathway for the design of periodic structures in quantum materials with ultrafast light pulses.</w:t>
      </w:r>
    </w:p>
    <w:p>
      <w:pPr>
        <w:spacing w:before="120" w:after="120"/>
      </w:pPr>
      <w:r>
        <w:rPr>
          <w:sz w:val="18"/>
        </w:rPr>
        <w:t>——————————————————————————————————————————————————————————————————————</w:t>
      </w:r>
    </w:p>
    <w:p>
      <w:pPr>
        <w:spacing w:before="160" w:after="40" w:line="240" w:lineRule="auto"/>
      </w:pPr>
      <w:r>
        <w:rPr>
          <w:b/>
        </w:rPr>
        <w:t xml:space="preserve">[293] </w:t>
      </w:r>
      <w:hyperlink r:id="rId1030">
        <w:r>
          <w:rPr>
            <w:color w:val="1155CC"/>
            <w:u w:val="single"/>
          </w:rPr>
          <w:t>髓鞘形成通过储存和消耗氧气进行有氧代谢来维持轴突生物能</w:t>
        </w:r>
      </w:hyperlink>
    </w:p>
    <w:p>
      <w:pPr>
        <w:spacing w:before="0" w:after="80"/>
      </w:pPr>
      <w:r>
        <w:rPr>
          <w:i/>
          <w:sz w:val="20"/>
        </w:rPr>
        <w:t>EN: Myelination sustains axonal bioenergetics by storing and consuming oxygen for aerobic metabolism</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31">
        <w:r>
          <w:rPr>
            <w:color w:val="1155CC"/>
            <w:u w:val="single"/>
          </w:rPr>
          <w:t>10.1073/pnas.2526705123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[294] </w:t>
      </w:r>
      <w:hyperlink r:id="rId1032">
        <w:r>
          <w:rPr>
            <w:color w:val="1155CC"/>
            <w:u w:val="single"/>
          </w:rPr>
          <w:t>番茄 DNA 聚合酶 DELTA 1 的显性突变导致双生病毒 DNA 复制灾难</w:t>
        </w:r>
      </w:hyperlink>
    </w:p>
    <w:p>
      <w:pPr>
        <w:spacing w:before="0" w:after="80"/>
      </w:pPr>
      <w:r>
        <w:rPr>
          <w:i/>
          <w:sz w:val="20"/>
        </w:rPr>
        <w:t>EN: A dominant mutation in tomato DNA POLYMERASE DELTA 1 causes geminivirus DNA replication catastrophe</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33">
        <w:r>
          <w:rPr>
            <w:color w:val="1155CC"/>
            <w:u w:val="single"/>
          </w:rPr>
          <w:t>10.1073/pnas.2531841123</w:t>
        </w:r>
      </w:hyperlink>
    </w:p>
    <w:p>
      <w:pPr>
        <w:spacing w:before="0" w:after="120"/>
      </w:pPr>
      <w:r>
        <w:rPr>
          <w:b/>
        </w:rPr>
        <w:t xml:space="preserve">Notes: </w:t>
      </w:r>
      <w:r>
        <w:t>abstract_source=crossref</w:t>
      </w:r>
    </w:p>
    <w:p>
      <w:pPr>
        <w:spacing w:before="0" w:after="80" w:lineRule="auto" w:line="276"/>
      </w:pPr>
      <w:r>
        <w:rPr>
          <w:b/>
        </w:rPr>
        <w:t xml:space="preserve">摘要（ZH）: </w:t>
      </w:r>
      <w:r>
        <w:t>双生病毒对全世界粮食和蔬菜作物构成严重威胁，常常造成重大经济损失。在栽培番茄中（</w:t>
      </w:r>
      <w:r>
        <w:t xml:space="preserve"> </w:t>
      </w:r>
      <w:r>
        <w:t>番茄</w:t>
      </w:r>
      <w:r>
        <w:t xml:space="preserve"> </w:t>
      </w:r>
      <w:r>
        <w:t>),</w:t>
      </w:r>
      <w:r>
        <w:t xml:space="preserve"> </w:t>
      </w:r>
      <w:r>
        <w:t>泰</w:t>
      </w:r>
      <w:r>
        <w:t xml:space="preserve"> </w:t>
      </w:r>
      <w:r>
        <w:t>抗性等位基因是从野生番茄近缘种引入的，对双生病毒感染具有部分或强的抵抗力。的</w:t>
      </w:r>
      <w:r>
        <w:t xml:space="preserve"> </w:t>
      </w:r>
      <w:r>
        <w:t>泰-6</w:t>
      </w:r>
      <w:r>
        <w:t xml:space="preserve"> </w:t>
      </w:r>
      <w:r>
        <w:t>电阻轨迹来自</w:t>
      </w:r>
      <w:r>
        <w:t xml:space="preserve"> </w:t>
      </w:r>
      <w:r>
        <w:t>智利茄</w:t>
      </w:r>
      <w:r>
        <w:t xml:space="preserve"> </w:t>
      </w:r>
      <w:r>
        <w:t>先前被映射到 10 号染色体。最近显示它包含 10 号染色体的突变等位基因</w:t>
      </w:r>
      <w:r>
        <w:t xml:space="preserve"> </w:t>
      </w:r>
      <w:r>
        <w:t>DNA 聚合酶 Delta 1</w:t>
      </w:r>
      <w:r>
        <w:t xml:space="preserve"> </w:t>
      </w:r>
      <w:r>
        <w:t>（</w:t>
      </w:r>
      <w:r>
        <w:t xml:space="preserve"> </w:t>
      </w:r>
      <w:r>
        <w:t>波尔多1</w:t>
      </w:r>
      <w:r>
        <w:t xml:space="preserve"> </w:t>
      </w:r>
      <w:r>
        <w:t>）基因，提供对番茄黄曲叶病毒（TYLCV）感染的抵抗力。然而，耐药机制仍不清楚。在此，我们再报道一下</w:t>
      </w:r>
      <w:r>
        <w:t xml:space="preserve"> </w:t>
      </w:r>
      <w:r>
        <w:t>波尔多1</w:t>
      </w:r>
      <w:r>
        <w:t xml:space="preserve"> </w:t>
      </w:r>
      <w:r>
        <w:t>等位基因在</w:t>
      </w:r>
      <w:r>
        <w:t xml:space="preserve"> </w:t>
      </w:r>
      <w:r>
        <w:t>泰-6</w:t>
      </w:r>
      <w:r>
        <w:t xml:space="preserve"> </w:t>
      </w:r>
      <w:r>
        <w:t>的轨迹</w:t>
      </w:r>
      <w:r>
        <w:t xml:space="preserve"> </w:t>
      </w:r>
      <w:r>
        <w:t>智利沙门氏菌</w:t>
      </w:r>
      <w:r>
        <w:t xml:space="preserve"> </w:t>
      </w:r>
      <w:r>
        <w:t>POLD1 蛋白催化位点发生 E622D 突变。</w:t>
      </w:r>
      <w:r>
        <w:t xml:space="preserve"> </w:t>
      </w:r>
      <w:r>
        <w:t>波尔多1</w:t>
      </w:r>
      <w:r>
        <w:t xml:space="preserve"> </w:t>
      </w:r>
      <w:r>
        <w:t>E622D</w:t>
      </w:r>
      <w:r>
        <w:t xml:space="preserve"> </w:t>
      </w:r>
      <w:r>
        <w:t>保持为杂合显性等位基因</w:t>
      </w:r>
      <w:r>
        <w:t xml:space="preserve"> </w:t>
      </w:r>
      <w:r>
        <w:t>智利沙门氏菌</w:t>
      </w:r>
      <w:r>
        <w:t xml:space="preserve"> </w:t>
      </w:r>
      <w:r>
        <w:t>和 AVTO2225 育种系。它对严重的 TYLCV 泰国 (TYLCTHV) 菌株具有完全抵抗力。 E622D 氨基酸变化不会改变 POLD1 的预测结构。 TYLCTHV 基因组在携带 TYLCTHV 的植物中的复制</w:t>
      </w:r>
    </w:p>
    <w:p>
      <w:pPr>
        <w:spacing w:before="0" w:after="200" w:lineRule="auto" w:line="276"/>
      </w:pPr>
      <w:r>
        <w:rPr>
          <w:b/>
        </w:rPr>
        <w:t xml:space="preserve">Abstract (EN): </w:t>
      </w:r>
      <w:r>
        <w:t>Geminiviruses pose a severe threat to grain and vegetable crops worldwide, often resulting in significant economic losses. In cultivated tomato (</w:t>
      </w:r>
      <w:r>
        <w:t xml:space="preserve"> </w:t>
      </w:r>
      <w:r>
        <w:t>Solanum lycopersicum</w:t>
      </w:r>
      <w:r>
        <w:t xml:space="preserve"> </w:t>
      </w:r>
      <w:r>
        <w:t>),</w:t>
      </w:r>
      <w:r>
        <w:t xml:space="preserve"> </w:t>
      </w:r>
      <w:r>
        <w:t>Ty</w:t>
      </w:r>
      <w:r>
        <w:t xml:space="preserve"> </w:t>
      </w:r>
      <w:r>
        <w:t>resistance alleles have been introduced from wild tomato relatives, providing partial to strong resistance to geminivirus infections. The</w:t>
      </w:r>
      <w:r>
        <w:t xml:space="preserve"> </w:t>
      </w:r>
      <w:r>
        <w:t>Ty-6</w:t>
      </w:r>
      <w:r>
        <w:t xml:space="preserve"> </w:t>
      </w:r>
      <w:r>
        <w:t>resistance locus from</w:t>
      </w:r>
      <w:r>
        <w:t xml:space="preserve"> </w:t>
      </w:r>
      <w:r>
        <w:t>Solanum chilense</w:t>
      </w:r>
      <w:r>
        <w:t xml:space="preserve"> </w:t>
      </w:r>
      <w:r>
        <w:t>was previously mapped to chromosome 10. It was recently shown to contain a mutant allele of the</w:t>
      </w:r>
      <w:r>
        <w:t xml:space="preserve"> </w:t>
      </w:r>
      <w:r>
        <w:t>DNA POLYMERASE DELTA 1</w:t>
      </w:r>
      <w:r>
        <w:t xml:space="preserve"> </w:t>
      </w:r>
      <w:r>
        <w:t>(</w:t>
      </w:r>
      <w:r>
        <w:t xml:space="preserve"> </w:t>
      </w:r>
      <w:r>
        <w:t>POLD1</w:t>
      </w:r>
      <w:r>
        <w:t xml:space="preserve"> </w:t>
      </w:r>
      <w:r>
        <w:t>) gene that provides resistance to Tomato yellow leaf curl virus (TYLCV) infections. However, the resistance mechanism remained unknown. Here, we report another</w:t>
      </w:r>
      <w:r>
        <w:t xml:space="preserve"> </w:t>
      </w:r>
      <w:r>
        <w:t>POLD1</w:t>
      </w:r>
      <w:r>
        <w:t xml:space="preserve"> </w:t>
      </w:r>
      <w:r>
        <w:t>allele at the</w:t>
      </w:r>
      <w:r>
        <w:t xml:space="preserve"> </w:t>
      </w:r>
      <w:r>
        <w:t>Ty-6</w:t>
      </w:r>
      <w:r>
        <w:t xml:space="preserve"> </w:t>
      </w:r>
      <w:r>
        <w:t>locus of</w:t>
      </w:r>
      <w:r>
        <w:t xml:space="preserve"> </w:t>
      </w:r>
      <w:r>
        <w:t>S. chilense</w:t>
      </w:r>
      <w:r>
        <w:t xml:space="preserve"> </w:t>
      </w:r>
      <w:r>
        <w:t>with an E622D mutation in the catalytic site of the POLD1 protein.</w:t>
      </w:r>
      <w:r>
        <w:t xml:space="preserve"> </w:t>
      </w:r>
      <w:r>
        <w:t>POLD1</w:t>
      </w:r>
      <w:r>
        <w:t xml:space="preserve"> </w:t>
      </w:r>
      <w:r>
        <w:t>E622D</w:t>
      </w:r>
      <w:r>
        <w:t xml:space="preserve"> </w:t>
      </w:r>
      <w:r>
        <w:t>is maintained as a heterozygous dominant allele in</w:t>
      </w:r>
      <w:r>
        <w:t xml:space="preserve"> </w:t>
      </w:r>
      <w:r>
        <w:t>S. chilense</w:t>
      </w:r>
      <w:r>
        <w:t xml:space="preserve"> </w:t>
      </w:r>
      <w:r>
        <w:t>and the AVTO2225 breeding line. It provides full resistance to the severe TYLCV Thailand (TYLCTHV) strain. The E622D amino acid change does not alter the predicted structure of POLD1. Replication of the TYLCTHV genome in plants carrying the</w:t>
      </w:r>
      <w:r>
        <w:t xml:space="preserve"> </w:t>
      </w:r>
      <w:r>
        <w:t>POLD1</w:t>
      </w:r>
      <w:r>
        <w:t xml:space="preserve"> </w:t>
      </w:r>
      <w:r>
        <w:t>E622D</w:t>
      </w:r>
      <w:r>
        <w:t xml:space="preserve"> </w:t>
      </w:r>
      <w:r>
        <w:t>allele is severely compromised by a high frequency of mutations that accumulate in viral DNA, which results in nonfunctional proteins that are essential for continuous viral replication. Ectopically expressing the</w:t>
      </w:r>
      <w:r>
        <w:t xml:space="preserve"> </w:t>
      </w:r>
      <w:r>
        <w:t>POLD1</w:t>
      </w:r>
      <w:r>
        <w:t xml:space="preserve"> </w:t>
      </w:r>
      <w:r>
        <w:t>E622D</w:t>
      </w:r>
      <w:r>
        <w:t xml:space="preserve"> </w:t>
      </w:r>
      <w:r>
        <w:t>allele cDNA alone causes mutations in TYLCTHV genes in inoculated leaves.</w:t>
      </w:r>
      <w:r>
        <w:t xml:space="preserve"> </w:t>
      </w:r>
      <w:r>
        <w:t>S. chilense</w:t>
      </w:r>
      <w:r>
        <w:t xml:space="preserve"> </w:t>
      </w:r>
      <w:r>
        <w:t>and AVTO2225 plants carrying the</w:t>
      </w:r>
      <w:r>
        <w:t xml:space="preserve"> </w:t>
      </w:r>
      <w:r>
        <w:t>POLD1</w:t>
      </w:r>
      <w:r>
        <w:t xml:space="preserve"> </w:t>
      </w:r>
      <w:r>
        <w:t>E622D</w:t>
      </w:r>
      <w:r>
        <w:t xml:space="preserve"> </w:t>
      </w:r>
      <w:r>
        <w:t>allele mount a hypersensitive response after TYLCTHV infection, indicating that the defective virus genome cannot suppress the plant defense. The dominant</w:t>
      </w:r>
      <w:r>
        <w:t xml:space="preserve"> </w:t>
      </w:r>
      <w:r>
        <w:t>POLD1</w:t>
      </w:r>
      <w:r>
        <w:t xml:space="preserve"> </w:t>
      </w:r>
      <w:r>
        <w:t>E622D</w:t>
      </w:r>
      <w:r>
        <w:t xml:space="preserve"> </w:t>
      </w:r>
      <w:r>
        <w:t>allele is therefore an effective resistance gene that geminiviruses cannot overcome.</w:t>
      </w:r>
    </w:p>
    <w:p>
      <w:pPr>
        <w:spacing w:before="120" w:after="120"/>
      </w:pPr>
      <w:r>
        <w:rPr>
          <w:sz w:val="18"/>
        </w:rPr>
        <w:t>——————————————————————————————————————————————————————————————————————</w:t>
      </w:r>
    </w:p>
    <w:p>
      <w:pPr>
        <w:spacing w:before="160" w:after="40" w:line="240" w:lineRule="auto"/>
      </w:pPr>
      <w:r>
        <w:rPr>
          <w:b/>
        </w:rPr>
        <w:t xml:space="preserve">[295] </w:t>
      </w:r>
      <w:hyperlink r:id="rId1034">
        <w:r>
          <w:rPr>
            <w:color w:val="1155CC"/>
            <w:u w:val="single"/>
          </w:rPr>
          <w:t>GDF-15 在黑色素瘤的机械转导、血管紊乱和免疫抑制中的趋同作用</w:t>
        </w:r>
      </w:hyperlink>
    </w:p>
    <w:p>
      <w:pPr>
        <w:spacing w:before="0" w:after="80"/>
      </w:pPr>
      <w:r>
        <w:rPr>
          <w:i/>
          <w:sz w:val="20"/>
        </w:rPr>
        <w:t>EN: Convergent roles of GDF-15 in mechanotransduction, vascular disorganization, and immune suppression in melanoma</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35">
        <w:r>
          <w:rPr>
            <w:color w:val="1155CC"/>
            <w:u w:val="single"/>
          </w:rPr>
          <w:t>10.1073/pnas.2602594123</w:t>
        </w:r>
      </w:hyperlink>
    </w:p>
    <w:p>
      <w:pPr>
        <w:spacing w:before="0" w:after="120"/>
      </w:pPr>
      <w:r>
        <w:rPr>
          <w:b/>
        </w:rPr>
        <w:t xml:space="preserve">Notes: </w:t>
      </w:r>
      <w:r>
        <w:t>abstract_source=crossref</w:t>
      </w:r>
    </w:p>
    <w:p>
      <w:pPr>
        <w:spacing w:before="0" w:after="80" w:lineRule="auto" w:line="276"/>
      </w:pPr>
      <w:r>
        <w:rPr>
          <w:b/>
        </w:rPr>
        <w:t xml:space="preserve">摘要（ZH）: </w:t>
      </w:r>
      <w:r>
        <w:t>黑色素瘤，特别是晚期形式，仍然是最致命的皮肤癌之一，对于常见皮肤亚型和肢端黑色素瘤等罕见变体的有效治疗方法有限。细胞外基质（ECM）和其他癌细胞外在过程对黑色素瘤发展的影响仍未得到充分研究。这项研究将生长分化因子 15 (GDF-15) 确定为跨黑色素瘤类型的黑色素瘤发病机制的机械传感调节驱动因素。这里显示 GDF-15 是由 ECM 刚性和转移进展过程中发生的压缩力机械诱导的，导致皮肤和肢端黑色素瘤细胞的水平显着升高。在这项研究中，使用具有可调刚度的细胞粘附明胶甲基丙烯酰 (GelMA) 水凝胶微粒 (微凝胶) 重现了 ECM 刚度，为研究肿瘤微环境中的机械线索如何调节黑色素瘤中的 GDF-15 表达提供了一个仿生平台。 GDF-15 和肿瘤中常见的炎症因子之间以前未被认识到的协同作用被鉴定出来，并发现它会促进血管系统紊乱、渗透性过高，从而促进肿瘤营养物质的获取并阻碍有效的免疫细胞浸润。 GDF-15 敲低减少了瘤内出血表型，表明存在因果作用。 GDF-15 还通过直接抑制自然杀伤 (NK) 细胞介导的细胞毒性发挥作用，揭示了免疫逃避的第二种协同机制。这些效应使 GDF-15 成为连接机械应力、与 inf 合作的关键节点</w:t>
      </w:r>
    </w:p>
    <w:p>
      <w:pPr>
        <w:spacing w:before="0" w:after="200" w:lineRule="auto" w:line="276"/>
      </w:pPr>
      <w:r>
        <w:rPr>
          <w:b/>
        </w:rPr>
        <w:t xml:space="preserve">Abstract (EN): </w:t>
      </w:r>
      <w:r>
        <w:t>Melanoma, particularly in its advanced forms, remains one of the most lethal skin cancers, with limited effective treatments for both common cutaneous subtypes and rarer variants such as acral melanoma. The effects of the extracellular matrix (ECM) and other cancer-cell extrinsic processes on melanoma development remain underexplored. This study identifies growth differentiation factor-15 (GDF-15) as a mechanosensing-regulated driver of melanoma pathogenesis across melanoma types. GDF-15 is shown here to be mechanically induced by ECM rigidity and compressive forces occurring during metastatic progression, leading to significantly elevated levels in both cutaneous and acral melanoma cells. In this study, ECM rigidity was recapitulated using cell-adhesive gelatin methacryloyl (GelMA) hydrogel microparticles (microgels) with tunable stiffness, providing a biomimetic platform to investigate how mechanical cues in the tumor microenvironment regulate GDF-15 expression in melanoma. A previously unrecognized synergy between GDF-15 and inflammatory factors commonly present in tumors was identified and found to promote a disorganized, hyperpermeable vasculature, thereby facilitating tumor nutrient access and impeding effective immune cell infiltration. GDF-15 knockdown reduced the intratumoral hemorrhage phenotype, indicating a causal role. GDF-15 also functions by directly suppressing natural killer (NK) cell-mediated cytotoxicity, revealing a second cooperating mechanism of immune evasion. These effects position GDF-15 as a key node linking mechanical stress, co-operation with inflammatory factors, abnormal vascular development, and immune dysfunction, thereby converging on pathways and processes relevant to melanoma progression and treatment.</w:t>
      </w:r>
    </w:p>
    <w:p>
      <w:pPr>
        <w:spacing w:before="120" w:after="120"/>
      </w:pPr>
      <w:r>
        <w:rPr>
          <w:sz w:val="18"/>
        </w:rPr>
        <w:t>——————————————————————————————————————————————————————————————————————</w:t>
      </w:r>
    </w:p>
    <w:p>
      <w:pPr>
        <w:spacing w:before="160" w:after="40" w:line="240" w:lineRule="auto"/>
      </w:pPr>
      <w:r>
        <w:rPr>
          <w:b/>
        </w:rPr>
        <w:t xml:space="preserve">[296] </w:t>
      </w:r>
      <w:hyperlink r:id="rId1036">
        <w:r>
          <w:rPr>
            <w:color w:val="1155CC"/>
            <w:u w:val="single"/>
          </w:rPr>
          <w:t>碳富勒烯之外的结构演化：金属-氧簇族</w:t>
        </w:r>
      </w:hyperlink>
    </w:p>
    <w:p>
      <w:pPr>
        <w:spacing w:before="0" w:after="80"/>
      </w:pPr>
      <w:r>
        <w:rPr>
          <w:i/>
          <w:sz w:val="20"/>
        </w:rPr>
        <w:t>EN: Structural evolution beyond carbon fullerenes: A family of metal–oxo clusters</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37">
        <w:r>
          <w:rPr>
            <w:color w:val="1155CC"/>
            <w:u w:val="single"/>
          </w:rPr>
          <w:t>10.1073/pnas.2602851123</w:t>
        </w:r>
      </w:hyperlink>
    </w:p>
    <w:p>
      <w:pPr>
        <w:spacing w:before="0" w:after="120"/>
      </w:pPr>
      <w:r>
        <w:rPr>
          <w:b/>
        </w:rPr>
        <w:t xml:space="preserve">Notes: </w:t>
      </w:r>
      <w:r>
        <w:t>abstract_source=crossref</w:t>
      </w:r>
    </w:p>
    <w:p>
      <w:pPr>
        <w:spacing w:before="0" w:after="80" w:lineRule="auto" w:line="276"/>
      </w:pPr>
      <w:r>
        <w:rPr>
          <w:b/>
        </w:rPr>
        <w:t xml:space="preserve">摘要（ZH）: </w:t>
      </w:r>
      <w:r>
        <w:t>富勒烯是一类独特的稳定分子簇，其结构演化受到 sp 的五边形-六边形排列的几何形状和拓扑结构的限制</w:t>
      </w:r>
      <w:r>
        <w:rPr>
          <w:vertAlign w:val="subscript"/>
        </w:rPr>
        <w:t>2</w:t>
      </w:r>
      <w:r>
        <w:t>-具有 (p–p)π 共轭的杂化碳。然而，将这种几何和拓扑驱动的结构演化扩展到其他无机系统仍然极其罕见，因为实现不同建筑单元的受控组装并精确调整其数量非常具有挑战性。在这里，我们报告了一个金属-氧簇家族</w:t>
      </w:r>
      <w:r>
        <w:t xml:space="preserve"> </w:t>
      </w:r>
      <w:r>
        <w:t>V</w:t>
      </w:r>
      <w:r>
        <w:rPr>
          <w:vertAlign w:val="subscript"/>
        </w:rPr>
        <w:t>30</w:t>
      </w:r>
      <w:r>
        <w:t>铌</w:t>
      </w:r>
      <w:r>
        <w:rPr>
          <w:vertAlign w:val="subscript"/>
        </w:rPr>
        <w:t>12</w:t>
      </w:r>
      <w:r>
        <w:t xml:space="preserve"> </w:t>
      </w:r>
      <w:r>
        <w:t>,</w:t>
      </w:r>
      <w:r>
        <w:t xml:space="preserve"> </w:t>
      </w:r>
      <w:r>
        <w:t>V</w:t>
      </w:r>
      <w:r>
        <w:rPr>
          <w:vertAlign w:val="subscript"/>
        </w:rPr>
        <w:t>26</w:t>
      </w:r>
      <w:r>
        <w:t>铌</w:t>
      </w:r>
      <w:r>
        <w:rPr>
          <w:vertAlign w:val="subscript"/>
        </w:rPr>
        <w:t>8</w:t>
      </w:r>
      <w:r>
        <w:t xml:space="preserve"> </w:t>
      </w:r>
      <w:r>
        <w:t>,</w:t>
      </w:r>
      <w:r>
        <w:t xml:space="preserve"> </w:t>
      </w:r>
      <w:r>
        <w:t>V</w:t>
      </w:r>
      <w:r>
        <w:rPr>
          <w:vertAlign w:val="subscript"/>
        </w:rPr>
        <w:t>24</w:t>
      </w:r>
      <w:r>
        <w:t>铌</w:t>
      </w:r>
      <w:r>
        <w:rPr>
          <w:vertAlign w:val="subscript"/>
        </w:rPr>
        <w:t>6</w:t>
      </w:r>
      <w:r>
        <w:t xml:space="preserve"> </w:t>
      </w:r>
      <w:r>
        <w:t>, 和</w:t>
      </w:r>
      <w:r>
        <w:t xml:space="preserve"> </w:t>
      </w:r>
      <w:r>
        <w:t>V</w:t>
      </w:r>
      <w:r>
        <w:rPr>
          <w:vertAlign w:val="subscript"/>
        </w:rPr>
        <w:t>22</w:t>
      </w:r>
      <w:r>
        <w:t>铌</w:t>
      </w:r>
      <w:r>
        <w:rPr>
          <w:vertAlign w:val="subscript"/>
        </w:rPr>
        <w:t>4</w:t>
      </w:r>
      <w:r>
        <w:t xml:space="preserve"> </w:t>
      </w:r>
      <w:r>
        <w:t>集群核心。它们是由</w:t>
      </w:r>
      <w:r>
        <w:t xml:space="preserve"> </w:t>
      </w:r>
      <w:r>
        <w:t>米</w:t>
      </w:r>
      <w:r>
        <w:t xml:space="preserve"> </w:t>
      </w:r>
      <w:r>
        <w:t>{(Nb)V</w:t>
      </w:r>
      <w:r>
        <w:rPr>
          <w:vertAlign w:val="subscript"/>
        </w:rPr>
        <w:t>5</w:t>
      </w:r>
      <w:r>
        <w:t>} 五边形和</w:t>
      </w:r>
      <w:r>
        <w:t xml:space="preserve"> </w:t>
      </w:r>
      <w:r>
        <w:t>我</w:t>
      </w:r>
      <w:r>
        <w:t xml:space="preserve"> </w:t>
      </w:r>
      <w:r>
        <w:t>{(V)V</w:t>
      </w:r>
      <w:r>
        <w:rPr>
          <w:vertAlign w:val="subscript"/>
        </w:rPr>
        <w:t>4</w:t>
      </w:r>
      <w:r>
        <w:t>通过共享钒中心连接的方块。这些簇显示出逐步五边形减少（</w:t>
      </w:r>
      <w:r>
        <w:t xml:space="preserve"> </w:t>
      </w:r>
      <w:r>
        <w:t>米</w:t>
      </w:r>
      <w:r>
        <w:t xml:space="preserve"> </w:t>
      </w:r>
      <w:r>
        <w:t>= 12 →</w:t>
      </w:r>
    </w:p>
    <w:p>
      <w:pPr>
        <w:spacing w:before="0" w:after="200" w:lineRule="auto" w:line="276"/>
      </w:pPr>
      <w:r>
        <w:rPr>
          <w:b/>
        </w:rPr>
        <w:t xml:space="preserve">Abstract (EN): </w:t>
      </w:r>
      <w:r>
        <w:t>Fullerenes are a unique class of stable molecular clusters whose structural evolution is constrained by the geometry and topology of pentagon–hexagon arrangements of sp</w:t>
      </w:r>
      <w:r>
        <w:rPr>
          <w:vertAlign w:val="subscript"/>
        </w:rPr>
        <w:t>2</w:t>
      </w:r>
      <w:r>
        <w:t>-hybridized carbons with (p–p)π conjugation. However, extending this geometry- and topology-driven structural evolution to other inorganic systems remains exceedingly rare, because it is highly challenging to achieve controlled assembly of distinct building units and precisely tune their numbers. Here, we report a family of metal–oxo clusters with</w:t>
      </w:r>
      <w:r>
        <w:t xml:space="preserve"> </w:t>
      </w:r>
      <w:r>
        <w:t>V</w:t>
      </w:r>
      <w:r>
        <w:rPr>
          <w:vertAlign w:val="subscript"/>
        </w:rPr>
        <w:t>30</w:t>
      </w:r>
      <w:r>
        <w:t>Nb</w:t>
      </w:r>
      <w:r>
        <w:rPr>
          <w:vertAlign w:val="subscript"/>
        </w:rPr>
        <w:t>12</w:t>
      </w:r>
      <w:r>
        <w:t xml:space="preserve"> </w:t>
      </w:r>
      <w:r>
        <w:t>,</w:t>
      </w:r>
      <w:r>
        <w:t xml:space="preserve"> </w:t>
      </w:r>
      <w:r>
        <w:t>V</w:t>
      </w:r>
      <w:r>
        <w:rPr>
          <w:vertAlign w:val="subscript"/>
        </w:rPr>
        <w:t>26</w:t>
      </w:r>
      <w:r>
        <w:t>Nb</w:t>
      </w:r>
      <w:r>
        <w:rPr>
          <w:vertAlign w:val="subscript"/>
        </w:rPr>
        <w:t>8</w:t>
      </w:r>
      <w:r>
        <w:t xml:space="preserve"> </w:t>
      </w:r>
      <w:r>
        <w:t>,</w:t>
      </w:r>
      <w:r>
        <w:t xml:space="preserve"> </w:t>
      </w:r>
      <w:r>
        <w:t>V</w:t>
      </w:r>
      <w:r>
        <w:rPr>
          <w:vertAlign w:val="subscript"/>
        </w:rPr>
        <w:t>24</w:t>
      </w:r>
      <w:r>
        <w:t>Nb</w:t>
      </w:r>
      <w:r>
        <w:rPr>
          <w:vertAlign w:val="subscript"/>
        </w:rPr>
        <w:t>6</w:t>
      </w:r>
      <w:r>
        <w:t xml:space="preserve"> </w:t>
      </w:r>
      <w:r>
        <w:t>, and</w:t>
      </w:r>
      <w:r>
        <w:t xml:space="preserve"> </w:t>
      </w:r>
      <w:r>
        <w:t>V</w:t>
      </w:r>
      <w:r>
        <w:rPr>
          <w:vertAlign w:val="subscript"/>
        </w:rPr>
        <w:t>22</w:t>
      </w:r>
      <w:r>
        <w:t>Nb</w:t>
      </w:r>
      <w:r>
        <w:rPr>
          <w:vertAlign w:val="subscript"/>
        </w:rPr>
        <w:t>4</w:t>
      </w:r>
      <w:r>
        <w:t xml:space="preserve"> </w:t>
      </w:r>
      <w:r>
        <w:t>cluster cores. They are constructed from</w:t>
      </w:r>
      <w:r>
        <w:t xml:space="preserve"> </w:t>
      </w:r>
      <w:r>
        <w:t>m</w:t>
      </w:r>
      <w:r>
        <w:t xml:space="preserve"> </w:t>
      </w:r>
      <w:r>
        <w:t>{(Nb)V</w:t>
      </w:r>
      <w:r>
        <w:rPr>
          <w:vertAlign w:val="subscript"/>
        </w:rPr>
        <w:t>5</w:t>
      </w:r>
      <w:r>
        <w:t>} pentagons and</w:t>
      </w:r>
      <w:r>
        <w:t xml:space="preserve"> </w:t>
      </w:r>
      <w:r>
        <w:t>l</w:t>
      </w:r>
      <w:r>
        <w:t xml:space="preserve"> </w:t>
      </w:r>
      <w:r>
        <w:t>{(V)V</w:t>
      </w:r>
      <w:r>
        <w:rPr>
          <w:vertAlign w:val="subscript"/>
        </w:rPr>
        <w:t>4</w:t>
      </w:r>
      <w:r>
        <w:t>} squares linked through shared vanadium centers. These clusters show a stepwise pentagon decrease (</w:t>
      </w:r>
      <w:r>
        <w:t xml:space="preserve"> </w:t>
      </w:r>
      <w:r>
        <w:t>m</w:t>
      </w:r>
      <w:r>
        <w:t xml:space="preserve"> </w:t>
      </w:r>
      <w:r>
        <w:t>= 12 → 8 → 6 → 4) and square increase (</w:t>
      </w:r>
      <w:r>
        <w:t xml:space="preserve"> </w:t>
      </w:r>
      <w:r>
        <w:t>l</w:t>
      </w:r>
      <w:r>
        <w:t xml:space="preserve"> </w:t>
      </w:r>
      <w:r>
        <w:t>= 0 → 2 → 3 → 4) and follow a mathematically defined evolution rule</w:t>
      </w:r>
      <w:r>
        <w:t xml:space="preserve"> </w:t>
      </w:r>
      <w:r>
        <w:t>l</w:t>
      </w:r>
      <w:r>
        <w:t xml:space="preserve"> </w:t>
      </w:r>
      <w:r>
        <w:t>= 6 –</w:t>
      </w:r>
      <w:r>
        <w:t xml:space="preserve"> </w:t>
      </w:r>
      <w:r>
        <w:t>m</w:t>
      </w:r>
      <w:r>
        <w:t xml:space="preserve"> </w:t>
      </w:r>
      <w:r>
        <w:t>/2. Quantum-chemical analyses show that, similar to the curved (p–p)π-conjugation characteristic of carbon fullerenes, a spherical multicenter (d–p)π-conjugated network stabilizes these curved {(Nb)V</w:t>
      </w:r>
      <w:r>
        <w:rPr>
          <w:vertAlign w:val="subscript"/>
        </w:rPr>
        <w:t>5</w:t>
      </w:r>
      <w:r>
        <w:t>} pentagons and {(V)V</w:t>
      </w:r>
      <w:r>
        <w:rPr>
          <w:vertAlign w:val="subscript"/>
        </w:rPr>
        <w:t>4</w:t>
      </w:r>
      <w:r>
        <w:t>} squares. Together, these findings demonstrate that fullerene-like structural evolution is not restricted to carbon frameworks, but can emerge in metal–oxo clusters through multicenter (d–p)π-conjugation interaction.</w:t>
      </w:r>
    </w:p>
    <w:p>
      <w:pPr>
        <w:spacing w:before="120" w:after="120"/>
      </w:pPr>
      <w:r>
        <w:rPr>
          <w:sz w:val="18"/>
        </w:rPr>
        <w:t>——————————————————————————————————————————————————————————————————————</w:t>
      </w:r>
    </w:p>
    <w:p>
      <w:pPr>
        <w:spacing w:before="160" w:after="40" w:line="240" w:lineRule="auto"/>
      </w:pPr>
      <w:r>
        <w:rPr>
          <w:b/>
        </w:rPr>
        <w:t xml:space="preserve">[297] </w:t>
      </w:r>
      <w:hyperlink r:id="rId1038">
        <w:r>
          <w:rPr>
            <w:color w:val="1155CC"/>
            <w:u w:val="single"/>
          </w:rPr>
          <w:t>中上层食物网重新调整支持南方蓝鳍金枪鱼幼虫在变暖的海洋中恢复活力</w:t>
        </w:r>
      </w:hyperlink>
    </w:p>
    <w:p>
      <w:pPr>
        <w:spacing w:before="0" w:after="80"/>
      </w:pPr>
      <w:r>
        <w:rPr>
          <w:i/>
          <w:sz w:val="20"/>
        </w:rPr>
        <w:t>EN: Pelagic food web realignment supports resilient larvae of Southern Bluefin Tuna in a warming ocean</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39">
        <w:r>
          <w:rPr>
            <w:color w:val="1155CC"/>
            <w:u w:val="single"/>
          </w:rPr>
          <w:t>10.1073/pnas.2601583123</w:t>
        </w:r>
      </w:hyperlink>
    </w:p>
    <w:p>
      <w:pPr>
        <w:spacing w:before="0" w:after="120"/>
      </w:pPr>
      <w:r>
        <w:rPr>
          <w:b/>
        </w:rPr>
        <w:t xml:space="preserve">Notes: </w:t>
      </w:r>
      <w:r>
        <w:t>abstract_source=crossref</w:t>
      </w:r>
    </w:p>
    <w:p>
      <w:pPr>
        <w:spacing w:before="0" w:after="80" w:lineRule="auto" w:line="276"/>
      </w:pPr>
      <w:r>
        <w:rPr>
          <w:b/>
        </w:rPr>
        <w:t xml:space="preserve">摘要（ZH）: </w:t>
      </w:r>
      <w:r>
        <w:t>许多低纬度到中纬度海洋的顶级掠食性鱼类面临着不确定的未来，因为它们脆弱的幼虫要应对更高的环境温度和与气候变化相关的生产力下降。然而，预测浮游动物猎物随着变暖和分层而普遍减少的海洋生态系统模型几乎没有考虑到中上层食物网的复杂性，而这种复杂性可能使它们在为幼虫提供食物资源方面具有弹性。我们通过比较在澳大利亚西北部同一产卵区相隔 35 年进行的两项研究中南部蓝鳍金枪鱼 (SBT) 幼体的摄食相互作用来说明这种复杂性。在第一个研究中（1987 年），SBT 幼虫的摄食和生长速度很低，显然受到浮游动物猎物的限制。在第二个阶段（2022 年），尽管条件大幅变暖，摄食和生长却显着提高。这种差异反映了幼虫的摄食偏好从桡足类到阑尾类的重新调整，这使得从微生物主导的食物网基础到更高级别消费者的能量转移途径更加直接和有效。这些发现重新思考了蓝鳍金枪鱼幼虫的摄食偏好，证明了阑尾类食物在高达 30°C 的温度下能快速生长，并且与在变暖的寡营养水域中，阑尾类是环境选择的浮游动物类别的预测相一致。</w:t>
      </w:r>
    </w:p>
    <w:p>
      <w:pPr>
        <w:spacing w:before="0" w:after="200" w:lineRule="auto" w:line="276"/>
      </w:pPr>
      <w:r>
        <w:rPr>
          <w:b/>
        </w:rPr>
        <w:t xml:space="preserve">Abstract (EN): </w:t>
      </w:r>
      <w:r>
        <w:t>Many of the oceans’ top predatory fishes at low to mid latitudes face an uncertain future as their vulnerable larvae deal with higher environmental temperature and reduced productivity associated with climate change. However, ocean ecosystem models that predict a general decline of zooplankton prey with warming and stratification hardly ever account for complexities in pelagic food webs that might make them resilient in providing food resources for larvae. We illustrate such complexities in comparing feeding interactions of larval Southern Bluefin Tuna (SBT) between two studies conducted 35 y apart in the same spawning region off northwest Australia. In the first (1987), SBT larvae fed and grew at low rates demonstrably limited by zooplankton prey. In the second (2022), feeding and growth were significantly higher despite substantially warmer conditions. The difference reflects a realignment in larval feeding preference from copepods to appendicularians, which allows a more direct and efficient energy transfer pathway from the microbially dominated food web base to higher-level consumers. These findings reset thinking on bluefin larvae feeding preferences, demonstrate high growth on an appendicularian diet up to 30 °C, and align with predictions of appendicularians being an environmentally selected zooplankton category in warming oligotrophic waters.</w:t>
      </w:r>
    </w:p>
    <w:p>
      <w:pPr>
        <w:spacing w:before="120" w:after="120"/>
      </w:pPr>
      <w:r>
        <w:rPr>
          <w:sz w:val="18"/>
        </w:rPr>
        <w:t>——————————————————————————————————————————————————————————————————————</w:t>
      </w:r>
    </w:p>
    <w:p>
      <w:pPr>
        <w:spacing w:before="160" w:after="40" w:line="240" w:lineRule="auto"/>
      </w:pPr>
      <w:r>
        <w:rPr>
          <w:b/>
        </w:rPr>
        <w:t xml:space="preserve">[298] </w:t>
      </w:r>
      <w:hyperlink r:id="rId1040">
        <w:r>
          <w:rPr>
            <w:color w:val="1155CC"/>
            <w:u w:val="single"/>
          </w:rPr>
          <w:t>学习超越竞争：适应时间依赖环境的反应扩散系统</w:t>
        </w:r>
      </w:hyperlink>
    </w:p>
    <w:p>
      <w:pPr>
        <w:spacing w:before="0" w:after="80"/>
      </w:pPr>
      <w:r>
        <w:rPr>
          <w:i/>
          <w:sz w:val="20"/>
        </w:rPr>
        <w:t>EN: Learning to outgrow the competition: Reaction–diffusion systems that adapt to time-dependent environments</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41">
        <w:r>
          <w:rPr>
            <w:color w:val="1155CC"/>
            <w:u w:val="single"/>
          </w:rPr>
          <w:t>10.1073/pnas.2605428123</w:t>
        </w:r>
      </w:hyperlink>
    </w:p>
    <w:p>
      <w:pPr>
        <w:spacing w:before="0" w:after="120"/>
      </w:pPr>
      <w:r>
        <w:rPr>
          <w:b/>
        </w:rPr>
        <w:t xml:space="preserve">Notes: </w:t>
      </w:r>
      <w:r>
        <w:t>abstract_source=crossref</w:t>
      </w:r>
    </w:p>
    <w:p>
      <w:pPr>
        <w:spacing w:before="0" w:after="80" w:lineRule="auto" w:line="276"/>
      </w:pPr>
      <w:r>
        <w:rPr>
          <w:b/>
        </w:rPr>
        <w:t xml:space="preserve">摘要（ZH）: </w:t>
      </w:r>
      <w:r>
        <w:t>生物学和工程学的一个基本挑战是理解如何从简单的物理或化学构件中产生适应。生物适应似乎依赖于两个关键能力：信息处理，以实现复杂任务的学习；以及繁殖，通过繁殖成功赋予这种学习其价值。创建和协调这些能力既带来了艰巨的工程挑战，也带来了基本的进化难题。在这里，我们提出了一个模型，其中学习和繁殖共同从简单的非平衡化学系统中出现，无需事先设计或进化。该模型的基本特征是它支持许多稳态和空间异质性，在这种情况下，适应完全是由于暴露于随时间变化的反应物流入而产生的，没有任何预先设计的程序或记忆。适应性反应特定于环境变化的时间序列，但足够普遍以扩展到相关序列。学习有多种表现形式：通过重复暴露于相同的环境序列而得到强化，代表一种自我学习的形式；通过空间互动得到加强，相当于一种集体学习的形式。此外，适应状态可以加速附近地区的适应，提供类似于教师指导学习的机制。通过将环境变化与随机反应扩散动力学耦合起来，我们的模型建立了一个最小的物理框架，在该框架中学习复杂环境并选择性放大状态</w:t>
      </w:r>
    </w:p>
    <w:p>
      <w:pPr>
        <w:spacing w:before="0" w:after="200" w:lineRule="auto" w:line="276"/>
      </w:pPr>
      <w:r>
        <w:rPr>
          <w:b/>
        </w:rPr>
        <w:t xml:space="preserve">Abstract (EN): </w:t>
      </w:r>
      <w:r>
        <w:t>A fundamental challenge in both biology and engineering is understanding how adaptation can emerge from simple physical or chemical building blocks. Biological adaptation appears to rely on two key capabilities: information processing, to enable learning of complex tasks, and reproduction, to give such learning its value through reproductive success. Creating and coordinating these capabilities poses both a formidable engineering challenge and a fundamental evolutionary puzzle. Here, we propose a model in which learning and reproduction emerge jointly from simple, nonequilibrium chemical systems, without prior design or evolution. The model’s essential features are that it supports many steady states and spatial heterogeneities, upon which adaptation arises solely from exposure to time-varying influxes of reactants, without any predesigned program or memory. The adaptive response is specific to the temporal sequence of environmental changes, yet general enough to extend to related sequences. Learning manifests in several forms: It is reinforced through repeated exposure to the same environmental sequence, representing a form of self-learning, and enhanced through spatial interactions, corresponding to a form of collective learning. Moreover, an adapted state can accelerate adaptation in nearby regions, providing a mechanism akin to teacher-guided learning. By coupling environmental variations to stochastic reaction–diffusion dynamics, our model establishes a minimal physical framework in which learning of complex environments and selective amplification of the states that encode them arise directly from nonequilibrium chemical processes.</w:t>
      </w:r>
    </w:p>
    <w:p>
      <w:pPr>
        <w:spacing w:before="120" w:after="120"/>
      </w:pPr>
      <w:r>
        <w:rPr>
          <w:sz w:val="18"/>
        </w:rPr>
        <w:t>——————————————————————————————————————————————————————————————————————</w:t>
      </w:r>
    </w:p>
    <w:p>
      <w:pPr>
        <w:spacing w:before="160" w:after="40" w:line="240" w:lineRule="auto"/>
      </w:pPr>
      <w:r>
        <w:rPr>
          <w:b/>
        </w:rPr>
        <w:t xml:space="preserve">[299] </w:t>
      </w:r>
      <w:hyperlink r:id="rId1042">
        <w:r>
          <w:rPr>
            <w:color w:val="1155CC"/>
            <w:u w:val="single"/>
          </w:rPr>
          <w:t>土壤管理实践塑造了抗菌素耐药性的丰富性、多样性和传播</w:t>
        </w:r>
      </w:hyperlink>
    </w:p>
    <w:p>
      <w:pPr>
        <w:spacing w:before="0" w:after="80"/>
      </w:pPr>
      <w:r>
        <w:rPr>
          <w:i/>
          <w:sz w:val="20"/>
        </w:rPr>
        <w:t>EN: Soil management practices shape the abundance, diversity, and spread of antimicrobial resistance</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43">
        <w:r>
          <w:rPr>
            <w:color w:val="1155CC"/>
            <w:u w:val="single"/>
          </w:rPr>
          <w:t>10.1073/pnas.2605731123</w:t>
        </w:r>
      </w:hyperlink>
    </w:p>
    <w:p>
      <w:pPr>
        <w:spacing w:before="0" w:after="120"/>
      </w:pPr>
      <w:r>
        <w:rPr>
          <w:b/>
        </w:rPr>
        <w:t xml:space="preserve">Notes: </w:t>
      </w:r>
      <w:r>
        <w:t>abstract_source=crossref</w:t>
      </w:r>
    </w:p>
    <w:p>
      <w:pPr>
        <w:spacing w:before="0" w:after="80" w:lineRule="auto" w:line="276"/>
      </w:pPr>
      <w:r>
        <w:rPr>
          <w:b/>
        </w:rPr>
        <w:t xml:space="preserve">摘要（ZH）: </w:t>
      </w:r>
      <w:r>
        <w:t>农业土壤是抗菌素耐药基因（ARG）的关键热点。然而，人们对形成这些水库的环境因素及其对人类和牲畜造成的危害仍然知之甚少。由于管理实践引入了抗生素、重金属和非抗生素杀菌剂，它们可以迅速选择抗药性。大多数研究都孤立地考察了管理实践的组成部分，忽视了现代工业农业的多重压力源。在这里，我们使用大规模田间实验来研究来自土壤和作物管理的多种压力源如何相互作用以形成抗菌素耐药性。我们结合鸟枪法宏基因组学、系统基因组学和风险评分分析来量化 ARG、移动遗传元件 (MGE) 的多样性和耐药病原体的传播潜力。相对于其他管理系统，集约化、依赖化学物质的单一栽培系统（美国玉米带的典型特征）产生了强大的选择压力，促进了 ARG 和 MGE 的丰富和多样化。因此，这些系统具有更大的传播 ARG 的潜力，包括那些与牲畜和公共卫生相关的系统，例如</w:t>
      </w:r>
      <w:r>
        <w:t xml:space="preserve"> </w:t>
      </w:r>
      <w:r>
        <w:t>四乙胺</w:t>
      </w:r>
      <w:r>
        <w:t xml:space="preserve"> </w:t>
      </w:r>
      <w:r>
        <w:t>和</w:t>
      </w:r>
      <w:r>
        <w:t xml:space="preserve"> </w:t>
      </w:r>
      <w:r>
        <w:t>布拉</w:t>
      </w:r>
      <w:r>
        <w:t xml:space="preserve"> </w:t>
      </w:r>
      <w:r>
        <w:t>聚丙烯酰胺</w:t>
      </w:r>
      <w:r>
        <w:t xml:space="preserve"> </w:t>
      </w:r>
      <w:r>
        <w:t>，可能由整合和切除介导。相比之下，具有不同轮作方式的集约度较低、投入较低的系统保持了丰度、多样性和传播潜力较低的抗性组。我们的结果表明这些模式</w:t>
      </w:r>
    </w:p>
    <w:p>
      <w:pPr>
        <w:spacing w:before="0" w:after="200" w:lineRule="auto" w:line="276"/>
      </w:pPr>
      <w:r>
        <w:rPr>
          <w:b/>
        </w:rPr>
        <w:t xml:space="preserve">Abstract (EN): </w:t>
      </w:r>
      <w:r>
        <w:t>Agricultural soils are critical hotspots of antimicrobial resistance genes (ARGs). Yet, the environmental factors shaping these reservoirs and the hazards they pose to humans and livestock remain poorly understood. Because management practices introduce antibiotics, heavy metals, and nonantibiotic biocides, they can rapidly select for resistance. Most studies have examined components of management practices in isolation, overlooking the multiple stressors of modern industrial agriculture. Here, we used a large-scale field experiment to examine how multiple stressors from soil and crop management interact to shape antimicrobial resistance. We combined shotgun metagenomics, phylogenomics, and risk-score analyses to quantify the diversity of ARGs, mobile genetic elements (MGEs), and the transmission potential of drug-resistant pathogens. Relative to other management systems, intensive, chemically reliant monoculture systems, typical of the US Corn Belt, create strong selective pressures promoting more abundant and diverse ARGs and MGEs. These systems therefore carry greater potential to transmit ARGs, including those with relevance to both livestock and public health such as</w:t>
      </w:r>
      <w:r>
        <w:t xml:space="preserve"> </w:t>
      </w:r>
      <w:r>
        <w:t>tetA</w:t>
      </w:r>
      <w:r>
        <w:t xml:space="preserve"> </w:t>
      </w:r>
      <w:r>
        <w:t>and</w:t>
      </w:r>
      <w:r>
        <w:t xml:space="preserve"> </w:t>
      </w:r>
      <w:r>
        <w:t>bla</w:t>
      </w:r>
      <w:r>
        <w:t xml:space="preserve"> </w:t>
      </w:r>
      <w:r>
        <w:t>PAM</w:t>
      </w:r>
      <w:r>
        <w:t xml:space="preserve"> </w:t>
      </w:r>
      <w:r>
        <w:t>, likely mediated by integration and excision. In contrast, less-intensive, lower-input systems with diverse crop rotations maintained resistomes with lower abundance, diversity, and transmission potential. Our results suggest that these patterns could arise due to the divergent effects of management practices on overall soil microbial diversity, an ecological barrier that can suppress ARGs. This study highlights the need to understand the combined stressors of agricultural practices, beyond antimicrobial use, to design effective strategies to mitigate antimicrobial resistance.</w:t>
      </w:r>
    </w:p>
    <w:p>
      <w:pPr>
        <w:spacing w:before="120" w:after="120"/>
      </w:pPr>
      <w:r>
        <w:rPr>
          <w:sz w:val="18"/>
        </w:rPr>
        <w:t>——————————————————————————————————————————————————————————————————————</w:t>
      </w:r>
    </w:p>
    <w:p>
      <w:pPr>
        <w:spacing w:before="160" w:after="40" w:line="240" w:lineRule="auto"/>
      </w:pPr>
      <w:r>
        <w:rPr>
          <w:b/>
        </w:rPr>
        <w:t xml:space="preserve">[300] </w:t>
      </w:r>
      <w:hyperlink r:id="rId1044">
        <w:r>
          <w:rPr>
            <w:color w:val="1155CC"/>
            <w:u w:val="single"/>
          </w:rPr>
          <w:t>氯离子在血清素运输中的作用</w:t>
        </w:r>
      </w:hyperlink>
    </w:p>
    <w:p>
      <w:pPr>
        <w:spacing w:before="0" w:after="80"/>
      </w:pPr>
      <w:r>
        <w:rPr>
          <w:i/>
          <w:sz w:val="20"/>
        </w:rPr>
        <w:t>EN: The role of chloride ions in serotonin transport</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45">
        <w:r>
          <w:rPr>
            <w:color w:val="1155CC"/>
            <w:u w:val="single"/>
          </w:rPr>
          <w:t>10.1073/pnas.2605760123</w:t>
        </w:r>
      </w:hyperlink>
    </w:p>
    <w:p>
      <w:pPr>
        <w:spacing w:before="0" w:after="120"/>
      </w:pPr>
      <w:r>
        <w:rPr>
          <w:b/>
        </w:rPr>
        <w:t xml:space="preserve">Notes: </w:t>
      </w:r>
      <w:r>
        <w:t>abstract_source=crossref</w:t>
      </w:r>
    </w:p>
    <w:p>
      <w:pPr>
        <w:spacing w:before="0" w:after="80" w:lineRule="auto" w:line="276"/>
      </w:pPr>
      <w:r>
        <w:rPr>
          <w:b/>
        </w:rPr>
        <w:t xml:space="preserve">摘要（ZH）: </w:t>
      </w:r>
      <w:r>
        <w:t>人类血清素（5-HT</w:t>
      </w:r>
      <w:r>
        <w:t xml:space="preserve"> </w:t>
      </w:r>
      <w:r>
        <w:t>+</w:t>
      </w:r>
      <w:r>
        <w:t xml:space="preserve"> </w:t>
      </w:r>
      <w:r>
        <w:t>) 转运蛋白 SERT 促进 5-HT</w:t>
      </w:r>
      <w:r>
        <w:t xml:space="preserve"> </w:t>
      </w:r>
      <w:r>
        <w:t>+</w:t>
      </w:r>
      <w:r>
        <w:t xml:space="preserve"> </w:t>
      </w:r>
      <w:r>
        <w:t>通过与 Na 偶联转运到细胞中</w:t>
      </w:r>
      <w:r>
        <w:t xml:space="preserve"> </w:t>
      </w:r>
      <w:r>
        <w:t>+</w:t>
      </w:r>
      <w:r>
        <w:t xml:space="preserve"> </w:t>
      </w:r>
      <w:r>
        <w:t>符号和K</w:t>
      </w:r>
      <w:r>
        <w:t xml:space="preserve"> </w:t>
      </w:r>
      <w:r>
        <w:t>+</w:t>
      </w:r>
      <w:r>
        <w:t xml:space="preserve"> </w:t>
      </w:r>
      <w:r>
        <w:t>反港。虽然细胞外Cl</w:t>
      </w:r>
      <w:r>
        <w:t xml:space="preserve"> </w:t>
      </w:r>
      <w:r>
        <w:t>–</w:t>
      </w:r>
      <w:r>
        <w:t xml:space="preserve"> </w:t>
      </w:r>
      <w:r>
        <w:t>对于运输也至关重要，Cl</w:t>
      </w:r>
      <w:r>
        <w:t xml:space="preserve"> </w:t>
      </w:r>
      <w:r>
        <w:t>–</w:t>
      </w:r>
      <w:r>
        <w:t xml:space="preserve"> </w:t>
      </w:r>
      <w:r>
        <w:t>协同转运一直存在争议，引发了人们对 Cl 作用的质疑</w:t>
      </w:r>
      <w:r>
        <w:t xml:space="preserve"> </w:t>
      </w:r>
      <w:r>
        <w:t>–</w:t>
      </w:r>
      <w:r>
        <w:t xml:space="preserve"> </w:t>
      </w:r>
      <w:r>
        <w:t>离子以及为什么需要它们。我们证明了 Cl</w:t>
      </w:r>
      <w:r>
        <w:t xml:space="preserve"> </w:t>
      </w:r>
      <w:r>
        <w:t>–</w:t>
      </w:r>
      <w:r>
        <w:t xml:space="preserve"> </w:t>
      </w:r>
      <w:r>
        <w:t>梯度不影响 5-HT</w:t>
      </w:r>
      <w:r>
        <w:t xml:space="preserve"> </w:t>
      </w:r>
      <w:r>
        <w:t>+</w:t>
      </w:r>
      <w:r>
        <w:t xml:space="preserve"> </w:t>
      </w:r>
      <w:r>
        <w:t>积累，表明 Cl</w:t>
      </w:r>
      <w:r>
        <w:t xml:space="preserve"> </w:t>
      </w:r>
      <w:r>
        <w:t>–</w:t>
      </w:r>
      <w:r>
        <w:t xml:space="preserve"> </w:t>
      </w:r>
      <w:r>
        <w:t>不提供吸收和反对化学计量 Cl 的驱动力</w:t>
      </w:r>
      <w:r>
        <w:t xml:space="preserve"> </w:t>
      </w:r>
      <w:r>
        <w:t>–</w:t>
      </w:r>
      <w:r>
        <w:t xml:space="preserve"> </w:t>
      </w:r>
      <w:r>
        <w:t>共运。 Cl的存在</w:t>
      </w:r>
      <w:r>
        <w:t xml:space="preserve"> </w:t>
      </w:r>
      <w:r>
        <w:t>–</w:t>
      </w:r>
      <w:r>
        <w:t xml:space="preserve"> </w:t>
      </w:r>
      <w:r>
        <w:t>对Na的影响很小</w:t>
      </w:r>
      <w:r>
        <w:t xml:space="preserve"> </w:t>
      </w:r>
      <w:r>
        <w:t>+</w:t>
      </w:r>
      <w:r>
        <w:t xml:space="preserve"> </w:t>
      </w:r>
      <w:r>
        <w:t>介导的细胞质途径关闭，但显着降低了细胞外途径中残基的可及性，这与向外状态的调节一致。模拟表明 Cl</w:t>
      </w:r>
      <w:r>
        <w:t xml:space="preserve"> </w:t>
      </w:r>
      <w:r>
        <w:t>–</w:t>
      </w:r>
      <w:r>
        <w:t xml:space="preserve"> </w:t>
      </w:r>
      <w:r>
        <w:t>与结合的Na发生强烈相互作用</w:t>
      </w:r>
      <w:r>
        <w:t xml:space="preserve"> </w:t>
      </w:r>
      <w:r>
        <w:t>+</w:t>
      </w:r>
      <w:r>
        <w:t xml:space="preserve"> </w:t>
      </w:r>
      <w:r>
        <w:t>离子并稳定细胞外侧的螺旋堆积。我们建议 Cl</w:t>
      </w:r>
      <w:r>
        <w:t xml:space="preserve"> </w:t>
      </w:r>
      <w:r>
        <w:t>–</w:t>
      </w:r>
      <w:r>
        <w:t xml:space="preserve"> </w:t>
      </w:r>
      <w:r>
        <w:t>通过增强 Na 来充当重要的结构辅助因子</w:t>
      </w:r>
      <w:r>
        <w:t xml:space="preserve"> </w:t>
      </w:r>
      <w:r>
        <w:t>+</w:t>
      </w:r>
    </w:p>
    <w:p>
      <w:pPr>
        <w:spacing w:before="0" w:after="200" w:lineRule="auto" w:line="276"/>
      </w:pPr>
      <w:r>
        <w:rPr>
          <w:b/>
        </w:rPr>
        <w:t xml:space="preserve">Abstract (EN): </w:t>
      </w:r>
      <w:r>
        <w:t>The human serotonin (5-HT</w:t>
      </w:r>
      <w:r>
        <w:t xml:space="preserve"> </w:t>
      </w:r>
      <w:r>
        <w:t>+</w:t>
      </w:r>
      <w:r>
        <w:t xml:space="preserve"> </w:t>
      </w:r>
      <w:r>
        <w:t>) transporter SERT facilitates 5-HT</w:t>
      </w:r>
      <w:r>
        <w:t xml:space="preserve"> </w:t>
      </w:r>
      <w:r>
        <w:t>+</w:t>
      </w:r>
      <w:r>
        <w:t xml:space="preserve"> </w:t>
      </w:r>
      <w:r>
        <w:t>transport into cells by coupling it to Na</w:t>
      </w:r>
      <w:r>
        <w:t xml:space="preserve"> </w:t>
      </w:r>
      <w:r>
        <w:t>+</w:t>
      </w:r>
      <w:r>
        <w:t xml:space="preserve"> </w:t>
      </w:r>
      <w:r>
        <w:t>symport and K</w:t>
      </w:r>
      <w:r>
        <w:t xml:space="preserve"> </w:t>
      </w:r>
      <w:r>
        <w:t>+</w:t>
      </w:r>
      <w:r>
        <w:t xml:space="preserve"> </w:t>
      </w:r>
      <w:r>
        <w:t>antiport. Although extracellular Cl</w:t>
      </w:r>
      <w:r>
        <w:t xml:space="preserve"> </w:t>
      </w:r>
      <w:r>
        <w:t>–</w:t>
      </w:r>
      <w:r>
        <w:t xml:space="preserve"> </w:t>
      </w:r>
      <w:r>
        <w:t>is also essential for transport, Cl</w:t>
      </w:r>
      <w:r>
        <w:t xml:space="preserve"> </w:t>
      </w:r>
      <w:r>
        <w:t>–</w:t>
      </w:r>
      <w:r>
        <w:t xml:space="preserve"> </w:t>
      </w:r>
      <w:r>
        <w:t>cotransport has been disputed, raising questions about the role of Cl</w:t>
      </w:r>
      <w:r>
        <w:t xml:space="preserve"> </w:t>
      </w:r>
      <w:r>
        <w:t>–</w:t>
      </w:r>
      <w:r>
        <w:t xml:space="preserve"> </w:t>
      </w:r>
      <w:r>
        <w:t>ions and why they are required. We show that Cl</w:t>
      </w:r>
      <w:r>
        <w:t xml:space="preserve"> </w:t>
      </w:r>
      <w:r>
        <w:t>–</w:t>
      </w:r>
      <w:r>
        <w:t xml:space="preserve"> </w:t>
      </w:r>
      <w:r>
        <w:t>gradients do not impact 5-HT</w:t>
      </w:r>
      <w:r>
        <w:t xml:space="preserve"> </w:t>
      </w:r>
      <w:r>
        <w:t>+</w:t>
      </w:r>
      <w:r>
        <w:t xml:space="preserve"> </w:t>
      </w:r>
      <w:r>
        <w:t>accumulation, indicating that Cl</w:t>
      </w:r>
      <w:r>
        <w:t xml:space="preserve"> </w:t>
      </w:r>
      <w:r>
        <w:t>–</w:t>
      </w:r>
      <w:r>
        <w:t xml:space="preserve"> </w:t>
      </w:r>
      <w:r>
        <w:t>does not provide a driving force for uptake and arguing against stoichiometric Cl</w:t>
      </w:r>
      <w:r>
        <w:t xml:space="preserve"> </w:t>
      </w:r>
      <w:r>
        <w:t>–</w:t>
      </w:r>
      <w:r>
        <w:t xml:space="preserve"> </w:t>
      </w:r>
      <w:r>
        <w:t>symport. The presence of Cl</w:t>
      </w:r>
      <w:r>
        <w:t xml:space="preserve"> </w:t>
      </w:r>
      <w:r>
        <w:t>–</w:t>
      </w:r>
      <w:r>
        <w:t xml:space="preserve"> </w:t>
      </w:r>
      <w:r>
        <w:t>had only a small effect on Na</w:t>
      </w:r>
      <w:r>
        <w:t xml:space="preserve"> </w:t>
      </w:r>
      <w:r>
        <w:t>+</w:t>
      </w:r>
      <w:r>
        <w:t xml:space="preserve"> </w:t>
      </w:r>
      <w:r>
        <w:t>-mediated cytoplasmic pathway closure but markedly reduced the accessibility of residues in the extracellular pathway, consistent with modulation of the outward-facing states. Simulations illustrate that Cl</w:t>
      </w:r>
      <w:r>
        <w:t xml:space="preserve"> </w:t>
      </w:r>
      <w:r>
        <w:t>–</w:t>
      </w:r>
      <w:r>
        <w:t xml:space="preserve"> </w:t>
      </w:r>
      <w:r>
        <w:t>interacts strongly with a bound Na</w:t>
      </w:r>
      <w:r>
        <w:t xml:space="preserve"> </w:t>
      </w:r>
      <w:r>
        <w:t>+</w:t>
      </w:r>
      <w:r>
        <w:t xml:space="preserve"> </w:t>
      </w:r>
      <w:r>
        <w:t>ion and stabilizes helix packing on the extracellular side. We propose that Cl</w:t>
      </w:r>
      <w:r>
        <w:t xml:space="preserve"> </w:t>
      </w:r>
      <w:r>
        <w:t>–</w:t>
      </w:r>
      <w:r>
        <w:t xml:space="preserve"> </w:t>
      </w:r>
      <w:r>
        <w:t>acts as an essential architectural cofactor by enhancing Na</w:t>
      </w:r>
      <w:r>
        <w:t xml:space="preserve"> </w:t>
      </w:r>
      <w:r>
        <w:t>+</w:t>
      </w:r>
      <w:r>
        <w:t xml:space="preserve"> </w:t>
      </w:r>
      <w:r>
        <w:t>affinity and interactions between helices, thereby facilitating transport-related conformational transitions.</w:t>
      </w:r>
    </w:p>
    <w:p>
      <w:pPr>
        <w:spacing w:before="120" w:after="120"/>
      </w:pPr>
      <w:r>
        <w:rPr>
          <w:sz w:val="18"/>
        </w:rPr>
        <w:t>——————————————————————————————————————————————————————————————————————</w:t>
      </w:r>
    </w:p>
    <w:p>
      <w:pPr>
        <w:spacing w:before="160" w:after="40" w:line="240" w:lineRule="auto"/>
      </w:pPr>
      <w:r>
        <w:rPr>
          <w:b/>
        </w:rPr>
        <w:t xml:space="preserve">[301] </w:t>
      </w:r>
      <w:hyperlink r:id="rId1046">
        <w:r>
          <w:rPr>
            <w:color w:val="1155CC"/>
            <w:u w:val="single"/>
          </w:rPr>
          <w:t>内耳缺陷使 Gpr156 突变小鼠抑郁样行为的解释变得复杂</w:t>
        </w:r>
      </w:hyperlink>
    </w:p>
    <w:p>
      <w:pPr>
        <w:spacing w:before="0" w:after="80"/>
      </w:pPr>
      <w:r>
        <w:rPr>
          <w:i/>
          <w:sz w:val="20"/>
        </w:rPr>
        <w:t>EN: Inner ear deficits complicate interpretation of depression-like behaviors in Gpr156 mutant mice</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47">
        <w:r>
          <w:rPr>
            <w:color w:val="1155CC"/>
            <w:u w:val="single"/>
          </w:rPr>
          <w:t>10.1073/pnas.2609064123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[302] </w:t>
      </w:r>
      <w:hyperlink r:id="rId1048">
        <w:r>
          <w:rPr>
            <w:color w:val="1155CC"/>
            <w:u w:val="single"/>
          </w:rPr>
          <w:t>随机性和概率轨迹评分对于数据驱动的混沌系统闭包至关重要</w:t>
        </w:r>
      </w:hyperlink>
    </w:p>
    <w:p>
      <w:pPr>
        <w:spacing w:before="0" w:after="80"/>
      </w:pPr>
      <w:r>
        <w:rPr>
          <w:i/>
          <w:sz w:val="20"/>
        </w:rPr>
        <w:t>EN: Stochasticity and probabilistic trajectory scoring are essential for data-driven closures of chaotic systems</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49">
        <w:r>
          <w:rPr>
            <w:color w:val="1155CC"/>
            <w:u w:val="single"/>
          </w:rPr>
          <w:t>10.1073/pnas.2609143123</w:t>
        </w:r>
      </w:hyperlink>
    </w:p>
    <w:p>
      <w:pPr>
        <w:spacing w:before="0" w:after="120"/>
      </w:pPr>
      <w:r>
        <w:rPr>
          <w:b/>
        </w:rPr>
        <w:t xml:space="preserve">Notes: </w:t>
      </w:r>
      <w:r>
        <w:t>abstract_source=crossref</w:t>
      </w:r>
    </w:p>
    <w:p>
      <w:pPr>
        <w:spacing w:before="0" w:after="80" w:lineRule="auto" w:line="276"/>
      </w:pPr>
      <w:r>
        <w:rPr>
          <w:b/>
        </w:rPr>
        <w:t xml:space="preserve">摘要（ZH）: </w:t>
      </w:r>
      <w:r>
        <w:t>混沌系统的粗粒度模型忽略了未解决的自由度，从而导致结构化模型错误，从而限制了可预测性并扭曲了长期统计数据。典型的数据驱动闭包经过训练，可以最大限度地减少单个时间步长的预测误差，隐式假设马尔可夫动态，并且通常无法捕获长期行为。最近的方法而是优化有限轨迹上的损失。然而，当这种基于轨迹的训练在确定性逐点损失的情况下进行时，它会引入基本的数学简并性。我们证明，在混沌轨迹上优化逐点确定性损失（包括但不限于均方误差）会抑制预测方差，并相应损失长积分中的物理变异性。相反，严格正确的评分规则可以避免这种退化。通过以预测分布而不是实现的轨迹为目标，它们消除了对预测扩散的惩罚，并使长领先最优值与不变度量保持一致。使用准地转湍流作为典型的混沌系统，我们验证了这一理论：用一步损失训练的闭包无法捕获稳定的粗粒度动态，而在轨迹上优化的确定性闭包表现出我们的分析预测的方差损失趋势。然而，使用能量得分对轨迹进行校准的随机闭包克服了结构限制，产生了熟练的集合预测和现实的长期统计数据。我们的结果表明，随机建模</w:t>
      </w:r>
    </w:p>
    <w:p>
      <w:pPr>
        <w:spacing w:before="0" w:after="200" w:lineRule="auto" w:line="276"/>
      </w:pPr>
      <w:r>
        <w:rPr>
          <w:b/>
        </w:rPr>
        <w:t xml:space="preserve">Abstract (EN): </w:t>
      </w:r>
      <w:r>
        <w:t>Coarse-grained models of chaotic systems neglect unresolved degrees of freedom, inducing structured model error that limits predictability and distorts long-term statistics. Typical data-driven closures are trained to minimize prediction error over a single time step, implicitly assuming Markovian dynamics and often failing to capture long-term behavior. Recent approaches instead optimize losses over finite trajectories. However, when such trajectory-based training is carried out with deterministic pointwise losses, it introduces a fundamental mathematical degeneracy. We prove that optimizing pointwise deterministic losses, including but not limited to mean squared error, over chaotic trajectories suppresses predictive variance, with a corresponding loss of physical variability in long integrations. In contrast, strictly proper scoring rules avoid this degeneracy. By targeting forecast distributions rather than realized trajectories, they remove the penalty against predictive spread and align the long-lead optimum with the invariant measure. Using quasi-geostrophic turbulence as a canonical chaotic system, we validate this theory: Closures trained with one-step losses fail to capture stable coarse-grained dynamics, while deterministic closures optimized over trajectories exhibit the variance-loss tendency predicted by our analysis. Stochastic closures calibrated over trajectories using the energy score, however, overcome both structural limitations, yielding skillful ensemble forecasts and realistic long-term statistics. Our results establish that both stochastic modeling and trajectory-based calibration are essential for faithfully representing the dynamics of coarse-grained systems.</w:t>
      </w:r>
    </w:p>
    <w:p>
      <w:pPr>
        <w:spacing w:before="120" w:after="120"/>
      </w:pPr>
      <w:r>
        <w:rPr>
          <w:sz w:val="18"/>
        </w:rPr>
        <w:t>——————————————————————————————————————————————————————————————————————</w:t>
      </w:r>
    </w:p>
    <w:p>
      <w:pPr>
        <w:spacing w:before="160" w:after="40" w:line="240" w:lineRule="auto"/>
      </w:pPr>
      <w:r>
        <w:rPr>
          <w:b/>
        </w:rPr>
        <w:t xml:space="preserve">[303] </w:t>
      </w:r>
      <w:hyperlink r:id="rId1050">
        <w:r>
          <w:rPr>
            <w:color w:val="1155CC"/>
            <w:u w:val="single"/>
          </w:rPr>
          <w:t>非法野生动物贸易网络的不断变化的驱动因素和可预测的走廊</w:t>
        </w:r>
      </w:hyperlink>
    </w:p>
    <w:p>
      <w:pPr>
        <w:spacing w:before="0" w:after="80"/>
      </w:pPr>
      <w:r>
        <w:rPr>
          <w:i/>
          <w:sz w:val="20"/>
        </w:rPr>
        <w:t>EN: Shifting drivers and predictable corridors of an illegal wildlife trade network</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51">
        <w:r>
          <w:rPr>
            <w:color w:val="1155CC"/>
            <w:u w:val="single"/>
          </w:rPr>
          <w:t>10.1073/pnas.2609240123</w:t>
        </w:r>
      </w:hyperlink>
    </w:p>
    <w:p>
      <w:pPr>
        <w:spacing w:before="0" w:after="120"/>
      </w:pPr>
      <w:r>
        <w:rPr>
          <w:b/>
        </w:rPr>
        <w:t xml:space="preserve">Notes: </w:t>
      </w:r>
      <w:r>
        <w:t>abstract_source=crossref</w:t>
      </w:r>
    </w:p>
    <w:p>
      <w:pPr>
        <w:spacing w:before="0" w:after="80" w:lineRule="auto" w:line="276"/>
      </w:pPr>
      <w:r>
        <w:rPr>
          <w:b/>
        </w:rPr>
        <w:t xml:space="preserve">摘要（ZH）: </w:t>
      </w:r>
      <w:r>
        <w:t>非法野生动物贸易是生物多样性丧失的一个主要驱动因素，但缺乏对犯罪网络维持机制的了解阻碍了执法。我们整合了三十年的没收数据、犯罪学模型和空间网络分析，剖析了墨西哥的非法鹦鹉贸易，墨西哥是全球鹦鹉多样性和特有现象的热点地区。我们的跨学科方法表明，野生动物贸易是主要威胁，增加了它们的灭绝风险。贸易正在从贫困驱动模式转向与人口密度相关的模式。基于电路理论的景观模型确定了从生物多样性栖息地到城市中心的关键贸易路线，为执法部门提供了可行的目标。我们的研究证明了将犯罪学方法与景观科学相结合来确定特定贩运路线的有效性，这是生成可操作情报的可转移框架。至关重要的是，由于非法野生动物网络经常与更广泛的有组织犯罪融合，因此这一空间框架为揭露全球非法市场的共享物流走廊提供了强有力的代理。</w:t>
      </w:r>
    </w:p>
    <w:p>
      <w:pPr>
        <w:spacing w:before="0" w:after="200" w:lineRule="auto" w:line="276"/>
      </w:pPr>
      <w:r>
        <w:rPr>
          <w:b/>
        </w:rPr>
        <w:t xml:space="preserve">Abstract (EN): </w:t>
      </w:r>
      <w:r>
        <w:t>Illegal wildlife trade is a major driver of biodiversity loss but the lack of understanding of mechanisms sustaining criminal networks hampers law enforcement. We integrated three decades of confiscation data, criminological modeling, and spatial network analysis to dissect the illegal parrot trade in Mexico, a global hotspot of parrot diversity and endemism. Our interdisciplinary approach revealed that the wildlife trade is the leading threat, elevating their extinction risk. Trade is shifting from poverty-driven to population density-linked patterns. Circuit theory-based landscape modeling identified critical trade routes from biodiverse habitats to urban centers, providing actionable targets for law enforcement. Our study demonstrates the effectiveness of combining criminological methods with landscape science to identify specific trafficking routes, a transferable framework for generating actionable intelligence. Crucially, because illicit wildlife networks frequently converge with broader organized crime, this spatial framework provides a powerful proxy for exposing the shared logistical corridors of global illicit markets.</w:t>
      </w:r>
    </w:p>
    <w:p>
      <w:pPr>
        <w:spacing w:before="120" w:after="120"/>
      </w:pPr>
      <w:r>
        <w:rPr>
          <w:sz w:val="18"/>
        </w:rPr>
        <w:t>——————————————————————————————————————————————————————————————————————</w:t>
      </w:r>
    </w:p>
    <w:p>
      <w:pPr>
        <w:spacing w:before="160" w:after="40" w:line="240" w:lineRule="auto"/>
      </w:pPr>
      <w:r>
        <w:rPr>
          <w:b/>
        </w:rPr>
        <w:t xml:space="preserve">[304] </w:t>
      </w:r>
      <w:hyperlink r:id="rId1052">
        <w:r>
          <w:rPr>
            <w:color w:val="1155CC"/>
            <w:u w:val="single"/>
          </w:rPr>
          <w:t>宿主和病原体之间的组蛋白修饰串扰</w:t>
        </w:r>
      </w:hyperlink>
    </w:p>
    <w:p>
      <w:pPr>
        <w:spacing w:before="0" w:after="80"/>
      </w:pPr>
      <w:r>
        <w:rPr>
          <w:i/>
          <w:sz w:val="20"/>
        </w:rPr>
        <w:t>EN: Histone modification cross talk between a host and pathogen</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53">
        <w:r>
          <w:rPr>
            <w:color w:val="1155CC"/>
            <w:u w:val="single"/>
          </w:rPr>
          <w:t>10.1073/pnas.2611585123</w:t>
        </w:r>
      </w:hyperlink>
    </w:p>
    <w:p>
      <w:pPr>
        <w:spacing w:before="0" w:after="120"/>
      </w:pPr>
      <w:r>
        <w:rPr>
          <w:b/>
        </w:rPr>
        <w:t xml:space="preserve">Notes: </w:t>
      </w:r>
      <w:r>
        <w:t>abstract_source=crossref</w:t>
      </w:r>
    </w:p>
    <w:p>
      <w:pPr>
        <w:spacing w:before="0" w:after="80" w:lineRule="auto" w:line="276"/>
      </w:pPr>
      <w:r>
        <w:rPr>
          <w:b/>
        </w:rPr>
        <w:t xml:space="preserve">摘要（ZH）: </w:t>
      </w:r>
      <w:r>
        <w:t>细菌病原体通过分泌重新连接宿主信号通路的效应蛋白来调节宿主细胞生理学。这些效应子的一部分直接修饰宿主染色质以重新编程基因表达并促进感染。虽然这些酶被认为可以自主发挥作用，但宿主表观遗传景观调节其活性的程度仍然很大程度上未知。 RomA 及其同源物 LegAs4 是来自 Set 结构域的赖氨酸甲基转移酶</w:t>
      </w:r>
      <w:r>
        <w:t xml:space="preserve"> </w:t>
      </w:r>
      <w:r>
        <w:t>嗜肺军团菌</w:t>
      </w:r>
      <w:r>
        <w:t xml:space="preserve"> </w:t>
      </w:r>
      <w:r>
        <w:t>使组蛋白 H3 在赖氨酸 14 (H3K14) 处甲基化，以抑制宿主免疫反应并增强细胞内细菌复制。在这里，我们证明了 RomA 活性通过多层组蛋白 PTM 串扰受到预先存在的宿主组蛋白翻译后修饰 (PTM) 的限制。 RomA 选择性结合并甲基化未修饰的组蛋白 H3 尾部，并被与活性转录相关的组蛋白 PTM 抑制，包括 H3K4 三甲基化、H3K4 乙酰化和 H4K12 单甲基化。我们确定了顺式和反式组蛋白调节机制，其中未修饰的 H3K4 和 H3K14 必须驻留在同一 H3 尾部以支持 RomA 活性，而 H4K12me1 则抑制跨核小体的 RomA。值得注意的是，冷冻电子显微镜分析和生化数据表明，RomA 不与核小体酸性斑块结合，而是通过组蛋白尾部灵活地结合。总之，这些发现确立了细菌效应子的宿主表观遗传调控作为宿主-病原体相互作用的一个基本且以前未被识别的层。</w:t>
      </w:r>
    </w:p>
    <w:p>
      <w:pPr>
        <w:spacing w:before="0" w:after="200" w:lineRule="auto" w:line="276"/>
      </w:pPr>
      <w:r>
        <w:rPr>
          <w:b/>
        </w:rPr>
        <w:t xml:space="preserve">Abstract (EN): </w:t>
      </w:r>
      <w:r>
        <w:t>Bacterial pathogens modulate host cell physiology by secreting effector proteins that rewire host signaling pathways. A subset of these effectors directly modify host chromatin to reprogram gene expression and promote infection. While these enzymes are thought to function autonomously, the extent to which the host epigenetic landscape regulates their activity remains largely unknown. RomA and its homolog LegAs4 are Set domain-containing lysine methyltransferases from</w:t>
      </w:r>
      <w:r>
        <w:t xml:space="preserve"> </w:t>
      </w:r>
      <w:r>
        <w:t>Legionella pneumophila</w:t>
      </w:r>
      <w:r>
        <w:t xml:space="preserve"> </w:t>
      </w:r>
      <w:r>
        <w:t>that methylate histone H3 at lysine 14 (H3K14) to suppress host immune responses and enhance intracellular bacterial replication. Here, we demonstrate that RomA activity is constrained by preexisting host histone posttranslational modifications (PTMs) through multiple layers of histone PTM cross talk. RomA selectively binds and methylates unmodified histone H3 tails and is inhibited by histone PTMs associated with active transcription, including H3K4 trimethylation, H3K4 acetylation, and H4K12 mono-methylation. We identify both cis- and trans-histone regulatory mechanisms, whereby unmodified H3K4 and H3K14 must reside on the same H3 tail to support RomA activity, while H4K12me1 inhibits RomA across the nucleosome. Notably, cryo-electron microscopy analysis and biochemical data reveal that RomA does not engage the nucleosome acidic patch but instead associates flexibly through histone tails. Together, these findings establish the host epigenetic regulation of bacterial effectors as a fundamental and previously unrecognized layer of host–pathogen interactions.</w:t>
      </w:r>
    </w:p>
    <w:p>
      <w:pPr>
        <w:spacing w:before="120" w:after="120"/>
      </w:pPr>
      <w:r>
        <w:rPr>
          <w:sz w:val="18"/>
        </w:rPr>
        <w:t>——————————————————————————————————————————————————————————————————————</w:t>
      </w:r>
    </w:p>
    <w:p>
      <w:pPr>
        <w:spacing w:before="160" w:after="40" w:line="240" w:lineRule="auto"/>
      </w:pPr>
      <w:r>
        <w:rPr>
          <w:b/>
        </w:rPr>
        <w:t xml:space="preserve">[305] </w:t>
      </w:r>
      <w:hyperlink r:id="rId1054">
        <w:r>
          <w:rPr>
            <w:color w:val="1155CC"/>
            <w:u w:val="single"/>
          </w:rPr>
          <w:t>GSDME孔隙形成的结构基础及其S-棕榈酰化的调控</w:t>
        </w:r>
      </w:hyperlink>
    </w:p>
    <w:p>
      <w:pPr>
        <w:spacing w:before="0" w:after="80"/>
      </w:pPr>
      <w:r>
        <w:rPr>
          <w:i/>
          <w:sz w:val="20"/>
        </w:rPr>
        <w:t>EN: Structural basis of GSDME pore formation and its regulation by S-palmitoylation</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55">
        <w:r>
          <w:rPr>
            <w:color w:val="1155CC"/>
            <w:u w:val="single"/>
          </w:rPr>
          <w:t>10.1073/pnas.2614339123</w:t>
        </w:r>
      </w:hyperlink>
    </w:p>
    <w:p>
      <w:pPr>
        <w:spacing w:before="0" w:after="120"/>
      </w:pPr>
      <w:r>
        <w:rPr>
          <w:b/>
        </w:rPr>
        <w:t xml:space="preserve">Notes: </w:t>
      </w:r>
      <w:r>
        <w:t>abstract_source=crossref</w:t>
      </w:r>
    </w:p>
    <w:p>
      <w:pPr>
        <w:spacing w:before="0" w:after="80" w:lineRule="auto" w:line="276"/>
      </w:pPr>
      <w:r>
        <w:rPr>
          <w:b/>
        </w:rPr>
        <w:t xml:space="preserve">摘要（ZH）: </w:t>
      </w:r>
      <w:r>
        <w:t>焦亡被定义为gasdermin介导的裂解性程序性细胞死亡。 Gasdermin E (GSDME) 是凋亡 caspase-3 的底物，可以将细胞凋亡转化为细胞焦亡，在抗肿瘤免疫和化疗引起的组织损伤中发挥关键作用。尽管其重要性，GSDME 孔形成的结构机制及其通过翻译后修饰的调节仍然很大程度上未知。在这里，我们使用哺乳动物细胞表达的蛋白质展示了人 GSDME N 末端 (NT) 孔的分辨率为 3.16 Å 的冷冻电子显微镜 (cryo-EM) 结构。该结构揭示了主要组装为 28 个亚基同源寡聚物的 GSDME-NT 孔，以及自抑制状态的显着构象重排，每个单体中的两个 β-发夹重新折叠，形成具有酸性导管的跨膜 β-桶。出乎意料的是，我们发现了膜结合和孔形成所需的 C45、C168 和 C180 的内源性 S-棕榈酰化。此外，在 C45 侧链附近可以看到额外的冷冻电镜密度，可能对应于柔性连接的棕榈酸酯链。结构引导诱变表明这些棕榈酰化位点协同控制孔的形成。该结构可作为分析癌症相关突变的分子蓝图，已知这些突变会破坏 GSDME 功能。这些突变聚集在寡聚界面、膜接触区域和β-桶的功能热点处，破坏孔的完整性。总的来说，我们的研究结果将棕榈酰化确立为强制性许可</w:t>
      </w:r>
    </w:p>
    <w:p>
      <w:pPr>
        <w:spacing w:before="0" w:after="200" w:lineRule="auto" w:line="276"/>
      </w:pPr>
      <w:r>
        <w:rPr>
          <w:b/>
        </w:rPr>
        <w:t xml:space="preserve">Abstract (EN): </w:t>
      </w:r>
      <w:r>
        <w:t>Pyroptosis is defined as gasdermin-mediated lytic programmed cell death. Gasdermin E (GSDME), a substrate of the apoptotic caspase-3, can convert apoptosis into pyroptosis, with critical roles in antitumor immunity and chemotherapy-induced tissue damage. Despite its importance, the structural mechanism of GSDME pore formation and its regulation by posttranslational modifications remain largely unknown. Here, we present the cryo-electron microscopy (cryo-EM) structure at 3.16 Å resolution of the human GSDME N-terminal (NT) pore using proteins expressed from mammalian cells. The structure reveals a GSDME-NT pore assembled mainly as a 28-subunit homo-oligomer, and a dramatic conformational rearrangement from the autoinhibited state, with refolding of the two β-hairpins in each monomer to form a membrane-spanning β-barrel with an acidic conduit. Unexpectedly, we identify endogenous S-palmitoylation of C45, C168, and C180, required for membrane binding and pore formation. In addition, extra cryo-EM densities are visible adjacent to the C45 side chain, potentially corresponding to the flexibly linked palmitate chain. Structure-guided mutagenesis demonstrates that these palmitoylation sites synergistically control pore formation. The structure served as a molecular blueprint for analyzing cancer-associated mutations, known to disrupt GSDME function. These mutations cluster at functional hotspots in the oligomerization interfaces, membrane-contact regions, and the β-barrel, where they disrupt pore integrity. Collectively, our findings establish palmitoylation as an obligatory licensing step for membrane binding and pore formation, provide structural visualization of a palmitoylated gasdermin, and reveal how cancer-associated mutations impair pyroptotic function. This structure and these insights will be useful for developing strategies that target GSDME to treat cancer and inflammatory disease.</w:t>
      </w:r>
    </w:p>
    <w:p>
      <w:pPr>
        <w:spacing w:before="120" w:after="120"/>
      </w:pPr>
      <w:r>
        <w:rPr>
          <w:sz w:val="18"/>
        </w:rPr>
        <w:t>——————————————————————————————————————————————————————————————————————</w:t>
      </w:r>
    </w:p>
    <w:p>
      <w:pPr>
        <w:spacing w:before="160" w:after="40" w:line="240" w:lineRule="auto"/>
      </w:pPr>
      <w:r>
        <w:rPr>
          <w:b/>
        </w:rPr>
        <w:t xml:space="preserve">[306] </w:t>
      </w:r>
      <w:hyperlink r:id="rId1056">
        <w:r>
          <w:rPr>
            <w:color w:val="1155CC"/>
            <w:u w:val="single"/>
          </w:rPr>
          <w:t>回复 Panfoli 等人：从髓磷脂中的 O2 消耗到轴突中间隙连接 ATP 传递：需要进一步审查的能量联系</w:t>
        </w:r>
      </w:hyperlink>
    </w:p>
    <w:p>
      <w:pPr>
        <w:spacing w:before="0" w:after="80"/>
      </w:pPr>
      <w:r>
        <w:rPr>
          <w:i/>
          <w:sz w:val="20"/>
        </w:rPr>
        <w:t>EN: Reply to Panfoli et al.: From O2 consumption in myelin to gap junctional ATP delivery in axons: An energy link needing further scrutiny</w:t>
      </w:r>
    </w:p>
    <w:p>
      <w:pPr>
        <w:spacing w:before="0" w:after="120"/>
      </w:pPr>
      <w:r>
        <w:rPr>
          <w:b/>
        </w:rPr>
        <w:t xml:space="preserve">Source: </w:t>
      </w:r>
      <w:r>
        <w:t>Proceedings of the National Academy of Sciences: Keyword search for query</w:t>
      </w:r>
      <w:r>
        <w:t xml:space="preserve">    </w:t>
      </w:r>
      <w:r>
        <w:rPr>
          <w:b/>
        </w:rPr>
        <w:t xml:space="preserve">Pub date: </w:t>
      </w:r>
      <w:r>
        <w:t>2026-08-24 07:00:00+00:00</w:t>
      </w:r>
      <w:r>
        <w:t xml:space="preserve">    </w:t>
      </w:r>
      <w:r>
        <w:rPr>
          <w:b/>
        </w:rPr>
        <w:t xml:space="preserve">DOI: </w:t>
      </w:r>
      <w:hyperlink r:id="rId1057">
        <w:r>
          <w:rPr>
            <w:color w:val="1155CC"/>
            <w:u w:val="single"/>
          </w:rPr>
          <w:t>10.1073/pnas.2604869123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[307] </w:t>
      </w:r>
      <w:hyperlink r:id="rId1058">
        <w:r>
          <w:rPr>
            <w:color w:val="1155CC"/>
            <w:u w:val="single"/>
          </w:rPr>
          <w:t>二元过渡金属合金中的瞬态工程多晶超结构可增强纳米磁性</w:t>
        </w:r>
      </w:hyperlink>
    </w:p>
    <w:p>
      <w:pPr>
        <w:spacing w:before="0" w:after="80"/>
      </w:pPr>
      <w:r>
        <w:rPr>
          <w:i/>
          <w:sz w:val="20"/>
        </w:rPr>
        <w:t>EN: Transient Engineered Multigranular Superstructures in Binary Transition‐Metal Alloys for Enhanced Nanomagnetic Properties</w:t>
      </w:r>
    </w:p>
    <w:p>
      <w:pPr>
        <w:spacing w:before="0" w:after="120"/>
      </w:pPr>
      <w:r>
        <w:rPr>
          <w:b/>
        </w:rPr>
        <w:t xml:space="preserve">Source: </w:t>
      </w:r>
      <w:r>
        <w:t>Wiley: Advanced Materials: Table of Contents</w:t>
      </w:r>
      <w:r>
        <w:t xml:space="preserve">    </w:t>
      </w:r>
      <w:r>
        <w:rPr>
          <w:b/>
        </w:rPr>
        <w:t xml:space="preserve">Pub date: </w:t>
      </w:r>
      <w:r>
        <w:t>2026-08-24 09:00:14+00:00</w:t>
      </w:r>
      <w:r>
        <w:t xml:space="preserve">    </w:t>
      </w:r>
      <w:r>
        <w:rPr>
          <w:b/>
        </w:rPr>
        <w:t xml:space="preserve">DOI: </w:t>
      </w:r>
      <w:hyperlink r:id="rId1059">
        <w:r>
          <w:rPr>
            <w:color w:val="1155CC"/>
            <w:u w:val="single"/>
          </w:rPr>
          <w:t>10.1002/adma.74764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高密度信息存储、集成磁传感器和超薄可穿戴设备的不断发展，纳米级多元素过渡金属合金需要保持稳定的交换耦合、各向异性和对热激活磁化强度波动的抵抗力。在这里，我们开发了一种二元CoNi多颗粒超结构（MGS），通过脉冲焦耳加热来重建磁耦合状态并稳定纳米尺度的集体磁性。具体来说，瞬态能量波动驱动结构重新配置，在各个上部结构内产生高密度界面网络和局部相干磁性单元。增强的界面钉扎和双磁耦合增强了交换相互作用并抑制了磁热扰动，从而减轻了纳米级引起的磁退化。与传统退火的 CoNi 样品相比，采用 MGS 的 CoNi 纳米合金的矫顽力提高了约 400%，磁导率提高了 208%，性能优于代表性的铁磁合金。此外，上部结构在 5G 无线频谱中表现出超过 50% 的有效吸收率，并具有 300 至 800 K 的热稳定性。这项工作为增强二元过渡金属纳米合金的磁性能建立了一条实用途径，用于柔性、高性能电磁 (EM) 设备。</w:t>
      </w:r>
    </w:p>
    <w:p>
      <w:pPr>
        <w:spacing w:before="0" w:after="200" w:lineRule="auto" w:line="276"/>
      </w:pPr>
      <w:r>
        <w:rPr>
          <w:b/>
        </w:rPr>
        <w:t xml:space="preserve">Abstract (EN): </w:t>
      </w:r>
      <w:r>
        <w:t>As high‐density information storage, integrated magnetic sensors, and ultrathin wearable devices continue to advance, nanoscale multielement transition‐metal alloys are required to retain stable exchange coupling, anisotropy, and resistance to thermally activated magnetization fluctuations. Here, we develop a binary CoNi multigranular superstructure (MGS), enabled by pulsed Joule heating, to reconstruct magnetic coupling states and stabilize collective magnetism at the nanoscale. Specifically, transient energy fluctuations drive structural reconfiguration, yielding high‐density interfacial networks and locally coherent magnetic units within individual superstructures. Reinforced interfacial pinning and dual magnetic coupling strengthen exchange interactions and suppress magnetothermal perturbations, thereby alleviating nanoscale‐induced magnetic degradation. The CoNi nanoalloy with the MGS achieves a ∼400% enhancement in coercivity and a 208% improvement in permeability relative to the conventionally annealed CoNi sample, outperforming representative ferromagnetic alloys. Moreover, the superstructure exhibits over 50% effective absorption across 5G wireless spectrum with thermal stability from 300 to 800 K. This work establishes a practical route to enhance the magnetic properties of binary transition‐metal nanoalloys for flexible, high‐performance electromagnetic (EM) devices.</w:t>
      </w:r>
    </w:p>
    <w:p>
      <w:pPr>
        <w:spacing w:before="120" w:after="120"/>
      </w:pPr>
      <w:r>
        <w:rPr>
          <w:sz w:val="18"/>
        </w:rPr>
        <w:t>——————————————————————————————————————————————————————————————————————</w:t>
      </w:r>
    </w:p>
    <w:p>
      <w:pPr>
        <w:spacing w:before="160" w:after="40" w:line="240" w:lineRule="auto"/>
      </w:pPr>
      <w:r>
        <w:rPr>
          <w:b/>
        </w:rPr>
        <w:t xml:space="preserve">[308] </w:t>
      </w:r>
      <w:hyperlink r:id="rId1060">
        <w:r>
          <w:rPr>
            <w:color w:val="1155CC"/>
            <w:u w:val="single"/>
          </w:rPr>
          <w:t>使用半导体聚合物探针通过 NIR-II 荧光成像对子宫内膜异位症进行精确手术导航</w:t>
        </w:r>
      </w:hyperlink>
    </w:p>
    <w:p>
      <w:pPr>
        <w:spacing w:before="0" w:after="80"/>
      </w:pPr>
      <w:r>
        <w:rPr>
          <w:i/>
          <w:sz w:val="20"/>
        </w:rPr>
        <w:t>EN: Precise Surgical Navigation of Endometriosis via NIR‐II Fluorescence Imaging With a Semiconducting Polymeric Probe</w:t>
      </w:r>
    </w:p>
    <w:p>
      <w:pPr>
        <w:spacing w:before="0" w:after="120"/>
      </w:pPr>
      <w:r>
        <w:rPr>
          <w:b/>
        </w:rPr>
        <w:t xml:space="preserve">Source: </w:t>
      </w:r>
      <w:r>
        <w:t>Wiley: Angewandte Chemie International Edition: Table of Contents</w:t>
      </w:r>
      <w:r>
        <w:t xml:space="preserve">    </w:t>
      </w:r>
      <w:r>
        <w:rPr>
          <w:b/>
        </w:rPr>
        <w:t xml:space="preserve">Pub date: </w:t>
      </w:r>
      <w:r>
        <w:t>2026-08-24 09:13:11+00:00</w:t>
      </w:r>
      <w:r>
        <w:t xml:space="preserve">    </w:t>
      </w:r>
      <w:r>
        <w:rPr>
          <w:b/>
        </w:rPr>
        <w:t xml:space="preserve">DOI: </w:t>
      </w:r>
      <w:hyperlink r:id="rId1061">
        <w:r>
          <w:rPr>
            <w:color w:val="1155CC"/>
            <w:u w:val="single"/>
          </w:rPr>
          <w:t>10.1002/anie.2407891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子宫内膜异位症是一种常见的妇科疾病，其特征是子宫内膜样组织异位生长，通常导致慢性疼痛、不孕和全身炎症。准确检测和完整的手术切除仍然具有挑战性，因为病变通常很小、多病灶且视觉上模糊。第二个近红外窗口（NIR-II，1000–1700 nm）中的荧光成像可实现更深入的组织可视化，减少散射和自发荧光，从而提高对比度和空间分辨率。在这里，我们开发了 P-BPTI，这是一种 NIR-II 发射半导体聚合物，旨在减轻聚集引起的猝灭 (ACQ) 并增强体内生物成像。 P-BPTI 纳米颗粒表现出强烈的 NIR-II 荧光、优异的光稳定性和深层组织渗透性。在子宫内膜异位症的多病灶小鼠模型中，P-BPTI 实现了无创病灶可视化和实时图像引导切除，其表现优于其单体对应物和吲哚菁绿 (ICG)。重要的是，以 7 天的间隔重复施用 P-BPTI NP 可以在术后长达 49 天的时间内对病变状态进行定期 NIR-II 成像。术后组织学分析进一步支持有效的病灶去除和病理活动的减少。总体而言，这项工作证明了 P-BPTI 在 NIR-II 图像引导手术和子宫内膜异位症长期监测中的潜力，有望改善病变定位和治疗结果。</w:t>
      </w:r>
    </w:p>
    <w:p>
      <w:pPr>
        <w:spacing w:before="0" w:after="200" w:lineRule="auto" w:line="276"/>
      </w:pPr>
      <w:r>
        <w:rPr>
          <w:b/>
        </w:rPr>
        <w:t xml:space="preserve">Abstract (EN): </w:t>
      </w:r>
      <w:r>
        <w:t>Endometriosis is a prevalent gynecological disorder characterized by ectopic growth of endometrial‐like tissue, often causing chronic pain, infertility, and systemic inflammation. Accurate detection and complete surgical resection remain challenging because lesions are frequently small, multifocal, and visually ambiguous. Fluorescence imaging in the second near‐infrared window (NIR‑II, 1000–1700 nm) enables deeper tissue visualization with reduced scattering and autofluorescence, offering improved contrast and spatial resolution. Here, we developed P‑BPTI, a NIR‑II–emissive semiconducting polymer designed to mitigate aggregation‐caused quenching (ACQ) and enhance in vivo bioimaging. P‑BPTI nanoparticles exhibit strong NIR‑II fluorescence, excellent photostability, and deep tissue penetration. In a multi‐lesion mouse model of endometriosis, P‑BPTI enabled noninvasive lesion visualization and real‐time image‐guided resection, outperforming both its monomeric counterpart and indocyanine green (ICG). Importantly, repeated administration of P‐BPTI NPs at 7‐day intervals enabled periodic NIR‐II imaging of lesion status for up to 49 days after surgery. Post‐operative histological analyses further supported effective lesion removal and reduced pathological activity. Overall, this work demonstrates the potential of P‑BPTI for NIR‑II image‐guided surgery and long‐term monitoring in endometriosis, with promise for improving lesion localization and therapeutic outcomes.</w:t>
      </w:r>
    </w:p>
    <w:p>
      <w:pPr>
        <w:spacing w:before="120" w:after="120"/>
      </w:pPr>
      <w:r>
        <w:rPr>
          <w:sz w:val="18"/>
        </w:rPr>
        <w:t>——————————————————————————————————————————————————————————————————————</w:t>
      </w:r>
    </w:p>
    <w:p>
      <w:pPr>
        <w:spacing w:before="160" w:after="40" w:line="240" w:lineRule="auto"/>
      </w:pPr>
      <w:r>
        <w:rPr>
          <w:b/>
        </w:rPr>
        <w:t xml:space="preserve">[309] </w:t>
      </w:r>
      <w:hyperlink r:id="rId1062">
        <w:r>
          <w:rPr>
            <w:color w:val="1155CC"/>
            <w:u w:val="single"/>
          </w:rPr>
          <w:t>$40&lt;A&lt;90$ 质量区域中的变形中子晕核和软偶极子激发</w:t>
        </w:r>
      </w:hyperlink>
    </w:p>
    <w:p>
      <w:pPr>
        <w:spacing w:before="0" w:after="80"/>
      </w:pPr>
      <w:r>
        <w:rPr>
          <w:i/>
          <w:sz w:val="20"/>
        </w:rPr>
        <w:t>EN: Deformed neutron halo nuclei and soft dipole excitations in the $40&lt;A&lt;90$ mass region</w:t>
      </w:r>
    </w:p>
    <w:p>
      <w:pPr>
        <w:spacing w:before="0" w:after="120"/>
      </w:pPr>
      <w:r>
        <w:rPr>
          <w:b/>
        </w:rPr>
        <w:t xml:space="preserve">Source: </w:t>
      </w:r>
      <w:r>
        <w:t>Recent Articles in Phys. Rev. C</w:t>
      </w:r>
      <w:r>
        <w:t xml:space="preserve">    </w:t>
      </w:r>
      <w:r>
        <w:rPr>
          <w:b/>
        </w:rPr>
        <w:t xml:space="preserve">Pub date: </w:t>
      </w:r>
      <w:r>
        <w:t>2026-08-24 10:00:00+00:00</w:t>
      </w:r>
      <w:r>
        <w:t xml:space="preserve">    </w:t>
      </w:r>
      <w:r>
        <w:rPr>
          <w:b/>
        </w:rPr>
        <w:t xml:space="preserve">DOI: </w:t>
      </w:r>
      <w:hyperlink r:id="rId1063">
        <w:r>
          <w:rPr>
            <w:color w:val="1155CC"/>
            <w:u w:val="single"/>
          </w:rPr>
          <w:t>10.1103/prxh-9vjg</w:t>
        </w:r>
      </w:hyperlink>
    </w:p>
    <w:p>
      <w:pPr>
        <w:spacing w:before="0" w:after="120"/>
      </w:pPr>
      <w:r>
        <w:rPr>
          <w:b/>
        </w:rPr>
        <w:t xml:space="preserve">Notes: </w:t>
      </w:r>
      <w:r>
        <w:t>abstract_source=rss_description</w:t>
      </w:r>
    </w:p>
    <w:p>
      <w:pPr>
        <w:spacing w:before="0" w:after="80" w:lineRule="auto" w:line="276"/>
      </w:pPr>
      <w:r>
        <w:rPr>
          <w:b/>
        </w:rPr>
        <w:t xml:space="preserve">摘要（ZH）: </w:t>
      </w:r>
      <w:r>
        <w:t>Author(s): Xiao Lu (陆晓), Cong Pan (潘琮), Hiroyuki Sagawa (佐川弘幸), Xiang-Xiang Sun (孙向向), and Shan-Gui Zhou (周善贵)We study deformed neutron halo nuclei in the mass region $40[Phys. Rev. C 114, 024337] Published Mon Aug 24, 2026</w:t>
      </w:r>
    </w:p>
    <w:p>
      <w:pPr>
        <w:spacing w:before="0" w:after="200" w:lineRule="auto" w:line="276"/>
      </w:pPr>
      <w:r>
        <w:rPr>
          <w:b/>
        </w:rPr>
        <w:t xml:space="preserve">Abstract (EN): </w:t>
      </w:r>
      <w:r>
        <w:t>Author(s): Xiao Lu (陆晓), Cong Pan (潘琮), Hiroyuki Sagawa (佐川弘幸), Xiang-Xiang Sun (孙向向), and Shan-Gui Zhou (周善贵)We study deformed neutron halo nuclei in the mass region $40[Phys. Rev. C 114, 024337] Published Mon Aug 24, 2026</w:t>
      </w:r>
    </w:p>
    <w:p>
      <w:pPr>
        <w:spacing w:before="120" w:after="120"/>
      </w:pPr>
      <w:r>
        <w:rPr>
          <w:sz w:val="18"/>
        </w:rPr>
        <w:t>——————————————————————————————————————————————————————————————————————</w:t>
      </w:r>
    </w:p>
    <w:p>
      <w:pPr>
        <w:spacing w:before="160" w:after="40" w:line="240" w:lineRule="auto"/>
      </w:pPr>
      <w:r>
        <w:rPr>
          <w:b/>
        </w:rPr>
        <w:t xml:space="preserve">[310] </w:t>
      </w:r>
      <w:hyperlink r:id="rId1064">
        <w:r>
          <w:rPr>
            <w:color w:val="1155CC"/>
            <w:u w:val="single"/>
          </w:rPr>
          <w:t>光电发射中 Trion 的签名</w:t>
        </w:r>
      </w:hyperlink>
    </w:p>
    <w:p>
      <w:pPr>
        <w:spacing w:before="0" w:after="80"/>
      </w:pPr>
      <w:r>
        <w:rPr>
          <w:i/>
          <w:sz w:val="20"/>
        </w:rPr>
        <w:t>EN: Signature of a Trion in Photoemission</w:t>
      </w:r>
    </w:p>
    <w:p>
      <w:pPr>
        <w:spacing w:before="0" w:after="120"/>
      </w:pPr>
      <w:r>
        <w:rPr>
          <w:b/>
        </w:rPr>
        <w:t xml:space="preserve">Source: </w:t>
      </w:r>
      <w:r>
        <w:t>Recent Articles in Phys. Rev. Lett.</w:t>
      </w:r>
      <w:r>
        <w:t xml:space="preserve">    </w:t>
      </w:r>
      <w:r>
        <w:rPr>
          <w:b/>
        </w:rPr>
        <w:t xml:space="preserve">Pub date: </w:t>
      </w:r>
      <w:r>
        <w:t>2026-08-24 10:00:00+00:00</w:t>
      </w:r>
      <w:r>
        <w:t xml:space="preserve">    </w:t>
      </w:r>
      <w:r>
        <w:rPr>
          <w:b/>
        </w:rPr>
        <w:t xml:space="preserve">DOI: </w:t>
      </w:r>
      <w:hyperlink r:id="rId1065">
        <w:r>
          <w:rPr>
            <w:color w:val="1155CC"/>
            <w:u w:val="single"/>
          </w:rPr>
          <w:t>10.1103/f217-f5xw</w:t>
        </w:r>
      </w:hyperlink>
    </w:p>
    <w:p>
      <w:pPr>
        <w:spacing w:before="0" w:after="120"/>
      </w:pPr>
      <w:r>
        <w:rPr>
          <w:b/>
        </w:rPr>
        <w:t xml:space="preserve">Notes: </w:t>
      </w:r>
      <w:r>
        <w:t>abstract_source=rss_description</w:t>
      </w:r>
    </w:p>
    <w:p>
      <w:pPr>
        <w:spacing w:before="0" w:after="80" w:lineRule="auto" w:line="276"/>
      </w:pPr>
      <w:r>
        <w:rPr>
          <w:b/>
        </w:rPr>
        <w:t xml:space="preserve">摘要（ZH）: </w:t>
      </w:r>
      <w:r>
        <w:t>作者：Jinyuan Wu、Zachary H. Withers、Thomas K. Allison 和 Diana Y. Qiu 一项理论研究表明，可以在时间分辨 ARPES 测量中识别三重子，并具有正负三重子的独特特征。莱特牧师。 137, 096401] 发布于 2026 年 8 月 24 日星期一</w:t>
      </w:r>
    </w:p>
    <w:p>
      <w:pPr>
        <w:spacing w:before="0" w:after="200" w:lineRule="auto" w:line="276"/>
      </w:pPr>
      <w:r>
        <w:rPr>
          <w:b/>
        </w:rPr>
        <w:t xml:space="preserve">Abstract (EN): </w:t>
      </w:r>
      <w:r>
        <w:t>Author(s): Jinyuan Wu, Zachary H. Withers, Thomas K. Allison, and Diana Y. QiuA theoretical study reveals that trions can be identified in time-resolved ARPES measurements with distinct signatures for positive and negative trions.[Phys. Rev. Lett. 137, 096401] Published Mon Aug 24, 2026</w:t>
      </w:r>
    </w:p>
    <w:p>
      <w:pPr>
        <w:spacing w:before="120" w:after="120"/>
      </w:pPr>
      <w:r>
        <w:rPr>
          <w:sz w:val="18"/>
        </w:rPr>
        <w:t>——————————————————————————————————————————————————————————————————————</w:t>
      </w:r>
    </w:p>
    <w:p>
      <w:pPr>
        <w:spacing w:before="160" w:after="40" w:line="240" w:lineRule="auto"/>
      </w:pPr>
      <w:r>
        <w:rPr>
          <w:b/>
        </w:rPr>
        <w:t xml:space="preserve">[311] </w:t>
      </w:r>
      <w:hyperlink r:id="rId1066">
        <w:r>
          <w:rPr>
            <w:color w:val="1155CC"/>
            <w:u w:val="single"/>
          </w:rPr>
          <w:t>颗粒布蒂克-兰道尔发动机</w:t>
        </w:r>
      </w:hyperlink>
    </w:p>
    <w:p>
      <w:pPr>
        <w:spacing w:before="0" w:after="80"/>
      </w:pPr>
      <w:r>
        <w:rPr>
          <w:i/>
          <w:sz w:val="20"/>
        </w:rPr>
        <w:t>EN: Granular Büttiker-Landauer Motor</w:t>
      </w:r>
    </w:p>
    <w:p>
      <w:pPr>
        <w:spacing w:before="0" w:after="120"/>
      </w:pPr>
      <w:r>
        <w:rPr>
          <w:b/>
        </w:rPr>
        <w:t xml:space="preserve">Source: </w:t>
      </w:r>
      <w:r>
        <w:t>Recent Articles in Phys. Rev. Lett.</w:t>
      </w:r>
      <w:r>
        <w:t xml:space="preserve">    </w:t>
      </w:r>
      <w:r>
        <w:rPr>
          <w:b/>
        </w:rPr>
        <w:t xml:space="preserve">Pub date: </w:t>
      </w:r>
      <w:r>
        <w:t>2026-08-24 10:00:00+00:00</w:t>
      </w:r>
      <w:r>
        <w:t xml:space="preserve">    </w:t>
      </w:r>
      <w:r>
        <w:rPr>
          <w:b/>
        </w:rPr>
        <w:t xml:space="preserve">DOI: </w:t>
      </w:r>
      <w:hyperlink r:id="rId1067">
        <w:r>
          <w:rPr>
            <w:color w:val="1155CC"/>
            <w:u w:val="single"/>
          </w:rPr>
          <w:t>10.1103/1ggv-8f83</w:t>
        </w:r>
      </w:hyperlink>
    </w:p>
    <w:p>
      <w:pPr>
        <w:spacing w:before="0" w:after="120"/>
      </w:pPr>
      <w:r>
        <w:rPr>
          <w:b/>
        </w:rPr>
        <w:t xml:space="preserve">Notes: </w:t>
      </w:r>
      <w:r>
        <w:t>abstract_source=rss_description</w:t>
      </w:r>
    </w:p>
    <w:p>
      <w:pPr>
        <w:spacing w:before="0" w:after="80" w:lineRule="auto" w:line="276"/>
      </w:pPr>
      <w:r>
        <w:rPr>
          <w:b/>
        </w:rPr>
        <w:t xml:space="preserve">摘要（ZH）: </w:t>
      </w:r>
      <w:r>
        <w:t>作者：O. Devauchelle、P. Popović、P. Szymczak、A. Abramian 和 A. Lazarus 随机游走者通常根据菲克定律进行扩散。平均而言，它们的浓度梯度向下移动，并且在没有外力的情况下，倾向于均匀分布。然而，在一些实验中，这种熟悉的概念与观察结果不一致。沙粒，例如……[物理。莱特牧师。 137, 097101] 发布于 2026 年 8 月 24 日星期一</w:t>
      </w:r>
    </w:p>
    <w:p>
      <w:pPr>
        <w:spacing w:before="0" w:after="200" w:lineRule="auto" w:line="276"/>
      </w:pPr>
      <w:r>
        <w:rPr>
          <w:b/>
        </w:rPr>
        <w:t xml:space="preserve">Abstract (EN): </w:t>
      </w:r>
      <w:r>
        <w:t>Author(s): O. Devauchelle, P. Popović, P. Szymczak, A. Abramian, and A. LazarusRandom walkers usually diffuse according to Fick’s law. On average, they move down the gradient of their concentration and, in the absence of external force, tend to distribute themselves uniformly. In some experiments, however, this familiar notion is at odds with observation. Sand grains, for inst…[Phys. Rev. Lett. 137, 097101] Published Mon Aug 24, 2026</w:t>
      </w:r>
    </w:p>
    <w:p>
      <w:pPr>
        <w:spacing w:before="120" w:after="120"/>
      </w:pPr>
      <w:r>
        <w:rPr>
          <w:sz w:val="18"/>
        </w:rPr>
        <w:t>——————————————————————————————————————————————————————————————————————</w:t>
      </w:r>
    </w:p>
    <w:p>
      <w:pPr>
        <w:spacing w:before="160" w:after="40" w:line="240" w:lineRule="auto"/>
      </w:pPr>
      <w:r>
        <w:rPr>
          <w:b/>
        </w:rPr>
        <w:t xml:space="preserve">[312] </w:t>
      </w:r>
      <w:hyperlink r:id="rId1068">
        <w:r>
          <w:rPr>
            <w:color w:val="1155CC"/>
            <w:u w:val="single"/>
          </w:rPr>
          <w:t>半晶聚合物热焊接的分子见解</w:t>
        </w:r>
      </w:hyperlink>
    </w:p>
    <w:p>
      <w:pPr>
        <w:spacing w:before="0" w:after="80"/>
      </w:pPr>
      <w:r>
        <w:rPr>
          <w:i/>
          <w:sz w:val="20"/>
        </w:rPr>
        <w:t>EN: Molecular Insights on the Thermal Welding of Semicrystalline Polymers</w:t>
      </w:r>
    </w:p>
    <w:p>
      <w:pPr>
        <w:spacing w:before="0" w:after="120"/>
      </w:pPr>
      <w:r>
        <w:rPr>
          <w:b/>
        </w:rPr>
        <w:t xml:space="preserve">Source: </w:t>
      </w:r>
      <w:r>
        <w:t>Recent Articles in Phys. Rev. Lett.</w:t>
      </w:r>
      <w:r>
        <w:t xml:space="preserve">    </w:t>
      </w:r>
      <w:r>
        <w:rPr>
          <w:b/>
        </w:rPr>
        <w:t xml:space="preserve">Pub date: </w:t>
      </w:r>
      <w:r>
        <w:t>2026-08-24 10:00:00+00:00</w:t>
      </w:r>
      <w:r>
        <w:t xml:space="preserve">    </w:t>
      </w:r>
      <w:r>
        <w:rPr>
          <w:b/>
        </w:rPr>
        <w:t xml:space="preserve">DOI: </w:t>
      </w:r>
      <w:hyperlink r:id="rId1069">
        <w:r>
          <w:rPr>
            <w:color w:val="1155CC"/>
            <w:u w:val="single"/>
          </w:rPr>
          <w:t>10.1103/dbck-v8nm</w:t>
        </w:r>
      </w:hyperlink>
    </w:p>
    <w:p>
      <w:pPr>
        <w:spacing w:before="0" w:after="120"/>
      </w:pPr>
      <w:r>
        <w:rPr>
          <w:b/>
        </w:rPr>
        <w:t xml:space="preserve">Notes: </w:t>
      </w:r>
      <w:r>
        <w:t>abstract_source=rss_description</w:t>
      </w:r>
    </w:p>
    <w:p>
      <w:pPr>
        <w:spacing w:before="0" w:after="80" w:lineRule="auto" w:line="276"/>
      </w:pPr>
      <w:r>
        <w:rPr>
          <w:b/>
        </w:rPr>
        <w:t xml:space="preserve">摘要（ZH）: </w:t>
      </w:r>
      <w:r>
        <w:t>作者：Michele Valsecchi、William S. Fall、Hendrik Meyer、Gary S. Grest 和 Sanat K. Kumar 与玻璃状塑料不同，半结晶聚合物在焊缝处形成更高的结晶度，形成独特的焊缝，可以令人惊讶地将机械故障排除在接头之外。莱特牧师。 137, 098101] 发布于 2026 年 8 月 24 日星期一</w:t>
      </w:r>
    </w:p>
    <w:p>
      <w:pPr>
        <w:spacing w:before="0" w:after="200" w:lineRule="auto" w:line="276"/>
      </w:pPr>
      <w:r>
        <w:rPr>
          <w:b/>
        </w:rPr>
        <w:t xml:space="preserve">Abstract (EN): </w:t>
      </w:r>
      <w:r>
        <w:t>Author(s): Michele Valsecchi, William S. Fall, Hendrik Meyer, Gary S. Grest, and Sanat K. KumarUnlike glassy plastics, semicrystalline polymers develop higher crystallinity right at the weld line, creating a unique weld that can surprisingly push mechanical failures away from the joint.[Phys. Rev. Lett. 137, 098101] Published Mon Aug 24, 2026</w:t>
      </w:r>
    </w:p>
    <w:p>
      <w:pPr>
        <w:spacing w:before="120" w:after="120"/>
      </w:pPr>
      <w:r>
        <w:rPr>
          <w:sz w:val="18"/>
        </w:rPr>
        <w:t>——————————————————————————————————————————————————————————————————————</w:t>
      </w:r>
    </w:p>
    <w:p>
      <w:pPr>
        <w:spacing w:before="160" w:after="40" w:line="240" w:lineRule="auto"/>
      </w:pPr>
      <w:r>
        <w:rPr>
          <w:b/>
        </w:rPr>
        <w:t xml:space="preserve">[313] </w:t>
      </w:r>
      <w:hyperlink r:id="rId1070">
        <w:r>
          <w:rPr>
            <w:color w:val="1155CC"/>
            <w:u w:val="single"/>
          </w:rPr>
          <w:t>轴向矢量电流和一般非极化电弱单核子响应</w:t>
        </w:r>
      </w:hyperlink>
    </w:p>
    <w:p>
      <w:pPr>
        <w:spacing w:before="0" w:after="80"/>
      </w:pPr>
      <w:r>
        <w:rPr>
          <w:i/>
          <w:sz w:val="20"/>
        </w:rPr>
        <w:t>EN: Axial-vector current and general unpolarized electroweak single-nucleon responses</w:t>
      </w:r>
    </w:p>
    <w:p>
      <w:pPr>
        <w:spacing w:before="0" w:after="120"/>
      </w:pPr>
      <w:r>
        <w:rPr>
          <w:b/>
        </w:rPr>
        <w:t xml:space="preserve">Source: </w:t>
      </w:r>
      <w:r>
        <w:t>Recent Articles in Phys. Rev. C</w:t>
      </w:r>
      <w:r>
        <w:t xml:space="preserve">    </w:t>
      </w:r>
      <w:r>
        <w:rPr>
          <w:b/>
        </w:rPr>
        <w:t xml:space="preserve">Pub date: </w:t>
      </w:r>
      <w:r>
        <w:t>2026-08-24 10:00:00+00:00</w:t>
      </w:r>
      <w:r>
        <w:t xml:space="preserve">    </w:t>
      </w:r>
      <w:r>
        <w:rPr>
          <w:b/>
        </w:rPr>
        <w:t xml:space="preserve">DOI: </w:t>
      </w:r>
      <w:hyperlink r:id="rId1071">
        <w:r>
          <w:rPr>
            <w:color w:val="1155CC"/>
            <w:u w:val="single"/>
          </w:rPr>
          <w:t>10.1103/wzjf-64f2</w:t>
        </w:r>
      </w:hyperlink>
    </w:p>
    <w:p>
      <w:pPr>
        <w:spacing w:before="0" w:after="120"/>
      </w:pPr>
      <w:r>
        <w:rPr>
          <w:b/>
        </w:rPr>
        <w:t xml:space="preserve">Notes: </w:t>
      </w:r>
      <w:r>
        <w:t>abstract_source=rss_description</w:t>
      </w:r>
    </w:p>
    <w:p>
      <w:pPr>
        <w:spacing w:before="0" w:after="80" w:lineRule="auto" w:line="276"/>
      </w:pPr>
      <w:r>
        <w:rPr>
          <w:b/>
        </w:rPr>
        <w:t xml:space="preserve">摘要（ZH）: </w:t>
      </w:r>
      <w:r>
        <w:t>作者：T. W. Donnelly 和 Sabine Jeschonnek 这项研究为我们最近关于矢量 (V) 电磁单核电流和相关响应函数的工作提供了扩展，无论是在非极化情况还是在目标核子极化的情况下。这里的轴向矢量 (A) 单核子电流矩阵 elem…[Phys. Rev. C 114, 025502] 于 2026 年 8 月 24 日星期一发布</w:t>
      </w:r>
    </w:p>
    <w:p>
      <w:pPr>
        <w:spacing w:before="0" w:after="200" w:lineRule="auto" w:line="276"/>
      </w:pPr>
      <w:r>
        <w:rPr>
          <w:b/>
        </w:rPr>
        <w:t xml:space="preserve">Abstract (EN): </w:t>
      </w:r>
      <w:r>
        <w:t>Author(s): T. W. Donnelly and Sabine JeschonnekThe present study provides an extension to our recent work on the vector (V) electromagnetic single-nucleon current and associated response functions, both for unpolarized situations and in situations where the target nucleon is polarized. Here the axial-vector (A) single-nucleon current matrix elem…[Phys. Rev. C 114, 025502] Published Mon Aug 24, 2026</w:t>
      </w:r>
    </w:p>
    <w:p>
      <w:pPr>
        <w:spacing w:before="120" w:after="120"/>
      </w:pPr>
      <w:r>
        <w:rPr>
          <w:sz w:val="18"/>
        </w:rPr>
        <w:t>——————————————————————————————————————————————————————————————————————</w:t>
      </w:r>
    </w:p>
    <w:p>
      <w:pPr>
        <w:spacing w:before="160" w:after="40" w:line="240" w:lineRule="auto"/>
      </w:pPr>
      <w:r>
        <w:rPr>
          <w:b/>
        </w:rPr>
        <w:t xml:space="preserve">[314] </w:t>
      </w:r>
      <w:hyperlink r:id="rId1072">
        <w:r>
          <w:rPr>
            <w:color w:val="1155CC"/>
            <w:u w:val="single"/>
          </w:rPr>
          <w:t>热核物质中的带电电流中微子过程以及最近受微观计算约束的 Skyrme 参数化</w:t>
        </w:r>
      </w:hyperlink>
    </w:p>
    <w:p>
      <w:pPr>
        <w:spacing w:before="0" w:after="80"/>
      </w:pPr>
      <w:r>
        <w:rPr>
          <w:i/>
          <w:sz w:val="20"/>
        </w:rPr>
        <w:t>EN: Charged current neutrino processes in hot nuclear matter with a recent Skyrme parametrization constrained by microscopic calculations</w:t>
      </w:r>
    </w:p>
    <w:p>
      <w:pPr>
        <w:spacing w:before="0" w:after="120"/>
      </w:pPr>
      <w:r>
        <w:rPr>
          <w:b/>
        </w:rPr>
        <w:t xml:space="preserve">Source: </w:t>
      </w:r>
      <w:r>
        <w:t>Recent Articles in Phys. Rev. C</w:t>
      </w:r>
      <w:r>
        <w:t xml:space="preserve">    </w:t>
      </w:r>
      <w:r>
        <w:rPr>
          <w:b/>
        </w:rPr>
        <w:t xml:space="preserve">Pub date: </w:t>
      </w:r>
      <w:r>
        <w:t>2026-08-24 10:00:00+00:00</w:t>
      </w:r>
      <w:r>
        <w:t xml:space="preserve">    </w:t>
      </w:r>
      <w:r>
        <w:rPr>
          <w:b/>
        </w:rPr>
        <w:t xml:space="preserve">DOI: </w:t>
      </w:r>
      <w:hyperlink r:id="rId1073">
        <w:r>
          <w:rPr>
            <w:color w:val="1155CC"/>
            <w:u w:val="single"/>
          </w:rPr>
          <w:t>10.1103/6xyd-83v5</w:t>
        </w:r>
      </w:hyperlink>
    </w:p>
    <w:p>
      <w:pPr>
        <w:spacing w:before="0" w:after="120"/>
      </w:pPr>
      <w:r>
        <w:rPr>
          <w:b/>
        </w:rPr>
        <w:t xml:space="preserve">Notes: </w:t>
      </w:r>
      <w:r>
        <w:t>abstract_source=rss_description</w:t>
      </w:r>
    </w:p>
    <w:p>
      <w:pPr>
        <w:spacing w:before="0" w:after="80" w:lineRule="auto" w:line="276"/>
      </w:pPr>
      <w:r>
        <w:rPr>
          <w:b/>
        </w:rPr>
        <w:t xml:space="preserve">摘要（ZH）: </w:t>
      </w:r>
      <w:r>
        <w:t>作者：Mingya Duan 和 Michael Urban 中微子过程对于超新星爆炸、原中子星演化和双中子星合并的建模非常重要。我们研究原中子星和超新星物质中的中微子产生和吸收，以及中子星物质的直接乌卡中微子发射......[物理学。 Rev. C 114, 025806] 于 2026 年 8 月 24 日星期一发布</w:t>
      </w:r>
    </w:p>
    <w:p>
      <w:pPr>
        <w:spacing w:before="0" w:after="200" w:lineRule="auto" w:line="276"/>
      </w:pPr>
      <w:r>
        <w:rPr>
          <w:b/>
        </w:rPr>
        <w:t xml:space="preserve">Abstract (EN): </w:t>
      </w:r>
      <w:r>
        <w:t>Author(s): Mingya Duan and Michael UrbanNeutrino processes are important in the modeling of supernova explosions, proto-neutron star evolution, and binary neutron star mergers. We study neutrino production and absorption in proto-neutron star and supernova matter and direct Urca neutrino emission of neutron star matter in the framework of…[Phys. Rev. C 114, 025806] Published Mon Aug 24, 2026</w:t>
      </w:r>
    </w:p>
    <w:p>
      <w:pPr>
        <w:spacing w:before="120" w:after="120"/>
      </w:pPr>
      <w:r>
        <w:rPr>
          <w:sz w:val="18"/>
        </w:rPr>
        <w:t>——————————————————————————————————————————————————————————————————————</w:t>
      </w:r>
    </w:p>
    <w:p>
      <w:pPr>
        <w:spacing w:before="160" w:after="40" w:line="240" w:lineRule="auto"/>
      </w:pPr>
      <w:r>
        <w:rPr>
          <w:b/>
        </w:rPr>
        <w:t xml:space="preserve">[315] </w:t>
      </w:r>
      <w:hyperlink r:id="rId1074">
        <w:r>
          <w:rPr>
            <w:color w:val="1155CC"/>
            <w:u w:val="single"/>
          </w:rPr>
          <w:t>优化红宝石晶格上量子自旋湖的动态制备</w:t>
        </w:r>
      </w:hyperlink>
    </w:p>
    <w:p>
      <w:pPr>
        <w:spacing w:before="0" w:after="80"/>
      </w:pPr>
      <w:r>
        <w:rPr>
          <w:i/>
          <w:sz w:val="20"/>
        </w:rPr>
        <w:t>EN: Optimizing the Dynamical Preparation of Quantum Spin Lakes on the Ruby Lattice</w:t>
      </w:r>
    </w:p>
    <w:p>
      <w:pPr>
        <w:spacing w:before="0" w:after="120"/>
      </w:pPr>
      <w:r>
        <w:rPr>
          <w:b/>
        </w:rPr>
        <w:t xml:space="preserve">Source: </w:t>
      </w:r>
      <w:r>
        <w:t>Recent Articles in Phys. Rev. Lett.</w:t>
      </w:r>
      <w:r>
        <w:t xml:space="preserve">    </w:t>
      </w:r>
      <w:r>
        <w:rPr>
          <w:b/>
        </w:rPr>
        <w:t xml:space="preserve">Pub date: </w:t>
      </w:r>
      <w:r>
        <w:t>2026-08-24 10:00:00+00:00</w:t>
      </w:r>
      <w:r>
        <w:t xml:space="preserve">    </w:t>
      </w:r>
      <w:r>
        <w:rPr>
          <w:b/>
        </w:rPr>
        <w:t xml:space="preserve">DOI: </w:t>
      </w:r>
      <w:hyperlink r:id="rId1075">
        <w:r>
          <w:rPr>
            <w:color w:val="1155CC"/>
            <w:u w:val="single"/>
          </w:rPr>
          <w:t>10.1103/7dnl-6kg2</w:t>
        </w:r>
      </w:hyperlink>
    </w:p>
    <w:p>
      <w:pPr>
        <w:spacing w:before="0" w:after="120"/>
      </w:pPr>
      <w:r>
        <w:rPr>
          <w:b/>
        </w:rPr>
        <w:t xml:space="preserve">Notes: </w:t>
      </w:r>
      <w:r>
        <w:t>abstract_source=rss_description</w:t>
      </w:r>
    </w:p>
    <w:p>
      <w:pPr>
        <w:spacing w:before="0" w:after="80" w:lineRule="auto" w:line="276"/>
      </w:pPr>
      <w:r>
        <w:rPr>
          <w:b/>
        </w:rPr>
        <w:t xml:space="preserve">摘要（ZH）: </w:t>
      </w:r>
      <w:r>
        <w:t>作者：DinhDuy Vu、Dominik S. Kufel、Jack Kemp、Lode Pollet、Chris R. Laumann 和 Norman Y. Yao量子自旋液体是难以捉摸的长程纠缠态。受里德堡量子模拟器实验的推动，最近的兴奋集中在动态准备具有量子自旋液体相关性的状态的可能性上，即使基态相图没有表现出这样的情况……[物理学。莱特牧师。 137, 093402] 发布于 2026 年 8 月 24 日星期一</w:t>
      </w:r>
    </w:p>
    <w:p>
      <w:pPr>
        <w:spacing w:before="0" w:after="200" w:lineRule="auto" w:line="276"/>
      </w:pPr>
      <w:r>
        <w:rPr>
          <w:b/>
        </w:rPr>
        <w:t xml:space="preserve">Abstract (EN): </w:t>
      </w:r>
      <w:r>
        <w:t>Author(s): DinhDuy Vu, Dominik S. Kufel, Jack Kemp, Lode Pollet, Chris R. Laumann, and Norman Y. YaoQuantum spin liquids are elusive long-range entangled states. Motivated by experiments in Rydberg quantum simulators, recent excitement has centered on the possibility of dynamically preparing a state with quantum spin-liquid correlations even when the ground-state phase diagram does not exhibit suc…[Phys. Rev. Lett. 137, 093402] Published Mon Aug 24, 2026</w:t>
      </w:r>
    </w:p>
    <w:p>
      <w:pPr>
        <w:spacing w:before="120" w:after="120"/>
      </w:pPr>
      <w:r>
        <w:rPr>
          <w:sz w:val="18"/>
        </w:rPr>
        <w:t>——————————————————————————————————————————————————————————————————————</w:t>
      </w:r>
    </w:p>
    <w:p>
      <w:pPr>
        <w:spacing w:before="160" w:after="40" w:line="240" w:lineRule="auto"/>
      </w:pPr>
      <w:r>
        <w:rPr>
          <w:b/>
        </w:rPr>
        <w:t xml:space="preserve">[316] </w:t>
      </w:r>
      <w:hyperlink r:id="rId1076">
        <w:r>
          <w:rPr>
            <w:color w:val="1155CC"/>
            <w:u w:val="single"/>
          </w:rPr>
          <w:t>原子-分子量子简并混合物中相干三体复合的一阶相变</w:t>
        </w:r>
      </w:hyperlink>
    </w:p>
    <w:p>
      <w:pPr>
        <w:spacing w:before="0" w:after="80"/>
      </w:pPr>
      <w:r>
        <w:rPr>
          <w:i/>
          <w:sz w:val="20"/>
        </w:rPr>
        <w:t>EN: First-Order Phase Transition in Atom-Molecule Quantum Degenerate Mixtures with Coherent Three-Body Recombination</w:t>
      </w:r>
    </w:p>
    <w:p>
      <w:pPr>
        <w:spacing w:before="0" w:after="120"/>
      </w:pPr>
      <w:r>
        <w:rPr>
          <w:b/>
        </w:rPr>
        <w:t xml:space="preserve">Source: </w:t>
      </w:r>
      <w:r>
        <w:t>Recent Articles in Phys. Rev. Lett.</w:t>
      </w:r>
      <w:r>
        <w:t xml:space="preserve">    </w:t>
      </w:r>
      <w:r>
        <w:rPr>
          <w:b/>
        </w:rPr>
        <w:t xml:space="preserve">Pub date: </w:t>
      </w:r>
      <w:r>
        <w:t>2026-08-24 10:00:00+00:00</w:t>
      </w:r>
      <w:r>
        <w:t xml:space="preserve">    </w:t>
      </w:r>
      <w:r>
        <w:rPr>
          <w:b/>
        </w:rPr>
        <w:t xml:space="preserve">DOI: </w:t>
      </w:r>
      <w:hyperlink r:id="rId1077">
        <w:r>
          <w:rPr>
            <w:color w:val="1155CC"/>
            <w:u w:val="single"/>
          </w:rPr>
          <w:t>10.1103/llw4-tbnt</w:t>
        </w:r>
      </w:hyperlink>
    </w:p>
    <w:p>
      <w:pPr>
        <w:spacing w:before="0" w:after="120"/>
      </w:pPr>
      <w:r>
        <w:rPr>
          <w:b/>
        </w:rPr>
        <w:t xml:space="preserve">Notes: </w:t>
      </w:r>
      <w:r>
        <w:t>abstract_source=rss_description</w:t>
      </w:r>
    </w:p>
    <w:p>
      <w:pPr>
        <w:spacing w:before="0" w:after="80" w:lineRule="auto" w:line="276"/>
      </w:pPr>
      <w:r>
        <w:rPr>
          <w:b/>
        </w:rPr>
        <w:t xml:space="preserve">摘要（ZH）: </w:t>
      </w:r>
      <w:r>
        <w:t>作者：G. A. Bougas、A. Vardi、H. R. Sadeghpour、C. Chin 和 S. I. Mistakidis 我们用 Fano-Feshbach 和相干三体复合 (cTBR) 项绘制了二模原子-分子玻色-爱因斯坦凝聚体的相图。通过 Fano-Feshbach 共振调整分子能量时观察到的标准二阶相变被一阶 t 取代……[Phys.莱特牧师。 137, 093401] 发布于 2026 年 8 月 24 日星期一</w:t>
      </w:r>
    </w:p>
    <w:p>
      <w:pPr>
        <w:spacing w:before="0" w:after="200" w:lineRule="auto" w:line="276"/>
      </w:pPr>
      <w:r>
        <w:rPr>
          <w:b/>
        </w:rPr>
        <w:t xml:space="preserve">Abstract (EN): </w:t>
      </w:r>
      <w:r>
        <w:t>Author(s): G. A. Bougas, A. Vardi, H. R. Sadeghpour, C. Chin, and S. I. MistakidisWe map the phase diagram of a two-mode atom-molecule Bose-Einstein condensate with Fano-Feshbach and coherent three-body recombination (cTBR) terms. The standard second-order phase transition observed as the molecular energy is tuned through the Fano-Feshbach resonance is replaced by a first-order t…[Phys. Rev. Lett. 137, 093401] Published Mon Aug 24, 2026</w:t>
      </w:r>
    </w:p>
    <w:p>
      <w:pPr>
        <w:spacing w:before="120" w:after="120"/>
      </w:pPr>
      <w:r>
        <w:rPr>
          <w:sz w:val="18"/>
        </w:rPr>
        <w:t>——————————————————————————————————————————————————————————————————————</w:t>
      </w:r>
    </w:p>
    <w:p>
      <w:pPr>
        <w:spacing w:before="160" w:after="40" w:line="240" w:lineRule="auto"/>
      </w:pPr>
      <w:r>
        <w:rPr>
          <w:b/>
        </w:rPr>
        <w:t xml:space="preserve">[317] </w:t>
      </w:r>
      <w:hyperlink r:id="rId1078">
        <w:r>
          <w:rPr>
            <w:color w:val="1155CC"/>
            <w:u w:val="single"/>
          </w:rPr>
          <w:t>金属热迁移的热力学模型</w:t>
        </w:r>
      </w:hyperlink>
    </w:p>
    <w:p>
      <w:pPr>
        <w:spacing w:before="0" w:after="80"/>
      </w:pPr>
      <w:r>
        <w:rPr>
          <w:i/>
          <w:sz w:val="20"/>
        </w:rPr>
        <w:t>EN: Thermodynamic Model for Thermomigration in Metals</w:t>
      </w:r>
    </w:p>
    <w:p>
      <w:pPr>
        <w:spacing w:before="0" w:after="120"/>
      </w:pPr>
      <w:r>
        <w:rPr>
          <w:b/>
        </w:rPr>
        <w:t xml:space="preserve">Source: </w:t>
      </w:r>
      <w:r>
        <w:t>Recent Articles in Phys. Rev. Lett.</w:t>
      </w:r>
      <w:r>
        <w:t xml:space="preserve">    </w:t>
      </w:r>
      <w:r>
        <w:rPr>
          <w:b/>
        </w:rPr>
        <w:t xml:space="preserve">Pub date: </w:t>
      </w:r>
      <w:r>
        <w:t>2026-08-24 10:00:00+00:00</w:t>
      </w:r>
      <w:r>
        <w:t xml:space="preserve">    </w:t>
      </w:r>
      <w:r>
        <w:rPr>
          <w:b/>
        </w:rPr>
        <w:t xml:space="preserve">DOI: </w:t>
      </w:r>
      <w:hyperlink r:id="rId1079">
        <w:r>
          <w:rPr>
            <w:color w:val="1155CC"/>
            <w:u w:val="single"/>
          </w:rPr>
          <w:t>10.1103/196y-5h6h</w:t>
        </w:r>
      </w:hyperlink>
    </w:p>
    <w:p>
      <w:pPr>
        <w:spacing w:before="0" w:after="120"/>
      </w:pPr>
      <w:r>
        <w:rPr>
          <w:b/>
        </w:rPr>
        <w:t xml:space="preserve">Notes: </w:t>
      </w:r>
      <w:r>
        <w:t>abstract_source=rss_description</w:t>
      </w:r>
    </w:p>
    <w:p>
      <w:pPr>
        <w:spacing w:before="0" w:after="80" w:lineRule="auto" w:line="276"/>
      </w:pPr>
      <w:r>
        <w:rPr>
          <w:b/>
        </w:rPr>
        <w:t xml:space="preserve">摘要（ZH）: </w:t>
      </w:r>
      <w:r>
        <w:t>作者：Daniel J. Long、Edmund Tarleton、Alan C. F. Cocks 和 Felix Hofmann 我们研究了金属中间隙氢热迁移的机制。利用不可逆热力学，我们开发了一个全面的机械模型来捕捉控制效应。至关重要的是，通过对已发表的实验数据进行验证，我们的结果证明......[Phys。莱特牧师。 137, 096301] 发布于 2026 年 8 月 24 日星期一</w:t>
      </w:r>
    </w:p>
    <w:p>
      <w:pPr>
        <w:spacing w:before="0" w:after="200" w:lineRule="auto" w:line="276"/>
      </w:pPr>
      <w:r>
        <w:rPr>
          <w:b/>
        </w:rPr>
        <w:t xml:space="preserve">Abstract (EN): </w:t>
      </w:r>
      <w:r>
        <w:t>Author(s): Daniel J. Long, Edmund Tarleton, Alan C. F. Cocks, and Felix HofmannWe investigate the mechanisms involved in the thermomigration of interstitial hydrogen in metals. Using irreversible thermodynamics, we develop a comprehensive mechanistic model to capture the controlling effects. Crucially, through validation against published experimental data, our results demonst…[Phys. Rev. Lett. 137, 096301] Published Mon Aug 24, 2026</w:t>
      </w:r>
    </w:p>
    <w:p>
      <w:pPr>
        <w:spacing w:before="120" w:after="120"/>
      </w:pPr>
      <w:r>
        <w:rPr>
          <w:sz w:val="18"/>
        </w:rPr>
        <w:t>——————————————————————————————————————————————————————————————————————</w:t>
      </w:r>
    </w:p>
    <w:p>
      <w:pPr>
        <w:spacing w:before="160" w:after="40" w:line="240" w:lineRule="auto"/>
      </w:pPr>
      <w:r>
        <w:rPr>
          <w:b/>
        </w:rPr>
        <w:t xml:space="preserve">[318] </w:t>
      </w:r>
      <w:hyperlink r:id="rId1080">
        <w:r>
          <w:rPr>
            <w:color w:val="1155CC"/>
            <w:u w:val="single"/>
          </w:rPr>
          <w:t>半轻衰变${\mathrm{Ξ}}^{−}→\mathrm{Λ}{e}^{−}{\overline{ν}}_{e}$的绝对分支分数和${\mathrm{Ξ}}^{−}$的轴向电荷的测量</w:t>
        </w:r>
      </w:hyperlink>
    </w:p>
    <w:p>
      <w:pPr>
        <w:spacing w:before="0" w:after="80"/>
      </w:pPr>
      <w:r>
        <w:rPr>
          <w:i/>
          <w:sz w:val="20"/>
        </w:rPr>
        <w:t>EN: Measurements of the Absolute Branching Fraction of the Semileptonic Decay ${\mathrm{Ξ}}^{−}→\mathrm{Λ}{e}^{−}{\overline{ν}}_{e}$ and the Axial Charge of ${\mathrm{Ξ}}^{−}$</w:t>
      </w:r>
    </w:p>
    <w:p>
      <w:pPr>
        <w:spacing w:before="0" w:after="120"/>
      </w:pPr>
      <w:r>
        <w:rPr>
          <w:b/>
        </w:rPr>
        <w:t xml:space="preserve">Source: </w:t>
      </w:r>
      <w:r>
        <w:t>Recent Articles in Phys. Rev. Lett.</w:t>
      </w:r>
      <w:r>
        <w:t xml:space="preserve">    </w:t>
      </w:r>
      <w:r>
        <w:rPr>
          <w:b/>
        </w:rPr>
        <w:t xml:space="preserve">Pub date: </w:t>
      </w:r>
      <w:r>
        <w:t>2026-08-24 10:00:00+00:00</w:t>
      </w:r>
      <w:r>
        <w:t xml:space="preserve">    </w:t>
      </w:r>
      <w:r>
        <w:rPr>
          <w:b/>
        </w:rPr>
        <w:t xml:space="preserve">DOI: </w:t>
      </w:r>
      <w:hyperlink r:id="rId1081">
        <w:r>
          <w:rPr>
            <w:color w:val="1155CC"/>
            <w:u w:val="single"/>
          </w:rPr>
          <w:t>10.1103/zdc7-fcyf</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Ablikim 等人。 (BESIII 合作)利用 BESIII 探测器收集的 $(10\text{ }087±44)×{10}^{6}\text{ }\text{ }J/ψ$ 事件，我们首次在正负电子对撞机。绝对支化分数是针对第一个 ti 确定的……[Phys。莱特牧师。 137, 091801] 发布于 2026 年 8 月 24 日星期一</w:t>
      </w:r>
    </w:p>
    <w:p>
      <w:pPr>
        <w:spacing w:before="0" w:after="200" w:lineRule="auto" w:line="276"/>
      </w:pPr>
      <w:r>
        <w:rPr>
          <w:b/>
        </w:rPr>
        <w:t xml:space="preserve">Abstract (EN): </w:t>
      </w:r>
      <w:r>
        <w:t>Author(s): M. Ablikim et al. (BESIII Collaboration)Using $(10\text{ }087±44)×{10}^{6}\text{ }\text{ }J/ψ$ events collected with the BESIII detector, we study the semileptonic decay ${\mathrm{Ξ}}^{−}→\mathrm{Λ}{e}^{−}{\overline{ν}}_{e}$ for the first time at an electron-positron collider. The absolute branching fraction is determined for the first ti…[Phys. Rev. Lett. 137, 091801] Published Mon Aug 24, 2026</w:t>
      </w:r>
    </w:p>
    <w:p>
      <w:pPr>
        <w:spacing w:before="120" w:after="120"/>
      </w:pPr>
      <w:r>
        <w:rPr>
          <w:sz w:val="18"/>
        </w:rPr>
        <w:t>——————————————————————————————————————————————————————————————————————</w:t>
      </w:r>
    </w:p>
    <w:p>
      <w:pPr>
        <w:spacing w:before="160" w:after="40" w:line="240" w:lineRule="auto"/>
      </w:pPr>
      <w:r>
        <w:rPr>
          <w:b/>
        </w:rPr>
        <w:t xml:space="preserve">[319] </w:t>
      </w:r>
      <w:hyperlink r:id="rId1082">
        <w:r>
          <w:rPr>
            <w:color w:val="1155CC"/>
            <w:u w:val="single"/>
          </w:rPr>
          <w:t>液态金属旋转瑞利-贝纳德对流实验中的无扩散湍流</w:t>
        </w:r>
      </w:hyperlink>
    </w:p>
    <w:p>
      <w:pPr>
        <w:spacing w:before="0" w:after="80"/>
      </w:pPr>
      <w:r>
        <w:rPr>
          <w:i/>
          <w:sz w:val="20"/>
        </w:rPr>
        <w:t>EN: Diffusivity-Free Turbulence in Liquid Metal Rotating Rayleigh-Bénard Convection Experiments</w:t>
      </w:r>
    </w:p>
    <w:p>
      <w:pPr>
        <w:spacing w:before="0" w:after="120"/>
      </w:pPr>
      <w:r>
        <w:rPr>
          <w:b/>
        </w:rPr>
        <w:t xml:space="preserve">Source: </w:t>
      </w:r>
      <w:r>
        <w:t>Recent Articles in Phys. Rev. Lett.</w:t>
      </w:r>
      <w:r>
        <w:t xml:space="preserve">    </w:t>
      </w:r>
      <w:r>
        <w:rPr>
          <w:b/>
        </w:rPr>
        <w:t xml:space="preserve">Pub date: </w:t>
      </w:r>
      <w:r>
        <w:t>2026-08-24 10:00:00+00:00</w:t>
      </w:r>
      <w:r>
        <w:t xml:space="preserve">    </w:t>
      </w:r>
      <w:r>
        <w:rPr>
          <w:b/>
        </w:rPr>
        <w:t xml:space="preserve">DOI: </w:t>
      </w:r>
      <w:hyperlink r:id="rId1083">
        <w:r>
          <w:rPr>
            <w:color w:val="1155CC"/>
            <w:u w:val="single"/>
          </w:rPr>
          <w:t>10.1103/pc8y-j7g8</w:t>
        </w:r>
      </w:hyperlink>
    </w:p>
    <w:p>
      <w:pPr>
        <w:spacing w:before="0" w:after="120"/>
      </w:pPr>
      <w:r>
        <w:rPr>
          <w:b/>
        </w:rPr>
        <w:t xml:space="preserve">Notes: </w:t>
      </w:r>
      <w:r>
        <w:t>abstract_source=rss_description</w:t>
      </w:r>
    </w:p>
    <w:p>
      <w:pPr>
        <w:spacing w:before="0" w:after="80" w:lineRule="auto" w:line="276"/>
      </w:pPr>
      <w:r>
        <w:rPr>
          <w:b/>
        </w:rPr>
        <w:t xml:space="preserve">摘要（ZH）: </w:t>
      </w:r>
      <w:r>
        <w:t>作者：Jewel A. Abbate、Yufan Xu、Tobias Vogt、Susanne Horn、Keith Julien 和 Jonathan M. Aurnou 无扩散性旋转对流长期以来一直被理论认为控制行星和恒星内部，首次在传统实验室规模的瑞利-贝纳德对流装置中得到实验验证。莱特牧师。 137, 094101] 发布于 2026 年 8 月 24 日星期一</w:t>
      </w:r>
    </w:p>
    <w:p>
      <w:pPr>
        <w:spacing w:before="0" w:after="200" w:lineRule="auto" w:line="276"/>
      </w:pPr>
      <w:r>
        <w:rPr>
          <w:b/>
        </w:rPr>
        <w:t xml:space="preserve">Abstract (EN): </w:t>
      </w:r>
      <w:r>
        <w:t>Author(s): Jewel A. Abbate, Yufan Xu, Tobias Vogt, Susanne Horn, Keith Julien, and Jonathan M. AurnouDiffusivity-free rotating convection, long theorized to govern planetary and stellar interiors, is experimentally verified for the first time in traditional laboratory-scale Rayleigh-Bénard convection apparatuses.[Phys. Rev. Lett. 137, 094101] Published Mon Aug 24, 2026</w:t>
      </w:r>
    </w:p>
    <w:p>
      <w:pPr>
        <w:spacing w:before="120" w:after="120"/>
      </w:pPr>
      <w:r>
        <w:rPr>
          <w:sz w:val="18"/>
        </w:rPr>
        <w:t>——————————————————————————————————————————————————————————————————————</w:t>
      </w:r>
    </w:p>
    <w:p>
      <w:pPr>
        <w:spacing w:before="160" w:after="40" w:line="240" w:lineRule="auto"/>
      </w:pPr>
      <w:r>
        <w:rPr>
          <w:b/>
        </w:rPr>
        <w:t xml:space="preserve">[320] </w:t>
      </w:r>
      <w:hyperlink r:id="rId1084">
        <w:r>
          <w:rPr>
            <w:color w:val="1155CC"/>
            <w:u w:val="single"/>
          </w:rPr>
          <w:t>零阶贝塞尔光束高压区空中单面声悬浮</w:t>
        </w:r>
      </w:hyperlink>
    </w:p>
    <w:p>
      <w:pPr>
        <w:spacing w:before="0" w:after="80"/>
      </w:pPr>
      <w:r>
        <w:rPr>
          <w:i/>
          <w:sz w:val="20"/>
        </w:rPr>
        <w:t>EN: Midair Single-Sided Acoustic Levitation in High-Pressure Regions of Zero-Order Bessel Beams</w:t>
      </w:r>
    </w:p>
    <w:p>
      <w:pPr>
        <w:spacing w:before="0" w:after="120"/>
      </w:pPr>
      <w:r>
        <w:rPr>
          <w:b/>
        </w:rPr>
        <w:t xml:space="preserve">Source: </w:t>
      </w:r>
      <w:r>
        <w:t>Recent Articles in Phys. Rev. Lett.</w:t>
      </w:r>
      <w:r>
        <w:t xml:space="preserve">    </w:t>
      </w:r>
      <w:r>
        <w:rPr>
          <w:b/>
        </w:rPr>
        <w:t xml:space="preserve">Pub date: </w:t>
      </w:r>
      <w:r>
        <w:t>2026-08-24 10:00:00+00:00</w:t>
      </w:r>
      <w:r>
        <w:t xml:space="preserve">    </w:t>
      </w:r>
      <w:r>
        <w:rPr>
          <w:b/>
        </w:rPr>
        <w:t xml:space="preserve">DOI: </w:t>
      </w:r>
      <w:hyperlink r:id="rId1085">
        <w:r>
          <w:rPr>
            <w:color w:val="1155CC"/>
            <w:u w:val="single"/>
          </w:rPr>
          <w:t>10.1103/pfkh-4x7j</w:t>
        </w:r>
      </w:hyperlink>
    </w:p>
    <w:p>
      <w:pPr>
        <w:spacing w:before="0" w:after="120"/>
      </w:pPr>
      <w:r>
        <w:rPr>
          <w:b/>
        </w:rPr>
        <w:t xml:space="preserve">Notes: </w:t>
      </w:r>
      <w:r>
        <w:t>abstract_source=rss_description</w:t>
      </w:r>
    </w:p>
    <w:p>
      <w:pPr>
        <w:spacing w:before="0" w:after="80" w:lineRule="auto" w:line="276"/>
      </w:pPr>
      <w:r>
        <w:rPr>
          <w:b/>
        </w:rPr>
        <w:t xml:space="preserve">摘要（ZH）: </w:t>
      </w:r>
      <w:r>
        <w:t>作者：Yusuke Koroyasu、Christopher Stone、Yoichi Ochiai、Takayuki Hoshi、Bruce W. Drinkwater 和 Tatsuki Fushimi 声悬浮可以使用声波实现非接触式操作。虽然传统方法在压力节点（被高压包围的零压力区域）处捕获颗粒，但我们在零阶高压轴芯内证明了半空中稳定的声悬浮和平移......[Phys。莱特牧师。 137, 094001] 发布于 2026 年 8 月 24 日星期一</w:t>
      </w:r>
    </w:p>
    <w:p>
      <w:pPr>
        <w:spacing w:before="0" w:after="200" w:lineRule="auto" w:line="276"/>
      </w:pPr>
      <w:r>
        <w:rPr>
          <w:b/>
        </w:rPr>
        <w:t xml:space="preserve">Abstract (EN): </w:t>
      </w:r>
      <w:r>
        <w:t>Author(s): Yusuke Koroyasu, Christopher Stone, Yoichi Ochiai, Takayuki Hoshi, Bruce W. Drinkwater, and Tatsuki FushimiAcoustic levitation enables noncontact manipulation using sound waves. While conventional methods entrap particles at pressure nodes (zero-pressure region surrounded by high pressure), we demonstrate stable acoustic levitation and translation in midair within a high-pressure axial core of a zero-ord…[Phys. Rev. Lett. 137, 094001] Published Mon Aug 24, 2026</w:t>
      </w:r>
    </w:p>
    <w:p>
      <w:pPr>
        <w:spacing w:before="120" w:after="120"/>
      </w:pPr>
      <w:r>
        <w:rPr>
          <w:sz w:val="18"/>
        </w:rPr>
        <w:t>——————————————————————————————————————————————————————————————————————</w:t>
      </w:r>
    </w:p>
    <w:p>
      <w:pPr>
        <w:spacing w:before="160" w:after="40" w:line="240" w:lineRule="auto"/>
      </w:pPr>
      <w:r>
        <w:rPr>
          <w:b/>
        </w:rPr>
        <w:t xml:space="preserve">[321] </w:t>
      </w:r>
      <w:hyperlink r:id="rId1086">
        <w:r>
          <w:rPr>
            <w:color w:val="1155CC"/>
            <w:u w:val="single"/>
          </w:rPr>
          <w:t>在 $^{3}\mathrm{He}\text{−}α$ 散射中同时推断有效场论中的有效范围参数和截断不确定性</w:t>
        </w:r>
      </w:hyperlink>
    </w:p>
    <w:p>
      <w:pPr>
        <w:spacing w:before="0" w:after="80"/>
      </w:pPr>
      <w:r>
        <w:rPr>
          <w:i/>
          <w:sz w:val="20"/>
        </w:rPr>
        <w:t>EN: Simultaneous inference of effective range parameters and truncation uncertainty within effective field theory in $^{3}\mathrm{He}\text{−}α$ scattering</w:t>
      </w:r>
    </w:p>
    <w:p>
      <w:pPr>
        <w:spacing w:before="0" w:after="120"/>
      </w:pPr>
      <w:r>
        <w:rPr>
          <w:b/>
        </w:rPr>
        <w:t xml:space="preserve">Source: </w:t>
      </w:r>
      <w:r>
        <w:t>Recent Articles in Phys. Rev. C</w:t>
      </w:r>
      <w:r>
        <w:t xml:space="preserve">    </w:t>
      </w:r>
      <w:r>
        <w:rPr>
          <w:b/>
        </w:rPr>
        <w:t xml:space="preserve">Pub date: </w:t>
      </w:r>
      <w:r>
        <w:t>2026-08-24 10:00:00+00:00</w:t>
      </w:r>
      <w:r>
        <w:t xml:space="preserve">    </w:t>
      </w:r>
      <w:r>
        <w:rPr>
          <w:b/>
        </w:rPr>
        <w:t xml:space="preserve">DOI: </w:t>
      </w:r>
      <w:hyperlink r:id="rId1087">
        <w:r>
          <w:rPr>
            <w:color w:val="1155CC"/>
            <w:u w:val="single"/>
          </w:rPr>
          <w:t>10.1103/pbq7-szl7</w:t>
        </w:r>
      </w:hyperlink>
    </w:p>
    <w:p>
      <w:pPr>
        <w:spacing w:before="0" w:after="120"/>
      </w:pPr>
      <w:r>
        <w:rPr>
          <w:b/>
        </w:rPr>
        <w:t xml:space="preserve">Notes: </w:t>
      </w:r>
      <w:r>
        <w:t>abstract_source=rss_description</w:t>
      </w:r>
    </w:p>
    <w:p>
      <w:pPr>
        <w:spacing w:before="0" w:after="80" w:lineRule="auto" w:line="276"/>
      </w:pPr>
      <w:r>
        <w:rPr>
          <w:b/>
        </w:rPr>
        <w:t xml:space="preserve">摘要（ZH）: </w:t>
      </w:r>
      <w:r>
        <w:t>Author(s): Andrius Burnelis and Daniel R. PhillipsWe extend previous halo effective field theory analyses of low-energy elastic scattering of $^{3}\mathrm{He}\text{−}^{4}\mathrm{He}$, including the ${\frac{7}{2}}^{−}$ $f$-wave resonance as an explicit degree of freedom.这种共振的存在需要改变功率计数方案……[物理。 Rev. C 114, 024610] 于 2026 年 8 月 24 日星期一发布</w:t>
      </w:r>
    </w:p>
    <w:p>
      <w:pPr>
        <w:spacing w:before="0" w:after="200" w:lineRule="auto" w:line="276"/>
      </w:pPr>
      <w:r>
        <w:rPr>
          <w:b/>
        </w:rPr>
        <w:t xml:space="preserve">Abstract (EN): </w:t>
      </w:r>
      <w:r>
        <w:t>Author(s): Andrius Burnelis and Daniel R. PhillipsWe extend previous halo effective field theory analyses of low-energy elastic scattering of $^{3}\mathrm{He}\text{−}^{4}\mathrm{He}$, including the ${\frac{7}{2}}^{−}$ $f$-wave resonance as an explicit degree of freedom. The presence of this resonance necessitates a changing power counting scheme de…[Phys. Rev. C 114, 024610] Published Mon Aug 24, 2026</w:t>
      </w:r>
    </w:p>
    <w:p>
      <w:pPr>
        <w:spacing w:before="120" w:after="120"/>
      </w:pPr>
      <w:r>
        <w:rPr>
          <w:sz w:val="18"/>
        </w:rPr>
        <w:t>——————————————————————————————————————————————————————————————————————</w:t>
      </w:r>
    </w:p>
    <w:p>
      <w:pPr>
        <w:spacing w:before="160" w:after="40" w:line="240" w:lineRule="auto"/>
      </w:pPr>
      <w:r>
        <w:rPr>
          <w:b/>
        </w:rPr>
        <w:t xml:space="preserve">[322] </w:t>
      </w:r>
      <w:hyperlink r:id="rId1088">
        <w:r>
          <w:rPr>
            <w:color w:val="1155CC"/>
            <w:u w:val="single"/>
          </w:rPr>
          <w:t>光图案化嵌段共聚物可实现机械增强</w:t>
        </w:r>
      </w:hyperlink>
    </w:p>
    <w:p>
      <w:pPr>
        <w:spacing w:before="0" w:after="80"/>
      </w:pPr>
      <w:r>
        <w:rPr>
          <w:i/>
          <w:sz w:val="20"/>
        </w:rPr>
        <w:t>EN: Photopatterning Block Copolymer Enables Mechanical Enhancement</w:t>
      </w:r>
    </w:p>
    <w:p>
      <w:pPr>
        <w:spacing w:before="0" w:after="120"/>
      </w:pPr>
      <w:r>
        <w:rPr>
          <w:b/>
        </w:rPr>
        <w:t xml:space="preserve">Source: </w:t>
      </w:r>
      <w:r>
        <w:t>Wiley: Angewandte Chemie International Edition: Table of Contents</w:t>
      </w:r>
      <w:r>
        <w:t xml:space="preserve">    </w:t>
      </w:r>
      <w:r>
        <w:rPr>
          <w:b/>
        </w:rPr>
        <w:t xml:space="preserve">Pub date: </w:t>
      </w:r>
      <w:r>
        <w:t>2026-08-24 13:54:53+00:00</w:t>
      </w:r>
      <w:r>
        <w:t xml:space="preserve">    </w:t>
      </w:r>
      <w:r>
        <w:rPr>
          <w:b/>
        </w:rPr>
        <w:t xml:space="preserve">DOI: </w:t>
      </w:r>
      <w:hyperlink r:id="rId1089">
        <w:r>
          <w:rPr>
            <w:color w:val="1155CC"/>
            <w:u w:val="single"/>
          </w:rPr>
          <w:t>10.1002/anie.3898240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软硬集成架构为机械增强提供了强大的途径，但当前的制造方法经常遭受界面故障和有限的机械可调性的困扰。我们提出了一种多尺度策略，将分子光异构化、纳米级相分离和嵌段共聚物中的宏观光图案化相结合。分子光异构化允许从反式到顺式的可逆构象变化以及从刚性到软弹性的机械调节。微相分离的纳米域允许硬微相和软微相的切换并改变能量耗散。宏观光图案化增强了韧性并引导裂纹。这建立了分子响应-纳米级耗散-宏观几何的多尺度耦合范式，解决界面失效并拓宽可调机械区域。该系统采用剪纸切割和导电层涂层，与复杂表面集成，将机械变形转换为电信号，凸显其在柔性传感和电子领域的潜力。</w:t>
      </w:r>
    </w:p>
    <w:p>
      <w:pPr>
        <w:spacing w:before="0" w:after="200" w:lineRule="auto" w:line="276"/>
      </w:pPr>
      <w:r>
        <w:rPr>
          <w:b/>
        </w:rPr>
        <w:t xml:space="preserve">Abstract (EN): </w:t>
      </w:r>
      <w:r>
        <w:t>Soft–hard integrated architectures provide a powerful route to mechanical enhancement, but current fabrication methods often suffer from interfacial failure and limited mechanical tunability. We propose a multiscale strategy by combining molecular photoisomerization, nanoscale phase separation, and macroscopic photopatterning in block copolymers. Molecular photoisomerization allows for reversible conformational changes from trans to cis and mechanical tuning from stiffness to soft elastics. Microphase‐separated nanodomains permit switching of hard and soft microphases and alter the energy dissipation. Macroscale photopatterning enhances the toughness and guides the cracks. This establishes a multiscale coupling paradigm of molecular response‐nanoscale dissipation‐macroscopic geometry, addressing interfacial failure and broadening the tunable mechanical region. Using kirigami cutting and conductive layer coating, the system is integrated with complex surfaces to convert mechanical deformation into electrical signals, highlighting its potential in flexible sensing and electronics.</w:t>
      </w:r>
    </w:p>
    <w:p>
      <w:pPr>
        <w:spacing w:before="120" w:after="120"/>
      </w:pPr>
      <w:r>
        <w:rPr>
          <w:sz w:val="18"/>
        </w:rPr>
        <w:t>——————————————————————————————————————————————————————————————————————</w:t>
      </w:r>
    </w:p>
    <w:p>
      <w:pPr>
        <w:spacing w:before="160" w:after="40" w:line="240" w:lineRule="auto"/>
      </w:pPr>
      <w:r>
        <w:rPr>
          <w:b/>
        </w:rPr>
        <w:t xml:space="preserve">[323] </w:t>
      </w:r>
      <w:hyperlink r:id="rId1090">
        <w:r>
          <w:rPr>
            <w:color w:val="1155CC"/>
            <w:u w:val="single"/>
          </w:rPr>
          <w:t>P 导向和路易斯酸辅助的 Pd 催化 Si─Me 键活化，实现硅上的烷基交换</w:t>
        </w:r>
      </w:hyperlink>
    </w:p>
    <w:p>
      <w:pPr>
        <w:spacing w:before="0" w:after="80"/>
      </w:pPr>
      <w:r>
        <w:rPr>
          <w:i/>
          <w:sz w:val="20"/>
        </w:rPr>
        <w:t>EN: P‐Directed and Lewis Acid‐Assisted Pd‐Catalyzed Si─Me Bond Activation Enabling Alkyl Exchange at Silicon</w:t>
      </w:r>
    </w:p>
    <w:p>
      <w:pPr>
        <w:spacing w:before="0" w:after="120"/>
      </w:pPr>
      <w:r>
        <w:rPr>
          <w:b/>
        </w:rPr>
        <w:t xml:space="preserve">Source: </w:t>
      </w:r>
      <w:r>
        <w:t>Wiley: Angewandte Chemie International Edition: Table of Contents</w:t>
      </w:r>
      <w:r>
        <w:t xml:space="preserve">    </w:t>
      </w:r>
      <w:r>
        <w:rPr>
          <w:b/>
        </w:rPr>
        <w:t xml:space="preserve">Pub date: </w:t>
      </w:r>
      <w:r>
        <w:t>2026-08-24 13:57:02+00:00</w:t>
      </w:r>
      <w:r>
        <w:t xml:space="preserve">    </w:t>
      </w:r>
      <w:r>
        <w:rPr>
          <w:b/>
        </w:rPr>
        <w:t xml:space="preserve">DOI: </w:t>
      </w:r>
      <w:hyperlink r:id="rId1091">
        <w:r>
          <w:rPr>
            <w:color w:val="1155CC"/>
            <w:u w:val="single"/>
          </w:rPr>
          <w:t>10.1002/anie.1850136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通过P导向基团、钯催化剂和路易斯酸的协同作用，揭示了一种Si─Me键活化的新模式。通过化学计量实验阐明了路易斯酸在激活强且低极性的 Si─Me 键方面的关键作用。根据 DFT 计算，路易斯酸充当 Me</w:t>
      </w:r>
      <w:r>
        <w:t xml:space="preserve"> </w:t>
      </w:r>
      <w:r>
        <w:t>-</w:t>
      </w:r>
      <w:r>
        <w:t>受体并触发关键阳离子甲硅烷基 Pd 络合物的形成，该络合物负责 Si 上的烷基交换。这种史无前例的Si─Me键转变已通过四步顺序得到证明，从而实现了Me的逐步升级</w:t>
      </w:r>
      <w:r>
        <w:rPr>
          <w:vertAlign w:val="subscript"/>
        </w:rPr>
        <w:t>3</w:t>
      </w:r>
      <w:r>
        <w:t>SiCl 转化为带有多种有机取代基的硅烷醇。</w:t>
      </w:r>
    </w:p>
    <w:p>
      <w:pPr>
        <w:spacing w:before="0" w:after="200" w:lineRule="auto" w:line="276"/>
      </w:pPr>
      <w:r>
        <w:rPr>
          <w:b/>
        </w:rPr>
        <w:t xml:space="preserve">Abstract (EN): </w:t>
      </w:r>
      <w:r>
        <w:t>A novel mode of Si─Me bond activation has been unveiled through the cooperative action of a P‐directing group, a palladium catalyst and a Lewis acid. The pivotal role of the Lewis acid in enabling the activation of the strong and low‐polarity Si─Me bond was elucidated via stoichiometric experiments. According to DFT calculations, the Lewis acid acts as a Me</w:t>
      </w:r>
      <w:r>
        <w:t xml:space="preserve"> </w:t>
      </w:r>
      <w:r>
        <w:t>−</w:t>
      </w:r>
      <w:r>
        <w:t>acceptor and triggers the formation of the key cationic silyl Pd complex responsible for the alkyl exchange at Si. This unprecedented Si─Me bond transformation has been demonstrated in a four‐step sequence, enabling the stepwise upgrading of Me</w:t>
      </w:r>
      <w:r>
        <w:rPr>
          <w:vertAlign w:val="subscript"/>
        </w:rPr>
        <w:t>3</w:t>
      </w:r>
      <w:r>
        <w:t>SiCl into silanols bearing diverse organic substituents.</w:t>
      </w:r>
    </w:p>
    <w:p>
      <w:pPr>
        <w:spacing w:before="120" w:after="120"/>
      </w:pPr>
      <w:r>
        <w:rPr>
          <w:sz w:val="18"/>
        </w:rPr>
        <w:t>——————————————————————————————————————————————————————————————————————</w:t>
      </w:r>
    </w:p>
    <w:p>
      <w:pPr>
        <w:spacing w:before="160" w:after="40" w:line="240" w:lineRule="auto"/>
      </w:pPr>
      <w:r>
        <w:rPr>
          <w:b/>
        </w:rPr>
        <w:t xml:space="preserve">[324] </w:t>
      </w:r>
      <w:hyperlink r:id="rId1092">
        <w:r>
          <w:rPr>
            <w:color w:val="1155CC"/>
            <w:u w:val="single"/>
          </w:rPr>
          <w:t>维度控制异质工程的与格 B←N 框架的自适应组装</w:t>
        </w:r>
      </w:hyperlink>
    </w:p>
    <w:p>
      <w:pPr>
        <w:spacing w:before="0" w:after="80"/>
      </w:pPr>
      <w:r>
        <w:rPr>
          <w:i/>
          <w:sz w:val="20"/>
        </w:rPr>
        <w:t>EN: Adaptive Assembly of Dative B←N Frameworks for Dimension‐Controlled Hetero‐Engineering</w:t>
      </w:r>
    </w:p>
    <w:p>
      <w:pPr>
        <w:spacing w:before="0" w:after="120"/>
      </w:pPr>
      <w:r>
        <w:rPr>
          <w:b/>
        </w:rPr>
        <w:t xml:space="preserve">Source: </w:t>
      </w:r>
      <w:r>
        <w:t>Wiley: Angewandte Chemie International Edition: Table of Contents</w:t>
      </w:r>
      <w:r>
        <w:t xml:space="preserve">    </w:t>
      </w:r>
      <w:r>
        <w:rPr>
          <w:b/>
        </w:rPr>
        <w:t xml:space="preserve">Pub date: </w:t>
      </w:r>
      <w:r>
        <w:t>2026-08-24 14:01:07+00:00</w:t>
      </w:r>
      <w:r>
        <w:t xml:space="preserve">    </w:t>
      </w:r>
      <w:r>
        <w:rPr>
          <w:b/>
        </w:rPr>
        <w:t xml:space="preserve">DOI: </w:t>
      </w:r>
      <w:hyperlink r:id="rId1093">
        <w:r>
          <w:rPr>
            <w:color w:val="1155CC"/>
            <w:u w:val="single"/>
          </w:rPr>
          <w:t>10.1002/anie.1750323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具有空间分辨发射的发光异质结构为光电应用带来了巨大的希望，但由于不同组件的不确定集成，刺激响应异质结构的尺寸控制异质组装仍然是一个重大挑战。在此，我们报告了与格 B←N 框架中的自适应组装策略，能够实现具有刺激响应特性的发光异质结构的尺寸控制合成。环硼氧烷单元的构象灵活性允许外延配体形成与种子配体相似的构象，从而触发不同框架之间的适应性异质组装。此外，种子配体和外延配体侧链结构的相似性决定了异质界面的空间匹配程度，通过调整配体侧链的结构类型可以精确调控界面晶格匹配和组装方向，从而构建一维和二维B←N骨架异质结构。由此产生的异质结构通过继承配体的分子内电荷转移而表现出空间分辨的刺激响应发射，充当具有多级认证能力的光子条形码标签。这些发现提供了对将可调维度与响应功能相结合的光学异质结构的见解。</w:t>
      </w:r>
    </w:p>
    <w:p>
      <w:pPr>
        <w:spacing w:before="0" w:after="200" w:lineRule="auto" w:line="276"/>
      </w:pPr>
      <w:r>
        <w:rPr>
          <w:b/>
        </w:rPr>
        <w:t xml:space="preserve">Abstract (EN): </w:t>
      </w:r>
      <w:r>
        <w:t>Luminescent heterostructures with spatially resolved emission hold great promise for optoelectronic applications, yet dimension‐controlled hetero‐assembly for stimuli‐responsive heterostructures remains a significant challenge owing to the uncertain integration of distinct components. Herein, we reported an adaptive assembly strategy in dative B←N framework, enabling dimension‐controlled synthesis of luminescent heterostructures with stimuli‐responsive properties. The conformational flexibility of boroxine units permit the epitaxial ligand to form the similar conformation as the seed ligand, triggering the adaptive hetero‐assembly between different frameworks. Moreover, the structural similarity on side chains of seed and epitaxial ligands determines the spatial matching degree at heterointerface, and thus adjusting the structural types of ligand side chains enables precise regulation of both the interfacial lattice matching and assembly orientation, thereby constructing one‐dimensional and two‐dimensional B←N framework heterostructures. The resulting heterostructures exhibit spatially‐resolved stimuli‐responsive emission by inheriting intramolecular charge transfer of ligands, functioning as photonic barcode labels with multi‐level authentication capability. These findings provide insights into optical heterostructures that combine tunable dimensionality with responsive functionality.</w:t>
      </w:r>
    </w:p>
    <w:p>
      <w:pPr>
        <w:spacing w:before="120" w:after="120"/>
      </w:pPr>
      <w:r>
        <w:rPr>
          <w:sz w:val="18"/>
        </w:rPr>
        <w:t>——————————————————————————————————————————————————————————————————————</w:t>
      </w:r>
    </w:p>
    <w:p>
      <w:pPr>
        <w:spacing w:before="160" w:after="40" w:line="240" w:lineRule="auto"/>
      </w:pPr>
      <w:r>
        <w:rPr>
          <w:b/>
        </w:rPr>
        <w:t xml:space="preserve">[325] </w:t>
      </w:r>
      <w:hyperlink r:id="rId1094">
        <w:r>
          <w:rPr>
            <w:color w:val="1155CC"/>
            <w:u w:val="single"/>
          </w:rPr>
          <w:t>抗干扰机械发光比率剂量测定</w:t>
        </w:r>
      </w:hyperlink>
    </w:p>
    <w:p>
      <w:pPr>
        <w:spacing w:before="0" w:after="80"/>
      </w:pPr>
      <w:r>
        <w:rPr>
          <w:i/>
          <w:sz w:val="20"/>
        </w:rPr>
        <w:t>EN: Interference‐Resisting Mechanoluminescence Ratiometric Dosimetry</w:t>
      </w:r>
    </w:p>
    <w:p>
      <w:pPr>
        <w:spacing w:before="0" w:after="120"/>
      </w:pPr>
      <w:r>
        <w:rPr>
          <w:b/>
        </w:rPr>
        <w:t xml:space="preserve">Source: </w:t>
      </w:r>
      <w:r>
        <w:t>Wiley: Advanced Materials: Table of Contents</w:t>
      </w:r>
      <w:r>
        <w:t xml:space="preserve">    </w:t>
      </w:r>
      <w:r>
        <w:rPr>
          <w:b/>
        </w:rPr>
        <w:t xml:space="preserve">Pub date: </w:t>
      </w:r>
      <w:r>
        <w:t>2026-08-24 14:03:38+00:00</w:t>
      </w:r>
      <w:r>
        <w:t xml:space="preserve">    </w:t>
      </w:r>
      <w:r>
        <w:rPr>
          <w:b/>
        </w:rPr>
        <w:t xml:space="preserve">DOI: </w:t>
      </w:r>
      <w:hyperlink r:id="rId1095">
        <w:r>
          <w:rPr>
            <w:color w:val="1155CC"/>
            <w:u w:val="single"/>
          </w:rPr>
          <w:t>10.1002/adma.74687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准确可靠的辐射剂量测定对于从癌症放射治疗到核安全和太空探索等应用至关重要。虽然热释光和光刺激发光作为基准技术，但它们固有的破坏性读出机制妨碍了对吸收剂量的直接、重复验证，并且需要复杂的实验室程序。在这里，我们提出了一种新颖的机械发光（ML）比率剂量测定法。这取决于 KMgF</w:t>
      </w:r>
      <w:r>
        <w:rPr>
          <w:vertAlign w:val="subscript"/>
        </w:rPr>
        <w:t>3</w:t>
      </w:r>
      <w:r>
        <w:t>:Sm</w:t>
      </w:r>
      <w:r>
        <w:t xml:space="preserve"> </w:t>
      </w:r>
      <w:r>
        <w:t>2+,3+</w:t>
      </w:r>
      <w:r>
        <w:t xml:space="preserve"> </w:t>
      </w:r>
      <w:r>
        <w:t>可以在 685 nm（Sm</w:t>
      </w:r>
      <w:r>
        <w:t xml:space="preserve"> </w:t>
      </w:r>
      <w:r>
        <w:t>2+</w:t>
      </w:r>
      <w:r>
        <w:t xml:space="preserve"> </w:t>
      </w:r>
      <w:r>
        <w:t>:</w:t>
      </w:r>
      <w:r>
        <w:rPr>
          <w:vertAlign w:val="subscript"/>
        </w:rPr>
        <w:t>5</w:t>
      </w:r>
      <w:r>
        <w:t>D</w:t>
      </w:r>
      <w:r>
        <w:rPr>
          <w:vertAlign w:val="subscript"/>
        </w:rPr>
        <w:t>0</w:t>
      </w:r>
      <w:r>
        <w:t>→</w:t>
      </w:r>
      <w:r>
        <w:rPr>
          <w:vertAlign w:val="subscript"/>
        </w:rPr>
        <w:t>7</w:t>
      </w:r>
      <w:r>
        <w:t>F</w:t>
      </w:r>
      <w:r>
        <w:rPr>
          <w:vertAlign w:val="subscript"/>
        </w:rPr>
        <w:t>0</w:t>
      </w:r>
      <w:r>
        <w:t>）和 602 nm（Sm</w:t>
      </w:r>
      <w:r>
        <w:t xml:space="preserve"> </w:t>
      </w:r>
      <w:r>
        <w:t>3+</w:t>
      </w:r>
      <w:r>
        <w:t xml:space="preserve"> </w:t>
      </w:r>
      <w:r>
        <w:t>:</w:t>
      </w:r>
      <w:r>
        <w:rPr>
          <w:vertAlign w:val="subscript"/>
        </w:rPr>
        <w:t>4</w:t>
      </w:r>
      <w:r>
        <w:t>G</w:t>
      </w:r>
      <w:r>
        <w:t xml:space="preserve"> </w:t>
      </w:r>
      <w:r>
        <w:t>5/2</w:t>
      </w:r>
      <w:r>
        <w:t xml:space="preserve"> </w:t>
      </w:r>
      <w:r>
        <w:t>→</w:t>
      </w:r>
      <w:r>
        <w:rPr>
          <w:vertAlign w:val="subscript"/>
        </w:rPr>
        <w:t>6</w:t>
      </w:r>
      <w:r>
        <w:t>H</w:t>
      </w:r>
      <w:r>
        <w:t xml:space="preserve"> </w:t>
      </w:r>
      <w:r>
        <w:t>7/2</w:t>
      </w:r>
      <w:r>
        <w:t xml:space="preserve"> </w:t>
      </w:r>
      <w:r>
        <w:t>）在外力刺激下。 602 nm 波段与 685 nm 波段的 ML 强度比随着 X 射线辐射剂量的增加而线性增加。这种比例方法提供了强大的内部自校准，使读数不受应力大小或持续时间波动的影响，这是先前基于 ML 强度的方法的致命缺陷。因此，我们只需按下 KMgF 即可获得 X 射线剂量</w:t>
      </w:r>
      <w:r>
        <w:rPr>
          <w:vertAlign w:val="subscript"/>
        </w:rPr>
        <w:t>3</w:t>
      </w:r>
    </w:p>
    <w:p>
      <w:pPr>
        <w:spacing w:before="0" w:after="200" w:lineRule="auto" w:line="276"/>
      </w:pPr>
      <w:r>
        <w:rPr>
          <w:b/>
        </w:rPr>
        <w:t xml:space="preserve">Abstract (EN): </w:t>
      </w:r>
      <w:r>
        <w:t>Accurate and reliable radiation dosimetry is critical for applications ranging from cancer radiotherapy to nuclear safety and space exploration. While thermoluminescence and optically stimulated luminescence serve as benchmark technologies, their inherently destructive readout mechanisms preclude the straightforward, repeated verification of an absorbed dose and require complex laboratory procedures. Here, we propose a novel mechanoluminescence (ML) ratiometric dosimetry. It depends on KMgF</w:t>
      </w:r>
      <w:r>
        <w:rPr>
          <w:vertAlign w:val="subscript"/>
        </w:rPr>
        <w:t>3</w:t>
      </w:r>
      <w:r>
        <w:t>:Sm</w:t>
      </w:r>
      <w:r>
        <w:t xml:space="preserve"> </w:t>
      </w:r>
      <w:r>
        <w:t>2+,3+</w:t>
      </w:r>
      <w:r>
        <w:t xml:space="preserve"> </w:t>
      </w:r>
      <w:r>
        <w:t>that can exhibit both ML at 685 nm (Sm</w:t>
      </w:r>
      <w:r>
        <w:t xml:space="preserve"> </w:t>
      </w:r>
      <w:r>
        <w:t>2+</w:t>
      </w:r>
      <w:r>
        <w:t xml:space="preserve"> </w:t>
      </w:r>
      <w:r>
        <w:t>:</w:t>
      </w:r>
      <w:r>
        <w:rPr>
          <w:vertAlign w:val="subscript"/>
        </w:rPr>
        <w:t>5</w:t>
      </w:r>
      <w:r>
        <w:t>D</w:t>
      </w:r>
      <w:r>
        <w:rPr>
          <w:vertAlign w:val="subscript"/>
        </w:rPr>
        <w:t>0</w:t>
      </w:r>
      <w:r>
        <w:t>→</w:t>
      </w:r>
      <w:r>
        <w:rPr>
          <w:vertAlign w:val="subscript"/>
        </w:rPr>
        <w:t>7</w:t>
      </w:r>
      <w:r>
        <w:t>F</w:t>
      </w:r>
      <w:r>
        <w:rPr>
          <w:vertAlign w:val="subscript"/>
        </w:rPr>
        <w:t>0</w:t>
      </w:r>
      <w:r>
        <w:t>) and 602 nm (Sm</w:t>
      </w:r>
      <w:r>
        <w:t xml:space="preserve"> </w:t>
      </w:r>
      <w:r>
        <w:t>3+</w:t>
      </w:r>
      <w:r>
        <w:t xml:space="preserve"> </w:t>
      </w:r>
      <w:r>
        <w:t>:</w:t>
      </w:r>
      <w:r>
        <w:rPr>
          <w:vertAlign w:val="subscript"/>
        </w:rPr>
        <w:t>4</w:t>
      </w:r>
      <w:r>
        <w:t>G</w:t>
      </w:r>
      <w:r>
        <w:t xml:space="preserve"> </w:t>
      </w:r>
      <w:r>
        <w:t>5/2</w:t>
      </w:r>
      <w:r>
        <w:t xml:space="preserve"> </w:t>
      </w:r>
      <w:r>
        <w:t>→</w:t>
      </w:r>
      <w:r>
        <w:rPr>
          <w:vertAlign w:val="subscript"/>
        </w:rPr>
        <w:t>6</w:t>
      </w:r>
      <w:r>
        <w:t>H</w:t>
      </w:r>
      <w:r>
        <w:t xml:space="preserve"> </w:t>
      </w:r>
      <w:r>
        <w:t>7/2</w:t>
      </w:r>
      <w:r>
        <w:t xml:space="preserve"> </w:t>
      </w:r>
      <w:r>
        <w:t>) under external force stimulation. The ML intensity ratio of the 602 nm band to the 685 nm band increases linearly with increasing the radiation dosage of x‐rays. This ratiometric approach provides a robust internal self‐calibration, making the readout immune to fluctuations in stress magnitude or duration, a fatal flaw in prior ML intensity‐based methods. Therefore, we can obtain the x‐ray dose simply by pressing the KMgF</w:t>
      </w:r>
      <w:r>
        <w:rPr>
          <w:vertAlign w:val="subscript"/>
        </w:rPr>
        <w:t>3</w:t>
      </w:r>
      <w:r>
        <w:t>:Sm</w:t>
      </w:r>
      <w:r>
        <w:t xml:space="preserve"> </w:t>
      </w:r>
      <w:r>
        <w:t>2+,3+</w:t>
      </w:r>
      <w:r>
        <w:t xml:space="preserve"> </w:t>
      </w:r>
      <w:r>
        <w:t>samples. This strategy allows for multiple, nondestructive measurements, enabling on‐demand verification of radiation doses with unparalleled simplicity.</w:t>
      </w:r>
    </w:p>
    <w:p>
      <w:pPr>
        <w:spacing w:before="120" w:after="120"/>
      </w:pPr>
      <w:r>
        <w:rPr>
          <w:sz w:val="18"/>
        </w:rPr>
        <w:t>——————————————————————————————————————————————————————————————————————</w:t>
      </w:r>
    </w:p>
    <w:p>
      <w:pPr>
        <w:spacing w:before="160" w:after="40" w:line="240" w:lineRule="auto"/>
      </w:pPr>
      <w:r>
        <w:rPr>
          <w:b/>
        </w:rPr>
        <w:t xml:space="preserve">[326] </w:t>
      </w:r>
      <w:hyperlink r:id="rId1096">
        <w:r>
          <w:rPr>
            <w:color w:val="1155CC"/>
            <w:u w:val="single"/>
          </w:rPr>
          <w:t>定制蛋白冠的模拟病原体脂质体用于胶质母细胞瘤的精准治疗</w:t>
        </w:r>
      </w:hyperlink>
    </w:p>
    <w:p>
      <w:pPr>
        <w:spacing w:before="0" w:after="80"/>
      </w:pPr>
      <w:r>
        <w:rPr>
          <w:i/>
          <w:sz w:val="20"/>
        </w:rPr>
        <w:t>EN: Pathogen‐Mimetic Liposomes Customizing Protein Corona for Precision Glioblastoma Therapy</w:t>
      </w:r>
    </w:p>
    <w:p>
      <w:pPr>
        <w:spacing w:before="0" w:after="120"/>
      </w:pPr>
      <w:r>
        <w:rPr>
          <w:b/>
        </w:rPr>
        <w:t xml:space="preserve">Source: </w:t>
      </w:r>
      <w:r>
        <w:t>Wiley: Advanced Materials: Table of Contents</w:t>
      </w:r>
      <w:r>
        <w:t xml:space="preserve">    </w:t>
      </w:r>
      <w:r>
        <w:rPr>
          <w:b/>
        </w:rPr>
        <w:t xml:space="preserve">Pub date: </w:t>
      </w:r>
      <w:r>
        <w:t>2026-08-24 14:07:05+00:00</w:t>
      </w:r>
      <w:r>
        <w:t xml:space="preserve">    </w:t>
      </w:r>
      <w:r>
        <w:rPr>
          <w:b/>
        </w:rPr>
        <w:t xml:space="preserve">DOI: </w:t>
      </w:r>
      <w:hyperlink r:id="rId1097">
        <w:r>
          <w:rPr>
            <w:color w:val="1155CC"/>
            <w:u w:val="single"/>
          </w:rPr>
          <w:t>10.1002/adma.74780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利用中性粒细胞（NE）作为内源性传动装置，为跨越血脑屏障（BBB）治疗胶质母细胞瘤（GBM）等中枢神经系统（CNS）恶性肿瘤提供了一种有前景的策略。然而，NEs 的体内搭便车效率受到非特异性蛋白冠自发形成的严重限制。在这里，我们提出了模拟病原体脂质体（PM-Lipo），它可以通过对体内蛋白冠进行编程，实现高效、精确的 NE 搭便车。 PM-Lipo 经过合理设计，可优先富集补体 3b (C3b) 和失活的 C3b (iC3b)，从而重现内源性补体调理作用并促进激活的 NE 介导的补体受体 3 (CR3) 识别。这种效应源于两种功能性脂质的协同整合，激活不同的补体途径，触发蛋白水解级联反应并产生正反馈，从而放大 C3b/iC3b 沉积。我们的结果表明，PM-Lipo 对激活的 NE 的靶向效率超过 85%，从而实现了通过 BBB 的搭便车介导的运输，其中 8.94% 的 PM-Lipo 成功穿透大脑，导致显着的肿瘤抑制和中位生存期延长两倍以上。我们的研究建立了一种蛋白质电晕编程策略，利用内源性免疫细胞进行靶向药物输送，为中枢神经系统恶性肿瘤的精准纳米医学提供了广泛适用的范例。</w:t>
      </w:r>
    </w:p>
    <w:p>
      <w:pPr>
        <w:spacing w:before="0" w:after="200" w:lineRule="auto" w:line="276"/>
      </w:pPr>
      <w:r>
        <w:rPr>
          <w:b/>
        </w:rPr>
        <w:t xml:space="preserve">Abstract (EN): </w:t>
      </w:r>
      <w:r>
        <w:t>Employing neutrophils (NEs) as endogenous moving gears offers a promising strategy for crossing the blood–brain barrier (BBB) in the treatment of central nervous system (CNS) malignancies such as glioblastoma (GBM). However, in vivo hitchhiking efficiency of NEs is severely limited by spontaneous formation of a nonspecific protein corona. Here, we present pathogen‐mimetic liposomes (PM‐Lipo) that enable efficient and precise NEs hitchhiking by programming the in vivo protein corona. PM‐Lipo is rationally engineered to preferentially enrich complement 3b (C3b) and inactivated C3b (iC3b), thereby recapitulating endogenous complement opsonization and promoting complement receptor 3 (CR3)‐mediated recognition by activated NEs. This effect arises from the synergistic integration of two functional lipids that activate distinct complement pathways, triggering a proteolytic cascade with positive feedback to amplify C3b/iC3b deposition. Our results demonstrate that PM‐Lipo achieved &amp;gt;85% targeting efficiency toward activated NEs, enabling hitchhiking‐mediated transport across the BBB, with 8.94% of the administered PM‐Lipo successfully penetrating the brain, leading to marked tumor suppression and more than a twofold extension in median survival. Our research establishes a protein corona programming strategy to harness endogenous immune cells for targeted drug delivery, offering a broadly applicable paradigm for precision nanomedicine in CNS malignancies.</w:t>
      </w:r>
    </w:p>
    <w:p>
      <w:pPr>
        <w:spacing w:before="120" w:after="120"/>
      </w:pPr>
      <w:r>
        <w:rPr>
          <w:sz w:val="18"/>
        </w:rPr>
        <w:t>——————————————————————————————————————————————————————————————————————</w:t>
      </w:r>
    </w:p>
    <w:p>
      <w:pPr>
        <w:spacing w:before="160" w:after="40" w:line="240" w:lineRule="auto"/>
      </w:pPr>
      <w:r>
        <w:rPr>
          <w:b/>
        </w:rPr>
        <w:t xml:space="preserve">[327] </w:t>
      </w:r>
      <w:hyperlink r:id="rId1098">
        <w:r>
          <w:rPr>
            <w:color w:val="1155CC"/>
            <w:u w:val="single"/>
          </w:rPr>
          <w:t>全淀粉样蛋白功能凝聚层</w:t>
        </w:r>
      </w:hyperlink>
    </w:p>
    <w:p>
      <w:pPr>
        <w:spacing w:before="0" w:after="80"/>
      </w:pPr>
      <w:r>
        <w:rPr>
          <w:i/>
          <w:sz w:val="20"/>
        </w:rPr>
        <w:t>EN: All‐Amyloid Functional Coacervates</w:t>
      </w:r>
    </w:p>
    <w:p>
      <w:pPr>
        <w:spacing w:before="0" w:after="120"/>
      </w:pPr>
      <w:r>
        <w:rPr>
          <w:b/>
        </w:rPr>
        <w:t xml:space="preserve">Source: </w:t>
      </w:r>
      <w:r>
        <w:t>Wiley: Advanced Materials: Table of Contents</w:t>
      </w:r>
      <w:r>
        <w:t xml:space="preserve">    </w:t>
      </w:r>
      <w:r>
        <w:rPr>
          <w:b/>
        </w:rPr>
        <w:t xml:space="preserve">Pub date: </w:t>
      </w:r>
      <w:r>
        <w:t>2026-08-24 14:12:17+00:00</w:t>
      </w:r>
      <w:r>
        <w:t xml:space="preserve">    </w:t>
      </w:r>
      <w:r>
        <w:rPr>
          <w:b/>
        </w:rPr>
        <w:t xml:space="preserve">DOI: </w:t>
      </w:r>
      <w:hyperlink r:id="rId1099">
        <w:r>
          <w:rPr>
            <w:color w:val="1155CC"/>
            <w:u w:val="single"/>
          </w:rPr>
          <w:t>10.1002/adma.74737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静电复合凝聚层提供了一种通过液-液相分离（LLPS）将均匀带相反电荷的聚电解质溶液转化为冷凝结构液体的强大途径。将这些原理应用于人造全蛋白质复合凝聚层，使得能够开发与各种先进生物技术产品完全兼容的软物质系统。在这里，我们采用电荷可调的β-乳球蛋白和溶菌酶淀粉样蛋白纳米原纤维作为完全蛋白质功能材料的构建模块。其功能是通过设计液-液界面上带相反电荷的淀粉样蛋白纳米原纤维的组成和自组织来决定的。根据所遵循的路径和过程，我们展示了静脉样管状结构或胶囊形式的全淀粉样蛋白界面复合物凝聚层，具有可调的电导率或离子电导率、粘弹性、多维形态和可编程大分子拥挤。这些结构仅由淀粉样蛋白成分组成，为人工蛋白质支架和先进材料提供了一个通用平台，在生物电子学和生物光学领域具有潜在应用。</w:t>
      </w:r>
    </w:p>
    <w:p>
      <w:pPr>
        <w:spacing w:before="0" w:after="200" w:lineRule="auto" w:line="276"/>
      </w:pPr>
      <w:r>
        <w:rPr>
          <w:b/>
        </w:rPr>
        <w:t xml:space="preserve">Abstract (EN): </w:t>
      </w:r>
      <w:r>
        <w:t>Electrostatic complex coacervates offer a robust pathway to convert homogeneous oppositely charged polyelectrolyte solutions into condensed structured liquids via liquid–liquid phase separation (LLPS). Directing these principles toward artificial, all‐proteinaceous complex coacervates enables the development of soft matter systems fully compatible with a broad range of advanced biotechnological products. Here, we employ charge‐tunable β‐lactoglobulin and lysozyme amyloid nanofibrils as building blocks toward fully proteinaceous functional materials. The functionality is dictated by engineering the composition and self‐organization of oppositely charged amyloid nanofibrils at the liquid–liquid interface. Depending on the path and process followed, we demonstrate all‐amyloid interfacial complex coacervates in the form of vein‐like tubular structures or capsules with tunable electrical or ionic conductivity, viscoelasticity, multidimensional morphology, and programmable macromolecular crowding. These constructs, made solely of amyloid constituents, provide a general platform for artificial protein scaffolds and advanced materials with potential applications in bioelectronics and bio‐optics.</w:t>
      </w:r>
    </w:p>
    <w:p>
      <w:pPr>
        <w:spacing w:before="120" w:after="120"/>
      </w:pPr>
      <w:r>
        <w:rPr>
          <w:sz w:val="18"/>
        </w:rPr>
        <w:t>——————————————————————————————————————————————————————————————————————</w:t>
      </w:r>
    </w:p>
    <w:p>
      <w:pPr>
        <w:spacing w:before="160" w:after="40" w:line="240" w:lineRule="auto"/>
      </w:pPr>
      <w:r>
        <w:rPr>
          <w:b/>
        </w:rPr>
        <w:t xml:space="preserve">[328] </w:t>
      </w:r>
      <w:hyperlink r:id="rId1100">
        <w:r>
          <w:rPr>
            <w:color w:val="1155CC"/>
            <w:u w:val="single"/>
          </w:rPr>
          <w:t>绿色溶剂生长的钙钛矿单晶可抑制缺陷密度，实现卓越的照片和 X 射线检测</w:t>
        </w:r>
      </w:hyperlink>
    </w:p>
    <w:p>
      <w:pPr>
        <w:spacing w:before="0" w:after="80"/>
      </w:pPr>
      <w:r>
        <w:rPr>
          <w:i/>
          <w:sz w:val="20"/>
        </w:rPr>
        <w:t>EN: Green‐Solvent‐Grown Perovskite Single Crystals With Suppressed Defect Densities for Superior Photo‐ and X‐Ray Detection</w:t>
      </w:r>
    </w:p>
    <w:p>
      <w:pPr>
        <w:spacing w:before="0" w:after="120"/>
      </w:pPr>
      <w:r>
        <w:rPr>
          <w:b/>
        </w:rPr>
        <w:t xml:space="preserve">Source: </w:t>
      </w:r>
      <w:r>
        <w:t>Wiley: Advanced Materials: Table of Contents</w:t>
      </w:r>
      <w:r>
        <w:t xml:space="preserve">    </w:t>
      </w:r>
      <w:r>
        <w:rPr>
          <w:b/>
        </w:rPr>
        <w:t xml:space="preserve">Pub date: </w:t>
      </w:r>
      <w:r>
        <w:t>2026-08-24 14:21:31+00:00</w:t>
      </w:r>
      <w:r>
        <w:t xml:space="preserve">    </w:t>
      </w:r>
      <w:r>
        <w:rPr>
          <w:b/>
        </w:rPr>
        <w:t xml:space="preserve">DOI: </w:t>
      </w:r>
      <w:hyperlink r:id="rId1101">
        <w:r>
          <w:rPr>
            <w:color w:val="1155CC"/>
            <w:u w:val="single"/>
          </w:rPr>
          <w:t>10.1002/adma.74774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实现高质量金属卤化物钙钛矿单晶（MHP-SC）的环境可持续合成对于推进下一代光电器件至关重要。绿色化学框架内有限的溶剂选择对完美 MHP-SC 生长所需的结晶途径的精细控制提出了重大挑战。在这里，我们引入了一种基于空间位阻工程的结晶控制新范例，使用具有高葛兰素史克绿色溶剂分数的定量验证绿色溶剂系统。我们证明，溶剂分子的空间体积，而不是单独的供体数量，在控制 Pb 之间的配位强度方面起着主导作用。</w:t>
      </w:r>
      <w:r>
        <w:t xml:space="preserve"> </w:t>
      </w:r>
      <w:r>
        <w:t>2+</w:t>
      </w:r>
      <w:r>
        <w:t xml:space="preserve"> </w:t>
      </w:r>
      <w:r>
        <w:t>和溶剂，从而调节前体复合物的稳定性和结晶动力学。精细调节的空间环境促进 MAPbI 前所未有的快速增长</w:t>
      </w:r>
      <w:r>
        <w:rPr>
          <w:vertAlign w:val="subscript"/>
        </w:rPr>
        <w:t>3</w:t>
      </w:r>
      <w:r>
        <w:t>SCs 具有创纪录的低陷阱密度 (2.56 × 10</w:t>
      </w:r>
      <w:r>
        <w:rPr>
          <w:vertAlign w:val="subscript"/>
        </w:rPr>
        <w:t>8</w:t>
      </w:r>
      <w:r>
        <w:t>厘米</w:t>
      </w:r>
      <w:r>
        <w:t xml:space="preserve"> </w:t>
      </w:r>
      <w:r>
        <w:t>−3</w:t>
      </w:r>
      <w:r>
        <w:t xml:space="preserve"> </w:t>
      </w:r>
      <w:r>
        <w:t>）和最窄的 X 射线衍射线宽 0.00802°（28.9”）。这些缺陷抑制的 MAPbI</w:t>
      </w:r>
      <w:r>
        <w:rPr>
          <w:vertAlign w:val="subscript"/>
        </w:rPr>
        <w:t>3</w:t>
      </w:r>
      <w:r>
        <w:t>SC 使光电探测器具有 6.8 × 10 的超高比探测率</w:t>
      </w:r>
      <w:r>
        <w:rPr>
          <w:vertAlign w:val="subscript"/>
        </w:rPr>
        <w:t>13</w:t>
      </w:r>
      <w:r>
        <w:t>琼斯和 X 射线探测器的检测下限为 3.6 nGy</w:t>
      </w:r>
      <w:r>
        <w:t xml:space="preserve"> </w:t>
      </w:r>
      <w:r>
        <w:t>空气</w:t>
      </w:r>
      <w:r>
        <w:t xml:space="preserve"> </w:t>
      </w:r>
      <w:r>
        <w:t>s</w:t>
      </w:r>
      <w:r>
        <w:t xml:space="preserve"> </w:t>
      </w:r>
      <w:r>
        <w:t>−1</w:t>
      </w:r>
      <w:r>
        <w:t xml:space="preserve"> </w:t>
      </w:r>
      <w:r>
        <w:t>。位阻</w:t>
      </w:r>
    </w:p>
    <w:p>
      <w:pPr>
        <w:spacing w:before="0" w:after="200" w:lineRule="auto" w:line="276"/>
      </w:pPr>
      <w:r>
        <w:rPr>
          <w:b/>
        </w:rPr>
        <w:t xml:space="preserve">Abstract (EN): </w:t>
      </w:r>
      <w:r>
        <w:t>Achieving environmentally sustainable synthesis of high‐quality metal halide perovskite single crystals (MHP‐SCs) is critical for advancing next‐generation optoelectronic devices. The constrained solvent choices within the green chemistry framework pose a significant challenge to the fine control of crystallization pathways required for the growth of perfect MHP‐SCs. Here, we introduce a new paradigm for crystallization control based on steric hindrance engineering using a quantitatively validated green solvent system with high GlaxoSmithKline green solvent scores. We demonstrate that the steric bulkiness of solvent molecules, rather than donor number alone, plays the dominant role in governing the coordination strength between Pb</w:t>
      </w:r>
      <w:r>
        <w:t xml:space="preserve"> </w:t>
      </w:r>
      <w:r>
        <w:t>2+</w:t>
      </w:r>
      <w:r>
        <w:t xml:space="preserve"> </w:t>
      </w:r>
      <w:r>
        <w:t>and solvent, thereby regulating precursor complex stability and crystallization kinetics. Finely tuned steric environments promote the unprecedented fast growth of MAPbI</w:t>
      </w:r>
      <w:r>
        <w:rPr>
          <w:vertAlign w:val="subscript"/>
        </w:rPr>
        <w:t>3</w:t>
      </w:r>
      <w:r>
        <w:t>SCs with a record‐low trap density (2.56 × 10</w:t>
      </w:r>
      <w:r>
        <w:rPr>
          <w:vertAlign w:val="subscript"/>
        </w:rPr>
        <w:t>8</w:t>
      </w:r>
      <w:r>
        <w:t>cm</w:t>
      </w:r>
      <w:r>
        <w:t xml:space="preserve"> </w:t>
      </w:r>
      <w:r>
        <w:t>−3</w:t>
      </w:r>
      <w:r>
        <w:t xml:space="preserve"> </w:t>
      </w:r>
      <w:r>
        <w:t>) and narrowest x‐ray diffraction linewidth of 0.00802° (28.9″). These defect‐suppressed MAPbI</w:t>
      </w:r>
      <w:r>
        <w:rPr>
          <w:vertAlign w:val="subscript"/>
        </w:rPr>
        <w:t>3</w:t>
      </w:r>
      <w:r>
        <w:t>SCs enable photodetectors with an ultrahigh specific detectivity of 6.8 × 10</w:t>
      </w:r>
      <w:r>
        <w:rPr>
          <w:vertAlign w:val="subscript"/>
        </w:rPr>
        <w:t>13</w:t>
      </w:r>
      <w:r>
        <w:t>Jones and x‐ray detectors with a low detection limit of 3.6 nGy</w:t>
      </w:r>
      <w:r>
        <w:t xml:space="preserve"> </w:t>
      </w:r>
      <w:r>
        <w:t>air</w:t>
      </w:r>
      <w:r>
        <w:t xml:space="preserve"> </w:t>
      </w:r>
      <w:r>
        <w:t>s</w:t>
      </w:r>
      <w:r>
        <w:t xml:space="preserve"> </w:t>
      </w:r>
      <w:r>
        <w:t>−1</w:t>
      </w:r>
      <w:r>
        <w:t xml:space="preserve"> </w:t>
      </w:r>
      <w:r>
        <w:t>. The steric hindrance engineering strategy proves universal across perovskite compositions. This work establishes a sustainable, scalable platform for the growth of high‐quality MHP‐SCs using quantitatively green solvents.</w:t>
      </w:r>
    </w:p>
    <w:p>
      <w:pPr>
        <w:spacing w:before="120" w:after="120"/>
      </w:pPr>
      <w:r>
        <w:rPr>
          <w:sz w:val="18"/>
        </w:rPr>
        <w:t>——————————————————————————————————————————————————————————————————————</w:t>
      </w:r>
    </w:p>
    <w:p>
      <w:pPr>
        <w:spacing w:before="160" w:after="40" w:line="240" w:lineRule="auto"/>
      </w:pPr>
      <w:r>
        <w:rPr>
          <w:b/>
        </w:rPr>
        <w:t xml:space="preserve">[329] </w:t>
      </w:r>
      <w:hyperlink r:id="rId1102">
        <w:r>
          <w:rPr>
            <w:color w:val="1155CC"/>
            <w:u w:val="single"/>
          </w:rPr>
          <w:t>面向多样性的两步环形π延伸使得获得结构复杂的纳米石墨烯成为可能</w:t>
        </w:r>
      </w:hyperlink>
    </w:p>
    <w:p>
      <w:pPr>
        <w:spacing w:before="0" w:after="80"/>
      </w:pPr>
      <w:r>
        <w:rPr>
          <w:i/>
          <w:sz w:val="20"/>
        </w:rPr>
        <w:t>EN: Diversity‐Oriented Two‐Step Annulative π‐Extension Enables Access to Structurally Complex Nanographenes</w:t>
      </w:r>
    </w:p>
    <w:p>
      <w:pPr>
        <w:spacing w:before="0" w:after="120"/>
      </w:pPr>
      <w:r>
        <w:rPr>
          <w:b/>
        </w:rPr>
        <w:t xml:space="preserve">Source: </w:t>
      </w:r>
      <w:r>
        <w:t>Wiley: Angewandte Chemie International Edition: Table of Contents</w:t>
      </w:r>
      <w:r>
        <w:t xml:space="preserve">    </w:t>
      </w:r>
      <w:r>
        <w:rPr>
          <w:b/>
        </w:rPr>
        <w:t xml:space="preserve">Pub date: </w:t>
      </w:r>
      <w:r>
        <w:t>2026-08-24 15:01:14+00:00</w:t>
      </w:r>
      <w:r>
        <w:t xml:space="preserve">    </w:t>
      </w:r>
      <w:r>
        <w:rPr>
          <w:b/>
        </w:rPr>
        <w:t xml:space="preserve">DOI: </w:t>
      </w:r>
      <w:hyperlink r:id="rId1103">
        <w:r>
          <w:rPr>
            <w:color w:val="1155CC"/>
            <w:u w:val="single"/>
          </w:rPr>
          <w:t>10.1002/anie.2205198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获取结构多样的纳米石墨烯和多环芳烃（PAH）的总体策略仍然是合成化学的核心挑战。尽管环状π延伸（APEX）能够由未官能化的多环芳烃直接构建稠合芳香族体系，但其结构范围在很大程度上受到适用的π延伸试剂多样性的限制。在此，我们报告了一种面向多样性的两步 APEX 策略，该策略通过在 Pd/ 中使用结构多样的基于萘的芳基三甲基硅烷来克服这一限制。</w:t>
      </w:r>
      <w:r>
        <w:t xml:space="preserve"> </w:t>
      </w:r>
      <w:r>
        <w:t>哦</w:t>
      </w:r>
      <w:r>
        <w:t xml:space="preserve"> </w:t>
      </w:r>
      <w:r>
        <w:t>‐四氯苯醌催化的 C–H 芳基化，然后是氧化环化脱氢。这种方法能够引入空间拥挤的聚芳基图案，并提供具有 8 至 10 个稠合环和不同环稠合模式的纳米石墨烯。值得注意的是，合成了包含五元环、六元环和七元环的负弯曲纳米石墨烯，并通过 X 射线晶体学、光谱学和理论计算对其进行了充分表征，突出了该方法获得具有挑战性的纳米石墨烯结构的能力。这项工作为面向多样性的 APEX 合成建立了一个通用平台，从而重新定义了 APEX 化学的范围和合成潜力。</w:t>
      </w:r>
    </w:p>
    <w:p>
      <w:pPr>
        <w:spacing w:before="0" w:after="200" w:lineRule="auto" w:line="276"/>
      </w:pPr>
      <w:r>
        <w:rPr>
          <w:b/>
        </w:rPr>
        <w:t xml:space="preserve">Abstract (EN): </w:t>
      </w:r>
      <w:r>
        <w:t>The development of a general strategy for accessing structurally diverse nanographenes and polycyclic aromatic hydrocarbons (PAHs) remains a central challenge in synthetic chemistry. Although annulative π‐extension (APEX) enables the direct construction of fused aromatic systems from unfunctionalized PAHs, its structural scope has been largely constrained by the limited diversity of applicable π‐extending reagents. Herein, we report on a diversity‐oriented two‐step APEX strategy that overcomes this limitation through the use of structurally diverse naphthalene‐based aryltrimethylsilanes in Pd/</w:t>
      </w:r>
      <w:r>
        <w:t>o</w:t>
      </w:r>
      <w:r>
        <w:t xml:space="preserve"> </w:t>
      </w:r>
      <w:r>
        <w:t>‐chloranil‐catalyzed C–H arylation, followed by oxidative cyclodehydrogenation. This approach enables the introduction of sterically congested polyaryl motifs and provides access to nanographenes with 8 to 10 fused rings and diverse ring‐fusion patterns. Notably, a negatively curved nanographene containing five‐, six‐, and seven‐membered rings was synthesized and fully characterized by x‐ray crystallography, spectroscopy, and theoretical calculations, highlighting the capability of this approach to access challenging nanographene architectures. This work establishes a general platform for diversity‐oriented APEX synthesis, thereby redefining the scope and synthetic potential of APEX chemistry.</w:t>
      </w:r>
    </w:p>
    <w:p>
      <w:pPr>
        <w:spacing w:before="120" w:after="120"/>
      </w:pPr>
      <w:r>
        <w:rPr>
          <w:sz w:val="18"/>
        </w:rPr>
        <w:t>——————————————————————————————————————————————————————————————————————</w:t>
      </w:r>
    </w:p>
    <w:p>
      <w:pPr>
        <w:spacing w:before="160" w:after="40" w:line="240" w:lineRule="auto"/>
      </w:pPr>
      <w:r>
        <w:rPr>
          <w:b/>
        </w:rPr>
        <w:t xml:space="preserve">[330] </w:t>
      </w:r>
      <w:hyperlink r:id="rId1104">
        <w:r>
          <w:rPr>
            <w:color w:val="1155CC"/>
            <w:u w:val="single"/>
          </w:rPr>
          <w:t>高分子数据存储中的动态操作</w:t>
        </w:r>
      </w:hyperlink>
    </w:p>
    <w:p>
      <w:pPr>
        <w:spacing w:before="0" w:after="80"/>
      </w:pPr>
      <w:r>
        <w:rPr>
          <w:i/>
          <w:sz w:val="20"/>
        </w:rPr>
        <w:t>EN: Dynamic Operations in Macromolecular Data Storage</w:t>
      </w:r>
    </w:p>
    <w:p>
      <w:pPr>
        <w:spacing w:before="0" w:after="120"/>
      </w:pPr>
      <w:r>
        <w:rPr>
          <w:b/>
        </w:rPr>
        <w:t xml:space="preserve">Source: </w:t>
      </w:r>
      <w:r>
        <w:t>Wiley: Angewandte Chemie International Edition: Table of Contents</w:t>
      </w:r>
      <w:r>
        <w:t xml:space="preserve">    </w:t>
      </w:r>
      <w:r>
        <w:rPr>
          <w:b/>
        </w:rPr>
        <w:t xml:space="preserve">Pub date: </w:t>
      </w:r>
      <w:r>
        <w:t>2026-08-24 16:22:32+00:00</w:t>
      </w:r>
      <w:r>
        <w:t xml:space="preserve">    </w:t>
      </w:r>
      <w:r>
        <w:rPr>
          <w:b/>
        </w:rPr>
        <w:t xml:space="preserve">DOI: </w:t>
      </w:r>
      <w:hyperlink r:id="rId1105">
        <w:r>
          <w:rPr>
            <w:color w:val="1155CC"/>
            <w:u w:val="single"/>
          </w:rPr>
          <w:t>10.1002/anie.5128253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近年来，已经报道了许多用于存储分子数据的概念，无论是小分子混合物、低聚物库还是聚合物。在后一种情况下，二进制信息存储在受控单体序列中。这可以在 DNA 等生物聚合物中实现，也可以在各种合成大分子中实现。然而，大多数现有方法侧重于被动“冷”存储，其中大分子充当静态档案。这篇小型评论探讨了可重构大分子存储的最新进展，重点介绍了擦除、重写、计算、修复或整理二进制编码大分子的策略。本文针对天然和合成聚合物讨论了所有这些选项。</w:t>
      </w:r>
    </w:p>
    <w:p>
      <w:pPr>
        <w:spacing w:before="0" w:after="200" w:lineRule="auto" w:line="276"/>
      </w:pPr>
      <w:r>
        <w:rPr>
          <w:b/>
        </w:rPr>
        <w:t xml:space="preserve">Abstract (EN): </w:t>
      </w:r>
      <w:r>
        <w:t>In recent years, numerous concepts have been reported for storing data on molecules, either small molecule mixtures, oligomer libraries or polymers. In the latter case, binary information is stored in a controlled monomer sequence. This can be achieved in biological polymers such as DNA but also in a variety of synthetic macromolecules. However, most existing approaches focus on passive “cold” storage, in which macromolecules serve as static archives. This minireview explores recent advances in reconfigurable macromolecular storage, highlighting strategies for erasing, rewriting, computing, repairing, or sorting‐out binary‐encoded macromolecules. All these options are discussed herein for both natural and synthetic polymers.</w:t>
      </w:r>
    </w:p>
    <w:p>
      <w:pPr>
        <w:spacing w:before="120" w:after="120"/>
      </w:pPr>
      <w:r>
        <w:rPr>
          <w:sz w:val="18"/>
        </w:rPr>
        <w:t>——————————————————————————————————————————————————————————————————————</w:t>
      </w:r>
    </w:p>
    <w:p>
      <w:pPr>
        <w:spacing w:before="160" w:after="40" w:line="240" w:lineRule="auto"/>
      </w:pPr>
      <w:r>
        <w:rPr>
          <w:b/>
        </w:rPr>
        <w:t xml:space="preserve">[331] </w:t>
      </w:r>
      <w:hyperlink r:id="rId1106">
        <w:r>
          <w:rPr>
            <w:color w:val="1155CC"/>
            <w:u w:val="single"/>
          </w:rPr>
          <w:t>法尼基转移酶可实现双功能纳米抗体缀合物的模块化组装，用于体内炎症成像</w:t>
        </w:r>
      </w:hyperlink>
    </w:p>
    <w:p>
      <w:pPr>
        <w:spacing w:before="0" w:after="80"/>
      </w:pPr>
      <w:r>
        <w:rPr>
          <w:i/>
          <w:sz w:val="20"/>
        </w:rPr>
        <w:t>EN: Farnesyltransferase Enables Modular Assembly of Dual‐Functional Nanobody Conjugates for in Vivo Imaging of Inflammation</w:t>
      </w:r>
    </w:p>
    <w:p>
      <w:pPr>
        <w:spacing w:before="0" w:after="120"/>
      </w:pPr>
      <w:r>
        <w:rPr>
          <w:b/>
        </w:rPr>
        <w:t xml:space="preserve">Source: </w:t>
      </w:r>
      <w:r>
        <w:t>Wiley: Angewandte Chemie International Edition: Table of Contents</w:t>
      </w:r>
      <w:r>
        <w:t xml:space="preserve">    </w:t>
      </w:r>
      <w:r>
        <w:rPr>
          <w:b/>
        </w:rPr>
        <w:t xml:space="preserve">Pub date: </w:t>
      </w:r>
      <w:r>
        <w:t>2026-08-24 16:25:44+00:00</w:t>
      </w:r>
      <w:r>
        <w:t xml:space="preserve">    </w:t>
      </w:r>
      <w:r>
        <w:rPr>
          <w:b/>
        </w:rPr>
        <w:t xml:space="preserve">DOI: </w:t>
      </w:r>
      <w:hyperlink r:id="rId1107">
        <w:r>
          <w:rPr>
            <w:color w:val="1155CC"/>
            <w:u w:val="single"/>
          </w:rPr>
          <w:t>10.1002/anie.5009703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炎症的无创成像对于疾病诊断、监测和治疗评估至关重要。纳米抗体由于其许多独特的特性，正在成为强大的成像剂；然而，传统的非特异性缀合策略通常会产生限制体内性能的异质产物。在这里，我们报告了一种化学酶策略，该策略能够使用法尼基转移酶（FTase）介导的位点特异性修饰来精确和模块化地组装纳米抗体缀合物。我们开发了一种三功能 FTase 底物，可在单个酶促步骤中将两个正交生物正交手柄（醛和叠氮化物）引入到纳米抗体上。这些手柄能够独立且受控地结合成像有效负载（荧光团或放射性同位素）和药代动力学修饰剂（即 PEG），从而增强体内信噪比。将这种策略应用于靶向CD45和CD11b（分别在所有免疫细胞和骨髓亚群上广泛表达的标记物）的纳米抗体，我们生成了明确的、双重修饰的构建体，使免疫器官（包括脾脏和淋巴结）的体内高对比度可视化成为可能。在局部炎症的小鼠模型中，这些探针以高灵敏度和特异性有力地描绘了发炎组织。总之，这种支持 FTase 的双标记方法提供了一个通用且通用的平台，用于快速生成精确定义的基于纳米抗体的成像剂，推进多种疾病炎症的非侵入性检测和监测</w:t>
      </w:r>
    </w:p>
    <w:p>
      <w:pPr>
        <w:spacing w:before="0" w:after="200" w:lineRule="auto" w:line="276"/>
      </w:pPr>
      <w:r>
        <w:rPr>
          <w:b/>
        </w:rPr>
        <w:t xml:space="preserve">Abstract (EN): </w:t>
      </w:r>
      <w:r>
        <w:t>Non‐invasive imaging of inflammation is critical for disease diagnosis, monitoring, and therapeutic evaluation. Nanobodies, due to their many unique properties, are emerging as powerful imaging agents; however, conventional non‐specific conjugation strategies often yield heterogeneous products that limit in vivo performance. Here, we report a chemoenzymatic strategy that enables precise and modular assembly of nanobody conjugates using farnesyltransferase (FTase)‐mediated site‐specific modification. We developed a trifunctional FTase substrate that introduces two orthogonal bioorthogonal handles, an aldehyde and an azide, onto nanobodies in a single enzymatic step. These handles enable independent and controlled conjugation of imaging payloads (fluorophores or radioisotopes) and pharmacokinetic modifiers (i.e. PEG), which enhance in vivo signal‐to‐noise ratios. Applying this strategy to nanobodies targeting CD45 and CD11b, markers broadly expressed on all immune cells and myeloid subsets, respectively, we generated well‐defined, dually modified constructs that enabled high‐contrast in vivo visualization of immune organs, including the spleen and lymph nodes. In a mouse model of localized inflammation, these probes robustly delineated inflamed tissue with high sensitivity and specificity. Together, this FTase‐enabled dual‐labeling approach provides a versatile and generalizable platform for the rapid generation of precisely defined nanobody‐based imaging agents, advancing non‐invasive detection and monitoring of inflammation across diverse disease contexts.</w:t>
      </w:r>
    </w:p>
    <w:p>
      <w:pPr>
        <w:spacing w:before="120" w:after="120"/>
      </w:pPr>
      <w:r>
        <w:rPr>
          <w:sz w:val="18"/>
        </w:rPr>
        <w:t>——————————————————————————————————————————————————————————————————————</w:t>
      </w:r>
    </w:p>
    <w:p>
      <w:pPr>
        <w:spacing w:before="160" w:after="40" w:line="240" w:lineRule="auto"/>
      </w:pPr>
      <w:r>
        <w:rPr>
          <w:b/>
        </w:rPr>
        <w:t xml:space="preserve">[332] </w:t>
      </w:r>
      <w:hyperlink r:id="rId1108">
        <w:r>
          <w:rPr>
            <w:color w:val="1155CC"/>
            <w:u w:val="single"/>
          </w:rPr>
          <w:t>埃及发现古代测量仪器</w:t>
        </w:r>
      </w:hyperlink>
    </w:p>
    <w:p>
      <w:pPr>
        <w:spacing w:before="0" w:after="80"/>
      </w:pPr>
      <w:r>
        <w:rPr>
          <w:i/>
          <w:sz w:val="20"/>
        </w:rPr>
        <w:t>EN: Ancient surveying instrument found in Egypt</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09">
        <w:r>
          <w:rPr>
            <w:color w:val="1155CC"/>
            <w:u w:val="single"/>
          </w:rPr>
          <w:t>10.1038/d41586-026-02382-y</w:t>
        </w:r>
      </w:hyperlink>
    </w:p>
    <w:p>
      <w:pPr>
        <w:spacing w:before="0" w:after="120"/>
      </w:pPr>
      <w:r>
        <w:rPr>
          <w:b/>
        </w:rPr>
        <w:t xml:space="preserve">Notes: </w:t>
      </w:r>
      <w:r>
        <w:t>abstract_source=rss_nature</w:t>
      </w:r>
    </w:p>
    <w:p>
      <w:pPr>
        <w:spacing w:before="0" w:after="80" w:lineRule="auto" w:line="276"/>
      </w:pPr>
      <w:r>
        <w:rPr>
          <w:b/>
        </w:rPr>
        <w:t xml:space="preserve">摘要（ZH）: </w:t>
      </w:r>
      <w:r>
        <w:t>已知最早的用于建造直线的工具示例，并在本周从《自然》档案中挑选的无线电通信领域的早期开拓者中记住了它。</w:t>
      </w:r>
    </w:p>
    <w:p>
      <w:pPr>
        <w:spacing w:before="0" w:after="200" w:lineRule="auto" w:line="276"/>
      </w:pPr>
      <w:r>
        <w:rPr>
          <w:b/>
        </w:rPr>
        <w:t xml:space="preserve">Abstract (EN): </w:t>
      </w:r>
      <w:r>
        <w:t>The earliest known example of a tool used to build in a straight line, and remembering an early trailblazer in radio communication in this week’s pick from the Nature archive.</w:t>
      </w:r>
    </w:p>
    <w:p>
      <w:pPr>
        <w:spacing w:before="120" w:after="120"/>
      </w:pPr>
      <w:r>
        <w:rPr>
          <w:sz w:val="18"/>
        </w:rPr>
        <w:t>——————————————————————————————————————————————————————————————————————</w:t>
      </w:r>
    </w:p>
    <w:p>
      <w:pPr>
        <w:spacing w:before="160" w:after="40" w:line="240" w:lineRule="auto"/>
      </w:pPr>
      <w:r>
        <w:rPr>
          <w:b/>
        </w:rPr>
        <w:t xml:space="preserve">[333] </w:t>
      </w:r>
      <w:hyperlink r:id="rId1110">
        <w:r>
          <w:rPr>
            <w:color w:val="1155CC"/>
            <w:u w:val="single"/>
          </w:rPr>
          <w:t>保护战区中部的教育</w:t>
        </w:r>
      </w:hyperlink>
    </w:p>
    <w:p>
      <w:pPr>
        <w:spacing w:before="0" w:after="80"/>
      </w:pPr>
      <w:r>
        <w:rPr>
          <w:i/>
          <w:sz w:val="20"/>
        </w:rPr>
        <w:t>EN: Protecting education in the middle of war zones</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11">
        <w:r>
          <w:rPr>
            <w:color w:val="1155CC"/>
            <w:u w:val="single"/>
          </w:rPr>
          <w:t>10.1038/d41586-026-02634-x</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[334] </w:t>
      </w:r>
      <w:hyperlink r:id="rId1112">
        <w:r>
          <w:rPr>
            <w:color w:val="1155CC"/>
            <w:u w:val="single"/>
          </w:rPr>
          <w:t>15家公司的抗体目录中发现超过18,000张可疑图像</w:t>
        </w:r>
      </w:hyperlink>
    </w:p>
    <w:p>
      <w:pPr>
        <w:spacing w:before="0" w:after="80"/>
      </w:pPr>
      <w:r>
        <w:rPr>
          <w:i/>
          <w:sz w:val="20"/>
        </w:rPr>
        <w:t>EN: More than 18,000 questionable images found in antibody catalogues of 15 companies</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13">
        <w:r>
          <w:rPr>
            <w:color w:val="1155CC"/>
            <w:u w:val="single"/>
          </w:rPr>
          <w:t>10.1038/d41586-026-02635-w</w:t>
        </w:r>
      </w:hyperlink>
    </w:p>
    <w:p>
      <w:pPr>
        <w:spacing w:before="0" w:after="120"/>
      </w:pPr>
      <w:r>
        <w:rPr>
          <w:b/>
        </w:rPr>
        <w:t xml:space="preserve">Notes: </w:t>
      </w:r>
      <w:r>
        <w:t>abstract_source=rss_nature</w:t>
      </w:r>
    </w:p>
    <w:p>
      <w:pPr>
        <w:spacing w:before="0" w:after="80" w:lineRule="auto" w:line="276"/>
      </w:pPr>
      <w:r>
        <w:rPr>
          <w:b/>
        </w:rPr>
        <w:t xml:space="preserve">摘要（ZH）: </w:t>
      </w:r>
      <w:r>
        <w:t>科学侦探的发现给致力于提高商业抗体可靠性的研究人员提出了问题。</w:t>
      </w:r>
    </w:p>
    <w:p>
      <w:pPr>
        <w:spacing w:before="0" w:after="200" w:lineRule="auto" w:line="276"/>
      </w:pPr>
      <w:r>
        <w:rPr>
          <w:b/>
        </w:rPr>
        <w:t xml:space="preserve">Abstract (EN): </w:t>
      </w:r>
      <w:r>
        <w:t>Science sleuth’s findings raise questions for researchers working to improve the reliability of commercial antibodies.</w:t>
      </w:r>
    </w:p>
    <w:p>
      <w:pPr>
        <w:spacing w:before="120" w:after="120"/>
      </w:pPr>
      <w:r>
        <w:rPr>
          <w:sz w:val="18"/>
        </w:rPr>
        <w:t>——————————————————————————————————————————————————————————————————————</w:t>
      </w:r>
    </w:p>
    <w:p>
      <w:pPr>
        <w:spacing w:before="160" w:after="40" w:line="240" w:lineRule="auto"/>
      </w:pPr>
      <w:r>
        <w:rPr>
          <w:b/>
        </w:rPr>
        <w:t xml:space="preserve">[335] </w:t>
      </w:r>
      <w:hyperlink r:id="rId1114">
        <w:r>
          <w:rPr>
            <w:color w:val="1155CC"/>
            <w:u w:val="single"/>
          </w:rPr>
          <w:t>生理条件下酰胺键形成的循环方案</w:t>
        </w:r>
      </w:hyperlink>
    </w:p>
    <w:p>
      <w:pPr>
        <w:spacing w:before="0" w:after="80"/>
      </w:pPr>
      <w:r>
        <w:rPr>
          <w:i/>
          <w:sz w:val="20"/>
        </w:rPr>
        <w:t>EN: A circular protocol of amide-bond formation under physiological conditions</w:t>
      </w:r>
    </w:p>
    <w:p>
      <w:pPr>
        <w:spacing w:before="0" w:after="120"/>
      </w:pPr>
      <w:r>
        <w:rPr>
          <w:b/>
        </w:rPr>
        <w:t xml:space="preserve">Source: </w:t>
      </w:r>
      <w:r>
        <w:t>National Science Review Advance Access</w:t>
      </w:r>
      <w:r>
        <w:t xml:space="preserve">    </w:t>
      </w:r>
      <w:r>
        <w:rPr>
          <w:b/>
        </w:rPr>
        <w:t xml:space="preserve">Pub date: </w:t>
      </w:r>
      <w:r>
        <w:t>2026-08-25 00:00:00+00:00</w:t>
      </w:r>
      <w:r>
        <w:t xml:space="preserve">    </w:t>
      </w:r>
      <w:r>
        <w:rPr>
          <w:b/>
        </w:rPr>
        <w:t xml:space="preserve">DOI: </w:t>
      </w:r>
      <w:hyperlink r:id="rId1115">
        <w:r>
          <w:rPr>
            <w:color w:val="1155CC"/>
            <w:u w:val="single"/>
          </w:rPr>
          <w:t>10.1093/nsr/nwag522</w:t>
        </w:r>
      </w:hyperlink>
    </w:p>
    <w:p>
      <w:pPr>
        <w:spacing w:before="0" w:after="120"/>
      </w:pPr>
      <w:r>
        <w:rPr>
          <w:b/>
        </w:rPr>
        <w:t xml:space="preserve">Notes: </w:t>
      </w:r>
      <w:r>
        <w:t>abstract_source=rss_oup</w:t>
      </w:r>
    </w:p>
    <w:p>
      <w:pPr>
        <w:spacing w:before="0" w:after="80" w:lineRule="auto" w:line="276"/>
      </w:pPr>
      <w:r>
        <w:rPr>
          <w:b/>
        </w:rPr>
        <w:t xml:space="preserve">摘要（ZH）: </w:t>
      </w:r>
      <w:r>
        <w:t>在生理相关条件下形成酰胺键仍然是化学合成中的一个核心挑战，特别是对于肽修饰和生物共轭，其中生物相容性、化学选择性和立体化学完整性至关重要。传统方法依赖于化学计量的活化试剂，产生废物并损害与复杂生物分子的相容性。在这里，我们报道了一种有机膦控制的方法，该方法选择性地将容易获得的羧酸和炔酮转化为几何定义的烯醇酯，其在生理条件下作为酰胺键形成的酰基供体，涵盖广泛的胺，包括小分子、药物衍生物、氨基酸、肽和蛋白质。此外，代表性的氨基酸酯和二肽进行立体保留酰胺化，而肽和蛋白质的后期修饰在生理条件下有效进行。值得注意的是，在酰胺键构建过程中产生的二酮副产物可以回收并转化为相应的炔酮，从而建立循环方案。通过将烯醇酯重新定义为生理条件下实用的酰基供体，该策略提供了传统偶联技术的替代方案，并扩大了复杂生物环境中酰胺键形成的范围。</w:t>
      </w:r>
    </w:p>
    <w:p>
      <w:pPr>
        <w:spacing w:before="0" w:after="200" w:lineRule="auto" w:line="276"/>
      </w:pPr>
      <w:r>
        <w:rPr>
          <w:b/>
        </w:rPr>
        <w:t xml:space="preserve">Abstract (EN): </w:t>
      </w:r>
      <w:r>
        <w:t>Amide bond formation under physiologically relevant conditions remains a central challenge in chemical synthesis, particularly for peptide modification and bioconjugation, where biocompatibility, chemoselectivity, and stereochemical integrity are critical. Conventional methods rely on stoichiometric activating reagents, generating waste and compromising compatibility with complex biomolecules. Here we report an organophosphine-controlled approach that selectively converts readily available carboxylic acids and ynones into geometrically defined enol esters, which serve as acyl donors for amide-bond formation under physiological conditions across a broad scope of amines, including small molecules, drug derivatives, amino acids, peptides, and proteins. In addition, representative amino acid esters and dipeptides undergo stereoretentive amidation, while late-stage modification of peptides and proteins proceeds efficiently under physiological conditions. Notably, the diketone by-product generated during amide-bond construction can be recovered and transformed into the corresponding ynones, establishing a circular protocol. By redefining enol esters as practical acyl donors under physiological conditions, this strategy provides an alternative to conventional coupling technologies and expands the scope of amide bond formation in complex biological settings.</w:t>
      </w:r>
    </w:p>
    <w:p>
      <w:pPr>
        <w:spacing w:before="120" w:after="120"/>
      </w:pPr>
      <w:r>
        <w:rPr>
          <w:sz w:val="18"/>
        </w:rPr>
        <w:t>——————————————————————————————————————————————————————————————————————</w:t>
      </w:r>
    </w:p>
    <w:p>
      <w:pPr>
        <w:spacing w:before="160" w:after="40" w:line="240" w:lineRule="auto"/>
      </w:pPr>
      <w:r>
        <w:rPr>
          <w:b/>
        </w:rPr>
        <w:t xml:space="preserve">[336] </w:t>
      </w:r>
      <w:hyperlink r:id="rId1116">
        <w:r>
          <w:rPr>
            <w:color w:val="1155CC"/>
            <w:u w:val="single"/>
          </w:rPr>
          <w:t>用于节律神经调节的光热纳米电机</w:t>
        </w:r>
      </w:hyperlink>
    </w:p>
    <w:p>
      <w:pPr>
        <w:spacing w:before="0" w:after="80"/>
      </w:pPr>
      <w:r>
        <w:rPr>
          <w:i/>
          <w:sz w:val="20"/>
        </w:rPr>
        <w:t>EN: Optothermal nanomotors for rhythmic neuromodulation</w:t>
      </w:r>
    </w:p>
    <w:p>
      <w:pPr>
        <w:spacing w:before="0" w:after="120"/>
      </w:pPr>
      <w:r>
        <w:rPr>
          <w:b/>
        </w:rPr>
        <w:t xml:space="preserve">Source: </w:t>
      </w:r>
      <w:r>
        <w:t>National Science Review Advance Access</w:t>
      </w:r>
      <w:r>
        <w:t xml:space="preserve">    </w:t>
      </w:r>
      <w:r>
        <w:rPr>
          <w:b/>
        </w:rPr>
        <w:t xml:space="preserve">Pub date: </w:t>
      </w:r>
      <w:r>
        <w:t>2026-08-25 00:00:00+00:00</w:t>
      </w:r>
      <w:r>
        <w:t xml:space="preserve">    </w:t>
      </w:r>
      <w:r>
        <w:rPr>
          <w:b/>
        </w:rPr>
        <w:t xml:space="preserve">DOI: </w:t>
      </w:r>
      <w:hyperlink r:id="rId1117">
        <w:r>
          <w:rPr>
            <w:color w:val="1155CC"/>
            <w:u w:val="single"/>
          </w:rPr>
          <w:t>10.1093/nsr/nwag538</w:t>
        </w:r>
      </w:hyperlink>
    </w:p>
    <w:p>
      <w:pPr>
        <w:spacing w:before="0" w:after="120"/>
      </w:pPr>
      <w:r>
        <w:rPr>
          <w:b/>
        </w:rPr>
        <w:t xml:space="preserve">Notes: </w:t>
      </w:r>
      <w:r>
        <w:t>abstract_source=crossref</w:t>
      </w:r>
    </w:p>
    <w:p>
      <w:pPr>
        <w:spacing w:before="0" w:after="80" w:lineRule="auto" w:line="276"/>
      </w:pPr>
      <w:r>
        <w:rPr>
          <w:b/>
        </w:rPr>
        <w:t xml:space="preserve">摘要（ZH）: </w:t>
      </w:r>
      <w:r>
        <w:t>光驱动的纳米电机提供有节奏的热脉冲，使神经元钙和放电模式同步，在修复阿尔茨海默氏症斑马鱼的大脑回路和恢复运动方面优于连续刺激。</w:t>
      </w:r>
    </w:p>
    <w:p>
      <w:pPr>
        <w:spacing w:before="0" w:after="200" w:lineRule="auto" w:line="276"/>
      </w:pPr>
      <w:r>
        <w:rPr>
          <w:b/>
        </w:rPr>
        <w:t xml:space="preserve">Abstract (EN): </w:t>
      </w:r>
      <w:r>
        <w:t>Light-driven nanomotors deliver rhythmic heat pulses that synchronize neuronal calcium and firing patterns, outperforming continuous stimulation to repair brain circuits and restore movement in Alzheimer’s zebrafish.</w:t>
      </w:r>
    </w:p>
    <w:p>
      <w:pPr>
        <w:spacing w:before="120" w:after="120"/>
      </w:pPr>
      <w:r>
        <w:rPr>
          <w:sz w:val="18"/>
        </w:rPr>
        <w:t>——————————————————————————————————————————————————————————————————————</w:t>
      </w:r>
    </w:p>
    <w:p>
      <w:pPr>
        <w:spacing w:before="160" w:after="40" w:line="240" w:lineRule="auto"/>
      </w:pPr>
      <w:r>
        <w:rPr>
          <w:b/>
        </w:rPr>
        <w:t xml:space="preserve">[337] </w:t>
      </w:r>
      <w:hyperlink r:id="rId1118">
        <w:r>
          <w:rPr>
            <w:color w:val="1155CC"/>
            <w:u w:val="single"/>
          </w:rPr>
          <w:t>原子电子断层扫描揭示高熵合金中的晶体成核和生长</w:t>
        </w:r>
      </w:hyperlink>
    </w:p>
    <w:p>
      <w:pPr>
        <w:spacing w:before="0" w:after="80"/>
      </w:pPr>
      <w:r>
        <w:rPr>
          <w:i/>
          <w:sz w:val="20"/>
        </w:rPr>
        <w:t>EN: Crystal nucleation and growth in high-entropy alloys revealed by atomic electron tomography</w:t>
      </w:r>
    </w:p>
    <w:p>
      <w:pPr>
        <w:spacing w:before="0" w:after="120"/>
      </w:pPr>
      <w:r>
        <w:rPr>
          <w:b/>
        </w:rPr>
        <w:t xml:space="preserve">Source: </w:t>
      </w:r>
      <w:r>
        <w:t>Nature Materials</w:t>
      </w:r>
      <w:r>
        <w:t xml:space="preserve">    </w:t>
      </w:r>
      <w:r>
        <w:rPr>
          <w:b/>
        </w:rPr>
        <w:t xml:space="preserve">Pub date: </w:t>
      </w:r>
      <w:r>
        <w:t>2026-08-25 00:00:00+00:00</w:t>
      </w:r>
      <w:r>
        <w:t xml:space="preserve">    </w:t>
      </w:r>
      <w:r>
        <w:rPr>
          <w:b/>
        </w:rPr>
        <w:t xml:space="preserve">DOI: </w:t>
      </w:r>
      <w:hyperlink r:id="rId1119">
        <w:r>
          <w:rPr>
            <w:color w:val="1155CC"/>
            <w:u w:val="single"/>
          </w:rPr>
          <w:t>10.1038/s41563-026-02727-y</w:t>
        </w:r>
      </w:hyperlink>
    </w:p>
    <w:p>
      <w:pPr>
        <w:spacing w:before="0" w:after="120"/>
      </w:pPr>
      <w:r>
        <w:rPr>
          <w:b/>
        </w:rPr>
        <w:t xml:space="preserve">Notes: </w:t>
      </w:r>
      <w:r>
        <w:t>abstract_source=pubmed</w:t>
      </w:r>
    </w:p>
    <w:p>
      <w:pPr>
        <w:spacing w:before="0" w:after="80" w:lineRule="auto" w:line="276"/>
      </w:pPr>
      <w:r>
        <w:rPr>
          <w:b/>
        </w:rPr>
        <w:t xml:space="preserve">摘要（ZH）: </w:t>
      </w:r>
      <w:r>
        <w:t>高熵合金结合了多种主要元素，可以表现出优异的机械性能和催化活性。然而，由于早期的原子核较小、短暂且化学性质复杂，人们对它们如何结晶仍知之甚少。在这里，我们先进的原子电子断层扫描技术确定了 8,160 个高熵和中熵合金核的三维原子结构和局部化学顺序。我们发现成核是通过梯度有序进行的，其中结构有序度在核心处最高，向边界平滑降低，并与局部化学有序相耦合。大多数核与几乎对齐的晶格合并，而少数形成孪晶边界。我们开发了梯度成核路径模型，该模型通过在每个核内结合空间变化的结构顺序来概括经典成核理论。该模型捕获弥漫的、部分有序的核，在锐界面极限下恢复经典成核理论，并揭示多个中间态。这些结果为理解各种材料的晶体成核和生长提供了原子框架。</w:t>
      </w:r>
    </w:p>
    <w:p>
      <w:pPr>
        <w:spacing w:before="0" w:after="200" w:lineRule="auto" w:line="276"/>
      </w:pPr>
      <w:r>
        <w:rPr>
          <w:b/>
        </w:rPr>
        <w:t xml:space="preserve">Abstract (EN): </w:t>
      </w:r>
      <w:r>
        <w:t>High-entropy alloys combine multiple principal elements and can exhibit exceptional mechanical properties and catalytic activity. However, how they crystallize remains poorly understood because early nuclei are small, transient and chemically complex. Here we advance atomic electron tomography to determine the three-dimensional atomic structures and local chemical order of 8,160 high- and medium-entropy alloy nuclei. We find that nucleation proceeds through gradient ordering, in which structural order is highest at the core, decreases smoothly towards the boundary and is coupled to local chemical order. Most nuclei coalesce with nearly aligned crystal lattices, whereas a minority form twin boundaries. We develop the gradient nucleation pathways model, which generalizes classical nucleation theory by incorporating spatially varying structural order within each nucleus. The model captures diffuse, partially ordered nuclei, recovers classical nucleation theory in the sharp-interface limit and reveals multiple intermediate states. These results provide an atomistic framework for understanding crystal nucleation and growth across a broad range of materials.</w:t>
      </w:r>
    </w:p>
    <w:p>
      <w:pPr>
        <w:spacing w:before="120" w:after="120"/>
      </w:pPr>
      <w:r>
        <w:rPr>
          <w:sz w:val="18"/>
        </w:rPr>
        <w:t>——————————————————————————————————————————————————————————————————————</w:t>
      </w:r>
    </w:p>
    <w:p>
      <w:pPr>
        <w:spacing w:before="160" w:after="40" w:line="240" w:lineRule="auto"/>
      </w:pPr>
      <w:r>
        <w:rPr>
          <w:b/>
        </w:rPr>
        <w:t xml:space="preserve">[338] </w:t>
      </w:r>
      <w:hyperlink r:id="rId1120">
        <w:r>
          <w:rPr>
            <w:color w:val="1155CC"/>
            <w:u w:val="single"/>
          </w:rPr>
          <w:t>一些男孩的哮喘在青春期停止：小鼠结果揭示了原因</w:t>
        </w:r>
      </w:hyperlink>
    </w:p>
    <w:p>
      <w:pPr>
        <w:spacing w:before="0" w:after="80"/>
      </w:pPr>
      <w:r>
        <w:rPr>
          <w:i/>
          <w:sz w:val="20"/>
        </w:rPr>
        <w:t>EN: Asthma in some boys stops at puberty: mouse results hint at why</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21">
        <w:r>
          <w:rPr>
            <w:color w:val="1155CC"/>
            <w:u w:val="single"/>
          </w:rPr>
          <w:t>10.1038/d41586-026-02611-4</w:t>
        </w:r>
      </w:hyperlink>
    </w:p>
    <w:p>
      <w:pPr>
        <w:spacing w:before="0" w:after="120"/>
      </w:pPr>
      <w:r>
        <w:rPr>
          <w:b/>
        </w:rPr>
        <w:t xml:space="preserve">Notes: </w:t>
      </w:r>
      <w:r>
        <w:t>abstract_source=nature_html</w:t>
      </w:r>
    </w:p>
    <w:p>
      <w:pPr>
        <w:spacing w:before="0" w:after="80" w:lineRule="auto" w:line="276"/>
      </w:pPr>
      <w:r>
        <w:rPr>
          <w:b/>
        </w:rPr>
        <w:t xml:space="preserve">摘要（ZH）: </w:t>
      </w:r>
      <w:r>
        <w:t>研究表明，雄性激素对肺部神经末梢有影响。</w:t>
      </w:r>
    </w:p>
    <w:p>
      <w:pPr>
        <w:spacing w:before="0" w:after="200" w:lineRule="auto" w:line="276"/>
      </w:pPr>
      <w:r>
        <w:rPr>
          <w:b/>
        </w:rPr>
        <w:t xml:space="preserve">Abstract (EN): </w:t>
      </w:r>
      <w:r>
        <w:t>Study suggests that male hormones have an effect on nerve endings in the lungs.</w:t>
      </w:r>
    </w:p>
    <w:p>
      <w:pPr>
        <w:spacing w:before="120" w:after="120"/>
      </w:pPr>
      <w:r>
        <w:rPr>
          <w:sz w:val="18"/>
        </w:rPr>
        <w:t>——————————————————————————————————————————————————————————————————————</w:t>
      </w:r>
    </w:p>
    <w:p>
      <w:pPr>
        <w:spacing w:before="160" w:after="40" w:line="240" w:lineRule="auto"/>
      </w:pPr>
      <w:r>
        <w:rPr>
          <w:b/>
        </w:rPr>
        <w:t xml:space="preserve">[339] </w:t>
      </w:r>
      <w:hyperlink r:id="rId1122">
        <w:r>
          <w:rPr>
            <w:color w:val="1155CC"/>
            <w:u w:val="single"/>
          </w:rPr>
          <w:t>NASA 的 ECOSTRESS 卫星揭示了生态系统蒸散量在午间普遍下降</w:t>
        </w:r>
      </w:hyperlink>
    </w:p>
    <w:p>
      <w:pPr>
        <w:spacing w:before="0" w:after="80"/>
      </w:pPr>
      <w:r>
        <w:rPr>
          <w:i/>
          <w:sz w:val="20"/>
        </w:rPr>
        <w:t>EN: NASA’s ECOSTRESS satellite reveals widespread midday depression in ecosystem evapotranspiration</w:t>
      </w:r>
    </w:p>
    <w:p>
      <w:pPr>
        <w:spacing w:before="0" w:after="120"/>
      </w:pPr>
      <w:r>
        <w:rPr>
          <w:b/>
        </w:rPr>
        <w:t xml:space="preserve">Source: </w:t>
      </w:r>
      <w:r>
        <w:t>Earth and environmental sciences : Nature Communications subject feeds</w:t>
      </w:r>
      <w:r>
        <w:t xml:space="preserve">    </w:t>
      </w:r>
      <w:r>
        <w:rPr>
          <w:b/>
        </w:rPr>
        <w:t xml:space="preserve">Pub date: </w:t>
      </w:r>
      <w:r>
        <w:t>2026-08-25 00:00:00+00:00</w:t>
      </w:r>
    </w:p>
    <w:p>
      <w:pPr>
        <w:spacing w:before="0" w:after="120"/>
      </w:pPr>
      <w:r>
        <w:rPr>
          <w:b/>
        </w:rPr>
        <w:t xml:space="preserve">Notes: </w:t>
      </w:r>
      <w:r>
        <w:t>abstract_source=nature_html</w:t>
      </w:r>
    </w:p>
    <w:p>
      <w:pPr>
        <w:spacing w:before="0" w:after="80" w:lineRule="auto" w:line="276"/>
      </w:pPr>
      <w:r>
        <w:rPr>
          <w:b/>
        </w:rPr>
        <w:t xml:space="preserve">摘要（ZH）: </w:t>
      </w:r>
      <w:r>
        <w:t>植物经常在中午表现出用水量（即蒸腾作用）的下降，反映出它们维持最大水分运输的能力受到限制，这可能会以光合作用减少为代价。涡旋协方差观测和对地静止卫星无法量化这种全球范围内普遍存在的现象，同时解决精细尺度的空间变化。利用空间站 ECOsystem 星载热辐射计实验 (ECOSTRESS) 的蒸散测量和机器学习，我们量化了蒸散中午间低压的全球分布。午间低气压主要发生在温带生长旺季和热带干旱期，蒸散峰值时间早移&gt;0.5小时。干旱和热浪会加剧午间低气压，蒸散峰值时间提前，通常提前 0.5 至 1.5 小时，在局部极端情况下接近 2 小时。相比之下，粗分辨率升级通量产品和每小时气象再分析数据集无法捕捉到这种现象。使用 ECOSTRESS 和机器学习检测到的正午蒸散量下降与植物水分胁迫密切相关，有助于我们更好地了解植物在干旱和热浪期间如何利用水分。</w:t>
      </w:r>
    </w:p>
    <w:p>
      <w:pPr>
        <w:spacing w:before="0" w:after="200" w:lineRule="auto" w:line="276"/>
      </w:pPr>
      <w:r>
        <w:rPr>
          <w:b/>
        </w:rPr>
        <w:t xml:space="preserve">Abstract (EN): </w:t>
      </w:r>
      <w:r>
        <w:t>Plants often exhibit a midday depression in water use (i.e., transpiration), reflecting a constraint on their ability to sustain maximum water transport, which may occur at the cost of reduced photosynthesis. Eddy covariance observations and geostationary satellites cannot quantify this widespread phenomenon globally while resolving fine-scale spatial variability. Using evapotranspiration measurements from the ECOsystem Spaceborne Thermal Radiometer Experiment on Space Station (ECOSTRESS) and machine learning, we quantify the global distribution of midday depression in evapotranspiration. Midday depression primarily occurs during peak-growing seasons in temperate zones and dry periods in the tropics, with a morning shift of the peak evapotranspiration time by &gt; 0.5 h. Droughts and heatwaves intensify midday depression, with peak evapotranspiration time shifting earlier, typically by 0.5 to 1.5 h and approaching 2 h during local extremes. By contrast, the coarse resolution upscaled flux products and hourly meteorological reanalysis datasets cannot capture this phenomenon. Midday depression of evapotranspiration detected using ECOSTRESS and machine learning is strongly associated with plant water stress, and helps us better understand how plants use water during drought and heatwaves.</w:t>
      </w:r>
    </w:p>
    <w:p>
      <w:pPr>
        <w:spacing w:before="120" w:after="120"/>
      </w:pPr>
      <w:r>
        <w:rPr>
          <w:sz w:val="18"/>
        </w:rPr>
        <w:t>——————————————————————————————————————————————————————————————————————</w:t>
      </w:r>
    </w:p>
    <w:p>
      <w:pPr>
        <w:spacing w:before="160" w:after="40" w:line="240" w:lineRule="auto"/>
      </w:pPr>
      <w:r>
        <w:rPr>
          <w:b/>
        </w:rPr>
        <w:t xml:space="preserve">[340] </w:t>
      </w:r>
      <w:hyperlink r:id="rId1123">
        <w:r>
          <w:rPr>
            <w:color w:val="1155CC"/>
            <w:u w:val="single"/>
          </w:rPr>
          <w:t>同行评审的未来需要人工智能的支持，而不是人工智能的禁令</w:t>
        </w:r>
      </w:hyperlink>
    </w:p>
    <w:p>
      <w:pPr>
        <w:spacing w:before="0" w:after="80"/>
      </w:pPr>
      <w:r>
        <w:rPr>
          <w:i/>
          <w:sz w:val="20"/>
        </w:rPr>
        <w:t>EN: The future of peer review requires AI support, not AI bans</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24">
        <w:r>
          <w:rPr>
            <w:color w:val="1155CC"/>
            <w:u w:val="single"/>
          </w:rPr>
          <w:t>10.1038/d41586-026-02631-0</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[341] </w:t>
      </w:r>
      <w:hyperlink r:id="rId1125">
        <w:r>
          <w:rPr>
            <w:color w:val="1155CC"/>
            <w:u w:val="single"/>
          </w:rPr>
          <w:t>附录：海平面远高于大多数沿海灾害评估中的假设</w:t>
        </w:r>
      </w:hyperlink>
    </w:p>
    <w:p>
      <w:pPr>
        <w:spacing w:before="0" w:after="80"/>
      </w:pPr>
      <w:r>
        <w:rPr>
          <w:i/>
          <w:sz w:val="20"/>
        </w:rPr>
        <w:t>EN: Addendum: Sea level much higher than assumed in most coastal hazard assessments</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26">
        <w:r>
          <w:rPr>
            <w:color w:val="1155CC"/>
            <w:u w:val="single"/>
          </w:rPr>
          <w:t>10.1038/s41586-026-11017-1</w:t>
        </w:r>
      </w:hyperlink>
    </w:p>
    <w:p>
      <w:pPr>
        <w:spacing w:before="0" w:after="120"/>
      </w:pPr>
      <w:r>
        <w:rPr>
          <w:b/>
        </w:rPr>
        <w:t xml:space="preserve">Notes: </w:t>
      </w:r>
      <w:r>
        <w:t>abstract_source=openalex</w:t>
      </w:r>
    </w:p>
    <w:p>
      <w:pPr>
        <w:spacing w:before="0" w:after="80" w:lineRule="auto" w:line="276"/>
      </w:pPr>
      <w:r>
        <w:rPr>
          <w:b/>
        </w:rPr>
        <w:t xml:space="preserve">摘要（ZH）: </w:t>
      </w:r>
      <w:r>
        <w:t>本附录提供了原始文章 1 中沿海暴露荟萃分析方法中使用的大地水准面模型的配置详细信息。它扩展了原始出版物中的描述，以确保我们的结果的完全可重复性。具体配置细节在下面和扩展数据表 1 – 5 中概述。大地水准面模型信息是从 GFZ 亥姆霍兹地球科学中心 (ICGEM) 2 的全球地球模型国际中心的公开计算服务获得的。对于 EGM96（参考文献 3）、EGM2008（参考文献 4）和 GOCO06s（参考文献 5）大地水准面模型，分别以 0.085° 的分辨率获得了整个地球的 WGS84 椭球大地水准面高度异常点数据（以米为单位）6（EGM96 和 EGM2008 的数据于 2023 年 8 月 22 日下载， 10/01/2024 对于 GOCO06s）（扩展数据表 1 – 3）。具体来说，ICGEM 的输出网格记录了最大纬度 90.000 °N 和 89.945 °S（2118 个纬度纬线），以及最大经度 180 °W 和 179.975 °E（4236 个经度纬线）。每个大地水准面模型总共下载了 8,971,848 个点。我们将 ICGEM 给出的零度项纳入大地水准面模型配置 7 中，并且对于每个大地水准面模型，参考无潮汐系统配置 6 。这些大地水准面模型的参考椭球 WGS84 由地心引力常数 GM = 3.98600441800 × 10 14 m 3 /s 2 定义，半径 a = 6378137.00 m，扁化 f = 1/298.25722356300，角速度 ω = 7.292115 × 10 –5 s –1 和正常</w:t>
      </w:r>
    </w:p>
    <w:p>
      <w:pPr>
        <w:spacing w:before="0" w:after="200" w:lineRule="auto" w:line="276"/>
      </w:pPr>
      <w:r>
        <w:rPr>
          <w:b/>
        </w:rPr>
        <w:t xml:space="preserve">Abstract (EN): </w:t>
      </w:r>
      <w:r>
        <w:t>This Addendum provides the configuration details for the geoid models used in the methodology underlying the coastal exposure meta-analysis in the original article 1 . It expands upon the description in the original publication to ensure full reproducibility of our results. The specific configuration details are outlined below and in Extended Data Tables 1 – 5 . Geoid model information was obtained from the openly accessible calculation service of the International Centre for Global Earth Models from GFZ Helmholtz Centre for Geosciences (ICGEM) 2 . Point data on geoid height anomaly to the WGS84 ellipsoid (in m) was obtained for the entire globe at a resolution of 0.085° for the EGM96 (ref. 3 ), EGM2008 (ref. 4 ) and GOCO06s (ref. 5 ) geoid models, respectively 6 (data downloaded on 22/08/2023 for EGM96 and EGM2008 and on 10/01/2024 for GOCO06s) (Extended Data Tables 1 – 3 ). Specifically, the output grid from ICGEM documents the maximum latitudes of 90.000 °N and 89.945 °S (2118 latitude parallels), and the maximum longitudes of 180 °W and 179.975 °E (4236 longitude parallels). In total, 8,971,848 points were downloaded for each geoid model. We included the zero-degree term as given by ICGEM into the geoid model configuration 7 and for each geoid model refer to a tide-free system configuration 6 . The reference ellipsoid WGS84 underlying these geoid models is defined by the geocentric gravitational constant GM = 3.98600441800 × 10 14 m 3 /s 2 , a radius of a = 6378137.00 m, a flattening of f = 1/298.25722356300, an angular velocity of ω = 7.292115 × 10 –5 s –1 and a normal potential of U 0 = 6.263685171456948 × 10 7 m 2 /s 2 . We did not apply any filters in the configuration 6 . Consequently, the geoid model data we obtained from the ICGEM calculation service include the EGM96 (with a maximum used degree of 360) characterized by a weighted mean of –7.1416531 × 10 –3 m, a maximum of 8.5891824 × 10 1 m, a minimum of –1.0651816 × 10 2 m and a weighted root mean square of 3.0566520 × 10 1 m (Extended Data Table 1 ); EGM2008 (with a maximum used degree of 2190) characterized by a weighted mean of –8.2435599 × 10 –3 m, a maximum of 8.6064395 × 10 1 m, a minimum of –1.0648962 × 10 2 m and a weighted root mean square of 3.0570532 × 10 1 m (Extended Data Table 2 ); and GOCO06s (with a maximum used degree of 300) characterized by a weighted mean of –7.1516965 × 10 –3 m, a maximum of 8.5419839 × 10 1 m, a minimum of –1.0651832 × 10 2 m and a weighted root mean square of 3.0569639 × 10 1 m (Extended Data Table 3 ). For each geoid model, the height anomaly points were interpolated into a global raster by using multiquadric radial basis functions, which gave the most accurate interpolation results and is also used by gravitational field modelling studies 8 , 9 . The interpolations were conducted using the geostatistical wizard in ArcGIS Pro (version 3.1.3). For each interpolation, the kernel parameter was optimized. The standard neighbourhood type was automatically set with a minimum of 10 and a maximum of 15 neighbours. A sector type of one sector was used. The processing was similar for our additional computations, involving the GOCO2025s (ref. 10 ) and EGM-DIR R4 (refs. 11 , 12 ) investigations, which were added in the later process of our article (Extended Data Tables 4 and 5 ). For both the GOCO2025s and the DIR R4 geoid models, we downloaded height anomaly data to the WGS84 ellipsoid as specified above 6 (date of download for both geoid models: 03/10/2025). We used a grid step of 1.000° and a global coverage, extending from 90.000 °N to 90.000 °S and from 180.000 °W to 180.000 °E, thus obtaining 65,341 grid points. As for the previously described geoid models, we included the zero-degree term as given by ICGEM into the geoid model configuration 7 and for each geoid model refer to a tide-free system configuration 6 . Consequently, the output configurated by ICGEM include the GOCO2025s (with a maximum used degree of 300) characterized by a weighted mean of 1.6370365 × 10 –2 m, a maximum of 8.4607608 × 10 1 m, a minimum of –1.0634983 × 10 2 m and a weighted root mean square of 3.0565538 × 10 1 m (Extended Data Table 4 ); and the DIR R4 (with a maximum used degree of 260) characterized by a weighted mean of 1.6487188 × 10 –2 m, a maximum of 8.4596036 × 10 1 m, a minimum of –1.0649776 × 10 2 m and a weighted root mean square of 3.0565126 × 10 1 m (Extended Data Table 5 ). The respective geoid model point data were interpolated into a global raster using multiquadric radial basis functions with kernel parameter optimization, standard neighbourhood type with minimum 10 and maximum 15 neighbours, and a sector type of one sector. Subsequently, coastal offsets to EGM96 and GOCO06s geoid models and mean dynamic topography (Extended Data Fig. 9 of ref. 1 ; Supplementary Fig. 9 of ref. 1 ) were determined by subtraction and as detailed in Extended Data Fig. 2 of ref. 1 , followed by the extraction of point values at a 90 m interval along the coastline using bilinear interpolation of values at point locations and excluding no data values and water bodies before rasterization. For visualization purposes, the spatial scale of the data shown in Extended Data Fig. 9 of ref. 1 and Supplementary Fig. 9 of ref. 1 was resampled to 1° using bilinear resampling, whereas statistics are given at 1,000 m spatial resolution (Supplementary Data 2 of ref. 1 ).</w:t>
      </w:r>
    </w:p>
    <w:p>
      <w:pPr>
        <w:spacing w:before="120" w:after="120"/>
      </w:pPr>
      <w:r>
        <w:rPr>
          <w:sz w:val="18"/>
        </w:rPr>
        <w:t>——————————————————————————————————————————————————————————————————————</w:t>
      </w:r>
    </w:p>
    <w:p>
      <w:pPr>
        <w:spacing w:before="160" w:after="40" w:line="240" w:lineRule="auto"/>
      </w:pPr>
      <w:r>
        <w:rPr>
          <w:b/>
        </w:rPr>
        <w:t xml:space="preserve">[342] </w:t>
      </w:r>
      <w:hyperlink r:id="rId1127">
        <w:r>
          <w:rPr>
            <w:color w:val="1155CC"/>
            <w:u w:val="single"/>
          </w:rPr>
          <w:t>通过热应变域工程实现具有大数字机电响应的硅兼容理想反铁电性</w:t>
        </w:r>
      </w:hyperlink>
    </w:p>
    <w:p>
      <w:pPr>
        <w:spacing w:before="0" w:after="80"/>
      </w:pPr>
      <w:r>
        <w:rPr>
          <w:i/>
          <w:sz w:val="20"/>
        </w:rPr>
        <w:t>EN: Silicon-compatible ideal antiferroelectricity with large digital electromechanical responses enabled by thermal–strain domain engineering</w:t>
      </w:r>
    </w:p>
    <w:p>
      <w:pPr>
        <w:spacing w:before="0" w:after="120"/>
      </w:pPr>
      <w:r>
        <w:rPr>
          <w:b/>
        </w:rPr>
        <w:t xml:space="preserve">Source: </w:t>
      </w:r>
      <w:r>
        <w:t>National Science Review Advance Access</w:t>
      </w:r>
      <w:r>
        <w:t xml:space="preserve">    </w:t>
      </w:r>
      <w:r>
        <w:rPr>
          <w:b/>
        </w:rPr>
        <w:t xml:space="preserve">Pub date: </w:t>
      </w:r>
      <w:r>
        <w:t>2026-08-25 00:00:00+00:00</w:t>
      </w:r>
      <w:r>
        <w:t xml:space="preserve">    </w:t>
      </w:r>
      <w:r>
        <w:rPr>
          <w:b/>
        </w:rPr>
        <w:t xml:space="preserve">DOI: </w:t>
      </w:r>
      <w:hyperlink r:id="rId1128">
        <w:r>
          <w:rPr>
            <w:color w:val="1155CC"/>
            <w:u w:val="single"/>
          </w:rPr>
          <w:t>10.1093/nsr/nwag521</w:t>
        </w:r>
      </w:hyperlink>
    </w:p>
    <w:p>
      <w:pPr>
        <w:spacing w:before="0" w:after="120"/>
      </w:pPr>
      <w:r>
        <w:rPr>
          <w:b/>
        </w:rPr>
        <w:t xml:space="preserve">Notes: </w:t>
      </w:r>
      <w:r>
        <w:t>abstract_source=rss_oup</w:t>
      </w:r>
    </w:p>
    <w:p>
      <w:pPr>
        <w:spacing w:before="0" w:after="80" w:lineRule="auto" w:line="276"/>
      </w:pPr>
      <w:r>
        <w:rPr>
          <w:b/>
        </w:rPr>
        <w:t xml:space="preserve">摘要（ZH）: </w:t>
      </w:r>
      <w:r>
        <w:t>反铁电体表现出可逆的反极性-极性转变，为现代纳米电子学中的多种功能提供了一个引人注目的平台，但反铁电域和切换路径的确定性控制仍然难以捉摸。此外，它们与无处不在的硅基电子器件的集成受到传统氧化物平台的结构和化学不相容性的限制。在这里，我们将热失配的传统缺点转化为功能优势，并通过热拉伸应变工程在硅上外延 PbZrO3 薄膜中实现理想的反铁电性，这是传统钙钛矿氧化物基板上无法实现的应变状态。理论和实验相结合的研究表明，拉伸应变稳定了 (004)o 域，从而实现了直接的一步切换，而压缩应变稳定的 (240)o 域则通过中间亚铁电态进行切换。所得薄膜表现出近零剩余极化（∼0.5 μC/cm2）、平方双磁滞、纳秒切换（∼75 ns）、大可逆静电应变（∼0.6%）和稳健的操作窗口。这些发现为硅上的领域工程理想反铁电性提供了重要见解，为高性能反铁电纳米电子器件开辟了一条可行的途径。</w:t>
      </w:r>
    </w:p>
    <w:p>
      <w:pPr>
        <w:spacing w:before="0" w:after="200" w:lineRule="auto" w:line="276"/>
      </w:pPr>
      <w:r>
        <w:rPr>
          <w:b/>
        </w:rPr>
        <w:t xml:space="preserve">Abstract (EN): </w:t>
      </w:r>
      <w:r>
        <w:t>Antiferroelectrics exhibit reversible antipolar-polar transformations, offering a compelling platform for multiple functionalities in modern nanoelectronics, yet deterministic control of antiferroelectric domains and switching pathways remain elusive. Moreover, their integration with ubiquitous silicon-based electronic devices has been limited by the structural and chemical incompatibilities of conventional oxide platforms. Here, we convert the conventional drawback of thermal mismatch into a functional advantage and realize ideal antiferroelectricity in epitaxial PbZrO3 thin films on silicon through thermal tensile-strain engineering, a strain regime unattainable on conventional perovskite oxide substrates. Combined theoretical and experimental studies show that tensile strain stabilizes the (004)o domain, enabling a direct one-step switching, whereas compressive-strain-stabilized (240)o domains switch through intermediate ferrielectric states. The resulting films exhibit near-zero remanent polarization (∼0.5 μC/cm2), square double hysteresis, nanosecond switching (∼75 ns), large reversible electrostrain (∼0.6%) and robust operation windows. These findings provide key insights into domain-engineered ideal antiferroelectricity on silicon, opening a viable route toward high-performance antiferroelectric nano-electronic devices.</w:t>
      </w:r>
    </w:p>
    <w:p>
      <w:pPr>
        <w:spacing w:before="120" w:after="120"/>
      </w:pPr>
      <w:r>
        <w:rPr>
          <w:sz w:val="18"/>
        </w:rPr>
        <w:t>——————————————————————————————————————————————————————————————————————</w:t>
      </w:r>
    </w:p>
    <w:p>
      <w:pPr>
        <w:spacing w:before="160" w:after="40" w:line="240" w:lineRule="auto"/>
      </w:pPr>
      <w:r>
        <w:rPr>
          <w:b/>
        </w:rPr>
        <w:t xml:space="preserve">[343] </w:t>
      </w:r>
      <w:hyperlink r:id="rId1129">
        <w:r>
          <w:rPr>
            <w:color w:val="1155CC"/>
            <w:u w:val="single"/>
          </w:rPr>
          <w:t>天然卤素化学对全球平流层臭氧消耗演变的作用</w:t>
        </w:r>
      </w:hyperlink>
    </w:p>
    <w:p>
      <w:pPr>
        <w:spacing w:before="0" w:after="80"/>
      </w:pPr>
      <w:r>
        <w:rPr>
          <w:i/>
          <w:sz w:val="20"/>
        </w:rPr>
        <w:t>EN: Role of natural halogen chemistry on the evolution of global stratospheric ozone depletion</w:t>
      </w:r>
    </w:p>
    <w:p>
      <w:pPr>
        <w:spacing w:before="0" w:after="120"/>
      </w:pPr>
      <w:r>
        <w:rPr>
          <w:b/>
        </w:rPr>
        <w:t xml:space="preserve">Source: </w:t>
      </w:r>
      <w:r>
        <w:t>Earth and environmental sciences : Nature Communications subject feeds</w:t>
      </w:r>
      <w:r>
        <w:t xml:space="preserve">    </w:t>
      </w:r>
      <w:r>
        <w:rPr>
          <w:b/>
        </w:rPr>
        <w:t xml:space="preserve">Pub date: </w:t>
      </w:r>
      <w:r>
        <w:t>2026-08-25 00:00:00+00:00</w:t>
      </w:r>
    </w:p>
    <w:p>
      <w:pPr>
        <w:spacing w:before="0" w:after="120"/>
      </w:pPr>
      <w:r>
        <w:rPr>
          <w:b/>
        </w:rPr>
        <w:t xml:space="preserve">Notes: </w:t>
      </w:r>
      <w:r>
        <w:t>abstract_source=nature_html</w:t>
      </w:r>
    </w:p>
    <w:p>
      <w:pPr>
        <w:spacing w:before="0" w:after="80" w:lineRule="auto" w:line="276"/>
      </w:pPr>
      <w:r>
        <w:rPr>
          <w:b/>
        </w:rPr>
        <w:t xml:space="preserve">摘要（ZH）: </w:t>
      </w:r>
      <w:r>
        <w:t>平流层臭氧层是地球抵御有害紫外线辐射的主要屏障。 20 世纪，人为排放的氯化和溴化化合物导致臭氧大量消耗，包括形成南极臭氧空洞。虽然这些人为化合物所发挥的作用已经得到充分证实，但自然排放的卤素，特别是溴和碘的贡献仍然很少被量化。在这里，我们利用 1910 年至 2100 年的化学气候模型模拟，表明天然卤素化学对平流层低层臭氧损失做出了重大贡献。 1990年至2020年间，当人为卤素负荷达到峰值时，天然卤素占极地外平流层下层卤素引起的臭氧损失总量的一半，并使南极周边地区的臭氧破坏大幅增加约35%。预计到本世纪末，它们的相对影响将增加，超过极地外平流层下层由卤素引起的臭氧损失总量的 80%，并使南极自然季节性臭氧循环的恢复延迟近 50 年。这些发现表明，天然卤素在塑造臭氧层过去和未来的变化方面发挥着关键但代表性不足的作用，应在臭氧预测中准确体现。</w:t>
      </w:r>
    </w:p>
    <w:p>
      <w:pPr>
        <w:spacing w:before="0" w:after="200" w:lineRule="auto" w:line="276"/>
      </w:pPr>
      <w:r>
        <w:rPr>
          <w:b/>
        </w:rPr>
        <w:t xml:space="preserve">Abstract (EN): </w:t>
      </w:r>
      <w:r>
        <w:t>The stratospheric ozone layer acts as Earth’s primary shield against harmful ultraviolet radiation. Anthropogenic emissions of chlorinated and brominated compounds caused substantial ozone depletion during the 20th century, including the formation of the Antarctic ozone hole. While the role played by these anthropogenic compounds has been well established, the contribution of naturally emitted halogens, particularly bromine and iodine, remains poorly quantified. Here, using chemistry-climate model simulations spanning 1910 to 2100, we show that natural halogen chemistry makes a major contribution to lower-stratospheric ozone loss. Between 1990 and 2020, when anthropogenic halogen loading reached its peak, natural halogens accounted for up to half of the total halogen-induced ozone loss in the extrapolar lower-stratosphere and substantially enhanced ozone destruction along the Antarctic periphery by ~35%. Their relative influence is projected to increase by the end of this century, exceeding 80% of total halogen-induced ozone loss in the extrapolar lower-stratosphere and delaying the recovery of the natural Antarctic seasonal ozone cycle by nearly five decades. These findings reveal that natural halogens play a critical but underrepresented role in shaping the past and future changes in the ozone layer and should be accurately represented in ozone projections.</w:t>
      </w:r>
    </w:p>
    <w:p>
      <w:pPr>
        <w:spacing w:before="120" w:after="120"/>
      </w:pPr>
      <w:r>
        <w:rPr>
          <w:sz w:val="18"/>
        </w:rPr>
        <w:t>——————————————————————————————————————————————————————————————————————</w:t>
      </w:r>
    </w:p>
    <w:p>
      <w:pPr>
        <w:spacing w:before="160" w:after="40" w:line="240" w:lineRule="auto"/>
      </w:pPr>
      <w:r>
        <w:rPr>
          <w:b/>
        </w:rPr>
        <w:t xml:space="preserve">[344] </w:t>
      </w:r>
      <w:hyperlink r:id="rId1130">
        <w:r>
          <w:rPr>
            <w:color w:val="1155CC"/>
            <w:u w:val="single"/>
          </w:rPr>
          <w:t>水库沉积减少了蓄水量和沿海三角洲的弹性</w:t>
        </w:r>
      </w:hyperlink>
    </w:p>
    <w:p>
      <w:pPr>
        <w:spacing w:before="0" w:after="80"/>
      </w:pPr>
      <w:r>
        <w:rPr>
          <w:i/>
          <w:sz w:val="20"/>
        </w:rPr>
        <w:t>EN: Reservoir sedimentation diminishes water storage and coastal delta resiliency</w:t>
      </w:r>
    </w:p>
    <w:p>
      <w:pPr>
        <w:spacing w:before="0" w:after="120"/>
      </w:pPr>
      <w:r>
        <w:rPr>
          <w:b/>
        </w:rPr>
        <w:t xml:space="preserve">Source: </w:t>
      </w:r>
      <w:r>
        <w:t>Earth and environmental sciences : Nature Communications subject feeds</w:t>
      </w:r>
      <w:r>
        <w:t xml:space="preserve">    </w:t>
      </w:r>
      <w:r>
        <w:rPr>
          <w:b/>
        </w:rPr>
        <w:t xml:space="preserve">Pub date: </w:t>
      </w:r>
      <w:r>
        <w:t>2026-08-25 00:00:00+00:00</w:t>
      </w:r>
    </w:p>
    <w:p>
      <w:pPr>
        <w:spacing w:before="0" w:after="120"/>
      </w:pPr>
      <w:r>
        <w:rPr>
          <w:b/>
        </w:rPr>
        <w:t xml:space="preserve">Notes: </w:t>
      </w:r>
      <w:r>
        <w:t>abstract_source=nature_html</w:t>
      </w:r>
    </w:p>
    <w:p>
      <w:pPr>
        <w:spacing w:before="0" w:after="80" w:lineRule="auto" w:line="276"/>
      </w:pPr>
      <w:r>
        <w:rPr>
          <w:b/>
        </w:rPr>
        <w:t xml:space="preserve">摘要（ZH）: </w:t>
      </w:r>
      <w:r>
        <w:t>由于沉积物堆积，筑坝水库中的地表水储存量随着时间的推移而减少。在这里，我们应用 RATTES 模型预测了美国大陆 57,117 个水库（1700-2050 年）的库容损失和沉积，结果到 2025 年水库累积沉积量为 63.8 km3，到 2050 年为 83.0 km3。虽然累积库容损失为 7.7%，但超过五分之二的水库损失了超过设计库容的 25%。等效沉积物质量为 61.3 Gt，超过全球每年河流沉积物负荷的七倍。如果沿海三角洲接收目前储存在水库中的年度沉积物负荷，三角洲的沉积率将与美国一半三角洲的海平面上升速度相当。虽然 79% 的水库沉积物储存在距离海岸 500 多公里的地方，但 7% 的沉积物被封存在终点大坝后面，可持续的沉积物管理可以将沉积物运输重新连接到海岸。</w:t>
      </w:r>
    </w:p>
    <w:p>
      <w:pPr>
        <w:spacing w:before="0" w:after="200" w:lineRule="auto" w:line="276"/>
      </w:pPr>
      <w:r>
        <w:rPr>
          <w:b/>
        </w:rPr>
        <w:t xml:space="preserve">Abstract (EN): </w:t>
      </w:r>
      <w:r>
        <w:t>Surface water storage in dammed reservoirs diminishes over time due to sediment accumulation. Here, we applied the RATTES model to predict storage loss and sedimentation at 57,117 reservoirs across the continental United States (1700–2050), resulting in cumulative reservoir sediment volumes of 63.8 km3 by 2025 and 83.0 km3 by 2050. Although cumulative storage loss is 7.7%, over two-fifths of reservoirs have lost more than 25% of designed storage capacity. The equivalent sediment mass is 61.3 Gt, exceeding the annual global fluvial sediment load by a factor of seven. If coastal deltas received the annual sediment load currently stored in reservoirs, delta aggradation rates would be comparable to eustatic sea-level rise at half of US deltas. While 79% of reservoir sediment is stored over 500 km from the coast, 7% is sequestered behind terminal dams where sustainable sediment management could reconnect sediment transport to coasts.</w:t>
      </w:r>
    </w:p>
    <w:p>
      <w:pPr>
        <w:spacing w:before="120" w:after="120"/>
      </w:pPr>
      <w:r>
        <w:rPr>
          <w:sz w:val="18"/>
        </w:rPr>
        <w:t>——————————————————————————————————————————————————————————————————————</w:t>
      </w:r>
    </w:p>
    <w:p>
      <w:pPr>
        <w:spacing w:before="160" w:after="40" w:line="240" w:lineRule="auto"/>
      </w:pPr>
      <w:r>
        <w:rPr>
          <w:b/>
        </w:rPr>
        <w:t xml:space="preserve">[345] </w:t>
      </w:r>
      <w:hyperlink r:id="rId1131">
        <w:r>
          <w:rPr>
            <w:color w:val="1155CC"/>
            <w:u w:val="single"/>
          </w:rPr>
          <w:t>氧化还原分层大分子降解支持寡营养克马德克海沟沉积物中微生物的生存</w:t>
        </w:r>
      </w:hyperlink>
    </w:p>
    <w:p>
      <w:pPr>
        <w:spacing w:before="0" w:after="80"/>
      </w:pPr>
      <w:r>
        <w:rPr>
          <w:i/>
          <w:sz w:val="20"/>
        </w:rPr>
        <w:t>EN: Redox-stratified macromolecule degradation supports microbial survival in the oligotrophic Kermadec Trench sediments</w:t>
      </w:r>
    </w:p>
    <w:p>
      <w:pPr>
        <w:spacing w:before="0" w:after="120"/>
      </w:pPr>
      <w:r>
        <w:rPr>
          <w:b/>
        </w:rPr>
        <w:t xml:space="preserve">Source: </w:t>
      </w:r>
      <w:r>
        <w:t>Earth and environmental sciences : Nature Communications subject feeds</w:t>
      </w:r>
      <w:r>
        <w:t xml:space="preserve">    </w:t>
      </w:r>
      <w:r>
        <w:rPr>
          <w:b/>
        </w:rPr>
        <w:t xml:space="preserve">Pub date: </w:t>
      </w:r>
      <w:r>
        <w:t>2026-08-25 00:00:00+00:00</w:t>
      </w:r>
    </w:p>
    <w:p>
      <w:pPr>
        <w:spacing w:before="0" w:after="120"/>
      </w:pPr>
      <w:r>
        <w:rPr>
          <w:b/>
        </w:rPr>
        <w:t xml:space="preserve">Notes: </w:t>
      </w:r>
      <w:r>
        <w:t>abstract_source=nature_html</w:t>
      </w:r>
    </w:p>
    <w:p>
      <w:pPr>
        <w:spacing w:before="0" w:after="80" w:lineRule="auto" w:line="276"/>
      </w:pPr>
      <w:r>
        <w:rPr>
          <w:b/>
        </w:rPr>
        <w:t xml:space="preserve">摘要（ZH）: </w:t>
      </w:r>
      <w:r>
        <w:t>克马德克海沟是南太平洋的一个深渊生态系统，水深10,047 m。尽管表面沉积物具有极高的压力、贫营养性和低氧浓度，但沟底却蕴藏着高度活跃且人口众多的微生物群落。研究其中的微生物适应策略既有趣又具有技术挑战性。在这里，我们借助奋斗者载人潜水器对沉积物样品进行RNA原位固定，以在基因组和转录组水平上接近微生物代谢的自然状态。我们重建了 1369 个宏基因组组装基因组 (MAG)，揭示了编码针对肽聚糖和 β−1,4-甘露聚糖等复杂大分子的碳水化合物活性酶的显性异养谱系。这些降解过程在转录上与利用氧气、硝酸盐和亚硝酸盐作为电子受体的灵活呼吸途径相结合。共表达分析和微生物共现网络证明了氧化还原分层驱动的生态位划分，斜坡群落有利于氧化途径，底部群落富含还原代谢，包括反硝化和 N2O 还原。尽管成分存在差异，但这两个栖息地都表现出以大分子回收和氧化还原耦合呼吸为中心的保守功能策略。我们的研究结果强调了有机物再矿化和电子受体多功能性的协调系统，该系统支撑着地球最深海底生态系统中微生物的生存。</w:t>
      </w:r>
    </w:p>
    <w:p>
      <w:pPr>
        <w:spacing w:before="0" w:after="200" w:lineRule="auto" w:line="276"/>
      </w:pPr>
      <w:r>
        <w:rPr>
          <w:b/>
        </w:rPr>
        <w:t xml:space="preserve">Abstract (EN): </w:t>
      </w:r>
      <w:r>
        <w:t>Kermadec Trench is a hadal ecosystem in the South Pacific with the water depth 10,047 m. The trench bottom harbors a highly active and populated microbial community, despite the surface sediment is characterized as extremely pressurized, oligotrophic and with low oxygen concentration. It is intriguing, as well as technically challenging, to investigate the microbial adaptation strategies therein. Here we performed the in situ RNA fixation on sediment samples with the assistant of Fendouzhe manned submersible, to approach natural status of microbial metabolisms on both genomic and transcriptomic levels. We reconstructed 1369 metagenome-assembled genomes (MAGs), revealing dominant heterotrophic lineages encoding carbohydrate-active enzymes targeting complex macromolecules such as peptidoglycan and β−1,4-mannan. These degradation processes were transcriptionally coupled with flexible respiratory pathways utilizing oxygen, nitrate, and nitrite as electron acceptors. Co-expression analyses and microbial co-occurrence networks demonstrated niche partitioning driven by redox stratification, with slope communities favoring oxidative pathways and bottom communities enriched in reductive metabolisms, including denitrification and N₂O reduction. Despite compositional divergence, both habitats exhibited conserved functional strategies centered on macromolecule recycling and redox-coupled respiration. Our findings highlight a coordinated system of organic matter remineralization and electron acceptor versatility that underpins microbial survival in Earth’s deepest seafloor ecosystems.</w:t>
      </w:r>
    </w:p>
    <w:p>
      <w:pPr>
        <w:spacing w:before="120" w:after="120"/>
      </w:pPr>
      <w:r>
        <w:rPr>
          <w:sz w:val="18"/>
        </w:rPr>
        <w:t>——————————————————————————————————————————————————————————————————————</w:t>
      </w:r>
    </w:p>
    <w:p>
      <w:pPr>
        <w:spacing w:before="160" w:after="40" w:line="240" w:lineRule="auto"/>
      </w:pPr>
      <w:r>
        <w:rPr>
          <w:b/>
        </w:rPr>
        <w:t xml:space="preserve">[346] </w:t>
      </w:r>
      <w:hyperlink r:id="rId1132">
        <w:r>
          <w:rPr>
            <w:color w:val="1155CC"/>
            <w:u w:val="single"/>
          </w:rPr>
          <w:t>在没有活性位点的情况下，微斜晶 (001) 上的冰成核</w:t>
        </w:r>
      </w:hyperlink>
    </w:p>
    <w:p>
      <w:pPr>
        <w:spacing w:before="0" w:after="80"/>
      </w:pPr>
      <w:r>
        <w:rPr>
          <w:i/>
          <w:sz w:val="20"/>
        </w:rPr>
        <w:t>EN: Ice nucleation on microcline (001) in the absence of active sites</w:t>
      </w:r>
    </w:p>
    <w:p>
      <w:pPr>
        <w:spacing w:before="0" w:after="120"/>
      </w:pPr>
      <w:r>
        <w:rPr>
          <w:b/>
        </w:rPr>
        <w:t xml:space="preserve">Source: </w:t>
      </w:r>
      <w:r>
        <w:t>Earth and environmental sciences : Nature Communications subject feeds</w:t>
      </w:r>
      <w:r>
        <w:t xml:space="preserve">    </w:t>
      </w:r>
      <w:r>
        <w:rPr>
          <w:b/>
        </w:rPr>
        <w:t xml:space="preserve">Pub date: </w:t>
      </w:r>
      <w:r>
        <w:t>2026-08-25 00:00:00+00:00</w:t>
      </w:r>
    </w:p>
    <w:p>
      <w:pPr>
        <w:spacing w:before="0" w:after="120"/>
      </w:pPr>
      <w:r>
        <w:rPr>
          <w:b/>
        </w:rPr>
        <w:t xml:space="preserve">Notes: </w:t>
      </w:r>
      <w:r>
        <w:t>abstract_source=nature_html</w:t>
      </w:r>
    </w:p>
    <w:p>
      <w:pPr>
        <w:spacing w:before="0" w:after="80" w:lineRule="auto" w:line="276"/>
      </w:pPr>
      <w:r>
        <w:rPr>
          <w:b/>
        </w:rPr>
        <w:t xml:space="preserve">摘要（ZH）: </w:t>
      </w:r>
      <w:r>
        <w:t>在许多不同的冰核矿物颗粒中，来自长石矿物微斜长石的灰尘特别活跃。然而，为什么微斜长石优于其他颗粒仍然是一个谜。在这里，我们使用纳米级成像来证明，即使在没有活性位点的情况下，微斜长石的（001）表面也可以诱导冰成核。相反，对于密切相关的长石长石，正如预期的那样，冰成核在阶梯边缘占主导地位。原子模拟表明，冰成核是由六方冰的高折射率（10.4）平面与微斜长石之间的晶格匹配引起的。我们的研究结果为微斜层卓越的冰成核能力提供了纳米级的解释，并证明了考虑高折射率表面的重要性。</w:t>
      </w:r>
    </w:p>
    <w:p>
      <w:pPr>
        <w:spacing w:before="0" w:after="200" w:lineRule="auto" w:line="276"/>
      </w:pPr>
      <w:r>
        <w:rPr>
          <w:b/>
        </w:rPr>
        <w:t xml:space="preserve">Abstract (EN): </w:t>
      </w:r>
      <w:r>
        <w:t>Of the many different ice-nucleating mineral particles, dust from feldspar mineral microcline stands out as being particularly active. However, why microcline outperforms other particles remains a puzzle. Here, we use nanoscale imaging to show that the (001) surface of microcline can induce ice nucleation even in the absence of active sites. In contrast, for the closely related feldspar sanidine, ice nucleation is dominant at step edges as expected. Atomistic simulations suggest that the ice nucleation is induced by a lattice match between the higher-index (10.4) plane of hexagonal ice and microcline. Our findings provide a nanoscopic explanation for microcline’s exceptional ice nucleation ability and demonstrate the importance of taking higher-index surfaces into account.</w:t>
      </w:r>
    </w:p>
    <w:p>
      <w:pPr>
        <w:spacing w:before="120" w:after="120"/>
      </w:pPr>
      <w:r>
        <w:rPr>
          <w:sz w:val="18"/>
        </w:rPr>
        <w:t>——————————————————————————————————————————————————————————————————————</w:t>
      </w:r>
    </w:p>
    <w:p>
      <w:pPr>
        <w:spacing w:before="160" w:after="40" w:line="240" w:lineRule="auto"/>
      </w:pPr>
      <w:r>
        <w:rPr>
          <w:b/>
        </w:rPr>
        <w:t xml:space="preserve">[347] </w:t>
      </w:r>
      <w:hyperlink r:id="rId1133">
        <w:r>
          <w:rPr>
            <w:color w:val="1155CC"/>
            <w:u w:val="single"/>
          </w:rPr>
          <w:t>超导 (La,Pr)3Ni2O7 − δ 薄膜中的 3dz2 轨道离域和磁塌陷</w:t>
        </w:r>
      </w:hyperlink>
    </w:p>
    <w:p>
      <w:pPr>
        <w:spacing w:before="0" w:after="80"/>
      </w:pPr>
      <w:r>
        <w:rPr>
          <w:i/>
          <w:sz w:val="20"/>
        </w:rPr>
        <w:t>EN: 3dz2 orbital delocalization and magnetic collapse in superconducting (La,Pr)3Ni2O7 − δ films</w:t>
      </w:r>
    </w:p>
    <w:p>
      <w:pPr>
        <w:spacing w:before="0" w:after="120"/>
      </w:pPr>
      <w:r>
        <w:rPr>
          <w:b/>
        </w:rPr>
        <w:t xml:space="preserve">Source: </w:t>
      </w:r>
      <w:r>
        <w:t>National Science Review Advance Access</w:t>
      </w:r>
      <w:r>
        <w:t xml:space="preserve">    </w:t>
      </w:r>
      <w:r>
        <w:rPr>
          <w:b/>
        </w:rPr>
        <w:t xml:space="preserve">Pub date: </w:t>
      </w:r>
      <w:r>
        <w:t>2026-08-25 00:00:00+00:00</w:t>
      </w:r>
      <w:r>
        <w:t xml:space="preserve">    </w:t>
      </w:r>
      <w:r>
        <w:rPr>
          <w:b/>
        </w:rPr>
        <w:t xml:space="preserve">DOI: </w:t>
      </w:r>
      <w:hyperlink r:id="rId1134">
        <w:r>
          <w:rPr>
            <w:color w:val="1155CC"/>
            <w:u w:val="single"/>
          </w:rPr>
          <w:t>10.1093/nsr/nwag518</w:t>
        </w:r>
      </w:hyperlink>
    </w:p>
    <w:p>
      <w:pPr>
        <w:spacing w:before="0" w:after="120"/>
      </w:pPr>
      <w:r>
        <w:rPr>
          <w:b/>
        </w:rPr>
        <w:t xml:space="preserve">Notes: </w:t>
      </w:r>
      <w:r>
        <w:t>abstract_source=rss_oup</w:t>
      </w:r>
    </w:p>
    <w:p>
      <w:pPr>
        <w:spacing w:before="0" w:after="80" w:lineRule="auto" w:line="276"/>
      </w:pPr>
      <w:r>
        <w:rPr>
          <w:b/>
        </w:rPr>
        <w:t xml:space="preserve">摘要（ZH）: </w:t>
      </w:r>
      <w:r>
        <w:t>最近发现的 Ruddlesden-Popper (RP) 镍酸盐薄膜超导体开辟了非常规超导的新领域。它的实现需要压缩外延应变和高度氧化的生长条件，但从母相到超导相的微观路径仍然难以捉摸。在这里，X射线吸收光谱和共振非弹性X射线散射被用来通过独立调节(La,Pr)3Ni2O7-δ薄膜中的应变和氧含量来跟踪这种演化。我们发现了一个非凡的两步叙述。首先，离域的特征出现：光谱权重从“上哈伯德”状峰转移到与 O 2pz 相关的孔状峰</w:t>
      </w:r>
    </w:p>
    <w:p>
      <w:pPr>
        <w:spacing w:before="0" w:after="200" w:lineRule="auto" w:line="276"/>
      </w:pPr>
      <w:r>
        <w:rPr>
          <w:b/>
        </w:rPr>
        <w:t xml:space="preserve">Abstract (EN): </w:t>
      </w:r>
      <w:r>
        <w:t>The recent discovery of Ruddlesden-Popper (RP) nickelate thin-film superconductors has opened a new frontier in unconventional superconductivity. Its realization requires both compressive epitaxial strain and highly oxidative growth conditions, yet the microscopic pathway from the parent phase to the superconducting phase remains elusive. Here, X-ray absorption spectra and resonant inelastic X-ray scattering are employed to track this evolution by independently tuning strain and oxygen content in (La,Pr)3Ni2O7 − δ thin films. We uncover a remarkable two-step narrative. First, signatures of delocalization emerge: Spectral weight transfers from a “Upper Hubbard”-like peak to the hole-like peak associated with O 2pz</w:t>
      </w:r>
    </w:p>
    <w:p>
      <w:pPr>
        <w:spacing w:before="120" w:after="120"/>
      </w:pPr>
      <w:r>
        <w:rPr>
          <w:sz w:val="18"/>
        </w:rPr>
        <w:t>——————————————————————————————————————————————————————————————————————</w:t>
      </w:r>
    </w:p>
    <w:p>
      <w:pPr>
        <w:spacing w:before="160" w:after="40" w:line="240" w:lineRule="auto"/>
      </w:pPr>
      <w:r>
        <w:rPr>
          <w:b/>
        </w:rPr>
        <w:t xml:space="preserve">[348] </w:t>
      </w:r>
      <w:hyperlink r:id="rId1135">
        <w:r>
          <w:rPr>
            <w:color w:val="1155CC"/>
            <w:u w:val="single"/>
          </w:rPr>
          <w:t>修改版权许可以阻止人工智能滥用并重申人类控制</w:t>
        </w:r>
      </w:hyperlink>
    </w:p>
    <w:p>
      <w:pPr>
        <w:spacing w:before="0" w:after="80"/>
      </w:pPr>
      <w:r>
        <w:rPr>
          <w:i/>
          <w:sz w:val="20"/>
        </w:rPr>
        <w:t>EN: Amend copyright licences to halt AI misuse and reassert human control</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36">
        <w:r>
          <w:rPr>
            <w:color w:val="1155CC"/>
            <w:u w:val="single"/>
          </w:rPr>
          <w:t>10.1038/d41586-026-02633-y</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[349] </w:t>
      </w:r>
      <w:hyperlink r:id="rId1137">
        <w:r>
          <w:rPr>
            <w:color w:val="1155CC"/>
            <w:u w:val="single"/>
          </w:rPr>
          <w:t>单原子催化剂如何将稳定性重新定义为适应性</w:t>
        </w:r>
      </w:hyperlink>
    </w:p>
    <w:p>
      <w:pPr>
        <w:spacing w:before="0" w:after="80"/>
      </w:pPr>
      <w:r>
        <w:rPr>
          <w:i/>
          <w:sz w:val="20"/>
        </w:rPr>
        <w:t>EN: How single-atom catalysts reframe stability as adaptability</w:t>
      </w:r>
    </w:p>
    <w:p>
      <w:pPr>
        <w:spacing w:before="0" w:after="120"/>
      </w:pPr>
      <w:r>
        <w:rPr>
          <w:b/>
        </w:rPr>
        <w:t xml:space="preserve">Source: </w:t>
      </w:r>
      <w:r>
        <w:t>Nature Reviews Materials</w:t>
      </w:r>
      <w:r>
        <w:t xml:space="preserve">    </w:t>
      </w:r>
      <w:r>
        <w:rPr>
          <w:b/>
        </w:rPr>
        <w:t xml:space="preserve">Pub date: </w:t>
      </w:r>
      <w:r>
        <w:t>2026-08-25 00:00:00+00:00</w:t>
      </w:r>
      <w:r>
        <w:t xml:space="preserve">    </w:t>
      </w:r>
      <w:r>
        <w:rPr>
          <w:b/>
        </w:rPr>
        <w:t xml:space="preserve">DOI: </w:t>
      </w:r>
      <w:hyperlink r:id="rId1138">
        <w:r>
          <w:rPr>
            <w:color w:val="1155CC"/>
            <w:u w:val="single"/>
          </w:rPr>
          <w:t>10.1038/s41578-026-00960-0</w:t>
        </w:r>
      </w:hyperlink>
    </w:p>
    <w:p>
      <w:pPr>
        <w:spacing w:before="0" w:after="120"/>
      </w:pPr>
      <w:r>
        <w:rPr>
          <w:b/>
        </w:rPr>
        <w:t xml:space="preserve">Notes: </w:t>
      </w:r>
      <w:r>
        <w:t>abstract_source=rss_nature</w:t>
      </w:r>
    </w:p>
    <w:p>
      <w:pPr>
        <w:spacing w:before="0" w:after="80" w:lineRule="auto" w:line="276"/>
      </w:pPr>
      <w:r>
        <w:rPr>
          <w:b/>
        </w:rPr>
        <w:t xml:space="preserve">摘要（ZH）: </w:t>
      </w:r>
      <w:r>
        <w:t>单原子催化剂最初是为了最大限度地提高金属利用率而开发的，但它们已经发展成为研究催化基本原理的强大平台。最近的研究表明，它们的活性位点通过与载体、缺陷和反应物的相互作用不断适应。这些发现挑战了催化剂稳定性作为结构持久性的传统观点，将其重新定义为受控适应性，并为随着反应环境感知、切换和演化的催化剂开辟了道路。</w:t>
      </w:r>
    </w:p>
    <w:p>
      <w:pPr>
        <w:spacing w:before="0" w:after="200" w:lineRule="auto" w:line="276"/>
      </w:pPr>
      <w:r>
        <w:rPr>
          <w:b/>
        </w:rPr>
        <w:t xml:space="preserve">Abstract (EN): </w:t>
      </w:r>
      <w:r>
        <w:t>Single-atom catalysts were initially developed to maximize metal utilization, but they have evolved into a powerful platform for interrogating the fundamental principles of catalysis. Recent studies reveal that their active sites continuously adapt through interactions with supports, defects and reactants. These findings challenge the conventional view of catalyst stability as structural persistence, redefining it as controlled adaptability and opening the way to catalysts that sense, switch and evolve with their reaction environment.</w:t>
      </w:r>
    </w:p>
    <w:p>
      <w:pPr>
        <w:spacing w:before="120" w:after="120"/>
      </w:pPr>
      <w:r>
        <w:rPr>
          <w:sz w:val="18"/>
        </w:rPr>
        <w:t>——————————————————————————————————————————————————————————————————————</w:t>
      </w:r>
    </w:p>
    <w:p>
      <w:pPr>
        <w:spacing w:before="160" w:after="40" w:line="240" w:lineRule="auto"/>
      </w:pPr>
      <w:r>
        <w:rPr>
          <w:b/>
        </w:rPr>
        <w:t xml:space="preserve">[350] </w:t>
      </w:r>
      <w:hyperlink r:id="rId1139">
        <w:r>
          <w:rPr>
            <w:color w:val="1155CC"/>
            <w:u w:val="single"/>
          </w:rPr>
          <w:t>岩浆作为连接地球内部和大气层的非化学计量氧气载体</w:t>
        </w:r>
      </w:hyperlink>
    </w:p>
    <w:p>
      <w:pPr>
        <w:spacing w:before="0" w:after="80"/>
      </w:pPr>
      <w:r>
        <w:rPr>
          <w:i/>
          <w:sz w:val="20"/>
        </w:rPr>
        <w:t>EN: Magma as a carrier of non-stoichiometric oxygen linking Earth’s interior and atmosphere</w:t>
      </w:r>
    </w:p>
    <w:p>
      <w:pPr>
        <w:spacing w:before="0" w:after="120"/>
      </w:pPr>
      <w:r>
        <w:rPr>
          <w:b/>
        </w:rPr>
        <w:t xml:space="preserve">Source: </w:t>
      </w:r>
      <w:r>
        <w:t>National Science Review Advance Access</w:t>
      </w:r>
      <w:r>
        <w:t xml:space="preserve">    </w:t>
      </w:r>
      <w:r>
        <w:rPr>
          <w:b/>
        </w:rPr>
        <w:t xml:space="preserve">Pub date: </w:t>
      </w:r>
      <w:r>
        <w:t>2026-08-25 00:00:00+00:00</w:t>
      </w:r>
      <w:r>
        <w:t xml:space="preserve">    </w:t>
      </w:r>
      <w:r>
        <w:rPr>
          <w:b/>
        </w:rPr>
        <w:t xml:space="preserve">DOI: </w:t>
      </w:r>
      <w:hyperlink r:id="rId1140">
        <w:r>
          <w:rPr>
            <w:color w:val="1155CC"/>
            <w:u w:val="single"/>
          </w:rPr>
          <w:t>10.1093/nsr/nwag539</w:t>
        </w:r>
      </w:hyperlink>
    </w:p>
    <w:p>
      <w:pPr>
        <w:spacing w:before="0" w:after="120"/>
      </w:pPr>
      <w:r>
        <w:rPr>
          <w:b/>
        </w:rPr>
        <w:t xml:space="preserve">Notes: </w:t>
      </w:r>
      <w:r>
        <w:t>abstract_source=rss_oup</w:t>
      </w:r>
    </w:p>
    <w:p>
      <w:pPr>
        <w:spacing w:before="0" w:after="80" w:lineRule="auto" w:line="276"/>
      </w:pPr>
      <w:r>
        <w:rPr>
          <w:b/>
        </w:rPr>
        <w:t xml:space="preserve">摘要（ZH）: </w:t>
      </w:r>
      <w:r>
        <w:t>岩浆的产生和运输控制着行星的演化。尽管氧是地球硅酸盐内部最丰富的阴离子，但它在岩浆中的作用通常被忽略，岩浆氧含量被认为是通过阳离子化学计量简单固定的。在这里，我们通过分子动力学模拟支持的高压和高温实验表明，硅酸盐岩浆可以吸收比传统价态限制所允许的更多的氧气。过量的氧气作为一种以前未被识别的挥发性成分，其浓度从 1 个大气压下的接近零增加到 5 GPa 以上的 &gt;∼5 wt.%，是地球固体地幔中通过铁氧化还原变化可达到的最大氧气增加量的五倍多。随着富氧岩浆上升和减压，它们保留过量氧气的能力下降，从而推动氧气的释放。这种行为提供了一种直接机制，有可能将地幔融化与地球浅层内部和大气的氧化联系起来，并将岩浆识别为行星氧循环中的动态储库。</w:t>
      </w:r>
    </w:p>
    <w:p>
      <w:pPr>
        <w:spacing w:before="0" w:after="200" w:lineRule="auto" w:line="276"/>
      </w:pPr>
      <w:r>
        <w:rPr>
          <w:b/>
        </w:rPr>
        <w:t xml:space="preserve">Abstract (EN): </w:t>
      </w:r>
      <w:r>
        <w:t>Magma generation and transport governs planetary evolution. Although oxygen is the most abundant anion in Earth’s silicate interior, its role in magma is conventionally ignored, with magma oxygen contents assumed to be simply fixed by cation stoichiometry. Here we show, using high-pressure and high-temperature experiments supported by molecular dynamics simulations, that silicate magma can incorporate substantially more oxygen than permitted by traditional valence-state constraints. Excess oxygen acts as a previously unrecognized volatile component, increasing in concentration from near zero at 1 atmosphere to &gt;∼5 wt.% above 5 GPa, more than five times the maximum oxygen increase attainable in Earth’s solid mantle through iron redox changes. As oxygen-rich magmas ascend and decompress, their capacity to retain excess oxygen decreases, driving the release of O2. This behaviour provides a direct mechanism with the potential to link mantle melting to oxidation of Earth’s shallow interior and atmosphere, and identifies magma as a dynamic reservoir in planetary oxygen cycles.</w:t>
      </w:r>
    </w:p>
    <w:p>
      <w:pPr>
        <w:spacing w:before="120" w:after="120"/>
      </w:pPr>
      <w:r>
        <w:rPr>
          <w:sz w:val="18"/>
        </w:rPr>
        <w:t>——————————————————————————————————————————————————————————————————————</w:t>
      </w:r>
    </w:p>
    <w:p>
      <w:pPr>
        <w:spacing w:before="160" w:after="40" w:line="240" w:lineRule="auto"/>
      </w:pPr>
      <w:r>
        <w:rPr>
          <w:b/>
        </w:rPr>
        <w:t xml:space="preserve">[351] </w:t>
      </w:r>
      <w:hyperlink r:id="rId1141">
        <w:r>
          <w:rPr>
            <w:color w:val="1155CC"/>
            <w:u w:val="single"/>
          </w:rPr>
          <w:t>摩擦电电子纤维：走向能量自主的可穿戴电子产品</w:t>
        </w:r>
      </w:hyperlink>
    </w:p>
    <w:p>
      <w:pPr>
        <w:spacing w:before="0" w:after="80"/>
      </w:pPr>
      <w:r>
        <w:rPr>
          <w:i/>
          <w:sz w:val="20"/>
        </w:rPr>
        <w:t>EN: Triboelectric E-Fibers: Toward energy-autonomous wearable electronics</w:t>
      </w:r>
    </w:p>
    <w:p>
      <w:pPr>
        <w:spacing w:before="0" w:after="120"/>
      </w:pPr>
      <w:r>
        <w:rPr>
          <w:b/>
        </w:rPr>
        <w:t xml:space="preserve">Source: </w:t>
      </w:r>
      <w:r>
        <w:t>Matter</w:t>
      </w:r>
      <w:r>
        <w:t xml:space="preserve">    </w:t>
      </w:r>
      <w:r>
        <w:rPr>
          <w:b/>
        </w:rPr>
        <w:t xml:space="preserve">Pub date: </w:t>
      </w:r>
      <w:r>
        <w:t>2026-08-25 00:00:00+00:00</w:t>
      </w:r>
      <w:r>
        <w:t xml:space="preserve">    </w:t>
      </w:r>
      <w:r>
        <w:rPr>
          <w:b/>
        </w:rPr>
        <w:t xml:space="preserve">DOI: </w:t>
      </w:r>
      <w:hyperlink r:id="rId1142">
        <w:r>
          <w:rPr>
            <w:color w:val="1155CC"/>
            <w:u w:val="single"/>
          </w:rPr>
          <w:t>10.1016/j.matt.2026.102970</w:t>
        </w:r>
      </w:hyperlink>
    </w:p>
    <w:p>
      <w:pPr>
        <w:spacing w:before="0" w:after="120"/>
      </w:pPr>
      <w:r>
        <w:rPr>
          <w:b/>
        </w:rPr>
        <w:t xml:space="preserve">Notes: </w:t>
      </w:r>
      <w:r>
        <w:t>abstract_source=rss_cell</w:t>
      </w:r>
    </w:p>
    <w:p>
      <w:pPr>
        <w:spacing w:before="0" w:after="80" w:lineRule="auto" w:line="276"/>
      </w:pPr>
      <w:r>
        <w:rPr>
          <w:b/>
        </w:rPr>
        <w:t xml:space="preserve">摘要（ZH）: </w:t>
      </w:r>
      <w:r>
        <w:t>纤维材料的结构优势与其高性能之间的内在关系仍不清楚，阻碍了高性能可穿戴电子设备的合理发展。本综述以纤维结构固有的结构优势为中心主题，系统地阐明了摩擦电电子纤维（E-Fibers）的结构与性能关系。在此过程中，它建立了一个连贯的框架，将结构优势、性能增强和功能应用联系起来，为下一代电子纤维的开发提供理论指导。</w:t>
      </w:r>
    </w:p>
    <w:p>
      <w:pPr>
        <w:spacing w:before="0" w:after="200" w:lineRule="auto" w:line="276"/>
      </w:pPr>
      <w:r>
        <w:rPr>
          <w:b/>
        </w:rPr>
        <w:t xml:space="preserve">Abstract (EN): </w:t>
      </w:r>
      <w:r>
        <w:t>The intrinsic relationship between the structural advantages of fiber materials and their high performance remains insufficiently understood, hindering the rational development of high-performance wearable electronic devices. This review systematically elucidates the structure-performance relationships of triboelectric electronic fibers (E-Fibers) by using the inherent structural advantages of fiber architectures as its central theme. In doing so, it establishes a coherent framework that links structural advantages, performance enhancement, and functional applications, providing theoretical guidance for the development of next-generation E-Fibers.</w:t>
      </w:r>
    </w:p>
    <w:p>
      <w:pPr>
        <w:spacing w:before="120" w:after="120"/>
      </w:pPr>
      <w:r>
        <w:rPr>
          <w:sz w:val="18"/>
        </w:rPr>
        <w:t>——————————————————————————————————————————————————————————————————————</w:t>
      </w:r>
    </w:p>
    <w:p>
      <w:pPr>
        <w:spacing w:before="160" w:after="40" w:line="240" w:lineRule="auto"/>
      </w:pPr>
      <w:r>
        <w:rPr>
          <w:b/>
        </w:rPr>
        <w:t xml:space="preserve">[352] </w:t>
      </w:r>
      <w:hyperlink r:id="rId1143">
        <w:r>
          <w:rPr>
            <w:color w:val="1155CC"/>
            <w:u w:val="single"/>
          </w:rPr>
          <w:t>评估人工智能时代的学生</w:t>
        </w:r>
      </w:hyperlink>
    </w:p>
    <w:p>
      <w:pPr>
        <w:spacing w:before="0" w:after="80"/>
      </w:pPr>
      <w:r>
        <w:rPr>
          <w:i/>
          <w:sz w:val="20"/>
        </w:rPr>
        <w:t>EN: Assessing students in the AI era</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44">
        <w:r>
          <w:rPr>
            <w:color w:val="1155CC"/>
            <w:u w:val="single"/>
          </w:rPr>
          <w:t>10.1038/d41586-026-02632-z</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[353] </w:t>
      </w:r>
      <w:hyperlink r:id="rId1145">
        <w:r>
          <w:rPr>
            <w:color w:val="1155CC"/>
            <w:u w:val="single"/>
          </w:rPr>
          <w:t>如何在获得收益的同时管理人工智能风险</w:t>
        </w:r>
      </w:hyperlink>
    </w:p>
    <w:p>
      <w:pPr>
        <w:spacing w:before="0" w:after="80"/>
      </w:pPr>
      <w:r>
        <w:rPr>
          <w:i/>
          <w:sz w:val="20"/>
        </w:rPr>
        <w:t>EN: How to manage AI risks while reaping the benefits</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46">
        <w:r>
          <w:rPr>
            <w:color w:val="1155CC"/>
            <w:u w:val="single"/>
          </w:rPr>
          <w:t>10.1038/d41586-026-02567-5</w:t>
        </w:r>
      </w:hyperlink>
    </w:p>
    <w:p>
      <w:pPr>
        <w:spacing w:before="0" w:after="120"/>
      </w:pPr>
      <w:r>
        <w:rPr>
          <w:b/>
        </w:rPr>
        <w:t xml:space="preserve">Notes: </w:t>
      </w:r>
      <w:r>
        <w:t>abstract_source=rss_nature</w:t>
      </w:r>
    </w:p>
    <w:p>
      <w:pPr>
        <w:spacing w:before="0" w:after="80" w:lineRule="auto" w:line="276"/>
      </w:pPr>
      <w:r>
        <w:rPr>
          <w:b/>
        </w:rPr>
        <w:t xml:space="preserve">摘要（ZH）: </w:t>
      </w:r>
      <w:r>
        <w:t>当全世界都在争论如何监管人工智能时，欧洲立法者正在承担大量繁重的工作。</w:t>
      </w:r>
    </w:p>
    <w:p>
      <w:pPr>
        <w:spacing w:before="0" w:after="200" w:lineRule="auto" w:line="276"/>
      </w:pPr>
      <w:r>
        <w:rPr>
          <w:b/>
        </w:rPr>
        <w:t xml:space="preserve">Abstract (EN): </w:t>
      </w:r>
      <w:r>
        <w:t>As the world debates how to regulate artificial intelligence, Europe’s lawmakers are doing a lot of the heavy lifting.</w:t>
      </w:r>
    </w:p>
    <w:p>
      <w:pPr>
        <w:spacing w:before="120" w:after="120"/>
      </w:pPr>
      <w:r>
        <w:rPr>
          <w:sz w:val="18"/>
        </w:rPr>
        <w:t>——————————————————————————————————————————————————————————————————————</w:t>
      </w:r>
    </w:p>
    <w:p>
      <w:pPr>
        <w:spacing w:before="160" w:after="40" w:line="240" w:lineRule="auto"/>
      </w:pPr>
      <w:r>
        <w:rPr>
          <w:b/>
        </w:rPr>
        <w:t xml:space="preserve">[354] </w:t>
      </w:r>
      <w:hyperlink r:id="rId1147">
        <w:r>
          <w:rPr>
            <w:color w:val="1155CC"/>
            <w:u w:val="single"/>
          </w:rPr>
          <w:t>抑郁症患者的大脑难以产生新的神经元</w:t>
        </w:r>
      </w:hyperlink>
    </w:p>
    <w:p>
      <w:pPr>
        <w:spacing w:before="0" w:after="80"/>
      </w:pPr>
      <w:r>
        <w:rPr>
          <w:i/>
          <w:sz w:val="20"/>
        </w:rPr>
        <w:t>EN: The brain struggles to make new neurons in people with depression</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48">
        <w:r>
          <w:rPr>
            <w:color w:val="1155CC"/>
            <w:u w:val="single"/>
          </w:rPr>
          <w:t>10.1038/d41586-026-02661-8</w:t>
        </w:r>
      </w:hyperlink>
    </w:p>
    <w:p>
      <w:pPr>
        <w:spacing w:before="0" w:after="120"/>
      </w:pPr>
      <w:r>
        <w:rPr>
          <w:b/>
        </w:rPr>
        <w:t xml:space="preserve">Notes: </w:t>
      </w:r>
      <w:r>
        <w:t>abstract_source=rss_nature</w:t>
      </w:r>
    </w:p>
    <w:p>
      <w:pPr>
        <w:spacing w:before="0" w:after="80" w:lineRule="auto" w:line="276"/>
      </w:pPr>
      <w:r>
        <w:rPr>
          <w:b/>
        </w:rPr>
        <w:t xml:space="preserve">摘要（ZH）: </w:t>
      </w:r>
      <w:r>
        <w:t>高分辨率、广泛覆盖的海马图揭示了可能的治疗途径。</w:t>
      </w:r>
    </w:p>
    <w:p>
      <w:pPr>
        <w:spacing w:before="0" w:after="200" w:lineRule="auto" w:line="276"/>
      </w:pPr>
      <w:r>
        <w:rPr>
          <w:b/>
        </w:rPr>
        <w:t xml:space="preserve">Abstract (EN): </w:t>
      </w:r>
      <w:r>
        <w:t>High resolution, wide-coverage map of the hippocampus reveals possible pathways for therapy.</w:t>
      </w:r>
    </w:p>
    <w:p>
      <w:pPr>
        <w:spacing w:before="120" w:after="120"/>
      </w:pPr>
      <w:r>
        <w:rPr>
          <w:sz w:val="18"/>
        </w:rPr>
        <w:t>——————————————————————————————————————————————————————————————————————</w:t>
      </w:r>
    </w:p>
    <w:p>
      <w:pPr>
        <w:spacing w:before="160" w:after="40" w:line="240" w:lineRule="auto"/>
      </w:pPr>
      <w:r>
        <w:rPr>
          <w:b/>
        </w:rPr>
        <w:t xml:space="preserve">[355] </w:t>
      </w:r>
      <w:hyperlink r:id="rId1149">
        <w:r>
          <w:rPr>
            <w:color w:val="1155CC"/>
            <w:u w:val="single"/>
          </w:rPr>
          <w:t>美国公共土地经济的变化</w:t>
        </w:r>
      </w:hyperlink>
    </w:p>
    <w:p>
      <w:pPr>
        <w:spacing w:before="0" w:after="80"/>
      </w:pPr>
      <w:r>
        <w:rPr>
          <w:i/>
          <w:sz w:val="20"/>
        </w:rPr>
        <w:t>EN: The changing economics of public lands in the USA</w:t>
      </w:r>
    </w:p>
    <w:p>
      <w:pPr>
        <w:spacing w:before="0" w:after="120"/>
      </w:pPr>
      <w:r>
        <w:rPr>
          <w:b/>
        </w:rPr>
        <w:t xml:space="preserve">Source: </w:t>
      </w:r>
      <w:r>
        <w:t>Nature Sustainability</w:t>
      </w:r>
      <w:r>
        <w:t xml:space="preserve">    </w:t>
      </w:r>
      <w:r>
        <w:rPr>
          <w:b/>
        </w:rPr>
        <w:t xml:space="preserve">Pub date: </w:t>
      </w:r>
      <w:r>
        <w:t>2026-08-25 00:00:00+00:00</w:t>
      </w:r>
      <w:r>
        <w:t xml:space="preserve">    </w:t>
      </w:r>
      <w:r>
        <w:rPr>
          <w:b/>
        </w:rPr>
        <w:t xml:space="preserve">DOI: </w:t>
      </w:r>
      <w:hyperlink r:id="rId1150">
        <w:r>
          <w:rPr>
            <w:color w:val="1155CC"/>
            <w:u w:val="single"/>
          </w:rPr>
          <w:t>10.1038/s41893-026-01915-7</w:t>
        </w:r>
      </w:hyperlink>
    </w:p>
    <w:p>
      <w:pPr>
        <w:spacing w:before="0" w:after="120"/>
      </w:pPr>
      <w:r>
        <w:rPr>
          <w:b/>
        </w:rPr>
        <w:t xml:space="preserve">Notes: </w:t>
      </w:r>
      <w:r>
        <w:t>abstract_source=rss_nature</w:t>
      </w:r>
    </w:p>
    <w:p>
      <w:pPr>
        <w:spacing w:before="0" w:after="80" w:lineRule="auto" w:line="276"/>
      </w:pPr>
      <w:r>
        <w:rPr>
          <w:b/>
        </w:rPr>
        <w:t xml:space="preserve">摘要（ZH）: </w:t>
      </w:r>
      <w:r>
        <w:t>在主要法律和随后的诉讼案件通过之前，关于美国公共土地管理的争论一直分为采掘利用和环境保护。通过历史的视角，本视角展示了社会生态系统管理的逐步发展，以强调复原力和多样化的生态系统服务。</w:t>
      </w:r>
    </w:p>
    <w:p>
      <w:pPr>
        <w:spacing w:before="0" w:after="200" w:lineRule="auto" w:line="276"/>
      </w:pPr>
      <w:r>
        <w:rPr>
          <w:b/>
        </w:rPr>
        <w:t xml:space="preserve">Abstract (EN): </w:t>
      </w:r>
      <w:r>
        <w:t>Debates over public land management in the USA have been divided between extractive use and environmental protection until the passage of major laws and consequent litigation cases. Through a historical lens, this Perspective shows the gradual move towards social-ecological systems management to emphasize resilience and diverse ecosystem services.</w:t>
      </w:r>
    </w:p>
    <w:p>
      <w:pPr>
        <w:spacing w:before="120" w:after="120"/>
      </w:pPr>
      <w:r>
        <w:rPr>
          <w:sz w:val="18"/>
        </w:rPr>
        <w:t>——————————————————————————————————————————————————————————————————————</w:t>
      </w:r>
    </w:p>
    <w:p>
      <w:pPr>
        <w:spacing w:before="160" w:after="40" w:line="240" w:lineRule="auto"/>
      </w:pPr>
      <w:r>
        <w:rPr>
          <w:b/>
        </w:rPr>
        <w:t xml:space="preserve">[356] </w:t>
      </w:r>
      <w:hyperlink r:id="rId1151">
        <w:r>
          <w:rPr>
            <w:color w:val="1155CC"/>
            <w:u w:val="single"/>
          </w:rPr>
          <w:t>一位研究人员如何捕捉英国政府科学的消失世界</w:t>
        </w:r>
      </w:hyperlink>
    </w:p>
    <w:p>
      <w:pPr>
        <w:spacing w:before="0" w:after="80"/>
      </w:pPr>
      <w:r>
        <w:rPr>
          <w:i/>
          <w:sz w:val="20"/>
        </w:rPr>
        <w:t>EN: How one researcher captured a vanished world of UK government science</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52">
        <w:r>
          <w:rPr>
            <w:color w:val="1155CC"/>
            <w:u w:val="single"/>
          </w:rPr>
          <w:t>10.1038/d41586-026-02094-3</w:t>
        </w:r>
      </w:hyperlink>
    </w:p>
    <w:p>
      <w:pPr>
        <w:spacing w:before="0" w:after="120"/>
      </w:pPr>
      <w:r>
        <w:rPr>
          <w:b/>
        </w:rPr>
        <w:t xml:space="preserve">Notes: </w:t>
      </w:r>
      <w:r>
        <w:t>abstract_source=rss_nature</w:t>
      </w:r>
    </w:p>
    <w:p>
      <w:pPr>
        <w:spacing w:before="0" w:after="80" w:lineRule="auto" w:line="276"/>
      </w:pPr>
      <w:r>
        <w:rPr>
          <w:b/>
        </w:rPr>
        <w:t xml:space="preserve">摘要（ZH）: </w:t>
      </w:r>
      <w:r>
        <w:t>口述历史学家艾米琳·莱杰伍德（Emmeline Ledgerwood）的博士学位研究了私有化如何影响二十世纪末的公务员科学家。</w:t>
      </w:r>
    </w:p>
    <w:p>
      <w:pPr>
        <w:spacing w:before="0" w:after="200" w:lineRule="auto" w:line="276"/>
      </w:pPr>
      <w:r>
        <w:rPr>
          <w:b/>
        </w:rPr>
        <w:t xml:space="preserve">Abstract (EN): </w:t>
      </w:r>
      <w:r>
        <w:t>Oral historian Emmeline Ledgerwood’s PhD investigated how privatization affected civil-service scientists at the end of the twentieth century.</w:t>
      </w:r>
    </w:p>
    <w:p>
      <w:pPr>
        <w:spacing w:before="120" w:after="120"/>
      </w:pPr>
      <w:r>
        <w:rPr>
          <w:sz w:val="18"/>
        </w:rPr>
        <w:t>——————————————————————————————————————————————————————————————————————</w:t>
      </w:r>
    </w:p>
    <w:p>
      <w:pPr>
        <w:spacing w:before="160" w:after="40" w:line="240" w:lineRule="auto"/>
      </w:pPr>
      <w:r>
        <w:rPr>
          <w:b/>
        </w:rPr>
        <w:t xml:space="preserve">[357] </w:t>
      </w:r>
      <w:hyperlink r:id="rId1153">
        <w:r>
          <w:rPr>
            <w:color w:val="1155CC"/>
            <w:u w:val="single"/>
          </w:rPr>
          <w:t>中国正在改变全球健康格局。条款仍有待谈判</w:t>
        </w:r>
      </w:hyperlink>
    </w:p>
    <w:p>
      <w:pPr>
        <w:spacing w:before="0" w:after="80"/>
      </w:pPr>
      <w:r>
        <w:rPr>
          <w:i/>
          <w:sz w:val="20"/>
        </w:rPr>
        <w:t>EN: China is changing the shape of global health. The terms are still up for negotiation</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54">
        <w:r>
          <w:rPr>
            <w:color w:val="1155CC"/>
            <w:u w:val="single"/>
          </w:rPr>
          <w:t>10.1038/d41586-026-02622-1</w:t>
        </w:r>
      </w:hyperlink>
    </w:p>
    <w:p>
      <w:pPr>
        <w:spacing w:before="0" w:after="120"/>
      </w:pPr>
      <w:r>
        <w:rPr>
          <w:b/>
        </w:rPr>
        <w:t xml:space="preserve">Notes: </w:t>
      </w:r>
      <w:r>
        <w:t>abstract_source=rss_nature</w:t>
      </w:r>
    </w:p>
    <w:p>
      <w:pPr>
        <w:spacing w:before="0" w:after="80" w:lineRule="auto" w:line="276"/>
      </w:pPr>
      <w:r>
        <w:rPr>
          <w:b/>
        </w:rPr>
        <w:t xml:space="preserve">摘要（ZH）: </w:t>
      </w:r>
      <w:r>
        <w:t>医疗保健伙伴关系可以为其他国家提供廉价的诊断、药品等，但全球机构应帮助确保它们也加强当地能力并维护主权。</w:t>
      </w:r>
    </w:p>
    <w:p>
      <w:pPr>
        <w:spacing w:before="0" w:after="200" w:lineRule="auto" w:line="276"/>
      </w:pPr>
      <w:r>
        <w:rPr>
          <w:b/>
        </w:rPr>
        <w:t xml:space="preserve">Abstract (EN): </w:t>
      </w:r>
      <w:r>
        <w:t>Health-care partnerships can provide other nations with cheap diagnostics, medicines and more — but global institutions should help to ensure that they also strengthen local capacity and preserve sovereignty.</w:t>
      </w:r>
    </w:p>
    <w:p>
      <w:pPr>
        <w:spacing w:before="120" w:after="120"/>
      </w:pPr>
      <w:r>
        <w:rPr>
          <w:sz w:val="18"/>
        </w:rPr>
        <w:t>——————————————————————————————————————————————————————————————————————</w:t>
      </w:r>
    </w:p>
    <w:p>
      <w:pPr>
        <w:spacing w:before="160" w:after="40" w:line="240" w:lineRule="auto"/>
      </w:pPr>
      <w:r>
        <w:rPr>
          <w:b/>
        </w:rPr>
        <w:t xml:space="preserve">[358] </w:t>
      </w:r>
      <w:hyperlink r:id="rId1155">
        <w:r>
          <w:rPr>
            <w:color w:val="1155CC"/>
            <w:u w:val="single"/>
          </w:rPr>
          <w:t>科技增强睡眠如何改善休息却侵犯隐私</w:t>
        </w:r>
      </w:hyperlink>
    </w:p>
    <w:p>
      <w:pPr>
        <w:spacing w:before="0" w:after="80"/>
      </w:pPr>
      <w:r>
        <w:rPr>
          <w:i/>
          <w:sz w:val="20"/>
        </w:rPr>
        <w:t>EN: How tech-enhanced sleep could improve rest but erode privacy</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56">
        <w:r>
          <w:rPr>
            <w:color w:val="1155CC"/>
            <w:u w:val="single"/>
          </w:rPr>
          <w:t>10.1038/d41586-026-02573-7</w:t>
        </w:r>
      </w:hyperlink>
    </w:p>
    <w:p>
      <w:pPr>
        <w:spacing w:before="0" w:after="120"/>
      </w:pPr>
      <w:r>
        <w:rPr>
          <w:b/>
        </w:rPr>
        <w:t xml:space="preserve">Notes: </w:t>
      </w:r>
      <w:r>
        <w:t>abstract_source=rss_nature</w:t>
      </w:r>
    </w:p>
    <w:p>
      <w:pPr>
        <w:spacing w:before="0" w:after="80" w:lineRule="auto" w:line="276"/>
      </w:pPr>
      <w:r>
        <w:rPr>
          <w:b/>
        </w:rPr>
        <w:t xml:space="preserve">摘要（ZH）: </w:t>
      </w:r>
      <w:r>
        <w:t>承诺比平时更好的睡眠的技术可以改善人们的表现和健康，但也可以将休息的需要变成一项可审计的义务。需要道德规范和法规。</w:t>
      </w:r>
    </w:p>
    <w:p>
      <w:pPr>
        <w:spacing w:before="0" w:after="200" w:lineRule="auto" w:line="276"/>
      </w:pPr>
      <w:r>
        <w:rPr>
          <w:b/>
        </w:rPr>
        <w:t xml:space="preserve">Abstract (EN): </w:t>
      </w:r>
      <w:r>
        <w:t>Technologies that promise better-than-usual sleep could improve people’s performance and health but also turn the need for rest into an auditable obligation. Ethical norms and regulations are needed.</w:t>
      </w:r>
    </w:p>
    <w:p>
      <w:pPr>
        <w:spacing w:before="120" w:after="120"/>
      </w:pPr>
      <w:r>
        <w:rPr>
          <w:sz w:val="18"/>
        </w:rPr>
        <w:t>——————————————————————————————————————————————————————————————————————</w:t>
      </w:r>
    </w:p>
    <w:p>
      <w:pPr>
        <w:spacing w:before="160" w:after="40" w:line="240" w:lineRule="auto"/>
      </w:pPr>
      <w:r>
        <w:rPr>
          <w:b/>
        </w:rPr>
        <w:t xml:space="preserve">[359] </w:t>
      </w:r>
      <w:hyperlink r:id="rId1157">
        <w:r>
          <w:rPr>
            <w:color w:val="1155CC"/>
            <w:u w:val="single"/>
          </w:rPr>
          <w:t>人工智能检测工具已经取得了巨大的飞跃——它们有多好？</w:t>
        </w:r>
      </w:hyperlink>
    </w:p>
    <w:p>
      <w:pPr>
        <w:spacing w:before="0" w:after="80"/>
      </w:pPr>
      <w:r>
        <w:rPr>
          <w:i/>
          <w:sz w:val="20"/>
        </w:rPr>
        <w:t>EN: AI-detection tools have made huge leaps forward — how good are they?</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58">
        <w:r>
          <w:rPr>
            <w:color w:val="1155CC"/>
            <w:u w:val="single"/>
          </w:rPr>
          <w:t>10.1038/d41586-026-02569-3</w:t>
        </w:r>
      </w:hyperlink>
    </w:p>
    <w:p>
      <w:pPr>
        <w:spacing w:before="0" w:after="120"/>
      </w:pPr>
      <w:r>
        <w:rPr>
          <w:b/>
        </w:rPr>
        <w:t xml:space="preserve">Notes: </w:t>
      </w:r>
      <w:r>
        <w:t>abstract_source=rss_nature</w:t>
      </w:r>
    </w:p>
    <w:p>
      <w:pPr>
        <w:spacing w:before="0" w:after="80" w:lineRule="auto" w:line="276"/>
      </w:pPr>
      <w:r>
        <w:rPr>
          <w:b/>
        </w:rPr>
        <w:t xml:space="preserve">摘要（ZH）: </w:t>
      </w:r>
      <w:r>
        <w:t>科学家和出版商正在测试一种新型软件，该软件有望在识别人工智能编写的文本方面具有令人印象深刻的准确性。</w:t>
      </w:r>
    </w:p>
    <w:p>
      <w:pPr>
        <w:spacing w:before="0" w:after="200" w:lineRule="auto" w:line="276"/>
      </w:pPr>
      <w:r>
        <w:rPr>
          <w:b/>
        </w:rPr>
        <w:t xml:space="preserve">Abstract (EN): </w:t>
      </w:r>
      <w:r>
        <w:t>Scientists and publishers are testing a new breed of software that promises impressive accuracy at spotting AI-written text.</w:t>
      </w:r>
    </w:p>
    <w:p>
      <w:pPr>
        <w:spacing w:before="120" w:after="120"/>
      </w:pPr>
      <w:r>
        <w:rPr>
          <w:sz w:val="18"/>
        </w:rPr>
        <w:t>——————————————————————————————————————————————————————————————————————</w:t>
      </w:r>
    </w:p>
    <w:p>
      <w:pPr>
        <w:spacing w:before="160" w:after="40" w:line="240" w:lineRule="auto"/>
      </w:pPr>
      <w:r>
        <w:rPr>
          <w:b/>
        </w:rPr>
        <w:t xml:space="preserve">[360] </w:t>
      </w:r>
      <w:hyperlink r:id="rId1159">
        <w:r>
          <w:rPr>
            <w:color w:val="1155CC"/>
            <w:u w:val="single"/>
          </w:rPr>
          <w:t>这些啮齿动物 OnlyFans 明星正在帮助资助科学研究</w:t>
        </w:r>
      </w:hyperlink>
    </w:p>
    <w:p>
      <w:pPr>
        <w:spacing w:before="0" w:after="80"/>
      </w:pPr>
      <w:r>
        <w:rPr>
          <w:i/>
          <w:sz w:val="20"/>
        </w:rPr>
        <w:t>EN: These rodent OnlyFans stars are helping to fund scientific research</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60">
        <w:r>
          <w:rPr>
            <w:color w:val="1155CC"/>
            <w:u w:val="single"/>
          </w:rPr>
          <w:t>10.1038/d41586-026-02550-0</w:t>
        </w:r>
      </w:hyperlink>
    </w:p>
    <w:p>
      <w:pPr>
        <w:spacing w:before="0" w:after="120"/>
      </w:pPr>
      <w:r>
        <w:rPr>
          <w:b/>
        </w:rPr>
        <w:t xml:space="preserve">Notes: </w:t>
      </w:r>
      <w:r>
        <w:t>abstract_source=rss_nature</w:t>
      </w:r>
    </w:p>
    <w:p>
      <w:pPr>
        <w:spacing w:before="0" w:after="80" w:lineRule="auto" w:line="276"/>
      </w:pPr>
      <w:r>
        <w:rPr>
          <w:b/>
        </w:rPr>
        <w:t xml:space="preserve">摘要（ZH）: </w:t>
      </w:r>
      <w:r>
        <w:t>该平台主要以其成人内容而闻名，在美国联邦资金的不确定性中提供了财务生命线。现在土拨鼠也有了自己的加密货币。</w:t>
      </w:r>
    </w:p>
    <w:p>
      <w:pPr>
        <w:spacing w:before="0" w:after="200" w:lineRule="auto" w:line="276"/>
      </w:pPr>
      <w:r>
        <w:rPr>
          <w:b/>
        </w:rPr>
        <w:t xml:space="preserve">Abstract (EN): </w:t>
      </w:r>
      <w:r>
        <w:t>The platform, mostly known for its adult content, has provided a financial lifeline amid US federal-funding uncertainty. And now the marmots have their own cryptocurrency too.</w:t>
      </w:r>
    </w:p>
    <w:p>
      <w:pPr>
        <w:spacing w:before="120" w:after="120"/>
      </w:pPr>
      <w:r>
        <w:rPr>
          <w:sz w:val="18"/>
        </w:rPr>
        <w:t>——————————————————————————————————————————————————————————————————————</w:t>
      </w:r>
    </w:p>
    <w:p>
      <w:pPr>
        <w:spacing w:before="160" w:after="40" w:line="240" w:lineRule="auto"/>
      </w:pPr>
      <w:r>
        <w:rPr>
          <w:b/>
        </w:rPr>
        <w:t xml:space="preserve">[361] </w:t>
      </w:r>
      <w:hyperlink r:id="rId1161">
        <w:r>
          <w:rPr>
            <w:color w:val="1155CC"/>
            <w:u w:val="single"/>
          </w:rPr>
          <w:t>获得第一份研究奖学金的指南：审稿人正在寻找什么</w:t>
        </w:r>
      </w:hyperlink>
    </w:p>
    <w:p>
      <w:pPr>
        <w:spacing w:before="0" w:after="80"/>
      </w:pPr>
      <w:r>
        <w:rPr>
          <w:i/>
          <w:sz w:val="20"/>
        </w:rPr>
        <w:t>EN: A guide to securing your first research fellowship: what reviewers are looking for</w:t>
      </w:r>
    </w:p>
    <w:p>
      <w:pPr>
        <w:spacing w:before="0" w:after="120"/>
      </w:pPr>
      <w:r>
        <w:rPr>
          <w:b/>
        </w:rPr>
        <w:t xml:space="preserve">Source: </w:t>
      </w:r>
      <w:r>
        <w:t>Nature</w:t>
      </w:r>
      <w:r>
        <w:t xml:space="preserve">    </w:t>
      </w:r>
      <w:r>
        <w:rPr>
          <w:b/>
        </w:rPr>
        <w:t xml:space="preserve">Pub date: </w:t>
      </w:r>
      <w:r>
        <w:t>2026-08-25 00:00:00+00:00</w:t>
      </w:r>
      <w:r>
        <w:t xml:space="preserve">    </w:t>
      </w:r>
      <w:r>
        <w:rPr>
          <w:b/>
        </w:rPr>
        <w:t xml:space="preserve">DOI: </w:t>
      </w:r>
      <w:hyperlink r:id="rId1162">
        <w:r>
          <w:rPr>
            <w:color w:val="1155CC"/>
            <w:u w:val="single"/>
          </w:rPr>
          <w:t>10.1038/d41586-026-02115-1</w:t>
        </w:r>
      </w:hyperlink>
    </w:p>
    <w:p>
      <w:pPr>
        <w:spacing w:before="0" w:after="120"/>
      </w:pPr>
      <w:r>
        <w:rPr>
          <w:b/>
        </w:rPr>
        <w:t xml:space="preserve">Notes: </w:t>
      </w:r>
      <w:r>
        <w:t>abstract_source=rss_nature</w:t>
      </w:r>
    </w:p>
    <w:p>
      <w:pPr>
        <w:spacing w:before="0" w:after="80" w:lineRule="auto" w:line="276"/>
      </w:pPr>
      <w:r>
        <w:rPr>
          <w:b/>
        </w:rPr>
        <w:t xml:space="preserve">摘要（ZH）: </w:t>
      </w:r>
      <w:r>
        <w:t>早期职业研究人员如何加强他们的记录、改进他们的研究计划并评估机构适合度。</w:t>
      </w:r>
    </w:p>
    <w:p>
      <w:pPr>
        <w:spacing w:before="0" w:after="200" w:lineRule="auto" w:line="276"/>
      </w:pPr>
      <w:r>
        <w:rPr>
          <w:b/>
        </w:rPr>
        <w:t xml:space="preserve">Abstract (EN): </w:t>
      </w:r>
      <w:r>
        <w:t>How early-career researchers can strengthen their track record, boost their research proposal and assess institutional fit.</w:t>
      </w:r>
    </w:p>
    <w:p>
      <w:pPr>
        <w:spacing w:before="120" w:after="120"/>
      </w:pPr>
      <w:r>
        <w:rPr>
          <w:sz w:val="18"/>
        </w:rPr>
        <w:t>——————————————————————————————————————————————————————————————————————</w:t>
      </w:r>
    </w:p>
    <w:p>
      <w:pPr>
        <w:spacing w:before="160" w:after="40" w:line="240" w:lineRule="auto"/>
      </w:pPr>
      <w:r>
        <w:rPr>
          <w:b/>
        </w:rPr>
        <w:t xml:space="preserve">[362] </w:t>
      </w:r>
      <w:hyperlink r:id="rId1163">
        <w:r>
          <w:rPr>
            <w:color w:val="1155CC"/>
            <w:u w:val="single"/>
          </w:rPr>
          <w:t>用于电化学发光的纯有机室温磷光材料</w:t>
        </w:r>
      </w:hyperlink>
    </w:p>
    <w:p>
      <w:pPr>
        <w:spacing w:before="0" w:after="80"/>
      </w:pPr>
      <w:r>
        <w:rPr>
          <w:i/>
          <w:sz w:val="20"/>
        </w:rPr>
        <w:t>EN: Purely Organic Room‐Temperature Phosphorescent Materials for Electrochemiluminescence</w:t>
      </w:r>
    </w:p>
    <w:p>
      <w:pPr>
        <w:spacing w:before="0" w:after="120"/>
      </w:pPr>
      <w:r>
        <w:rPr>
          <w:b/>
        </w:rPr>
        <w:t xml:space="preserve">Source: </w:t>
      </w:r>
      <w:r>
        <w:t>Wiley: Angewandte Chemie International Edition: Table of Contents</w:t>
      </w:r>
      <w:r>
        <w:t xml:space="preserve">    </w:t>
      </w:r>
      <w:r>
        <w:rPr>
          <w:b/>
        </w:rPr>
        <w:t xml:space="preserve">Pub date: </w:t>
      </w:r>
      <w:r>
        <w:t>2026-08-25 04:00:58+00:00</w:t>
      </w:r>
      <w:r>
        <w:t xml:space="preserve">    </w:t>
      </w:r>
      <w:r>
        <w:rPr>
          <w:b/>
        </w:rPr>
        <w:t xml:space="preserve">DOI: </w:t>
      </w:r>
      <w:hyperlink r:id="rId1164">
        <w:r>
          <w:rPr>
            <w:color w:val="1155CC"/>
            <w:u w:val="single"/>
          </w:rPr>
          <w:t>10.1002/anie.4204423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纯有机室温磷光（RTP）材料显示出实现高效电化学发光（ECL）的巨大潜力。然而，目前的研究主要集中在光致发光（PL）、电致发光（EL）、机械发光（ML）和X射线放射发光（RL），它们的ECL行为尚未得到研究。在这项研究中，我们报道了一系列纯有机RTP材料（DPy、FPy和TPy），它们通过供体-受体（D-A）骨架和重原子效应构建，其中TPy表现出最高的磷光量子产率，达到75.7%。重要的是，成功实现了 DPy、FPy 和 TPy 颗粒的 ECL 发射。机理研究表明，基于 RTP 的 ECL 通过涉及低氧化电位途径和湮灭反应途径的双途径过程进行操作。这些发现显着拓宽了 RTP 材料的适用性，从而推动了 ECL 系统的发展。</w:t>
      </w:r>
    </w:p>
    <w:p>
      <w:pPr>
        <w:spacing w:before="0" w:after="200" w:lineRule="auto" w:line="276"/>
      </w:pPr>
      <w:r>
        <w:rPr>
          <w:b/>
        </w:rPr>
        <w:t xml:space="preserve">Abstract (EN): </w:t>
      </w:r>
      <w:r>
        <w:t>Purely organic room‐temperature phosphorescent (RTP) materials show great potential for enabling highly efficient electrochemiluminescence (ECL). However, current research has predominantly focused on photoluminescence (PL), electroluminescence (EL), mechanoluminescence (ML), and x‐ray radioluminescence (RL), their ECL behavior has not been investigated. In this study, we report a series of purely organic RTP materials (DPy, FPy, and TPy), constructed via a donor–acceptor (D–A) skeleton and heavy atom effect, with TPy demonstrating the highest phosphorescence quantum yield of 75.7%. Importantly, ECL emission from DPy, FPy, and TPy particles is successfully achieved. Mechanistic studies reveal that RTP‐based ECL operates via a dual‐pathway process involving both a low oxidation potential pathway and the annihilation reaction pathway. These findings significantly broaden the applicability of RTP materials, thereby advancing the development of ECL systems.</w:t>
      </w:r>
    </w:p>
    <w:p>
      <w:pPr>
        <w:spacing w:before="120" w:after="120"/>
      </w:pPr>
      <w:r>
        <w:rPr>
          <w:sz w:val="18"/>
        </w:rPr>
        <w:t>——————————————————————————————————————————————————————————————————————</w:t>
      </w:r>
    </w:p>
    <w:p>
      <w:pPr>
        <w:spacing w:before="160" w:after="40" w:line="240" w:lineRule="auto"/>
      </w:pPr>
      <w:r>
        <w:rPr>
          <w:b/>
        </w:rPr>
        <w:t xml:space="preserve">[363] </w:t>
      </w:r>
      <w:hyperlink r:id="rId1165">
        <w:r>
          <w:rPr>
            <w:color w:val="1155CC"/>
            <w:u w:val="single"/>
          </w:rPr>
          <w:t>Tb3+ 作为能量中介节点：通过级联能量转移促进金属有机框架中的 Ho3+ 上转换</w:t>
        </w:r>
      </w:hyperlink>
    </w:p>
    <w:p>
      <w:pPr>
        <w:spacing w:before="0" w:after="80"/>
      </w:pPr>
      <w:r>
        <w:rPr>
          <w:i/>
          <w:sz w:val="20"/>
        </w:rPr>
        <w:t>EN: Tb3+ as an Energy‐Mediating Node: Boosting Ho3+ Upconversion in Metal–Organic Frameworks via Cascaded Energy Transfer</w:t>
      </w:r>
    </w:p>
    <w:p>
      <w:pPr>
        <w:spacing w:before="0" w:after="120"/>
      </w:pPr>
      <w:r>
        <w:rPr>
          <w:b/>
        </w:rPr>
        <w:t xml:space="preserve">Source: </w:t>
      </w:r>
      <w:r>
        <w:t>Wiley: Angewandte Chemie International Edition: Table of Contents</w:t>
      </w:r>
      <w:r>
        <w:t xml:space="preserve">    </w:t>
      </w:r>
      <w:r>
        <w:rPr>
          <w:b/>
        </w:rPr>
        <w:t xml:space="preserve">Pub date: </w:t>
      </w:r>
      <w:r>
        <w:t>2026-08-25 04:07:31+00:00</w:t>
      </w:r>
      <w:r>
        <w:t xml:space="preserve">    </w:t>
      </w:r>
      <w:r>
        <w:rPr>
          <w:b/>
        </w:rPr>
        <w:t xml:space="preserve">DOI: </w:t>
      </w:r>
      <w:hyperlink r:id="rId1166">
        <w:r>
          <w:rPr>
            <w:color w:val="1155CC"/>
            <w:u w:val="single"/>
          </w:rPr>
          <w:t>10.1002/anie.4551166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镧系金属有机框架（Ln-MOF）中的上转换发光在新兴光子应用中发挥着关键作用，包括信息加密、离子传感和生物成像。然而，优化内在能量转移途径以提高传统系统中上转换发光的强度和效率仍然是一个重大挑战。在这项研究中，我们成功观察到了 Tb 的上转换发光（在 980 nm 激发下）</w:t>
      </w:r>
      <w:r>
        <w:rPr>
          <w:vertAlign w:val="subscript"/>
        </w:rPr>
        <w:t>3</w:t>
      </w:r>
      <w:r>
        <w:t>+</w:t>
      </w:r>
      <w:r>
        <w:t xml:space="preserve"> </w:t>
      </w:r>
      <w:r>
        <w:t>和何</w:t>
      </w:r>
      <w:r>
        <w:rPr>
          <w:vertAlign w:val="subscript"/>
        </w:rPr>
        <w:t>3</w:t>
      </w:r>
      <w:r>
        <w:t>+</w:t>
      </w:r>
      <w:r>
        <w:t xml:space="preserve"> </w:t>
      </w:r>
      <w:r>
        <w:t>分别由草酸和甲酸构建的 Yb/Tb 和 Yb/Ho 共掺杂 MOF 中的离子。最值得注意的是，三掺杂 Yb/Tb/Ho MOF 揭示了以前未记录的 Tb</w:t>
      </w:r>
      <w:r>
        <w:t xml:space="preserve"> </w:t>
      </w:r>
      <w:r>
        <w:t>3+</w:t>
      </w:r>
      <w:r>
        <w:t xml:space="preserve"> </w:t>
      </w:r>
      <w:r>
        <w:t>→何</w:t>
      </w:r>
      <w:r>
        <w:t xml:space="preserve"> </w:t>
      </w:r>
      <w:r>
        <w:t>3+</w:t>
      </w:r>
      <w:r>
        <w:t xml:space="preserve"> </w:t>
      </w:r>
      <w:r>
        <w:t>显着增强Ho的能量转移机制</w:t>
      </w:r>
      <w:r>
        <w:t xml:space="preserve"> </w:t>
      </w:r>
      <w:r>
        <w:t>3+</w:t>
      </w:r>
      <w:r>
        <w:t xml:space="preserve"> </w:t>
      </w:r>
      <w:r>
        <w:t>上转换发射。据我们所知，这是在上转换条件下首次观察到 MOF 中的这种能量转移。铽</w:t>
      </w:r>
      <w:r>
        <w:t xml:space="preserve"> </w:t>
      </w:r>
      <w:r>
        <w:t>3+</w:t>
      </w:r>
      <w:r>
        <w:t xml:space="preserve"> </w:t>
      </w:r>
      <w:r>
        <w:t>作为有效的能量中介节点，建立Yb的级联能量转移路径</w:t>
      </w:r>
      <w:r>
        <w:t xml:space="preserve"> </w:t>
      </w:r>
      <w:r>
        <w:t>3+</w:t>
      </w:r>
      <w:r>
        <w:t xml:space="preserve"> </w:t>
      </w:r>
      <w:r>
        <w:t>→ TB</w:t>
      </w:r>
      <w:r>
        <w:t xml:space="preserve"> </w:t>
      </w:r>
      <w:r>
        <w:t>3+</w:t>
      </w:r>
      <w:r>
        <w:t xml:space="preserve"> </w:t>
      </w:r>
      <w:r>
        <w:t>→何</w:t>
      </w:r>
      <w:r>
        <w:t xml:space="preserve"> </w:t>
      </w:r>
      <w:r>
        <w:t>3+</w:t>
      </w:r>
      <w:r>
        <w:t xml:space="preserve"> </w:t>
      </w:r>
      <w:r>
        <w:t>通过其长期存在的</w:t>
      </w:r>
      <w:r>
        <w:rPr>
          <w:vertAlign w:val="subscript"/>
        </w:rPr>
        <w:t>5</w:t>
      </w:r>
      <w:r>
        <w:t>D</w:t>
      </w:r>
      <w:r>
        <w:rPr>
          <w:vertAlign w:val="subscript"/>
        </w:rPr>
        <w:t>4</w:t>
      </w:r>
      <w:r>
        <w:t>兴奋状态</w:t>
      </w:r>
    </w:p>
    <w:p>
      <w:pPr>
        <w:spacing w:before="0" w:after="200" w:lineRule="auto" w:line="276"/>
      </w:pPr>
      <w:r>
        <w:rPr>
          <w:b/>
        </w:rPr>
        <w:t xml:space="preserve">Abstract (EN): </w:t>
      </w:r>
      <w:r>
        <w:t>Upconverting luminescence in lanthanide‐based metal–organic frameworks (Ln‐MOFs) plays a pivotal role in emerging photonic applications, including information encryption, ion sensing, and bioimaging. Nevertheless, optimizing intrinsic energy transfer pathways to enhance the intensity and efficiency of upconverting luminescence in conventional systems remains a significant challenge. In this study, we report the successful observation of upconverting luminescence (under 980 nm excitation) from Tb</w:t>
      </w:r>
      <w:r>
        <w:rPr>
          <w:vertAlign w:val="subscript"/>
        </w:rPr>
        <w:t>3</w:t>
      </w:r>
      <w:r>
        <w:t>+</w:t>
      </w:r>
      <w:r>
        <w:t xml:space="preserve"> </w:t>
      </w:r>
      <w:r>
        <w:t>and Ho</w:t>
      </w:r>
      <w:r>
        <w:rPr>
          <w:vertAlign w:val="subscript"/>
        </w:rPr>
        <w:t>3</w:t>
      </w:r>
      <w:r>
        <w:t>+</w:t>
      </w:r>
      <w:r>
        <w:t xml:space="preserve"> </w:t>
      </w:r>
      <w:r>
        <w:t>ions in Yb/Tb and Yb/Ho co‐doped MOFs, respectively, constructed from oxalic acid and formic acid. Most notably, the tri‐doped Yb/Tb/Ho MOFs reveal a previously undocumented Tb</w:t>
      </w:r>
      <w:r>
        <w:t xml:space="preserve"> </w:t>
      </w:r>
      <w:r>
        <w:t>3+</w:t>
      </w:r>
      <w:r>
        <w:t xml:space="preserve"> </w:t>
      </w:r>
      <w:r>
        <w:t>→Ho</w:t>
      </w:r>
      <w:r>
        <w:t xml:space="preserve"> </w:t>
      </w:r>
      <w:r>
        <w:t>3+</w:t>
      </w:r>
      <w:r>
        <w:t xml:space="preserve"> </w:t>
      </w:r>
      <w:r>
        <w:t>energy transfer mechanism that significantly enhances Ho</w:t>
      </w:r>
      <w:r>
        <w:t xml:space="preserve"> </w:t>
      </w:r>
      <w:r>
        <w:t>3+</w:t>
      </w:r>
      <w:r>
        <w:t xml:space="preserve"> </w:t>
      </w:r>
      <w:r>
        <w:t>upconversion emission. To the best of our knowledge, this is the first observation of such energy transfer in MOFs under upconversion conditions. Tb</w:t>
      </w:r>
      <w:r>
        <w:t xml:space="preserve"> </w:t>
      </w:r>
      <w:r>
        <w:t>3+</w:t>
      </w:r>
      <w:r>
        <w:t xml:space="preserve"> </w:t>
      </w:r>
      <w:r>
        <w:t>serves as an efficient energy‐mediating node, establishing a cascading energy transfer pathway from Yb</w:t>
      </w:r>
      <w:r>
        <w:t xml:space="preserve"> </w:t>
      </w:r>
      <w:r>
        <w:t>3+</w:t>
      </w:r>
      <w:r>
        <w:t xml:space="preserve"> </w:t>
      </w:r>
      <w:r>
        <w:t>→Tb</w:t>
      </w:r>
      <w:r>
        <w:t xml:space="preserve"> </w:t>
      </w:r>
      <w:r>
        <w:t>3+</w:t>
      </w:r>
      <w:r>
        <w:t xml:space="preserve"> </w:t>
      </w:r>
      <w:r>
        <w:t>→Ho</w:t>
      </w:r>
      <w:r>
        <w:t xml:space="preserve"> </w:t>
      </w:r>
      <w:r>
        <w:t>3+</w:t>
      </w:r>
      <w:r>
        <w:t xml:space="preserve"> </w:t>
      </w:r>
      <w:r>
        <w:t>via its long‐lived</w:t>
      </w:r>
      <w:r>
        <w:rPr>
          <w:vertAlign w:val="subscript"/>
        </w:rPr>
        <w:t>5</w:t>
      </w:r>
      <w:r>
        <w:t>D</w:t>
      </w:r>
      <w:r>
        <w:rPr>
          <w:vertAlign w:val="subscript"/>
        </w:rPr>
        <w:t>4</w:t>
      </w:r>
      <w:r>
        <w:t>excited state. This pathway effectively suppresses detrimental back energy transfer from Ho</w:t>
      </w:r>
      <w:r>
        <w:t xml:space="preserve"> </w:t>
      </w:r>
      <w:r>
        <w:t>3+</w:t>
      </w:r>
      <w:r>
        <w:t xml:space="preserve"> </w:t>
      </w:r>
      <w:r>
        <w:t>to Yb</w:t>
      </w:r>
      <w:r>
        <w:t xml:space="preserve"> </w:t>
      </w:r>
      <w:r>
        <w:t>3+</w:t>
      </w:r>
      <w:r>
        <w:t xml:space="preserve"> </w:t>
      </w:r>
      <w:r>
        <w:t>, thereby promoting population of Ho</w:t>
      </w:r>
      <w:r>
        <w:t xml:space="preserve"> </w:t>
      </w:r>
      <w:r>
        <w:t>3+ 5</w:t>
      </w:r>
      <w:r>
        <w:t xml:space="preserve"> </w:t>
      </w:r>
      <w:r>
        <w:t>F</w:t>
      </w:r>
      <w:r>
        <w:rPr>
          <w:vertAlign w:val="subscript"/>
        </w:rPr>
        <w:t>5</w:t>
      </w:r>
      <w:r>
        <w:t>level and consequently enhancing its upconverting emission at 657 nm. This finding broadens the scope of energy transfer mechanisms in Ln‐MOFs. More importantly, it lays a foundation for rational design of upconverting luminescence in lanthanide‐based materials, opening new possibilities for advanced photonic applications.</w:t>
      </w:r>
    </w:p>
    <w:p>
      <w:pPr>
        <w:spacing w:before="120" w:after="120"/>
      </w:pPr>
      <w:r>
        <w:rPr>
          <w:sz w:val="18"/>
        </w:rPr>
        <w:t>——————————————————————————————————————————————————————————————————————</w:t>
      </w:r>
    </w:p>
    <w:p>
      <w:pPr>
        <w:spacing w:before="160" w:after="40" w:line="240" w:lineRule="auto"/>
      </w:pPr>
      <w:r>
        <w:rPr>
          <w:b/>
        </w:rPr>
        <w:t xml:space="preserve">[364] </w:t>
      </w:r>
      <w:hyperlink r:id="rId1167">
        <w:r>
          <w:rPr>
            <w:color w:val="1155CC"/>
            <w:u w:val="single"/>
          </w:rPr>
          <w:t>膨胀显微镜揭示了治疗性抗体-受体复合物与富含胆固醇的膜结构域的空间关联</w:t>
        </w:r>
      </w:hyperlink>
    </w:p>
    <w:p>
      <w:pPr>
        <w:spacing w:before="0" w:after="80"/>
      </w:pPr>
      <w:r>
        <w:rPr>
          <w:i/>
          <w:sz w:val="20"/>
        </w:rPr>
        <w:t>EN: Expansion Microscopy Reveals the Spatial Association of Therapeutic Antibody–Receptor Complexes With Cholesterol‐Rich Membrane Domains</w:t>
      </w:r>
    </w:p>
    <w:p>
      <w:pPr>
        <w:spacing w:before="0" w:after="120"/>
      </w:pPr>
      <w:r>
        <w:rPr>
          <w:b/>
        </w:rPr>
        <w:t xml:space="preserve">Source: </w:t>
      </w:r>
      <w:r>
        <w:t>Wiley: Angewandte Chemie International Edition: Table of Contents</w:t>
      </w:r>
      <w:r>
        <w:t xml:space="preserve">    </w:t>
      </w:r>
      <w:r>
        <w:rPr>
          <w:b/>
        </w:rPr>
        <w:t xml:space="preserve">Pub date: </w:t>
      </w:r>
      <w:r>
        <w:t>2026-08-25 04:11:26+00:00</w:t>
      </w:r>
      <w:r>
        <w:t xml:space="preserve">    </w:t>
      </w:r>
      <w:r>
        <w:rPr>
          <w:b/>
        </w:rPr>
        <w:t xml:space="preserve">DOI: </w:t>
      </w:r>
      <w:hyperlink r:id="rId1168">
        <w:r>
          <w:rPr>
            <w:color w:val="1155CC"/>
            <w:u w:val="single"/>
          </w:rPr>
          <w:t>10.1002/anie.1206161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了解治疗性单克隆抗体 (mAb) 与质膜内靶受体之间复杂的相互作用对于提高免疫治疗效果至关重要。然而，由于脂质纳米域的纳米级尺寸和动态行为，直接可视化仍然具有挑战性。在这里，我们将扩展显微镜 (ExM) 与荧光 Perfringolysin O 结构域 4 探针结合起来，在共聚焦装置上以接近 40 nm 的空间分辨率绘制整个完整细胞膜中富含胆固醇的纳米结构域。我们证明富含胆固醇的结构域主要定位于 COS-7 细胞中肌动蛋白支持的膜突起。我们直接可视化治疗性单克隆抗体利妥昔单抗 (RTX) 和达雷妥尤单抗 (DARA) 的结合如何分别将淋巴瘤和多发性骨髓瘤细胞上的 CD20 和 CD38 重新分布到富含胆固醇的纳米结构域中。受体/单克隆抗体复合物在脂质纳米结构域内的积累会产生 Fc 片段密集区域，从而增强信号转导、细胞凋亡信号传导和补体依赖性细胞毒性。此外，RTX 结合诱导明显的 B 细胞极化和 CD20/RTX 复合物在富含胆固醇的膜纳米域中积累，而 CD38/DARA 复合物表现出更均匀的膜分布，表明 mAb 结合诱导的受体重组在纳米尺度上以细胞类型和受体依赖性方式发生。我们的结果显示了如何有利地使用 ExM 来提高我们对 mAb 和脂质纳米结构域复杂相互作用的理解。</w:t>
      </w:r>
    </w:p>
    <w:p>
      <w:pPr>
        <w:spacing w:before="0" w:after="200" w:lineRule="auto" w:line="276"/>
      </w:pPr>
      <w:r>
        <w:rPr>
          <w:b/>
        </w:rPr>
        <w:t xml:space="preserve">Abstract (EN): </w:t>
      </w:r>
      <w:r>
        <w:t>Understanding the complex interplay between therapeutic monoclonal antibodies (mAbs) and target receptors within the plasma membrane is essential for improving immunotherapy efficacy. However, direct visualization of lipid nanodomains remains challenging due to their nanoscale dimensions and dynamic behavior. Here, we combine expansion microscopy (ExM) with a fluorescent perfringolysin O domain‐4 probe to map cholesterol‐rich nanodomains in the membrane of whole intact cells with a spatial resolution approaching ∼40 nm on a confocal setup. We demonstrate that cholesterol‐rich domains predominantly localize to actin‐supported membrane protrusions in COS‐7 cells. We directly visualize how the binding of therapeutic mAbs rituximab (RTX) and daratumumab (DARA) redistributes CD20 and CD38 on lymphoma and multiple myeloma cells, respectively, into cholesterol‐rich nanodomains. Accumulation of receptor/mAb complexes within lipid nanodomains creates Fc fragment‐dense regions that enhance signal transduction, apoptotic signaling, and complement‐dependent cytotoxicity. Furthermore, RTX binding induces pronounced B‐cell polarization and accumulation of CD20/RTX complexes in cholesterol‐rich membrane nanodomains, whereas CD38/DARA complexes exhibit a more homogeneous membrane distribution indicating that mAb binding‐induced receptor reorganization occurs in a cell‐type‐ and receptor‐dependent manner at the nanoscale. Our results show how ExM can be used advantageously to improve our understanding of the complex interplay of mAbs and lipid nanodomains.</w:t>
      </w:r>
    </w:p>
    <w:p>
      <w:pPr>
        <w:spacing w:before="120" w:after="120"/>
      </w:pPr>
      <w:r>
        <w:rPr>
          <w:sz w:val="18"/>
        </w:rPr>
        <w:t>——————————————————————————————————————————————————————————————————————</w:t>
      </w:r>
    </w:p>
    <w:p>
      <w:pPr>
        <w:spacing w:before="160" w:after="40" w:line="240" w:lineRule="auto"/>
      </w:pPr>
      <w:r>
        <w:rPr>
          <w:b/>
        </w:rPr>
        <w:t xml:space="preserve">[365] </w:t>
      </w:r>
      <w:hyperlink r:id="rId1169">
        <w:r>
          <w:rPr>
            <w:color w:val="1155CC"/>
            <w:u w:val="single"/>
          </w:rPr>
          <w:t>氰基酰胺生物合成中细胞色素 P450 酶催化的乙酰基迁移</w:t>
        </w:r>
      </w:hyperlink>
    </w:p>
    <w:p>
      <w:pPr>
        <w:spacing w:before="0" w:after="80"/>
      </w:pPr>
      <w:r>
        <w:rPr>
          <w:i/>
          <w:sz w:val="20"/>
        </w:rPr>
        <w:t>EN: A Cytochrome P450 Enzyme‐Catalyzed Acetyl Migration in Cyanogramide Biosynthesis</w:t>
      </w:r>
    </w:p>
    <w:p>
      <w:pPr>
        <w:spacing w:before="0" w:after="120"/>
      </w:pPr>
      <w:r>
        <w:rPr>
          <w:b/>
        </w:rPr>
        <w:t xml:space="preserve">Source: </w:t>
      </w:r>
      <w:r>
        <w:t>Wiley: Angewandte Chemie International Edition: Table of Contents</w:t>
      </w:r>
      <w:r>
        <w:t xml:space="preserve">    </w:t>
      </w:r>
      <w:r>
        <w:rPr>
          <w:b/>
        </w:rPr>
        <w:t xml:space="preserve">Pub date: </w:t>
      </w:r>
      <w:r>
        <w:t>2026-08-25 04:11:42+00:00</w:t>
      </w:r>
      <w:r>
        <w:t xml:space="preserve">    </w:t>
      </w:r>
      <w:r>
        <w:rPr>
          <w:b/>
        </w:rPr>
        <w:t xml:space="preserve">DOI: </w:t>
      </w:r>
      <w:hyperlink r:id="rId1170">
        <w:r>
          <w:rPr>
            <w:color w:val="1155CC"/>
            <w:u w:val="single"/>
          </w:rPr>
          <w:t>10.1002/anie.7360177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氰基酰胺（</w:t>
      </w:r>
      <w:r>
        <w:rPr>
          <w:vertAlign w:val="subscript"/>
        </w:rPr>
        <w:t>1</w:t>
      </w:r>
      <w:r>
        <w:t>）是一种源自海洋放线菌的独特螺吲哚生物碱，其特征在于其独特的螺环吡咯并[1,2-c]咪唑烷-4-酮支架。尽管我们已经成功阐明了其生物合成途径</w:t>
      </w:r>
      <w:r>
        <w:rPr>
          <w:vertAlign w:val="subscript"/>
        </w:rPr>
        <w:t>1</w:t>
      </w:r>
      <w:r>
        <w:t>，特征性咪唑烷-4-酮形成的机制仍不清楚。在这项研究中，我们证明细胞色素 P450 单加氧酶 CyaI 通过两性离子中间体催化氧化反应，并促进随后不寻常的 C→N 乙酰基迁移，从而触发自发的分子内环化，在</w:t>
      </w:r>
      <w:r>
        <w:rPr>
          <w:vertAlign w:val="subscript"/>
        </w:rPr>
        <w:t>1</w:t>
      </w:r>
      <w:r>
        <w:t>生物合成。此外，CyaI 被鉴定为一种双功能酶，还催化</w:t>
      </w:r>
      <w:r>
        <w:t xml:space="preserve"> </w:t>
      </w:r>
      <w:r>
        <w:t>氮</w:t>
      </w:r>
      <w:r>
        <w:t xml:space="preserve"> </w:t>
      </w:r>
      <w:r>
        <w:t>‐去甲基化。高分辨率晶体学和诱变研究确定 Thr245 是调节咪唑烷-4-酮合成和去甲基化之间平衡的关键催化残基。这项工作不仅扩展了P450酶的催化能力，而且为复杂天然产物合成中多功能生物催化剂的开发开辟了道路。</w:t>
      </w:r>
    </w:p>
    <w:p>
      <w:pPr>
        <w:spacing w:before="0" w:after="200" w:lineRule="auto" w:line="276"/>
      </w:pPr>
      <w:r>
        <w:rPr>
          <w:b/>
        </w:rPr>
        <w:t xml:space="preserve">Abstract (EN): </w:t>
      </w:r>
      <w:r>
        <w:t>Cyanogramide (</w:t>
      </w:r>
      <w:r>
        <w:rPr>
          <w:vertAlign w:val="subscript"/>
        </w:rPr>
        <w:t>1</w:t>
      </w:r>
      <w:r>
        <w:t>) is a unique spirooxindole alkaloid derived from a marine actinomycete and is characterized by its distinct spirocyclic pyrrolo[1,2‐c]imidazolidin‐4‐one scaffold. Although we have successfully elucidated the biosynthetic pathway of</w:t>
      </w:r>
      <w:r>
        <w:rPr>
          <w:vertAlign w:val="subscript"/>
        </w:rPr>
        <w:t>1</w:t>
      </w:r>
      <w:r>
        <w:t>, the mechanism underlying the formation of the characteristic imidazolidin‐4‐one remains unclear. In this study, we demonstrate that the cytochrome P450 monooxygenase CyaI catalyzes an oxidation reaction through a zwitterionic intermediate and facilitates a subsequent unusual C→N acetyl migration, which triggers a spontaneous intramolecular cyclization to forge the imidazolidin‐4‐one ring during</w:t>
      </w:r>
      <w:r>
        <w:rPr>
          <w:vertAlign w:val="subscript"/>
        </w:rPr>
        <w:t>1</w:t>
      </w:r>
      <w:r>
        <w:t>biosynthesis. In addition, CyaI is identified as a bifunctional enzyme that also catalyzes</w:t>
      </w:r>
      <w:r>
        <w:t xml:space="preserve"> </w:t>
      </w:r>
      <w:r>
        <w:t>N</w:t>
      </w:r>
      <w:r>
        <w:t xml:space="preserve"> </w:t>
      </w:r>
      <w:r>
        <w:t>‐demethylation. High‐resolution crystallography and mutagenesis studies determine Thr245 as a crucial catalytic residue that modulates the balance between imidazolidine‐4‐one synthesis and demethylation. This work not only expands the catalytic repertoire of P450 enzymes but also opens the way for the development of multifunctional biocatalysts in the synthesis of complex natural products.</w:t>
      </w:r>
    </w:p>
    <w:p>
      <w:pPr>
        <w:spacing w:before="120" w:after="120"/>
      </w:pPr>
      <w:r>
        <w:rPr>
          <w:sz w:val="18"/>
        </w:rPr>
        <w:t>——————————————————————————————————————————————————————————————————————</w:t>
      </w:r>
    </w:p>
    <w:p>
      <w:pPr>
        <w:spacing w:before="160" w:after="40" w:line="240" w:lineRule="auto"/>
      </w:pPr>
      <w:r>
        <w:rPr>
          <w:b/>
        </w:rPr>
        <w:t xml:space="preserve">[366] </w:t>
      </w:r>
      <w:hyperlink r:id="rId1171">
        <w:r>
          <w:rPr>
            <w:color w:val="1155CC"/>
            <w:u w:val="single"/>
          </w:rPr>
          <w:t>酚类污染物配对电催化转化为对苯醌和对氨基苯酚</w:t>
        </w:r>
      </w:hyperlink>
    </w:p>
    <w:p>
      <w:pPr>
        <w:spacing w:before="0" w:after="80"/>
      </w:pPr>
      <w:r>
        <w:rPr>
          <w:i/>
          <w:sz w:val="20"/>
        </w:rPr>
        <w:t>EN: Paired Electrocatalytic Valorization of Phenolic Pollutants Into p‐Benzoquinone and p‐Aminophenol</w:t>
      </w:r>
    </w:p>
    <w:p>
      <w:pPr>
        <w:spacing w:before="0" w:after="120"/>
      </w:pPr>
      <w:r>
        <w:rPr>
          <w:b/>
        </w:rPr>
        <w:t xml:space="preserve">Source: </w:t>
      </w:r>
      <w:r>
        <w:t>Wiley: Angewandte Chemie International Edition: Table of Contents</w:t>
      </w:r>
      <w:r>
        <w:t xml:space="preserve">    </w:t>
      </w:r>
      <w:r>
        <w:rPr>
          <w:b/>
        </w:rPr>
        <w:t xml:space="preserve">Pub date: </w:t>
      </w:r>
      <w:r>
        <w:t>2026-08-25 04:30:06+00:00</w:t>
      </w:r>
      <w:r>
        <w:t xml:space="preserve">    </w:t>
      </w:r>
      <w:r>
        <w:rPr>
          <w:b/>
        </w:rPr>
        <w:t xml:space="preserve">DOI: </w:t>
      </w:r>
      <w:hyperlink r:id="rId1172">
        <w:r>
          <w:rPr>
            <w:color w:val="1155CC"/>
            <w:u w:val="single"/>
          </w:rPr>
          <w:t>10.1002/anie.8237151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有机污染物电催化转化为增值化学品，为废水处理和资源回收提供了可持续的策略；然而，实现高法拉第和能源效率仍然具有挑战性。在此，我们报告了一种将阳极苯酚氧化（PhOR）与阴极氧化相结合的双极电催化策略</w:t>
      </w:r>
      <w:r>
        <w:t xml:space="preserve"> </w:t>
      </w:r>
      <w:r>
        <w:t>p</w:t>
      </w:r>
      <w:r>
        <w:t xml:space="preserve"> </w:t>
      </w:r>
      <w:r>
        <w:t>‐硝基苯酚还原（NPRR）同时生产</w:t>
      </w:r>
      <w:r>
        <w:t xml:space="preserve"> </w:t>
      </w:r>
      <w:r>
        <w:t>p</w:t>
      </w:r>
      <w:r>
        <w:t xml:space="preserve"> </w:t>
      </w:r>
      <w:r>
        <w:t>‐苯醌（</w:t>
      </w:r>
      <w:r>
        <w:t xml:space="preserve"> </w:t>
      </w:r>
      <w:r>
        <w:t>p</w:t>
      </w:r>
      <w:r>
        <w:t xml:space="preserve"> </w:t>
      </w:r>
      <w:r>
        <w:t>‐BQ) 和</w:t>
      </w:r>
      <w:r>
        <w:t xml:space="preserve"> </w:t>
      </w:r>
      <w:r>
        <w:t>p</w:t>
      </w:r>
      <w:r>
        <w:t xml:space="preserve"> </w:t>
      </w:r>
      <w:r>
        <w:t>‐氨基苯酚（</w:t>
      </w:r>
      <w:r>
        <w:t xml:space="preserve"> </w:t>
      </w:r>
      <w:r>
        <w:t>p</w:t>
      </w:r>
      <w:r>
        <w:t xml:space="preserve"> </w:t>
      </w:r>
      <w:r>
        <w:t>‐美联社）。定制的 Ni(OH)</w:t>
      </w:r>
      <w:r>
        <w:rPr>
          <w:vertAlign w:val="subscript"/>
        </w:rPr>
        <w:t>2</w:t>
      </w:r>
      <w:r>
        <w:t>/氟化铈</w:t>
      </w:r>
      <w:r>
        <w:rPr>
          <w:vertAlign w:val="subscript"/>
        </w:rPr>
        <w:t>3</w:t>
      </w:r>
      <w:r>
        <w:t>阳极和Cu(OH)</w:t>
      </w:r>
      <w:r>
        <w:rPr>
          <w:vertAlign w:val="subscript"/>
        </w:rPr>
        <w:t>2</w:t>
      </w:r>
      <w:r>
        <w:t>/镍(OH)</w:t>
      </w:r>
      <w:r>
        <w:rPr>
          <w:vertAlign w:val="subscript"/>
        </w:rPr>
        <w:t>2</w:t>
      </w:r>
      <w:r>
        <w:t>阴极实现</w:t>
      </w:r>
      <w:r>
        <w:t xml:space="preserve"> </w:t>
      </w:r>
      <w:r>
        <w:t>p</w:t>
      </w:r>
      <w:r>
        <w:t xml:space="preserve"> </w:t>
      </w:r>
      <w:r>
        <w:t>‐BQ 和</w:t>
      </w:r>
      <w:r>
        <w:t xml:space="preserve"> </w:t>
      </w:r>
      <w:r>
        <w:t>p</w:t>
      </w:r>
      <w:r>
        <w:t xml:space="preserve"> </w:t>
      </w:r>
      <w:r>
        <w:t>‐AP 产率分别为 84.5% 和 96.3%。具体来说，掺入CeF</w:t>
      </w:r>
      <w:r>
        <w:rPr>
          <w:vertAlign w:val="subscript"/>
        </w:rPr>
        <w:t>3</w:t>
      </w:r>
      <w:r>
        <w:t>诱导Ni位点的界面电荷重新分布，然后促进Ni(OH)</w:t>
      </w:r>
      <w:r>
        <w:rPr>
          <w:vertAlign w:val="subscript"/>
        </w:rPr>
        <w:t>2</w:t>
      </w:r>
      <w:r>
        <w:t>重构为活性NiOOH。 Operando X 射线吸收精细结构 (XAFS) 揭示了电势驱动的动态 Ni-O 演化优化了反应中间体的结合强度，从而提高了 PhOR 性能。具有 Cu 和 Ni 位点的阴极有利于表面吸附 H* 的形成，从而实现高效的 NPRR vi</w:t>
      </w:r>
    </w:p>
    <w:p>
      <w:pPr>
        <w:spacing w:before="0" w:after="200" w:lineRule="auto" w:line="276"/>
      </w:pPr>
      <w:r>
        <w:rPr>
          <w:b/>
        </w:rPr>
        <w:t xml:space="preserve">Abstract (EN): </w:t>
      </w:r>
      <w:r>
        <w:t>Electrocatalytic valorization of organic pollutants into value‐added chemicals offers a sustainable strategy for wastewater treatment and resource recovery; however, achieving high Faradaic and energy efficiency remains challenging. Herein, we report a bipolar electrocatalytic strategy integrating anodic phenol oxidation (PhOR) with cathodic</w:t>
      </w:r>
      <w:r>
        <w:t xml:space="preserve"> </w:t>
      </w:r>
      <w:r>
        <w:t>p</w:t>
      </w:r>
      <w:r>
        <w:t xml:space="preserve"> </w:t>
      </w:r>
      <w:r>
        <w:t>‐nitrophenol reduction (NPRR) for simultaneously producing</w:t>
      </w:r>
      <w:r>
        <w:t xml:space="preserve"> </w:t>
      </w:r>
      <w:r>
        <w:t>p</w:t>
      </w:r>
      <w:r>
        <w:t xml:space="preserve"> </w:t>
      </w:r>
      <w:r>
        <w:t>‐benzoquinone (</w:t>
      </w:r>
      <w:r>
        <w:t xml:space="preserve"> </w:t>
      </w:r>
      <w:r>
        <w:t>p</w:t>
      </w:r>
      <w:r>
        <w:t xml:space="preserve"> </w:t>
      </w:r>
      <w:r>
        <w:t>‐BQ) and</w:t>
      </w:r>
      <w:r>
        <w:t xml:space="preserve"> </w:t>
      </w:r>
      <w:r>
        <w:t>p</w:t>
      </w:r>
      <w:r>
        <w:t xml:space="preserve"> </w:t>
      </w:r>
      <w:r>
        <w:t>‐aminophenol (</w:t>
      </w:r>
      <w:r>
        <w:t xml:space="preserve"> </w:t>
      </w:r>
      <w:r>
        <w:t>p</w:t>
      </w:r>
      <w:r>
        <w:t xml:space="preserve"> </w:t>
      </w:r>
      <w:r>
        <w:t>‐AP). The tailored Ni(OH)</w:t>
      </w:r>
      <w:r>
        <w:rPr>
          <w:vertAlign w:val="subscript"/>
        </w:rPr>
        <w:t>2</w:t>
      </w:r>
      <w:r>
        <w:t>/CeF</w:t>
      </w:r>
      <w:r>
        <w:rPr>
          <w:vertAlign w:val="subscript"/>
        </w:rPr>
        <w:t>3</w:t>
      </w:r>
      <w:r>
        <w:t>anode and Cu(OH)</w:t>
      </w:r>
      <w:r>
        <w:rPr>
          <w:vertAlign w:val="subscript"/>
        </w:rPr>
        <w:t>2</w:t>
      </w:r>
      <w:r>
        <w:t>/Ni(OH)</w:t>
      </w:r>
      <w:r>
        <w:rPr>
          <w:vertAlign w:val="subscript"/>
        </w:rPr>
        <w:t>2</w:t>
      </w:r>
      <w:r>
        <w:t>cathode achieve</w:t>
      </w:r>
      <w:r>
        <w:t xml:space="preserve"> </w:t>
      </w:r>
      <w:r>
        <w:t>p</w:t>
      </w:r>
      <w:r>
        <w:t xml:space="preserve"> </w:t>
      </w:r>
      <w:r>
        <w:t>‐BQ and</w:t>
      </w:r>
      <w:r>
        <w:t xml:space="preserve"> </w:t>
      </w:r>
      <w:r>
        <w:t>p</w:t>
      </w:r>
      <w:r>
        <w:t xml:space="preserve"> </w:t>
      </w:r>
      <w:r>
        <w:t>‐AP yields of 84.5% and 96.3%, respectively. Specifically, incorporation of CeF</w:t>
      </w:r>
      <w:r>
        <w:rPr>
          <w:vertAlign w:val="subscript"/>
        </w:rPr>
        <w:t>3</w:t>
      </w:r>
      <w:r>
        <w:t>induces the interfacial charge redistribution of Ni site and then facilitates Ni(OH)</w:t>
      </w:r>
      <w:r>
        <w:rPr>
          <w:vertAlign w:val="subscript"/>
        </w:rPr>
        <w:t>2</w:t>
      </w:r>
      <w:r>
        <w:t>reconstruction into active NiOOH. Operando x‐ray absorption fine structure (XAFS) reveals that the potential‐driven dynamic Ni–O evolution optimizes the binding strength of reaction intermediates to boost PhOR performance. The cathode with Cu and Ni sites favors the surface‐adsorbed H* formation for efficient NPRR via an indirect electron transfer pathway. The PhOR||NPRR system achieves an exceptional Faradaic efficiency of 129.3% with a low energy consumption of 1.06 kWh kg</w:t>
      </w:r>
      <w:r>
        <w:t xml:space="preserve"> </w:t>
      </w:r>
      <w:r>
        <w:t>−</w:t>
      </w:r>
      <w:r>
        <w:rPr>
          <w:vertAlign w:val="subscript"/>
        </w:rPr>
        <w:t>1</w:t>
      </w:r>
      <w:r>
        <w:t>. The practical applicability was validated through the successful production of high‐purity</w:t>
      </w:r>
      <w:r>
        <w:t xml:space="preserve"> </w:t>
      </w:r>
      <w:r>
        <w:t>p</w:t>
      </w:r>
      <w:r>
        <w:t xml:space="preserve"> </w:t>
      </w:r>
      <w:r>
        <w:t>‐BQ and</w:t>
      </w:r>
      <w:r>
        <w:t xml:space="preserve"> </w:t>
      </w:r>
      <w:r>
        <w:t>p</w:t>
      </w:r>
      <w:r>
        <w:t xml:space="preserve"> </w:t>
      </w:r>
      <w:r>
        <w:t>‐AP from phenolic pollutants with respective recovery efficiency of 83.1% and 87.9%. This work provides a viable approach for facilitating a sustainable recovery of phenolic wastewaters.</w:t>
      </w:r>
    </w:p>
    <w:p>
      <w:pPr>
        <w:spacing w:before="120" w:after="120"/>
      </w:pPr>
      <w:r>
        <w:rPr>
          <w:sz w:val="18"/>
        </w:rPr>
        <w:t>——————————————————————————————————————————————————————————————————————</w:t>
      </w:r>
    </w:p>
    <w:p>
      <w:pPr>
        <w:spacing w:before="160" w:after="40" w:line="240" w:lineRule="auto"/>
      </w:pPr>
      <w:r>
        <w:rPr>
          <w:b/>
        </w:rPr>
        <w:t xml:space="preserve">[367] </w:t>
      </w:r>
      <w:hyperlink r:id="rId1173">
        <w:r>
          <w:rPr>
            <w:color w:val="1155CC"/>
            <w:u w:val="single"/>
          </w:rPr>
          <w:t>铱二苯并炔——扩大四苯炔过渡金属配位化学的范围</w:t>
        </w:r>
      </w:hyperlink>
    </w:p>
    <w:p>
      <w:pPr>
        <w:spacing w:before="0" w:after="80"/>
      </w:pPr>
      <w:r>
        <w:rPr>
          <w:i/>
          <w:sz w:val="20"/>
        </w:rPr>
        <w:t>EN: An Iridium Distannylidyne – Expanding the Scope of Tetrylidyne Transition Metal Coordination Chemistry</w:t>
      </w:r>
    </w:p>
    <w:p>
      <w:pPr>
        <w:spacing w:before="0" w:after="120"/>
      </w:pPr>
      <w:r>
        <w:rPr>
          <w:b/>
        </w:rPr>
        <w:t xml:space="preserve">Source: </w:t>
      </w:r>
      <w:r>
        <w:t>Wiley: Angewandte Chemie International Edition: Table of Contents</w:t>
      </w:r>
      <w:r>
        <w:t xml:space="preserve">    </w:t>
      </w:r>
      <w:r>
        <w:rPr>
          <w:b/>
        </w:rPr>
        <w:t xml:space="preserve">Pub date: </w:t>
      </w:r>
      <w:r>
        <w:t>2026-08-25 04:37:13+00:00</w:t>
      </w:r>
      <w:r>
        <w:t xml:space="preserve">    </w:t>
      </w:r>
      <w:r>
        <w:rPr>
          <w:b/>
        </w:rPr>
        <w:t xml:space="preserve">DOI: </w:t>
      </w:r>
      <w:hyperlink r:id="rId1174">
        <w:r>
          <w:rPr>
            <w:color w:val="1155CC"/>
            <w:u w:val="single"/>
          </w:rPr>
          <w:t>10.1002/anie.1048718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尽管过渡金属四苯甲基已为人们所知数十年，但迄今为止，类似的重二苯甲基尚未在文献中报道。在这项工作中，我们描述了二锡二炔铱的合成和表征[(Me</w:t>
      </w:r>
      <w:r>
        <w:rPr>
          <w:vertAlign w:val="subscript"/>
        </w:rPr>
        <w:t>3</w:t>
      </w:r>
      <w:r>
        <w:t>）</w:t>
      </w:r>
      <w:r>
        <w:rPr>
          <w:vertAlign w:val="subscript"/>
        </w:rPr>
        <w:t>2</w:t>
      </w:r>
      <w:r>
        <w:t>铱(锡氩*)</w:t>
      </w:r>
      <w:r>
        <w:rPr>
          <w:vertAlign w:val="subscript"/>
        </w:rPr>
        <w:t>2</w:t>
      </w:r>
      <w:r>
        <w:t>][WCA]（</w:t>
      </w:r>
      <w:r>
        <w:t xml:space="preserve"> </w:t>
      </w:r>
      <w:r>
        <w:t>1a</w:t>
      </w:r>
      <w:r>
        <w:t xml:space="preserve"> </w:t>
      </w:r>
      <w:r>
        <w:t>/</w:t>
      </w:r>
      <w:r>
        <w:t>1b</w:t>
      </w:r>
      <w:r>
        <w:t xml:space="preserve"> </w:t>
      </w:r>
      <w:r>
        <w:t>) {[WCA] = [Al(O</w:t>
      </w:r>
      <w:r>
        <w:t xml:space="preserve"> </w:t>
      </w:r>
      <w:r>
        <w:t>t</w:t>
      </w:r>
      <w:r>
        <w:t xml:space="preserve"> </w:t>
      </w:r>
      <w:r>
        <w:t>布</w:t>
      </w:r>
      <w:r>
        <w:t xml:space="preserve"> </w:t>
      </w:r>
      <w:r>
        <w:t>F</w:t>
      </w:r>
      <w:r>
        <w:t xml:space="preserve"> </w:t>
      </w:r>
      <w:r>
        <w:t>）</w:t>
      </w:r>
      <w:r>
        <w:rPr>
          <w:vertAlign w:val="subscript"/>
        </w:rPr>
        <w:t>4</w:t>
      </w:r>
      <w:r>
        <w:t>]</w:t>
      </w:r>
      <w:r>
        <w:t xml:space="preserve"> </w:t>
      </w:r>
      <w:r>
        <w:t>–</w:t>
      </w:r>
      <w:r>
        <w:t xml:space="preserve"> </w:t>
      </w:r>
      <w:r>
        <w:t>（</w:t>
      </w:r>
      <w:r>
        <w:t xml:space="preserve"> </w:t>
      </w:r>
      <w:r>
        <w:t>1a</w:t>
      </w:r>
      <w:r>
        <w:t xml:space="preserve"> </w:t>
      </w:r>
      <w:r>
        <w:t>), [BAr</w:t>
      </w:r>
      <w:r>
        <w:t xml:space="preserve"> </w:t>
      </w:r>
      <w:r>
        <w:t>F</w:t>
      </w:r>
      <w:r>
        <w:rPr>
          <w:vertAlign w:val="subscript"/>
        </w:rPr>
        <w:t>4</w:t>
      </w:r>
      <w:r>
        <w:t>]</w:t>
      </w:r>
      <w:r>
        <w:t xml:space="preserve"> </w:t>
      </w:r>
      <w:r>
        <w:t>–</w:t>
      </w:r>
      <w:r>
        <w:t xml:space="preserve"> </w:t>
      </w:r>
      <w:r>
        <w:t>（</w:t>
      </w:r>
      <w:r>
        <w:t xml:space="preserve"> </w:t>
      </w:r>
      <w:r>
        <w:t>1b</w:t>
      </w:r>
      <w:r>
        <w:t xml:space="preserve"> </w:t>
      </w:r>
      <w:r>
        <w:t>）； Ar* = 2,6-二(2,4,6-三-</w:t>
      </w:r>
      <w:r>
        <w:t>异</w:t>
      </w:r>
      <w:r>
        <w:t xml:space="preserve"> </w:t>
      </w:r>
      <w:r>
        <w:t>-丙基苯基）苯基，</w:t>
      </w:r>
      <w:r>
        <w:t xml:space="preserve"> </w:t>
      </w:r>
      <w:r>
        <w:t>t</w:t>
      </w:r>
      <w:r>
        <w:t xml:space="preserve"> </w:t>
      </w:r>
      <w:r>
        <w:t>布</w:t>
      </w:r>
      <w:r>
        <w:t xml:space="preserve"> </w:t>
      </w:r>
      <w:r>
        <w:t>F</w:t>
      </w:r>
      <w:r>
        <w:t xml:space="preserve"> </w:t>
      </w:r>
      <w:r>
        <w:t>= C(CF</w:t>
      </w:r>
      <w:r>
        <w:rPr>
          <w:vertAlign w:val="subscript"/>
        </w:rPr>
        <w:t>3</w:t>
      </w:r>
      <w:r>
        <w:t>）</w:t>
      </w:r>
      <w:r>
        <w:rPr>
          <w:vertAlign w:val="subscript"/>
        </w:rPr>
        <w:t>3</w:t>
      </w:r>
      <w:r>
        <w:t>, 氩气</w:t>
      </w:r>
      <w:r>
        <w:t xml:space="preserve"> </w:t>
      </w:r>
      <w:r>
        <w:t>F</w:t>
      </w:r>
      <w:r>
        <w:t xml:space="preserve"> </w:t>
      </w:r>
      <w:r>
        <w:t>= 3,5-双(三氟甲基)苯基}作为第一过渡金属二四苯甲基。</w:t>
      </w:r>
      <w:r>
        <w:rPr>
          <w:vertAlign w:val="subscript"/>
        </w:rPr>
        <w:t>1</w:t>
      </w:r>
      <w:r>
        <w:t>与两当量的CO反应</w:t>
      </w:r>
      <w:r>
        <w:rPr>
          <w:vertAlign w:val="subscript"/>
        </w:rPr>
        <w:t>2</w:t>
      </w:r>
      <w:r>
        <w:t>给[(我</w:t>
      </w:r>
      <w:r>
        <w:rPr>
          <w:vertAlign w:val="subscript"/>
        </w:rPr>
        <w:t>3</w:t>
      </w:r>
      <w:r>
        <w:t>）</w:t>
      </w:r>
    </w:p>
    <w:p>
      <w:pPr>
        <w:spacing w:before="0" w:after="200" w:lineRule="auto" w:line="276"/>
      </w:pPr>
      <w:r>
        <w:rPr>
          <w:b/>
        </w:rPr>
        <w:t xml:space="preserve">Abstract (EN): </w:t>
      </w:r>
      <w:r>
        <w:t>Although transition metal tetrylidynes have been known for several decades, analogous heavy ditetrylidynes have not been reported in the literature to this day. In this work we describe the synthesis and characterization of iridium distannylidyne [(Me</w:t>
      </w:r>
      <w:r>
        <w:rPr>
          <w:vertAlign w:val="subscript"/>
        </w:rPr>
        <w:t>3</w:t>
      </w:r>
      <w:r>
        <w:t>P)</w:t>
      </w:r>
      <w:r>
        <w:rPr>
          <w:vertAlign w:val="subscript"/>
        </w:rPr>
        <w:t>2</w:t>
      </w:r>
      <w:r>
        <w:t>Ir(SnAr*)</w:t>
      </w:r>
      <w:r>
        <w:rPr>
          <w:vertAlign w:val="subscript"/>
        </w:rPr>
        <w:t>2</w:t>
      </w:r>
      <w:r>
        <w:t>][WCA] (</w:t>
      </w:r>
      <w:r>
        <w:t xml:space="preserve"> </w:t>
      </w:r>
      <w:r>
        <w:t>1a</w:t>
      </w:r>
      <w:r>
        <w:t xml:space="preserve"> </w:t>
      </w:r>
      <w:r>
        <w:t>/</w:t>
      </w:r>
      <w:r>
        <w:t>1b</w:t>
      </w:r>
      <w:r>
        <w:t xml:space="preserve"> </w:t>
      </w:r>
      <w:r>
        <w:t>) {[WCA] = [Al(O</w:t>
      </w:r>
      <w:r>
        <w:t xml:space="preserve"> </w:t>
      </w:r>
      <w:r>
        <w:t>t</w:t>
      </w:r>
      <w:r>
        <w:t xml:space="preserve"> </w:t>
      </w:r>
      <w:r>
        <w:t>Bu</w:t>
      </w:r>
      <w:r>
        <w:t xml:space="preserve"> </w:t>
      </w:r>
      <w:r>
        <w:t>F</w:t>
      </w:r>
      <w:r>
        <w:t xml:space="preserve"> </w:t>
      </w:r>
      <w:r>
        <w:t>)</w:t>
      </w:r>
      <w:r>
        <w:rPr>
          <w:vertAlign w:val="subscript"/>
        </w:rPr>
        <w:t>4</w:t>
      </w:r>
      <w:r>
        <w:t>]</w:t>
      </w:r>
      <w:r>
        <w:t xml:space="preserve"> </w:t>
      </w:r>
      <w:r>
        <w:t>–</w:t>
      </w:r>
      <w:r>
        <w:t xml:space="preserve"> </w:t>
      </w:r>
      <w:r>
        <w:t>(</w:t>
      </w:r>
      <w:r>
        <w:t xml:space="preserve"> </w:t>
      </w:r>
      <w:r>
        <w:t>1a</w:t>
      </w:r>
      <w:r>
        <w:t xml:space="preserve"> </w:t>
      </w:r>
      <w:r>
        <w:t>), [BAr</w:t>
      </w:r>
      <w:r>
        <w:t xml:space="preserve"> </w:t>
      </w:r>
      <w:r>
        <w:t>F</w:t>
      </w:r>
      <w:r>
        <w:rPr>
          <w:vertAlign w:val="subscript"/>
        </w:rPr>
        <w:t>4</w:t>
      </w:r>
      <w:r>
        <w:t>]</w:t>
      </w:r>
      <w:r>
        <w:t xml:space="preserve"> </w:t>
      </w:r>
      <w:r>
        <w:t>–</w:t>
      </w:r>
      <w:r>
        <w:t xml:space="preserve"> </w:t>
      </w:r>
      <w:r>
        <w:t>(</w:t>
      </w:r>
      <w:r>
        <w:t xml:space="preserve"> </w:t>
      </w:r>
      <w:r>
        <w:t>1b</w:t>
      </w:r>
      <w:r>
        <w:t xml:space="preserve"> </w:t>
      </w:r>
      <w:r>
        <w:t>); Ar* = 2,6‐bis(2,4,6‐tri‐</w:t>
      </w:r>
      <w:r>
        <w:t xml:space="preserve"> </w:t>
      </w:r>
      <w:r>
        <w:t>iso</w:t>
      </w:r>
      <w:r>
        <w:t xml:space="preserve"> </w:t>
      </w:r>
      <w:r>
        <w:t>‐propylphenyl)phenyl,</w:t>
      </w:r>
      <w:r>
        <w:t xml:space="preserve"> </w:t>
      </w:r>
      <w:r>
        <w:t>t</w:t>
      </w:r>
      <w:r>
        <w:t xml:space="preserve"> </w:t>
      </w:r>
      <w:r>
        <w:t>Bu</w:t>
      </w:r>
      <w:r>
        <w:t xml:space="preserve"> </w:t>
      </w:r>
      <w:r>
        <w:t>F</w:t>
      </w:r>
      <w:r>
        <w:t xml:space="preserve"> </w:t>
      </w:r>
      <w:r>
        <w:t>= C(CF</w:t>
      </w:r>
      <w:r>
        <w:rPr>
          <w:vertAlign w:val="subscript"/>
        </w:rPr>
        <w:t>3</w:t>
      </w:r>
      <w:r>
        <w:t>)</w:t>
      </w:r>
      <w:r>
        <w:rPr>
          <w:vertAlign w:val="subscript"/>
        </w:rPr>
        <w:t>3</w:t>
      </w:r>
      <w:r>
        <w:t>, Ar</w:t>
      </w:r>
      <w:r>
        <w:t xml:space="preserve"> </w:t>
      </w:r>
      <w:r>
        <w:t>F</w:t>
      </w:r>
      <w:r>
        <w:t xml:space="preserve"> </w:t>
      </w:r>
      <w:r>
        <w:t>= 3,5‐bis(trifluoromethyl)phenyl} as the first transition metal ditetrylidyne.</w:t>
      </w:r>
      <w:r>
        <w:rPr>
          <w:vertAlign w:val="subscript"/>
        </w:rPr>
        <w:t>1</w:t>
      </w:r>
      <w:r>
        <w:t>reacts with two equivalents of CO</w:t>
      </w:r>
      <w:r>
        <w:rPr>
          <w:vertAlign w:val="subscript"/>
        </w:rPr>
        <w:t>2</w:t>
      </w:r>
      <w:r>
        <w:t>to give [(Me</w:t>
      </w:r>
      <w:r>
        <w:rPr>
          <w:vertAlign w:val="subscript"/>
        </w:rPr>
        <w:t>3</w:t>
      </w:r>
      <w:r>
        <w:t>P)</w:t>
      </w:r>
      <w:r>
        <w:rPr>
          <w:vertAlign w:val="subscript"/>
        </w:rPr>
        <w:t>2</w:t>
      </w:r>
      <w:r>
        <w:t>Ir(SnAr*)</w:t>
      </w:r>
      <w:r>
        <w:rPr>
          <w:vertAlign w:val="subscript"/>
        </w:rPr>
        <w:t>2</w:t>
      </w:r>
      <w:r>
        <w:t>(</w:t>
      </w:r>
      <w:r>
        <w:t xml:space="preserve"> </w:t>
      </w:r>
      <w:r>
        <w:t>μ</w:t>
      </w:r>
      <w:r>
        <w:rPr>
          <w:vertAlign w:val="subscript"/>
        </w:rPr>
        <w:t>3</w:t>
      </w:r>
      <w:r>
        <w:t>‐</w:t>
      </w:r>
      <w:r>
        <w:t xml:space="preserve"> </w:t>
      </w:r>
      <w:r>
        <w:t>η</w:t>
      </w:r>
      <w:r>
        <w:rPr>
          <w:vertAlign w:val="subscript"/>
        </w:rPr>
        <w:t>3</w:t>
      </w:r>
      <w:r>
        <w:t>‐</w:t>
      </w:r>
      <w:r>
        <w:t xml:space="preserve"> </w:t>
      </w:r>
      <w:r>
        <w:t>κ</w:t>
      </w:r>
      <w:r>
        <w:rPr>
          <w:vertAlign w:val="subscript"/>
        </w:rPr>
        <w:t>3</w:t>
      </w:r>
      <w:r>
        <w:t>‐</w:t>
      </w:r>
      <w:r>
        <w:t xml:space="preserve"> </w:t>
      </w:r>
      <w:r>
        <w:t>O</w:t>
      </w:r>
      <w:r>
        <w:t xml:space="preserve"> </w:t>
      </w:r>
      <w:r>
        <w:t>,</w:t>
      </w:r>
      <w:r>
        <w:t xml:space="preserve"> </w:t>
      </w:r>
      <w:r>
        <w:t>C</w:t>
      </w:r>
      <w:r>
        <w:t xml:space="preserve"> </w:t>
      </w:r>
      <w:r>
        <w:t>,</w:t>
      </w:r>
      <w:r>
        <w:t xml:space="preserve"> </w:t>
      </w:r>
      <w:r>
        <w:t>O’</w:t>
      </w:r>
      <w:r>
        <w:t xml:space="preserve"> </w:t>
      </w:r>
      <w:r>
        <w:t>‐CO</w:t>
      </w:r>
      <w:r>
        <w:rPr>
          <w:vertAlign w:val="subscript"/>
        </w:rPr>
        <w:t>2</w:t>
      </w:r>
      <w:r>
        <w:t>)</w:t>
      </w:r>
      <w:r>
        <w:rPr>
          <w:vertAlign w:val="subscript"/>
        </w:rPr>
        <w:t>2</w:t>
      </w:r>
      <w:r>
        <w:t>][Al(O</w:t>
      </w:r>
      <w:r>
        <w:t xml:space="preserve"> </w:t>
      </w:r>
      <w:r>
        <w:t>t</w:t>
      </w:r>
      <w:r>
        <w:t xml:space="preserve"> </w:t>
      </w:r>
      <w:r>
        <w:t>Bu</w:t>
      </w:r>
      <w:r>
        <w:t xml:space="preserve"> </w:t>
      </w:r>
      <w:r>
        <w:t>F</w:t>
      </w:r>
      <w:r>
        <w:t xml:space="preserve"> </w:t>
      </w:r>
      <w:r>
        <w:t>)</w:t>
      </w:r>
      <w:r>
        <w:rPr>
          <w:vertAlign w:val="subscript"/>
        </w:rPr>
        <w:t>4</w:t>
      </w:r>
      <w:r>
        <w:t>] (</w:t>
      </w:r>
      <w:r>
        <w:rPr>
          <w:vertAlign w:val="subscript"/>
        </w:rPr>
        <w:t>2</w:t>
      </w:r>
      <w:r>
        <w:t>). In the presence of excess trimethylphosphine, trimethylsilyl azide reacts with</w:t>
      </w:r>
      <w:r>
        <w:rPr>
          <w:vertAlign w:val="subscript"/>
        </w:rPr>
        <w:t>1</w:t>
      </w:r>
      <w:r>
        <w:t>to form imido‐bridged [(Me</w:t>
      </w:r>
      <w:r>
        <w:rPr>
          <w:vertAlign w:val="subscript"/>
        </w:rPr>
        <w:t>3</w:t>
      </w:r>
      <w:r>
        <w:t>P)</w:t>
      </w:r>
      <w:r>
        <w:rPr>
          <w:vertAlign w:val="subscript"/>
        </w:rPr>
        <w:t>3</w:t>
      </w:r>
      <w:r>
        <w:t>Ir(SnAr*)</w:t>
      </w:r>
      <w:r>
        <w:rPr>
          <w:vertAlign w:val="subscript"/>
        </w:rPr>
        <w:t>2</w:t>
      </w:r>
      <w:r>
        <w:t>(</w:t>
      </w:r>
      <w:r>
        <w:t xml:space="preserve"> </w:t>
      </w:r>
      <w:r>
        <w:t>μ</w:t>
      </w:r>
      <w:r>
        <w:rPr>
          <w:vertAlign w:val="subscript"/>
        </w:rPr>
        <w:t>2</w:t>
      </w:r>
      <w:r>
        <w:t>‐N–TMS)][BAr</w:t>
      </w:r>
      <w:r>
        <w:t xml:space="preserve"> </w:t>
      </w:r>
      <w:r>
        <w:t>F</w:t>
      </w:r>
      <w:r>
        <w:rPr>
          <w:vertAlign w:val="subscript"/>
        </w:rPr>
        <w:t>4</w:t>
      </w:r>
      <w:r>
        <w:t>]  (</w:t>
      </w:r>
      <w:r>
        <w:rPr>
          <w:vertAlign w:val="subscript"/>
        </w:rPr>
        <w:t>3</w:t>
      </w:r>
      <w:r>
        <w:t>) upon extrusion of N</w:t>
      </w:r>
      <w:r>
        <w:rPr>
          <w:vertAlign w:val="subscript"/>
        </w:rPr>
        <w:t>2</w:t>
      </w:r>
      <w:r>
        <w:t>.</w:t>
      </w:r>
    </w:p>
    <w:p>
      <w:pPr>
        <w:spacing w:before="120" w:after="120"/>
      </w:pPr>
      <w:r>
        <w:rPr>
          <w:sz w:val="18"/>
        </w:rPr>
        <w:t>——————————————————————————————————————————————————————————————————————</w:t>
      </w:r>
    </w:p>
    <w:p>
      <w:pPr>
        <w:spacing w:before="160" w:after="40" w:line="240" w:lineRule="auto"/>
      </w:pPr>
      <w:r>
        <w:rPr>
          <w:b/>
        </w:rPr>
        <w:t xml:space="preserve">[368] </w:t>
      </w:r>
      <w:hyperlink r:id="rId1175">
        <w:r>
          <w:rPr>
            <w:color w:val="1155CC"/>
            <w:u w:val="single"/>
          </w:rPr>
          <w:t>原噬菌体激活通过滚环复制触发细菌生物膜中 DNA 的胞外合成</w:t>
        </w:r>
      </w:hyperlink>
    </w:p>
    <w:p>
      <w:pPr>
        <w:spacing w:before="0" w:after="80"/>
      </w:pPr>
      <w:r>
        <w:rPr>
          <w:i/>
          <w:sz w:val="20"/>
        </w:rPr>
        <w:t>EN: Prophage Activation Triggers Extracellular Synthesis of DNA in Bacterial Biofilms via Rolling Circle Replication</w:t>
      </w:r>
    </w:p>
    <w:p>
      <w:pPr>
        <w:spacing w:before="0" w:after="120"/>
      </w:pPr>
      <w:r>
        <w:rPr>
          <w:b/>
        </w:rPr>
        <w:t xml:space="preserve">Source: </w:t>
      </w:r>
      <w:r>
        <w:t>Wiley: Angewandte Chemie International Edition: Table of Contents</w:t>
      </w:r>
      <w:r>
        <w:t xml:space="preserve">    </w:t>
      </w:r>
      <w:r>
        <w:rPr>
          <w:b/>
        </w:rPr>
        <w:t xml:space="preserve">Pub date: </w:t>
      </w:r>
      <w:r>
        <w:t>2026-08-25 04:37:16+00:00</w:t>
      </w:r>
      <w:r>
        <w:t xml:space="preserve">    </w:t>
      </w:r>
      <w:r>
        <w:rPr>
          <w:b/>
        </w:rPr>
        <w:t xml:space="preserve">DOI: </w:t>
      </w:r>
      <w:hyperlink r:id="rId1176">
        <w:r>
          <w:rPr>
            <w:color w:val="1155CC"/>
            <w:u w:val="single"/>
          </w:rPr>
          <w:t>10.1002/anie.3695434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细胞外 DNA (eDNA) 在生物膜形成和功能中起着至关重要的作用，但噬菌体（可以作为原噬菌体以休眠状态存在）在控制 eDNA 合成、结构和活性中的作用仍然不清楚。在这里，我们证明环境细菌携带的原噬菌体可用于合成具有独特功能的可编程 eDNA 超结构。我们设计了一个定制的圆形模板，并用它来指导 G-四联体 (GQ) 基序的滚环复制</w:t>
      </w:r>
      <w:r>
        <w:t xml:space="preserve"> </w:t>
      </w:r>
      <w:r>
        <w:t>奥奈德希瓦氏菌</w:t>
      </w:r>
      <w:r>
        <w:t xml:space="preserve"> </w:t>
      </w:r>
      <w:r>
        <w:t>和</w:t>
      </w:r>
      <w:r>
        <w:t xml:space="preserve"> </w:t>
      </w:r>
      <w:r>
        <w:t>枯草芽孢杆菌</w:t>
      </w:r>
      <w:r>
        <w:t xml:space="preserve"> </w:t>
      </w:r>
      <w:r>
        <w:t>。在营养限制条件下，原噬菌体激活和增殖触发细胞裂解和随后的 eDNA 合成，产生多聚体 GQ 多联体，并自组装成球形 (≤10 µm) 和线状 (&gt;50 µm) 上层结构</w:t>
      </w:r>
      <w:r>
        <w:t xml:space="preserve"> </w:t>
      </w:r>
      <w:r>
        <w:t>奥奈德链霉菌</w:t>
      </w:r>
      <w:r>
        <w:t xml:space="preserve"> </w:t>
      </w:r>
      <w:r>
        <w:t>和</w:t>
      </w:r>
      <w:r>
        <w:t xml:space="preserve"> </w:t>
      </w:r>
      <w:r>
        <w:t>枯草芽孢杆菌</w:t>
      </w:r>
      <w:r>
        <w:t xml:space="preserve"> </w:t>
      </w:r>
      <w:r>
        <w:t>，分别。使用荧光报告菌株的实时监测表明，DNA 合成主要发生在细菌裂解后，与原噬菌体复制同时发生。由此产生的 eDNA 超结构增强了电化学性质</w:t>
      </w:r>
      <w:r>
        <w:t xml:space="preserve"> </w:t>
      </w:r>
      <w:r>
        <w:t>奥奈德链霉菌</w:t>
      </w:r>
      <w:r>
        <w:t xml:space="preserve"> </w:t>
      </w:r>
      <w:r>
        <w:t>并通过 GQ-hemin DNAzyme 的形成表现出过氧化物酶活性</w:t>
      </w:r>
      <w:r>
        <w:t xml:space="preserve"> </w:t>
      </w:r>
      <w:r>
        <w:t>奥奈德链霉菌</w:t>
      </w:r>
      <w:r>
        <w:t xml:space="preserve"> </w:t>
      </w:r>
      <w:r>
        <w:t>和</w:t>
      </w:r>
      <w:r>
        <w:t xml:space="preserve"> </w:t>
      </w:r>
      <w:r>
        <w:t>枯草芽孢杆菌</w:t>
      </w:r>
      <w:r>
        <w:t xml:space="preserve"> </w:t>
      </w:r>
      <w:r>
        <w:t>共培养生物膜。这项工作揭示了之前</w:t>
      </w:r>
    </w:p>
    <w:p>
      <w:pPr>
        <w:spacing w:before="0" w:after="200" w:lineRule="auto" w:line="276"/>
      </w:pPr>
      <w:r>
        <w:rPr>
          <w:b/>
        </w:rPr>
        <w:t xml:space="preserve">Abstract (EN): </w:t>
      </w:r>
      <w:r>
        <w:t>Extracellular DNA (eDNA) plays crucial roles in biofilm formation and function, yet the role of bacteriophages, which can exist in a dormant state as prophages, in controlling eDNA synthesis, structure, and activity remains obscure. Here, we demonstrate that prophages harbored by environmental bacteria can be exploited for synthesis of programmable eDNA superstructures with a distinct function. We designed a custom circular template and used it to direct rolling circle replication of G‐quadruplex (GQ) motifs in</w:t>
      </w:r>
      <w:r>
        <w:t xml:space="preserve"> </w:t>
      </w:r>
      <w:r>
        <w:t>Shewanella oneidensis</w:t>
      </w:r>
      <w:r>
        <w:t xml:space="preserve"> </w:t>
      </w:r>
      <w:r>
        <w:t>and</w:t>
      </w:r>
      <w:r>
        <w:t xml:space="preserve"> </w:t>
      </w:r>
      <w:r>
        <w:t>Bacillus subtilis</w:t>
      </w:r>
      <w:r>
        <w:t xml:space="preserve"> </w:t>
      </w:r>
      <w:r>
        <w:t>. Under nutrient‐limiting conditions, prophage activation and proliferation triggered cell lysis and subsequent eDNA synthesis, producing multimeric GQ concatemers that self‐assembled into spherical (≤10 µm) and wire‐like (&amp;gt;50 µm) superstructures in</w:t>
      </w:r>
      <w:r>
        <w:t xml:space="preserve"> </w:t>
      </w:r>
      <w:r>
        <w:t>S. oneidensis</w:t>
      </w:r>
      <w:r>
        <w:t xml:space="preserve"> </w:t>
      </w:r>
      <w:r>
        <w:t>and</w:t>
      </w:r>
      <w:r>
        <w:t xml:space="preserve"> </w:t>
      </w:r>
      <w:r>
        <w:t>B. subtilis</w:t>
      </w:r>
      <w:r>
        <w:t xml:space="preserve"> </w:t>
      </w:r>
      <w:r>
        <w:t>, respectively. Real‐time monitoring using fluorescent reporter strains revealed that DNA synthesis occurred predominantly after bacterial lysis, coinciding with prophage replication. The resulting eDNA superstructures enhanced the electrochemical properties of</w:t>
      </w:r>
      <w:r>
        <w:t xml:space="preserve"> </w:t>
      </w:r>
      <w:r>
        <w:t>S. oneidensis</w:t>
      </w:r>
      <w:r>
        <w:t xml:space="preserve"> </w:t>
      </w:r>
      <w:r>
        <w:t>and exhibited peroxidase activity through GQ‐hemin DNAzyme formation in</w:t>
      </w:r>
      <w:r>
        <w:t xml:space="preserve"> </w:t>
      </w:r>
      <w:r>
        <w:t>S. oneidensis</w:t>
      </w:r>
      <w:r>
        <w:t xml:space="preserve"> </w:t>
      </w:r>
      <w:r>
        <w:t>and</w:t>
      </w:r>
      <w:r>
        <w:t xml:space="preserve"> </w:t>
      </w:r>
      <w:r>
        <w:t>B. subtilis</w:t>
      </w:r>
      <w:r>
        <w:t xml:space="preserve"> </w:t>
      </w:r>
      <w:r>
        <w:t>cocultured biofilm. This work unveils a previously unknown mechanism by which prophages contribute to biofilm architecture and establishes a novel biotechnological platform for engineering functional DNA materials in living bacterial communities with potential applications in synthetic biology.</w:t>
      </w:r>
    </w:p>
    <w:p>
      <w:pPr>
        <w:spacing w:before="120" w:after="120"/>
      </w:pPr>
      <w:r>
        <w:rPr>
          <w:sz w:val="18"/>
        </w:rPr>
        <w:t>——————————————————————————————————————————————————————————————————————</w:t>
      </w:r>
    </w:p>
    <w:p>
      <w:pPr>
        <w:spacing w:before="160" w:after="40" w:line="240" w:lineRule="auto"/>
      </w:pPr>
      <w:r>
        <w:rPr>
          <w:b/>
        </w:rPr>
        <w:t xml:space="preserve">[369] </w:t>
      </w:r>
      <w:hyperlink r:id="rId1177">
        <w:r>
          <w:rPr>
            <w:color w:val="1155CC"/>
            <w:u w:val="single"/>
          </w:rPr>
          <w:t>工程卤代醇脱卤酶实现螺环环氧吲哚的对映选择性生物卤化</w:t>
        </w:r>
      </w:hyperlink>
    </w:p>
    <w:p>
      <w:pPr>
        <w:spacing w:before="0" w:after="80"/>
      </w:pPr>
      <w:r>
        <w:rPr>
          <w:i/>
          <w:sz w:val="20"/>
        </w:rPr>
        <w:t>EN: Enantioselective Biohalogenation of Spiro‐Epoxyoxindoles Enabled by Engineered Halohydrin Dehalogenases</w:t>
      </w:r>
    </w:p>
    <w:p>
      <w:pPr>
        <w:spacing w:before="0" w:after="120"/>
      </w:pPr>
      <w:r>
        <w:rPr>
          <w:b/>
        </w:rPr>
        <w:t xml:space="preserve">Source: </w:t>
      </w:r>
      <w:r>
        <w:t>Wiley: Angewandte Chemie International Edition: Table of Contents</w:t>
      </w:r>
      <w:r>
        <w:t xml:space="preserve">    </w:t>
      </w:r>
      <w:r>
        <w:rPr>
          <w:b/>
        </w:rPr>
        <w:t xml:space="preserve">Pub date: </w:t>
      </w:r>
      <w:r>
        <w:t>2026-08-25 04:40:56+00:00</w:t>
      </w:r>
      <w:r>
        <w:t xml:space="preserve">    </w:t>
      </w:r>
      <w:r>
        <w:rPr>
          <w:b/>
        </w:rPr>
        <w:t xml:space="preserve">DOI: </w:t>
      </w:r>
      <w:hyperlink r:id="rId1178">
        <w:r>
          <w:rPr>
            <w:color w:val="1155CC"/>
            <w:u w:val="single"/>
          </w:rPr>
          <w:t>10.1002/anie.6230875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我们在此描述了一种利用卤代醇脱卤酶的反向脱卤反应的生物催化卤化方法。通过酶筛选和结构引导蛋白质工程的整合，创建了 HheC 双突变体 (T134S/W139M)，用于螺环环氧吲哚的对映选择性卤化，以高产率（高达 50%）和光学纯度（高达 98%）提供手性 β-卤代醇。</w:t>
      </w:r>
      <w:r>
        <w:t xml:space="preserve"> </w:t>
      </w:r>
      <w:r>
        <w:t>乙醚</w:t>
      </w:r>
      <w:r>
        <w:t xml:space="preserve"> </w:t>
      </w:r>
      <w:r>
        <w:t>）。同时，HheG 的非对映选择性双突变体 (I104F/N196G) 被鉴定用于外消旋或对映体纯螺环环氧吲哚的有效卤化，以高达 98% 的产率提供相应的 β-卤代醇。该生物卤化系统是在全细胞催化下使用卤化铜作为卤化试剂进行的，并表现出令人满意的底物通用性。当使用无细胞提取物作为生物催化剂时，其他几种卤化物盐也被证明对生物卤化反应有效。值得注意的是，海水作为天然卤化剂，能够实现克级合成手性 β-卤代醇。手性β-卤代醇的代表性下游转化进一步展示了对映选择性生物卤化平台的合成效用。总之，这些发现不仅扩展了卤代醇脱卤酶的催化能力，而且还为从容易获得的环氧化物合成手性 β-卤代醇提供了可行的生物卤化策略。</w:t>
      </w:r>
    </w:p>
    <w:p>
      <w:pPr>
        <w:spacing w:before="0" w:after="200" w:lineRule="auto" w:line="276"/>
      </w:pPr>
      <w:r>
        <w:rPr>
          <w:b/>
        </w:rPr>
        <w:t xml:space="preserve">Abstract (EN): </w:t>
      </w:r>
      <w:r>
        <w:t>We herein describe a biocatalytic halogenation approach that harnesses the reverse dehalogenation reaction of halohydrin dehalogenases. Through the integration of enzyme screening and structure‐guided protein engineering, a double mutant of HheC (T134S/W139M) was created for the enantioselective halogenation of spiro‐epoxyoxindoles, delivering chiral β‐haloalcohols in high yields (up to 50%) and optical purity (up to 98%</w:t>
      </w:r>
      <w:r>
        <w:t xml:space="preserve"> </w:t>
      </w:r>
      <w:r>
        <w:t>ee</w:t>
      </w:r>
      <w:r>
        <w:t xml:space="preserve"> </w:t>
      </w:r>
      <w:r>
        <w:t>). Meanwhile, a nonenantioselective double mutant of HheG (I104F/N196G) was identified for the efficient halogenation of racemic or enantiopure spiro‐epoxyoxindoles, affording the corresponding β‐haloalcohols in up to 98% yield. The biohalogenation systems were performed using copper halides as the halogenating reagent under whole‐cell catalysis and exhibit satisfactory substrate generality. When cell‐free extract was used as the biocatalyst, several other halide salts were also proved effective for the biohalogenation reaction. Remarkably, seawater served as a natural halogenating agent, enabling gram‐scale synthesis of chiral β‐haloalcohols. Representative downstream transformations of chiral β‐haloalcohols further showcased the synthetic utility of the enantioselective biohalogenation platform. Together, these findings not only expand the catalytic repertoire of halohydrin dehalogenases but also provide a viable biohalogenation strategy for the synthesis of chiral β‐haloalcohols from readily available epoxides.</w:t>
      </w:r>
    </w:p>
    <w:p>
      <w:pPr>
        <w:spacing w:before="120" w:after="120"/>
      </w:pPr>
      <w:r>
        <w:rPr>
          <w:sz w:val="18"/>
        </w:rPr>
        <w:t>——————————————————————————————————————————————————————————————————————</w:t>
      </w:r>
    </w:p>
    <w:p>
      <w:pPr>
        <w:spacing w:before="160" w:after="40" w:line="240" w:lineRule="auto"/>
      </w:pPr>
      <w:r>
        <w:rPr>
          <w:b/>
        </w:rPr>
        <w:t xml:space="preserve">[370] </w:t>
      </w:r>
      <w:hyperlink r:id="rId1179">
        <w:r>
          <w:rPr>
            <w:color w:val="1155CC"/>
            <w:u w:val="single"/>
          </w:rPr>
          <w:t>阿尔茨海默病模型中神经元群体组织的丧失将病理与行为联系起来</w:t>
        </w:r>
      </w:hyperlink>
    </w:p>
    <w:p>
      <w:pPr>
        <w:spacing w:before="0" w:after="80"/>
      </w:pPr>
      <w:r>
        <w:rPr>
          <w:i/>
          <w:sz w:val="20"/>
        </w:rPr>
        <w:t>EN: Loss of neuronal population organization links pathology to behavior in a model of Alzheimer’s disease</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180">
        <w:r>
          <w:rPr>
            <w:color w:val="1155CC"/>
            <w:u w:val="single"/>
          </w:rPr>
          <w:t>10.1073/pnas.2614164123</w:t>
        </w:r>
      </w:hyperlink>
    </w:p>
    <w:p>
      <w:pPr>
        <w:spacing w:before="0" w:after="120"/>
      </w:pPr>
      <w:r>
        <w:rPr>
          <w:b/>
        </w:rPr>
        <w:t xml:space="preserve">Notes: </w:t>
      </w:r>
      <w:r>
        <w:t>abstract_source=crossref</w:t>
      </w:r>
    </w:p>
    <w:p>
      <w:pPr>
        <w:spacing w:before="0" w:after="80" w:lineRule="auto" w:line="276"/>
      </w:pPr>
      <w:r>
        <w:rPr>
          <w:b/>
        </w:rPr>
        <w:t xml:space="preserve">摘要（ZH）: </w:t>
      </w:r>
      <w:r>
        <w:t>阿尔茨海默氏病和相关痴呆症通常在两个层面上描述：分子病理学的积累和认知障碍的出现。了解通常在动物模型中研究的病理学与人类认知之间的关系需要跨越中间尺度的测量，包括单个神经元、神经元群体和分布式网络。在这里，我们将早期疾病猕猴模型中的行为和神经元群活动的纵向测量与液体和组织学生物标志物结合起来。我们发现两种动物的视觉引导行为变得越来越无组织，尽管在简单任务上的表现仍保持不变，但探索模式不太一致且更加多变。与此同时，即使单神经元调节和基本特征编码保持稳定，视觉和顶叶皮层神经元群内部和神经元群之间的协调活动也会下降。这些生理变化的幅度与生物标志物的进展大致一致。当病理主要局限于向视觉皮层提供反馈的区域时，就会出现这些变化，这表明功能破坏超出了突出病理的部位。总之，这些结果表明，早期疾病进展并不以任何单一水平上的个体功能丧失为标志，而是以从神经元群体到行为的跨水平协调的选择性破坏为标志。这种混乱的状态是可测量和可修改的：哌醋甲酯给药与行为的短暂恢复有关</w:t>
      </w:r>
    </w:p>
    <w:p>
      <w:pPr>
        <w:spacing w:before="0" w:after="200" w:lineRule="auto" w:line="276"/>
      </w:pPr>
      <w:r>
        <w:rPr>
          <w:b/>
        </w:rPr>
        <w:t xml:space="preserve">Abstract (EN): </w:t>
      </w:r>
      <w:r>
        <w:t>Alzheimer’s disease and related dementias are typically described at two levels: the accumulation of molecular pathology and the emergence of cognitive impairment. Understanding the relationship between pathology, often studied in animal models, and human cognition will require measurements spanning intermediate scales, including single neurons, neuronal populations, and distributed networks. Here we combine longitudinal measurements of behavior and neuronal population activity with fluid and histological biomarkers in a macaque model of early-stage disease. We find in two animals that visually guided behavior becomes increasingly disorganized, with less consistent and more variable patterns of exploration, despite preserved performance on simple tasks. In parallel, coordinated activity within and between neuronal populations in visual and parietal cortex declines, even as single-neuron tuning and basic feature encoding remain stable. The magnitude of these physiological changes was broadly consistent with biomarker progression. These changes arise when pathology is largely confined to regions providing feedback to visual cortex, indicating that functional disruption extends beyond sites of prominent pathology. Together, these results show that early disease progression is not marked by the loss of individual functions at any single level, but by a selective disruption of coordination across levels, from neuronal populations to behavior. This disorganized state is measurable and modifiable: methylphenidate administration was associated with a transient restoration of behavioral organization. These findings identify disruption of neuronal population organization as a defining feature of early-stage Alzheimer’s disease and establish coordinated population activity as a candidate target for therapeutic intervention.</w:t>
      </w:r>
    </w:p>
    <w:p>
      <w:pPr>
        <w:spacing w:before="120" w:after="120"/>
      </w:pPr>
      <w:r>
        <w:rPr>
          <w:sz w:val="18"/>
        </w:rPr>
        <w:t>——————————————————————————————————————————————————————————————————————</w:t>
      </w:r>
    </w:p>
    <w:p>
      <w:pPr>
        <w:spacing w:before="160" w:after="40" w:line="240" w:lineRule="auto"/>
      </w:pPr>
      <w:r>
        <w:rPr>
          <w:b/>
        </w:rPr>
        <w:t xml:space="preserve">[371] </w:t>
      </w:r>
      <w:hyperlink r:id="rId1181">
        <w:r>
          <w:rPr>
            <w:color w:val="1155CC"/>
            <w:u w:val="single"/>
          </w:rPr>
          <w:t>灭绝音景的重建揭示了侏罗纪的超声波通信</w:t>
        </w:r>
      </w:hyperlink>
    </w:p>
    <w:p>
      <w:pPr>
        <w:spacing w:before="0" w:after="80"/>
      </w:pPr>
      <w:r>
        <w:rPr>
          <w:i/>
          <w:sz w:val="20"/>
        </w:rPr>
        <w:t>EN: Reconstruction of an extinct soundscape reveals ultrasonic communication in the Jurassic</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182">
        <w:r>
          <w:rPr>
            <w:color w:val="1155CC"/>
            <w:u w:val="single"/>
          </w:rPr>
          <w:t>10.1073/pnas.2615107123</w:t>
        </w:r>
      </w:hyperlink>
    </w:p>
    <w:p>
      <w:pPr>
        <w:spacing w:before="0" w:after="120"/>
      </w:pPr>
      <w:r>
        <w:rPr>
          <w:b/>
        </w:rPr>
        <w:t xml:space="preserve">Notes: </w:t>
      </w:r>
      <w:r>
        <w:t>abstract_source=crossref</w:t>
      </w:r>
    </w:p>
    <w:p>
      <w:pPr>
        <w:spacing w:before="0" w:after="80" w:lineRule="auto" w:line="276"/>
      </w:pPr>
      <w:r>
        <w:rPr>
          <w:b/>
        </w:rPr>
        <w:t xml:space="preserve">摘要（ZH）: </w:t>
      </w:r>
      <w:r>
        <w:t>人们对侏罗纪森林等早已消失的环境的声学景观知之甚少。恐龙和其他有魅力的脊椎动物发出的声音尚不清楚，因为它们的发声器官很少在化石中保存完好。与四足动物的声带不同，一些节肢动物的硬化角质层中的发声器官确实能很好地形成化石。例如，可以在雄性蟋蟀及其盟友的化石前翅中观察和测量发声结构（锉刀、拨片）。这些化石包含了它们产生的声学信号的指纹，为了解过去的声景提供了一个独特的窗口。虽然可以使用系统发育预测从化石翅膀中推断出叫声频率，但从化石材料中重建翅膀振动和歌曲的时间模式仍然难以捉摸。综合系统发育学、激光多普勒振动测量、数值模拟和基于人工智能的方法，对来自同一地点（中国内蒙古九龙山组）的 20 个 ensiferan 化石（9 个物种）进行了研究，以重现中侏罗世的声学景观。这些昆虫发出纯音叫声，这是为了避免窃听捕食者而进行的本地化适应。在专门的文件形态和翅膀尺寸变化的推动下，它们的叫声频率和曲目也表现出丰富的多样性。其中一个物种的频率高于 20 kHz，这表明昆虫中的超声波通讯早在始新世蝙蝠出现之前就已建立。哺乳动物听力的进化</w:t>
      </w:r>
    </w:p>
    <w:p>
      <w:pPr>
        <w:spacing w:before="0" w:after="200" w:lineRule="auto" w:line="276"/>
      </w:pPr>
      <w:r>
        <w:rPr>
          <w:b/>
        </w:rPr>
        <w:t xml:space="preserve">Abstract (EN): </w:t>
      </w:r>
      <w:r>
        <w:t>Very little is known about the acoustic landscape of long-gone environments, such as the Jurassic forests. The sounds made by dinosaurs and other charismatic vertebrates are not definitively known because their vocal organs rarely preserve well in fossils. Unlike tetrapod vocal cords, the sound-producing organs present in the sclerotized cuticle of some arthropods do fossilize well. For example, the stridulatory structures (file, plectrum) can be observed and measured in the fossilized forewings of male crickets and allies. These fossils incorporate a fingerprint of the acoustic signals they generated, offering a unique window into the soundscapes of the past. While call frequencies can be inferred from fossilized wings using phylogenetically informed predictions, the reconstruction of wing vibrations and the songs’ temporal patterns from fossil material remains elusive. Integrating phylogenetics, laser Doppler-vibrometry, numerical simulations, and an AI-based approach, 20 ensiferan fossils (nine species) from a single location (Jiulongshan Formation, Inner Mongolia, China) were studied to recreate the acoustic landscape of the Middle Jurassic. These insects produced pure-tone calls, an adaptation to avoid localization by eavesdropping predators. They also exhibited rich diversity in their calling song frequencies and repertoires, facilitated by specialized file morphologies and wing-size variation. One species called above 20 kHz, suggesting that ultrasonic communication in insects was established long before the emergence of bats in the Eocene. Evolving mammalian hearing thresholds suggest early predators imposed acoustic pressures before bats. This arms race with singing ensiferans likely drove Jurassic insect song diversity and the evolution of mammalian and insect auditory systems.</w:t>
      </w:r>
    </w:p>
    <w:p>
      <w:pPr>
        <w:spacing w:before="120" w:after="120"/>
      </w:pPr>
      <w:r>
        <w:rPr>
          <w:sz w:val="18"/>
        </w:rPr>
        <w:t>——————————————————————————————————————————————————————————————————————</w:t>
      </w:r>
    </w:p>
    <w:p>
      <w:pPr>
        <w:spacing w:before="160" w:after="40" w:line="240" w:lineRule="auto"/>
      </w:pPr>
      <w:r>
        <w:rPr>
          <w:b/>
        </w:rPr>
        <w:t xml:space="preserve">[372] </w:t>
      </w:r>
      <w:hyperlink r:id="rId1183">
        <w:r>
          <w:rPr>
            <w:color w:val="1155CC"/>
            <w:u w:val="single"/>
          </w:rPr>
          <w:t>定量纳米级成像显示肽-MHC I 复合物在人树突状细胞中是单体且空间调节的</w:t>
        </w:r>
      </w:hyperlink>
    </w:p>
    <w:p>
      <w:pPr>
        <w:spacing w:before="0" w:after="80"/>
      </w:pPr>
      <w:r>
        <w:rPr>
          <w:i/>
          <w:sz w:val="20"/>
        </w:rPr>
        <w:t>EN: Quantitative nanoscale imaging shows peptide–MHC I complexes are monomeric and spatially regulated in human dendritic cells</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184">
        <w:r>
          <w:rPr>
            <w:color w:val="1155CC"/>
            <w:u w:val="single"/>
          </w:rPr>
          <w:t>10.1073/pnas.2615838123</w:t>
        </w:r>
      </w:hyperlink>
    </w:p>
    <w:p>
      <w:pPr>
        <w:spacing w:before="0" w:after="120"/>
      </w:pPr>
      <w:r>
        <w:rPr>
          <w:b/>
        </w:rPr>
        <w:t xml:space="preserve">Notes: </w:t>
      </w:r>
      <w:r>
        <w:t>abstract_source=crossref</w:t>
      </w:r>
    </w:p>
    <w:p>
      <w:pPr>
        <w:spacing w:before="0" w:after="80" w:lineRule="auto" w:line="276"/>
      </w:pPr>
      <w:r>
        <w:rPr>
          <w:b/>
        </w:rPr>
        <w:t xml:space="preserve">摘要（ZH）: </w:t>
      </w:r>
      <w:r>
        <w:t>主要组织相容性复合体 I 类 (MHC I) 分子将抗原肽呈递给细胞毒性 T 细胞，这是免疫监视的核心过程。然而，人类树突状细胞 (DC)（细胞毒性 T 细胞反应的关键启动子）上的肽 MHC I (pMHC I) 的纳米级空间组织在很大程度上仍未得到探索。在这里，我们将高亲和力可溶性 T 细胞受体与基于 DNA 的点积累相结合，用于纳米级形貌成像 (DNA-PAINT)，以单分子分辨率在表达 HLA-A*02:01 的细胞和原代人单核细胞衍生的 DC 上定量绘制和计数定义的 pMHC I 复合物。我们没有发现在细胞外肽交换或生理细胞内负载条件下存在高阶 pMHC I 纳米簇的证据。相反，检测到的信号对应于单个 pMHC I 复合物。值得注意的是，DC 分化和激活调节 pMHC I 表面丰度和空间分区。这些发现通过强调通过表面密度和空间分布的调节来完善当前的抗原呈递模型，并为人类免疫细胞中抗原呈递的表位特异性、单分子定量建立定量框架。</w:t>
      </w:r>
    </w:p>
    <w:p>
      <w:pPr>
        <w:spacing w:before="0" w:after="200" w:lineRule="auto" w:line="276"/>
      </w:pPr>
      <w:r>
        <w:rPr>
          <w:b/>
        </w:rPr>
        <w:t xml:space="preserve">Abstract (EN): </w:t>
      </w:r>
      <w:r>
        <w:t>Major histocompatibility complex class I (MHC I) molecules present antigenic peptides to cytotoxic T cells, a process central to immune surveillance. However, the nanoscale spatial organization of peptide–MHC I (pMHC I) on human dendritic cells (DCs), key initiators of cytotoxic T cell responses, remains largely unexplored. Here, we combine high-affinity soluble T cell receptors with DNA-based point accumulation for imaging in nanoscale topography (DNA-PAINT) to quantitatively map and count defined pMHC I complexes at single-molecule resolution on HLA-A*02:01-expressing cells and primary human monocyte-derived DCs. We found no evidence for higher-order pMHC I nanoclusters under conditions of extracellular peptide exchange or physiological intracellular loading. Instead, detected signals correspond to individual pMHC I complexes. Notably, DC differentiation and activation modulate pMHC I surface abundance and spatial compartmentalization. These findings refine current models of antigen presentation by emphasizing regulation through surface density and spatial distribution, and establish a quantitative framework for epitope-specific, single-molecule quantification of antigen presentation in human immune cells.</w:t>
      </w:r>
    </w:p>
    <w:p>
      <w:pPr>
        <w:spacing w:before="120" w:after="120"/>
      </w:pPr>
      <w:r>
        <w:rPr>
          <w:sz w:val="18"/>
        </w:rPr>
        <w:t>——————————————————————————————————————————————————————————————————————</w:t>
      </w:r>
    </w:p>
    <w:p>
      <w:pPr>
        <w:spacing w:before="160" w:after="40" w:line="240" w:lineRule="auto"/>
      </w:pPr>
      <w:r>
        <w:rPr>
          <w:b/>
        </w:rPr>
        <w:t xml:space="preserve">[373] </w:t>
      </w:r>
      <w:hyperlink r:id="rId1185">
        <w:r>
          <w:rPr>
            <w:color w:val="1155CC"/>
            <w:u w:val="single"/>
          </w:rPr>
          <w:t>卫星时代热带太平洋变暖模式内部变化的主要作用</w:t>
        </w:r>
      </w:hyperlink>
    </w:p>
    <w:p>
      <w:pPr>
        <w:spacing w:before="0" w:after="80"/>
      </w:pPr>
      <w:r>
        <w:rPr>
          <w:i/>
          <w:sz w:val="20"/>
        </w:rPr>
        <w:t>EN: Major role for internal variability in tropical Pacific warming pattern over satellite era</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186">
        <w:r>
          <w:rPr>
            <w:color w:val="1155CC"/>
            <w:u w:val="single"/>
          </w:rPr>
          <w:t>10.1073/pnas.2615883123</w:t>
        </w:r>
      </w:hyperlink>
    </w:p>
    <w:p>
      <w:pPr>
        <w:spacing w:before="0" w:after="120"/>
      </w:pPr>
      <w:r>
        <w:rPr>
          <w:b/>
        </w:rPr>
        <w:t xml:space="preserve">Notes: </w:t>
      </w:r>
      <w:r>
        <w:t>abstract_source=crossref</w:t>
      </w:r>
    </w:p>
    <w:p>
      <w:pPr>
        <w:spacing w:before="0" w:after="80" w:lineRule="auto" w:line="276"/>
      </w:pPr>
      <w:r>
        <w:rPr>
          <w:b/>
        </w:rPr>
        <w:t xml:space="preserve">摘要（ZH）: </w:t>
      </w:r>
      <w:r>
        <w:t>热带太平洋是厄尔尼诺现象的发源地，是全球气候系统的关键参与者。虽然地球大部分地区在 1982 年至 2024 年的卫星时代已经变暖，但东热带太平洋表面却神秘地变冷了。令人不安的是，完全耦合的全球气候模型大多无法模拟这种独特的模式。通过用观测代替施加于海洋的风应力，我们在此表明​​，气候模型成功地再现了卫星时代的类拉尼娜 (LN) 趋势模式以及 20 世纪 70 年代观察到的相反的年代际转变。详细分析表明，LN（类厄尔尼诺）表面温度模式与数十年来信风的增强（减速）和赤道西太平洋温跃层的加深（浅滩）有关。平均周期性内部变率后，20世纪50年代的长期趋势与相同模型中的辐射强迫响应大体一致，与卫星时代相比，赤道太平洋的风和海洋温度异常大大减少。这些结果表明，非受迫内部变率在很大程度上解释了卫星时代热带太平洋的变化。因此，随着热带太平洋年代际变率从目前的负相位转变，预计闪电网络模式将会减弱，从而导致全球范围内降雨、热带气旋和海洋-大气环流的变化。</w:t>
      </w:r>
    </w:p>
    <w:p>
      <w:pPr>
        <w:spacing w:before="0" w:after="200" w:lineRule="auto" w:line="276"/>
      </w:pPr>
      <w:r>
        <w:rPr>
          <w:b/>
        </w:rPr>
        <w:t xml:space="preserve">Abstract (EN): </w:t>
      </w:r>
      <w:r>
        <w:t>Home to El Niño, the tropical Pacific is a key player in the global climate system. While most of the planet has warmed during the satellite era of 1982–2024, the eastern tropical Pacific surface has mysteriously cooled. What is troubling is that fully coupled global climate models mostly fail to simulate this distinctive pattern. By replacing wind stress applied to the ocean with observations, here we show that climate models successfully reproduce the La Niña-like (LN) trend pattern over the satellite era as well as the opposite decadal transition observed during the 1970s. Detailed analysis reveals that the LN (El Niño-like) surface temperature pattern is associated with a multidecadal intensification (slowdown) of the trade winds and deepened (shoaled) thermocline in the western equatorial Pacific. Averaging out cyclic internal variability, longer-term trends from the 1950s are in broad agreement with the radiatively forced response in the same models, with much reduced wind and ocean temperature anomalies in the equatorial Pacific compared to those during the satellite era. These results indicate that unforced internal variability largely explains the satellite-era tropical Pacific change. As such, the LN pattern is expected to wane as tropical Pacific decadal variability transitions from its current negative phase, causing worldwide shifts in rainfall, tropical cyclones, and ocean-atmospheric circulations.</w:t>
      </w:r>
    </w:p>
    <w:p>
      <w:pPr>
        <w:spacing w:before="120" w:after="120"/>
      </w:pPr>
      <w:r>
        <w:rPr>
          <w:sz w:val="18"/>
        </w:rPr>
        <w:t>——————————————————————————————————————————————————————————————————————</w:t>
      </w:r>
    </w:p>
    <w:p>
      <w:pPr>
        <w:spacing w:before="160" w:after="40" w:line="240" w:lineRule="auto"/>
      </w:pPr>
      <w:r>
        <w:rPr>
          <w:b/>
        </w:rPr>
        <w:t xml:space="preserve">[374] </w:t>
      </w:r>
      <w:hyperlink r:id="rId1187">
        <w:r>
          <w:rPr>
            <w:color w:val="1155CC"/>
            <w:u w:val="single"/>
          </w:rPr>
          <w:t>降雨梯度促进-竞争转变背后的机制</w:t>
        </w:r>
      </w:hyperlink>
    </w:p>
    <w:p>
      <w:pPr>
        <w:spacing w:before="0" w:after="80"/>
      </w:pPr>
      <w:r>
        <w:rPr>
          <w:i/>
          <w:sz w:val="20"/>
        </w:rPr>
        <w:t>EN: Mechanisms behind facilitation–competition transition along rainfall gradients</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188">
        <w:r>
          <w:rPr>
            <w:color w:val="1155CC"/>
            <w:u w:val="single"/>
          </w:rPr>
          <w:t>10.1073/pnas.2615937123</w:t>
        </w:r>
      </w:hyperlink>
    </w:p>
    <w:p>
      <w:pPr>
        <w:spacing w:before="0" w:after="120"/>
      </w:pPr>
      <w:r>
        <w:rPr>
          <w:b/>
        </w:rPr>
        <w:t xml:space="preserve">Notes: </w:t>
      </w:r>
      <w:r>
        <w:t>abstract_source=crossref</w:t>
      </w:r>
    </w:p>
    <w:p>
      <w:pPr>
        <w:spacing w:before="0" w:after="80" w:lineRule="auto" w:line="276"/>
      </w:pPr>
      <w:r>
        <w:rPr>
          <w:b/>
        </w:rPr>
        <w:t xml:space="preserve">摘要（ZH）: </w:t>
      </w:r>
      <w:r>
        <w:t>由于死亡率、灌木侵占和植树造林，木质覆盖正在迅速变化，重塑了全世界的草本群落和生态系统功能。树木和灌木通常在干燥的地方促进草本植物的生长，但在潮湿的环境中抑制草本植物的生长。尽管这是更广泛的压力梯度假说的一个基本方面，但对这种从便利到竞争的转变的解释缺乏与资源竞争理论的明确联系。尽管最近存在定量框架，但解释仍然存在争议，并且尚未从第一原理中再现沿降雨梯度的变化。在这里，我们提出了一个由两个子模型组成的机制框架：i）冠层遮荫，减少光合作用（竞争）和蒸散（促进），ii）根系效应，包括吸水（竞争）和通过水力重新分配增加水分（促进）。我们阐明了互动从促进转变为竞争的条件。仅当水不是高降雨量的唯一限制因素或木质密度随降水增加时，模型才会重现这种逆转。这两条途径留下了明显的特征：树冠遮荫产生驼峰形图案，在中等压力下具有最大的促进作用，而根部途径则预测随着可用水量的增加，从正向相互作用转变为负向相互作用。更一般地说，这种逆转在各种机制和梯度上都是稳健的：增强的渗透可以取代水力重新分配，蒸发需求可以取代降雨，冠层-根系相结合</w:t>
      </w:r>
    </w:p>
    <w:p>
      <w:pPr>
        <w:spacing w:before="0" w:after="200" w:lineRule="auto" w:line="276"/>
      </w:pPr>
      <w:r>
        <w:rPr>
          <w:b/>
        </w:rPr>
        <w:t xml:space="preserve">Abstract (EN): </w:t>
      </w:r>
      <w:r>
        <w:t>Woody cover is rapidly changing due to mortality, shrub encroachment, and afforestation, reshaping herbaceous communities and ecosystem functioning worldwide. Trees and shrubs often facilitate herb growth in dry sites but suppress it in wetter environments. Explanations for this facilitation-to-competition transition lack a clear link to resource competition theory, despite being a fundamental aspect of the broader Stress Gradient Hypothesis. While recent quantitative frameworks exist, explanations remain contested and have yet to reproduce the shift along a rainfall gradient from first principles. Here, we present a mechanistic framework consisting of two submodels: i) canopy shading, which reduces photosynthesis (competition) and evapotranspiration (facilitation), and ii) root effects, including water uptake (competition) and increased moisture via hydraulic redistribution (facilitation). We elucidate the conditions under which interactions shift from facilitation to competition. The models reproduce this reversal only when water is not the sole limiting factor at high rainfall or when woody density increases with precipitation. The two pathways leave distinct signatures: Canopy shading produces a hump-shaped pattern with maximum facilitation at intermediate stress, while the root pathway predicts a shift from positive to negative interactions as water availability increases. More generally, the reversal is robust across mechanisms and gradients: Enhanced infiltration can replace hydraulic redistribution, evaporative demand can replace rainfall, and combined canopy–root interactions preserve the transition. By translating a classic idea into a quantitative framework, this model enhances ecosystem management in a changing world.</w:t>
      </w:r>
    </w:p>
    <w:p>
      <w:pPr>
        <w:spacing w:before="120" w:after="120"/>
      </w:pPr>
      <w:r>
        <w:rPr>
          <w:sz w:val="18"/>
        </w:rPr>
        <w:t>——————————————————————————————————————————————————————————————————————</w:t>
      </w:r>
    </w:p>
    <w:p>
      <w:pPr>
        <w:spacing w:before="160" w:after="40" w:line="240" w:lineRule="auto"/>
      </w:pPr>
      <w:r>
        <w:rPr>
          <w:b/>
        </w:rPr>
        <w:t xml:space="preserve">[375] </w:t>
      </w:r>
      <w:hyperlink r:id="rId1189">
        <w:r>
          <w:rPr>
            <w:color w:val="1155CC"/>
            <w:u w:val="single"/>
          </w:rPr>
          <w:t>条形码突变体文库可实现丝状真菌的高通量功能基因组学</w:t>
        </w:r>
      </w:hyperlink>
    </w:p>
    <w:p>
      <w:pPr>
        <w:spacing w:before="0" w:after="80"/>
      </w:pPr>
      <w:r>
        <w:rPr>
          <w:i/>
          <w:sz w:val="20"/>
        </w:rPr>
        <w:t>EN: Barcoded mutant library enables high-throughput functional genomics in a filamentous fungus</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190">
        <w:r>
          <w:rPr>
            <w:color w:val="1155CC"/>
            <w:u w:val="single"/>
          </w:rPr>
          <w:t>10.1073/pnas.2616888123</w:t>
        </w:r>
      </w:hyperlink>
    </w:p>
    <w:p>
      <w:pPr>
        <w:spacing w:before="0" w:after="120"/>
      </w:pPr>
      <w:r>
        <w:rPr>
          <w:b/>
        </w:rPr>
        <w:t xml:space="preserve">Notes: </w:t>
      </w:r>
      <w:r>
        <w:t>abstract_source=crossref</w:t>
      </w:r>
    </w:p>
    <w:p>
      <w:pPr>
        <w:spacing w:before="0" w:after="80" w:lineRule="auto" w:line="276"/>
      </w:pPr>
      <w:r>
        <w:rPr>
          <w:b/>
        </w:rPr>
        <w:t xml:space="preserve">摘要（ZH）: </w:t>
      </w:r>
      <w:r>
        <w:t>测序技术的进步使得快速且廉价的全基因组测序成为可能，这突显了能够进行功能表征的基因是多么的少。这个问题在丝状真菌中尤其严重，即使在研究最充分的生物体中，也有一半以上的基因特征不明或未注释。对于酵母和细菌等单细胞生物来说，存在识别基因功能的高通量工具。然而，丝状真菌对高通量基因表征提出了挑战，包括低转化效率和多核细胞。丝状真菌是生态系统养分循环的关键组成部分，与植物形成共生，提高养分吸收，并破坏人类、植物和动物病原体，每年导致数百万人死亡和农作物大量损失。因此，克服丝状真菌基因快速表征的挑战至关重要。我们生成了一个包含数亿个独特条形码质粒的文库，其中包含广泛的宿主范围耐药标记，用于异位插入丝状真菌基因组中</w:t>
      </w:r>
      <w:r>
        <w:t xml:space="preserve"> </w:t>
      </w:r>
      <w:r>
        <w:t>根癌农杆菌</w:t>
      </w:r>
      <w:r>
        <w:t xml:space="preserve"> </w:t>
      </w:r>
      <w:r>
        <w:t>。然后我们优化了</w:t>
      </w:r>
      <w:r>
        <w:t xml:space="preserve"> </w:t>
      </w:r>
      <w:r>
        <w:t>根癌农杆菌</w:t>
      </w:r>
      <w:r>
        <w:t xml:space="preserve"> </w:t>
      </w:r>
      <w:r>
        <w:t>生物防治剂介导的转化</w:t>
      </w:r>
      <w:r>
        <w:t xml:space="preserve"> </w:t>
      </w:r>
      <w:r>
        <w:t>深绿色木霉</w:t>
      </w:r>
      <w:r>
        <w:t xml:space="preserve"> </w:t>
      </w:r>
      <w:r>
        <w:t>并制作了一个包含 83,311 个条形码插入的插入诱变文库，破坏了 11,863 个预测基因中的 5,331 个。该库使高通量筛选能够快速将基因型与表型联系起来。量化相关条形码</w:t>
      </w:r>
    </w:p>
    <w:p>
      <w:pPr>
        <w:spacing w:before="0" w:after="200" w:lineRule="auto" w:line="276"/>
      </w:pPr>
      <w:r>
        <w:rPr>
          <w:b/>
        </w:rPr>
        <w:t xml:space="preserve">Abstract (EN): </w:t>
      </w:r>
      <w:r>
        <w:t>Advances in sequencing technology enabling rapid and inexpensive whole-genome sequencing highlight how few genes are functionally characterized. This problem is particularly acute in filamentous fungi, where even in the best studied organisms upward of half of genes are poorly characterized or unannotated. High-throughput tools to identify gene function exist for single-celled organisms, like yeast and bacteria. However, filamentous fungi present challenges to high-throughput gene characterization, including low transformation efficiency and multinucleate cells. Filamentous fungi are critical components of nutrient cycling in ecosystems, form symbioses with plants that improve nutrient uptake, and are devastating human, plant, and animal pathogens causing millions of deaths and substantial crop loss each year. Thus, it is critical to overcome challenges to rapid gene characterization in filamentous fungi. We generated a library of hundreds of millions of uniquely barcoded plasmids containing a broad host-range drug resistance marker for ectopic insertion into filamentous fungal genomes by</w:t>
      </w:r>
      <w:r>
        <w:t xml:space="preserve"> </w:t>
      </w:r>
      <w:r>
        <w:t>Agrobacterium tumefaciens</w:t>
      </w:r>
      <w:r>
        <w:t xml:space="preserve"> </w:t>
      </w:r>
      <w:r>
        <w:t>. We then optimized</w:t>
      </w:r>
      <w:r>
        <w:t xml:space="preserve"> </w:t>
      </w:r>
      <w:r>
        <w:t>A. tumefaciens</w:t>
      </w:r>
      <w:r>
        <w:t xml:space="preserve"> </w:t>
      </w:r>
      <w:r>
        <w:t>mediated transformation of the biocontrol agent</w:t>
      </w:r>
      <w:r>
        <w:t xml:space="preserve"> </w:t>
      </w:r>
      <w:r>
        <w:t>Trichoderma atroviride</w:t>
      </w:r>
      <w:r>
        <w:t xml:space="preserve"> </w:t>
      </w:r>
      <w:r>
        <w:t>and made an insertional mutagenesis library containing 83,311 barcoded insertions, disrupting 5,331 of 11,863 predicted genes. This library enables high-throughput screens to rapidly connect genotype to phenotype. Quantifying relative barcode abundance in the pooled library before and after exposure to experimental conditions identified candidate genes and recovered known pathway components in amino acid biosynthetic, fructose utilization, and xylose utilization pathways. This resource establishes a scalable platform for high-throughput functional genomics in filamentous fungi, enabling investigations of fungal biology to improve medical outcomes, biotechnology, and sustainable agriculture.</w:t>
      </w:r>
    </w:p>
    <w:p>
      <w:pPr>
        <w:spacing w:before="120" w:after="120"/>
      </w:pPr>
      <w:r>
        <w:rPr>
          <w:sz w:val="18"/>
        </w:rPr>
        <w:t>——————————————————————————————————————————————————————————————————————</w:t>
      </w:r>
    </w:p>
    <w:p>
      <w:pPr>
        <w:spacing w:before="160" w:after="40" w:line="240" w:lineRule="auto"/>
      </w:pPr>
      <w:r>
        <w:rPr>
          <w:b/>
        </w:rPr>
        <w:t xml:space="preserve">[376] </w:t>
      </w:r>
      <w:hyperlink r:id="rId1191">
        <w:r>
          <w:rPr>
            <w:color w:val="1155CC"/>
            <w:u w:val="single"/>
          </w:rPr>
          <w:t>通过光学和回旋加速器有效质量的差异协调 CeCoIn5 中的奇怪金属传输</w:t>
        </w:r>
      </w:hyperlink>
    </w:p>
    <w:p>
      <w:pPr>
        <w:spacing w:before="0" w:after="80"/>
      </w:pPr>
      <w:r>
        <w:rPr>
          <w:i/>
          <w:sz w:val="20"/>
        </w:rPr>
        <w:t>EN: Reconciling strange metal transport in CeCoIn5 through the difference of optical and cyclotron effective masses</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192">
        <w:r>
          <w:rPr>
            <w:color w:val="1155CC"/>
            <w:u w:val="single"/>
          </w:rPr>
          <w:t>10.1073/pnas.2614197123</w:t>
        </w:r>
      </w:hyperlink>
    </w:p>
    <w:p>
      <w:pPr>
        <w:spacing w:before="0" w:after="120"/>
      </w:pPr>
      <w:r>
        <w:rPr>
          <w:b/>
        </w:rPr>
        <w:t xml:space="preserve">Notes: </w:t>
      </w:r>
      <w:r>
        <w:t>abstract_source=crossref</w:t>
      </w:r>
    </w:p>
    <w:p>
      <w:pPr>
        <w:spacing w:before="0" w:after="80" w:lineRule="auto" w:line="276"/>
      </w:pPr>
      <w:r>
        <w:rPr>
          <w:b/>
        </w:rPr>
        <w:t xml:space="preserve">摘要（ZH）: </w:t>
      </w:r>
      <w:r>
        <w:t>铜酸盐超导体中奇怪的金属行为（以线性温度电阻率和反常霍尔传输为特征）与传统费米液体（FL）理论的期望形成鲜明对比。值得注意的是，在重费米子金属 CeCoIn 中也观察到了类似的输运行为</w:t>
      </w:r>
      <w:r>
        <w:rPr>
          <w:vertAlign w:val="subscript"/>
        </w:rPr>
        <w:t>5</w:t>
      </w:r>
      <w:r>
        <w:t>，其 d 波超导基态和强反铁磁波动与铜酸盐相似。在这里，我们研究了奇怪金属态 CeCoIn 的光学电导率</w:t>
      </w:r>
      <w:r>
        <w:rPr>
          <w:vertAlign w:val="subscript"/>
        </w:rPr>
        <w:t>5</w:t>
      </w:r>
      <w:r>
        <w:t>使用时域太赫兹光谱在较宽的磁场范围内进行分析。使用独特的高场太赫兹光谱，我们已经证明电流弛豫率大约为 T</w:t>
      </w:r>
      <w:r>
        <w:rPr>
          <w:vertAlign w:val="subscript"/>
        </w:rPr>
        <w:t>2</w:t>
      </w:r>
      <w:r>
        <w:t>，为大范围内隐藏的费米液态提供了证据。这个结果可以与 T 电阻率的线性相一致，因为重准粒子的光学质量在低温度下变得非常增强。</w:t>
      </w:r>
      <w:r>
        <w:t xml:space="preserve"> </w:t>
      </w:r>
      <w:r>
        <w:t>时间</w:t>
      </w:r>
      <w:r>
        <w:t xml:space="preserve"> </w:t>
      </w:r>
      <w:r>
        <w:t>。该光学质量与表征回旋加速器运动的质量形成对比，回旋加速器运动不会遭受同样大的温度依赖性重正化。尽管其本身是异常的，但这使人们能够理解 CeCoIn 中的许多其他现象</w:t>
      </w:r>
      <w:r>
        <w:rPr>
          <w:vertAlign w:val="subscript"/>
        </w:rPr>
        <w:t>5</w:t>
      </w:r>
      <w:r>
        <w:t>这些被认为是奇怪金属的特征，包括一种惯例的共存</w:t>
      </w:r>
    </w:p>
    <w:p>
      <w:pPr>
        <w:spacing w:before="0" w:after="200" w:lineRule="auto" w:line="276"/>
      </w:pPr>
      <w:r>
        <w:rPr>
          <w:b/>
        </w:rPr>
        <w:t xml:space="preserve">Abstract (EN): </w:t>
      </w:r>
      <w:r>
        <w:t>The strange metal behavior in cuprate superconductors—characterized by linear in temperature resistivity and anomalous Hall transport—stands in stark contrast to the expectation of conventional Fermi liquid (FL) theory. Remarkably, the similar transport behavior has also been observed in the heavy fermion metal CeCoIn</w:t>
      </w:r>
      <w:r>
        <w:rPr>
          <w:vertAlign w:val="subscript"/>
        </w:rPr>
        <w:t>5</w:t>
      </w:r>
      <w:r>
        <w:t>, whose d-wave superconducting ground state and strong antiferromagnetic fluctuations draw parallels to the cuprates. Here we have investigated the optical conductivity of the strange metal state of CeCoIn</w:t>
      </w:r>
      <w:r>
        <w:rPr>
          <w:vertAlign w:val="subscript"/>
        </w:rPr>
        <w:t>5</w:t>
      </w:r>
      <w:r>
        <w:t>over a wide magnetic field range using time-domain THz spectroscopy. Using unique high-field THz spectroscopy we have shown that the current relaxation rate scales approximately as T</w:t>
      </w:r>
      <w:r>
        <w:rPr>
          <w:vertAlign w:val="subscript"/>
        </w:rPr>
        <w:t>2</w:t>
      </w:r>
      <w:r>
        <w:t>, giving evidence for a hidden Fermi liquid state over a large field range. This result can be reconciled with linear in T resistivity with the realization that heavy quasiparticles have an optical mass that becomes very enhanced at low</w:t>
      </w:r>
      <w:r>
        <w:t xml:space="preserve"> </w:t>
      </w:r>
      <w:r>
        <w:t>T</w:t>
      </w:r>
      <w:r>
        <w:t xml:space="preserve"> </w:t>
      </w:r>
      <w:r>
        <w:t>. This optical mass contrasts with the mass that characterizes cyclotron motion, which does not suffer the same large temperature-dependent renormalization. Although by itself anomalous, this allows one to understand a number of other phenomena in CeCoIn</w:t>
      </w:r>
      <w:r>
        <w:rPr>
          <w:vertAlign w:val="subscript"/>
        </w:rPr>
        <w:t>5</w:t>
      </w:r>
      <w:r>
        <w:t>that have been taken to be signatures of strange metals, including the coexistence of a conventional T</w:t>
      </w:r>
      <w:r>
        <w:rPr>
          <w:vertAlign w:val="subscript"/>
        </w:rPr>
        <w:t>2</w:t>
      </w:r>
      <w:r>
        <w:t>dependence of the cotangent of the Hall angle with the linear in T resistivity, which with our observation also reflects FL-like physics.</w:t>
      </w:r>
    </w:p>
    <w:p>
      <w:pPr>
        <w:spacing w:before="120" w:after="120"/>
      </w:pPr>
      <w:r>
        <w:rPr>
          <w:sz w:val="18"/>
        </w:rPr>
        <w:t>——————————————————————————————————————————————————————————————————————</w:t>
      </w:r>
    </w:p>
    <w:p>
      <w:pPr>
        <w:spacing w:before="160" w:after="40" w:line="240" w:lineRule="auto"/>
      </w:pPr>
      <w:r>
        <w:rPr>
          <w:b/>
        </w:rPr>
        <w:t xml:space="preserve">[377] </w:t>
      </w:r>
      <w:hyperlink r:id="rId1193">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194">
        <w:r>
          <w:rPr>
            <w:color w:val="1155CC"/>
            <w:u w:val="single"/>
          </w:rPr>
          <w:t>10.1073/iti3426123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[378] </w:t>
      </w:r>
      <w:hyperlink r:id="rId1195">
        <w:r>
          <w:rPr>
            <w:color w:val="1155CC"/>
            <w:u w:val="single"/>
          </w:rPr>
          <w:t>生长素诱导的 ARF 转录因子降解定义了组织边界</w:t>
        </w:r>
      </w:hyperlink>
    </w:p>
    <w:p>
      <w:pPr>
        <w:spacing w:before="0" w:after="80"/>
      </w:pPr>
      <w:r>
        <w:rPr>
          <w:i/>
          <w:sz w:val="20"/>
        </w:rPr>
        <w:t>EN: Auxin-induced ARF transcription factor degradation defines tissue boundaries</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196">
        <w:r>
          <w:rPr>
            <w:color w:val="1155CC"/>
            <w:u w:val="single"/>
          </w:rPr>
          <w:t>10.1073/pnas.2612105123</w:t>
        </w:r>
      </w:hyperlink>
    </w:p>
    <w:p>
      <w:pPr>
        <w:spacing w:before="0" w:after="120"/>
      </w:pPr>
      <w:r>
        <w:rPr>
          <w:b/>
        </w:rPr>
        <w:t xml:space="preserve">Notes: </w:t>
      </w:r>
      <w:r>
        <w:t>abstract_source=crossref</w:t>
      </w:r>
    </w:p>
    <w:p>
      <w:pPr>
        <w:spacing w:before="0" w:after="80" w:lineRule="auto" w:line="276"/>
      </w:pPr>
      <w:r>
        <w:rPr>
          <w:b/>
        </w:rPr>
        <w:t xml:space="preserve">摘要（ZH）: </w:t>
      </w:r>
      <w:r>
        <w:t>器官如何将自身划分为具有不同功能的离散域是生物学中的一个基本问题。开花植物的雌蕊为解决这个问题提供了一个极好的系统。在这里，我们表明，雌蕊顶端的柱头和花柱之间的边界是通过植物激素生长素和生长素反应因子（ARF）、ETTIN（ETT）的互补分布建立的。从机制上讲，生长素通过泛素-蛋白酶体途径诱导 ETT 蛋白不稳定。这种生长素触发的降解需要内在无序区域内的短序列基序。该基序的破坏导致雌蕊顶端异位 ETT 积累，从而消除柱头式边界发育。我们进一步证明，这种以前未被识别的生长素诱导的 ARF 不稳定性模式在被子植物的 ETT 直向同源物中是进化保守的。总之，本研究揭示了生长素的分级分布如何影响 ARF 转录因子活性，有助于柱头样式边界的建立，确保开花植物正确的雌蕊形成和繁殖成功。</w:t>
      </w:r>
    </w:p>
    <w:p>
      <w:pPr>
        <w:spacing w:before="0" w:after="200" w:lineRule="auto" w:line="276"/>
      </w:pPr>
      <w:r>
        <w:rPr>
          <w:b/>
        </w:rPr>
        <w:t xml:space="preserve">Abstract (EN): </w:t>
      </w:r>
      <w:r>
        <w:t>How organs partition themselves into discrete domains with distinct functions is a fundamental question in biology. The gynoecium of flowering plants provides an excellent system to address this question. Here, we show that the boundary between the stigma and style at the gynoecium apex is established by the complementary distribution of the phytohormone auxin and the Auxin Response Factor (ARF), ETTIN (ETT). Mechanistically, auxin induces ETT protein destabilization via the ubiquitin–proteasome pathway. A short sequence motif within an intrinsically disordered region is required for this auxin-triggered degradation. Disruption of this motif leads to ectopic ETT accumulation at the gynoecium apex and consequently abolishes stigma-style boundary development. We further demonstrate that this previously unrecognized mode of auxin-induced ARF instability is evolutionarily conserved among ETT orthologs across angiosperms. In summary, this study reveals how graded auxin distribution affects ARF transcription factor activity, contributing to the establishment of the stigma-style boundary, ensuring correct gynoecium formation and reproductive success in flowering plants.</w:t>
      </w:r>
    </w:p>
    <w:p>
      <w:pPr>
        <w:spacing w:before="120" w:after="120"/>
      </w:pPr>
      <w:r>
        <w:rPr>
          <w:sz w:val="18"/>
        </w:rPr>
        <w:t>——————————————————————————————————————————————————————————————————————</w:t>
      </w:r>
    </w:p>
    <w:p>
      <w:pPr>
        <w:spacing w:before="160" w:after="40" w:line="240" w:lineRule="auto"/>
      </w:pPr>
      <w:r>
        <w:rPr>
          <w:b/>
        </w:rPr>
        <w:t xml:space="preserve">[379] </w:t>
      </w:r>
      <w:hyperlink r:id="rId1197">
        <w:r>
          <w:rPr>
            <w:color w:val="1155CC"/>
            <w:u w:val="single"/>
          </w:rPr>
          <w:t>用于双通道近红外 STED 纳米镜的明亮单体荧光蛋白 Elite-niRFP704</w:t>
        </w:r>
      </w:hyperlink>
    </w:p>
    <w:p>
      <w:pPr>
        <w:spacing w:before="0" w:after="80"/>
      </w:pPr>
      <w:r>
        <w:rPr>
          <w:i/>
          <w:sz w:val="20"/>
        </w:rPr>
        <w:t>EN: Bright monomeric fluorescent protein elite-niRFP704 for two-channel near-infrared STED nanoscopy</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198">
        <w:r>
          <w:rPr>
            <w:color w:val="1155CC"/>
            <w:u w:val="single"/>
          </w:rPr>
          <w:t>10.1073/pnas.2533451123</w:t>
        </w:r>
      </w:hyperlink>
    </w:p>
    <w:p>
      <w:pPr>
        <w:spacing w:before="0" w:after="120"/>
      </w:pPr>
      <w:r>
        <w:rPr>
          <w:b/>
        </w:rPr>
        <w:t xml:space="preserve">Notes: </w:t>
      </w:r>
      <w:r>
        <w:t>abstract_source=crossref</w:t>
      </w:r>
    </w:p>
    <w:p>
      <w:pPr>
        <w:spacing w:before="0" w:after="80" w:lineRule="auto" w:line="276"/>
      </w:pPr>
      <w:r>
        <w:rPr>
          <w:b/>
        </w:rPr>
        <w:t xml:space="preserve">摘要（ZH）: </w:t>
      </w:r>
      <w:r>
        <w:t>由于自发荧光低和光毒性降低，近红外 (NIR) 光谱区域对于活细胞成像很有吸引力。一些光敏色素衍生的荧光蛋白在近红外波段吸收和发射荧光，但荧光寿命短，量子产率相对较低，需要更高的激光功率，从而限制了它们在活细胞超分辨率显微镜中的用途。使用细菌光敏色素 miRFP703 作为模板，我们筛选了具有较长荧光寿命的变体，因为量子产率和荧光寿命是相关的。我们鉴定出明亮的单体荧光蛋白精英-niRFP704，它比其模板具有更长的寿命（1.12 ns）和相应更高的量子产率（0.21），在近红外光谱区完全吸收和发射。 Elite-niRFP704 用于标记活细胞中的蛋白质，并促进稳定表达融合蛋白的细胞系的扩展受激发射损耗 (STED) 显微镜检查。最后，elite-niRFP704 和 miRFP703 可以根据其显着不同的寿命进行分离，从而能够对活哺乳动物细胞进行双通道 NIR STED 显微镜观察。</w:t>
      </w:r>
    </w:p>
    <w:p>
      <w:pPr>
        <w:spacing w:before="0" w:after="200" w:lineRule="auto" w:line="276"/>
      </w:pPr>
      <w:r>
        <w:rPr>
          <w:b/>
        </w:rPr>
        <w:t xml:space="preserve">Abstract (EN): </w:t>
      </w:r>
      <w:r>
        <w:t>The near-infrared (NIR) spectral region is attractive for live-cell imaging, due to low autofluorescence and reduced phototoxicity. Some phytochrome-derived fluorescent proteins absorb and emit fluorescence in the NIR, but have short fluorescence lifetimes and relatively low quantum yields, requiring higher laser powers thus limiting their usefulness for live-cell superresolution microscopy. Using the bacterial phytochrome miRFP703 as a template, we screened for variants with longer fluorescence lifetimes, because the quantum yield and fluorescence lifetime are linked. We identified the bright monomeric fluorescent protein elite-niRFP704, which has a longer lifetime (1.12 ns) and a correspondingly higher quantum yield (0.21) than its template, absorbing and emitting completely in the NIR spectral region. elite-niRFP704 was used to tag proteins in living cells and facilitated extended stimulated emission depletion (STED) microscopy on cell lines stably expressing a fusion protein. Finally, elite-niRFP704 and miRFP703 could be separated based on their significantly different lifetimes, enabling two-channel NIR STED microscopy of living mammalian cells.</w:t>
      </w:r>
    </w:p>
    <w:p>
      <w:pPr>
        <w:spacing w:before="120" w:after="120"/>
      </w:pPr>
      <w:r>
        <w:rPr>
          <w:sz w:val="18"/>
        </w:rPr>
        <w:t>——————————————————————————————————————————————————————————————————————</w:t>
      </w:r>
    </w:p>
    <w:p>
      <w:pPr>
        <w:spacing w:before="160" w:after="40" w:line="240" w:lineRule="auto"/>
      </w:pPr>
      <w:r>
        <w:rPr>
          <w:b/>
        </w:rPr>
        <w:t xml:space="preserve">[380] </w:t>
      </w:r>
      <w:hyperlink r:id="rId1199">
        <w:r>
          <w:rPr>
            <w:color w:val="1155CC"/>
            <w:u w:val="single"/>
          </w:rPr>
          <w:t>ST6GAL1介导的唾液酸连接转换驱动抗炎TAM辐射的促癌α2,6-唾液酸突出</w:t>
        </w:r>
      </w:hyperlink>
    </w:p>
    <w:p>
      <w:pPr>
        <w:spacing w:before="0" w:after="80"/>
      </w:pPr>
      <w:r>
        <w:rPr>
          <w:i/>
          <w:sz w:val="20"/>
        </w:rPr>
        <w:t>EN: ST6GAL1-mediated sialyl linkage switching drives cancer-promoting α2,6-sialo-protrusions radiating from anti-inflammatory TAMs</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00">
        <w:r>
          <w:rPr>
            <w:color w:val="1155CC"/>
            <w:u w:val="single"/>
          </w:rPr>
          <w:t>10.1073/pnas.2623365123</w:t>
        </w:r>
      </w:hyperlink>
    </w:p>
    <w:p>
      <w:pPr>
        <w:spacing w:before="0" w:after="120"/>
      </w:pPr>
      <w:r>
        <w:rPr>
          <w:b/>
        </w:rPr>
        <w:t xml:space="preserve">Notes: </w:t>
      </w:r>
      <w:r>
        <w:t>abstract_source=crossref</w:t>
      </w:r>
    </w:p>
    <w:p>
      <w:pPr>
        <w:spacing w:before="0" w:after="80" w:lineRule="auto" w:line="276"/>
      </w:pPr>
      <w:r>
        <w:rPr>
          <w:b/>
        </w:rPr>
        <w:t xml:space="preserve">摘要（ZH）: </w:t>
      </w:r>
      <w:r>
        <w:t>肿瘤相关巨噬细胞（TAM）是肿瘤微环境（TME）中功能多样的效应细胞。促炎和抗炎 TAM 通过塑造炎症和免疫稳态而对癌症进展至关重要，但对于细胞通讯和相互作用至关重要的 TAM 糖萼的极化诱导重塑是否发生在 TME 内仍不清楚。采用系统糖生物学方法，我们首先使用离体偏振单核细胞衍生巨噬细胞的细胞表面聚焦糖组学和凝集素流式细胞术来证明促炎（α2,3-唾液酸优先）和抗炎（α2,6-唾液酸主导）巨噬细胞中深刻的唾液酸连接转换。与促炎巨噬细胞相比，ST6GAL1 催化 α2,6-唾液酸化的抗炎作用增强，表明这种糖酶促进唾液酸键转换，这一点得到了支持</w:t>
      </w:r>
      <w:r>
        <w:t xml:space="preserve"> </w:t>
      </w:r>
      <w:r>
        <w:t>ST6GAL1</w:t>
      </w:r>
      <w:r>
        <w:t xml:space="preserve"> </w:t>
      </w:r>
      <w:r>
        <w:t>沉默。</w:t>
      </w:r>
      <w:r>
        <w:t xml:space="preserve"> </w:t>
      </w:r>
      <w:r>
        <w:t>黑接骨木</w:t>
      </w:r>
      <w:r>
        <w:t xml:space="preserve"> </w:t>
      </w:r>
      <w:r>
        <w:t>抗炎巨噬细胞的凝集素 (SNA) 聚焦凝集素细胞化学揭示了基于动态 α2,6-唾液酸化蛋白的突起的致密网络，形成促炎巨噬细胞中不存在的相互连接的细胞外结构。 SNA 和生物素荧光显微镜证明，抗炎巨噬细胞中的暂时 ST6GAL1 抑制会分解细胞突起。此外，使用和不使用结直肠癌 (CRC) 细胞培养的抗炎巨噬细胞的活细胞记录显示，巨噬细胞运动性降低，i 减弱。</w:t>
      </w:r>
    </w:p>
    <w:p>
      <w:pPr>
        <w:spacing w:before="0" w:after="200" w:lineRule="auto" w:line="276"/>
      </w:pPr>
      <w:r>
        <w:rPr>
          <w:b/>
        </w:rPr>
        <w:t xml:space="preserve">Abstract (EN): </w:t>
      </w:r>
      <w:r>
        <w:t>Tumor-associated macrophages (TAMs) are functionally diverse effector cells in the tumor microenvironment (TME). Pro- and anti-inflammatory TAMs are central to cancer progression by shaping inflammation and immune homeostasis, but it remains unknown if polarization-induced remodeling of the TAM glycocalyx critical for cellular communication and interactions occurs within the TME. Taking a systems glycobiology approach, we first used cell surface-focused glycomics and lectin flow cytometry of ex vivo polarized monocyte-derived macrophages to demonstrate profound sialyl linkage switching in proinflammatory (α2,3-sialo-favored) and anti-inflammatory (α2,6-sialo-dominant) macrophages. ST6GAL1 catalyzing α2,6-sialylation was found to be elevated in anti-inflammatory compared to proinflammatory macrophages, suggesting that this glycoenzyme facilitates sialyl linkage switching, which was supported by</w:t>
      </w:r>
      <w:r>
        <w:t xml:space="preserve"> </w:t>
      </w:r>
      <w:r>
        <w:t>ST6GAL1</w:t>
      </w:r>
      <w:r>
        <w:t xml:space="preserve"> </w:t>
      </w:r>
      <w:r>
        <w:t>silencing.</w:t>
      </w:r>
      <w:r>
        <w:t xml:space="preserve"> </w:t>
      </w:r>
      <w:r>
        <w:t>Sambucus nigra</w:t>
      </w:r>
      <w:r>
        <w:t xml:space="preserve"> </w:t>
      </w:r>
      <w:r>
        <w:t>agglutinin (SNA)-focused lectin cytochemistry of anti-inflammatory macrophages revealed dense networks of dynamic α2,6-sialylated protein-based protrusions forming interconnecting extracellular structures that were absent in proinflammatory macrophages. Temporal ST6GAL1 suppression in anti-inflammatory macrophages disintegrated the cellular protrusions as evidenced by SNA and biotin fluorescence microscopy. Moreover, live cell recordings of anti-inflammatory macrophages cultured with and without colorectal cancer (CRC) cells showed reduced macrophage motility, attenuated intermacrophage and macrophage–CRC cell interactions and diminished CRC cell proliferation upon ST6GAL1 suppression indicating functional roles of the sialo-protrusions. Notably,</w:t>
      </w:r>
      <w:r>
        <w:t xml:space="preserve"> </w:t>
      </w:r>
      <w:r>
        <w:t>ST6GAL1</w:t>
      </w:r>
      <w:r>
        <w:t xml:space="preserve"> </w:t>
      </w:r>
      <w:r>
        <w:t>silencing in anti-inflammatory macrophages promoted transition toward proinflammatory-like phenotypes, as supported by altered morphology, phagocytotic capacity, and Siglec and cytokine expression. Finally, sialyl linkage switching was recapitulated in pro- and anti-inflammatory TAMs in tumor tissues of patients with advanced CRC. We report on the mechanistic basis for and functional consequences of glycocalyx remodeling accompanying TAM polarization.</w:t>
      </w:r>
    </w:p>
    <w:p>
      <w:pPr>
        <w:spacing w:before="120" w:after="120"/>
      </w:pPr>
      <w:r>
        <w:rPr>
          <w:sz w:val="18"/>
        </w:rPr>
        <w:t>——————————————————————————————————————————————————————————————————————</w:t>
      </w:r>
    </w:p>
    <w:p>
      <w:pPr>
        <w:spacing w:before="160" w:after="40" w:line="240" w:lineRule="auto"/>
      </w:pPr>
      <w:r>
        <w:rPr>
          <w:b/>
        </w:rPr>
        <w:t xml:space="preserve">[381] </w:t>
      </w:r>
      <w:hyperlink r:id="rId1201">
        <w:r>
          <w:rPr>
            <w:color w:val="1155CC"/>
            <w:u w:val="single"/>
          </w:rPr>
          <w:t>疟原虫硫胺素焦磷酸激酶对于子孢子的形成和抗疟原虫硫胺素类似物的激活至关重要</w:t>
        </w:r>
      </w:hyperlink>
    </w:p>
    <w:p>
      <w:pPr>
        <w:spacing w:before="0" w:after="80"/>
      </w:pPr>
      <w:r>
        <w:rPr>
          <w:i/>
          <w:sz w:val="20"/>
        </w:rPr>
        <w:t>EN: Plasmodium thiamine pyrophosphokinase is essential for sporozoite formation and activation of an antiplasmodial thiamine analogue</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02">
        <w:r>
          <w:rPr>
            <w:color w:val="1155CC"/>
            <w:u w:val="single"/>
          </w:rPr>
          <w:t>10.1073/pnas.2534594123</w:t>
        </w:r>
      </w:hyperlink>
    </w:p>
    <w:p>
      <w:pPr>
        <w:spacing w:before="0" w:after="120"/>
      </w:pPr>
      <w:r>
        <w:rPr>
          <w:b/>
        </w:rPr>
        <w:t xml:space="preserve">Notes: </w:t>
      </w:r>
      <w:r>
        <w:t>abstract_source=crossref</w:t>
      </w:r>
    </w:p>
    <w:p>
      <w:pPr>
        <w:spacing w:before="0" w:after="80" w:lineRule="auto" w:line="276"/>
      </w:pPr>
      <w:r>
        <w:rPr>
          <w:b/>
        </w:rPr>
        <w:t xml:space="preserve">摘要（ZH）: </w:t>
      </w:r>
      <w:r>
        <w:t>氧硫胺是一种硫胺素类似物，可抑制</w:t>
      </w:r>
      <w:r>
        <w:t xml:space="preserve"> </w:t>
      </w:r>
      <w:r>
        <w:t>恶性疟原虫</w:t>
      </w:r>
      <w:r>
        <w:t xml:space="preserve"> </w:t>
      </w:r>
      <w:r>
        <w:t>作为维生素 B 的抗代谢物进行增殖</w:t>
      </w:r>
      <w:r>
        <w:rPr>
          <w:vertAlign w:val="subscript"/>
        </w:rPr>
        <w:t>1</w:t>
      </w:r>
      <w:r>
        <w:t>。为了更详细地阐明其潜在作用机制，采用体外药物压力来产生氧硫胺素抗性</w:t>
      </w:r>
      <w:r>
        <w:t xml:space="preserve"> </w:t>
      </w:r>
      <w:r>
        <w:t>恶性疟原虫</w:t>
      </w:r>
      <w:r>
        <w:t xml:space="preserve"> </w:t>
      </w:r>
      <w:r>
        <w:t>线。全基因组测序显示，硫胺素焦磷酸激酶（TPK）基因的单点突变赋予了抗性。突变的 TPK 活性降低，从而可能限制氧硫胺转化为其活性毒性形式。为了研究 TPK 在整个寄生虫生命周期中的功能作用，</w:t>
      </w:r>
      <w:r>
        <w:t xml:space="preserve"> </w:t>
      </w:r>
      <w:r>
        <w:t>TPK</w:t>
      </w:r>
      <w:r>
        <w:t xml:space="preserve"> </w:t>
      </w:r>
      <w:r>
        <w:t>- 淘汰线生成于</w:t>
      </w:r>
      <w:r>
        <w:t xml:space="preserve"> </w:t>
      </w:r>
      <w:r>
        <w:t>伯氏疟原虫</w:t>
      </w:r>
      <w:r>
        <w:t xml:space="preserve"> </w:t>
      </w:r>
      <w:r>
        <w:t>。</w:t>
      </w:r>
      <w:r>
        <w:t xml:space="preserve"> </w:t>
      </w:r>
      <w:r>
        <w:t>TPK</w:t>
      </w:r>
      <w:r>
        <w:t xml:space="preserve"> </w:t>
      </w:r>
      <w:r>
        <w:t>敲除寄生虫在红细胞内增殖过程中表现出较小的适应性成本，可以通过感染网织红细胞来克服，但它们对氧硫胺的敏感性在体内降低了五倍，这与通过TPK激活氧硫胺对其抗疟原虫活性至关重要的假设一致。在</w:t>
      </w:r>
      <w:r>
        <w:t xml:space="preserve"> </w:t>
      </w:r>
      <w:r>
        <w:t>按蚊</w:t>
      </w:r>
      <w:r>
        <w:t xml:space="preserve"> </w:t>
      </w:r>
      <w:r>
        <w:t>矢量，</w:t>
      </w:r>
      <w:r>
        <w:t xml:space="preserve"> </w:t>
      </w:r>
      <w:r>
        <w:t>TPK</w:t>
      </w:r>
      <w:r>
        <w:t xml:space="preserve"> </w:t>
      </w:r>
      <w:r>
        <w:t>-敲除寄生虫产生与野生型寄生虫相似数量的卵囊，但卵囊成熟受到损害，子孢子形成被完全抑制。这些发现强调了 TPK 在介导抗疟原虫 a 中的重要作用。</w:t>
      </w:r>
    </w:p>
    <w:p>
      <w:pPr>
        <w:spacing w:before="0" w:after="200" w:lineRule="auto" w:line="276"/>
      </w:pPr>
      <w:r>
        <w:rPr>
          <w:b/>
        </w:rPr>
        <w:t xml:space="preserve">Abstract (EN): </w:t>
      </w:r>
      <w:r>
        <w:t>Oxythiamine, a thiamine analogue, inhibits</w:t>
      </w:r>
      <w:r>
        <w:t xml:space="preserve"> </w:t>
      </w:r>
      <w:r>
        <w:t>Plasmodium falciparum</w:t>
      </w:r>
      <w:r>
        <w:t xml:space="preserve"> </w:t>
      </w:r>
      <w:r>
        <w:t>proliferation by acting as an antimetabolite of vitamin B</w:t>
      </w:r>
      <w:r>
        <w:rPr>
          <w:vertAlign w:val="subscript"/>
        </w:rPr>
        <w:t>1</w:t>
      </w:r>
      <w:r>
        <w:t>. To elucidate in more detail its underlying mechanism of action, in vitro drug pressure was employed to generate oxythiamine-resistant</w:t>
      </w:r>
      <w:r>
        <w:t xml:space="preserve"> </w:t>
      </w:r>
      <w:r>
        <w:t>P. falciparum</w:t>
      </w:r>
      <w:r>
        <w:t xml:space="preserve"> </w:t>
      </w:r>
      <w:r>
        <w:t>lines. Whole-genome sequencing revealed that resistance was conferred by a single-point mutation in the thiamine pyrophosphokinase (TPK) gene. The mutated TPK has reduced activity, thereby likely limiting the conversion of oxythiamine into its active toxic form. To investigate the functional role of TPK across the parasite life cycle, a</w:t>
      </w:r>
      <w:r>
        <w:t xml:space="preserve"> </w:t>
      </w:r>
      <w:r>
        <w:t>TPK</w:t>
      </w:r>
      <w:r>
        <w:t xml:space="preserve"> </w:t>
      </w:r>
      <w:r>
        <w:t>-knockout line was generated in</w:t>
      </w:r>
      <w:r>
        <w:t xml:space="preserve"> </w:t>
      </w:r>
      <w:r>
        <w:t>Plasmodium berghei</w:t>
      </w:r>
      <w:r>
        <w:t xml:space="preserve"> </w:t>
      </w:r>
      <w:r>
        <w:t>.</w:t>
      </w:r>
      <w:r>
        <w:t xml:space="preserve"> </w:t>
      </w:r>
      <w:r>
        <w:t>TPK</w:t>
      </w:r>
      <w:r>
        <w:t xml:space="preserve"> </w:t>
      </w:r>
      <w:r>
        <w:t>-knockout parasites displayed a minor fitness cost during intraerythrocytic proliferation that could be overcome by infecting reticulocytes, but their sensitivity to oxythiamine was reduced fivefold in vivo, consistent with the hypothesis that activation of oxythiamine via TPK is essential for its antiplasmodial activity. In the</w:t>
      </w:r>
      <w:r>
        <w:t xml:space="preserve"> </w:t>
      </w:r>
      <w:r>
        <w:t>Anopheles</w:t>
      </w:r>
      <w:r>
        <w:t xml:space="preserve"> </w:t>
      </w:r>
      <w:r>
        <w:t>vector,</w:t>
      </w:r>
      <w:r>
        <w:t xml:space="preserve"> </w:t>
      </w:r>
      <w:r>
        <w:t>TPK</w:t>
      </w:r>
      <w:r>
        <w:t xml:space="preserve"> </w:t>
      </w:r>
      <w:r>
        <w:t>-knockout parasites produced a similar number of oocysts as wild-type parasites, but oocyst maturation was impaired and sporozoite formation was completely inhibited. These findings underscore an essential role for TPK in mediating the antiplasmodial activity of oxythiamine and reveal its critical function in sporogony within the mosquito, supporting its potential as a transmission-blocking target for antimalarial intervention.</w:t>
      </w:r>
    </w:p>
    <w:p>
      <w:pPr>
        <w:spacing w:before="120" w:after="120"/>
      </w:pPr>
      <w:r>
        <w:rPr>
          <w:sz w:val="18"/>
        </w:rPr>
        <w:t>——————————————————————————————————————————————————————————————————————</w:t>
      </w:r>
    </w:p>
    <w:p>
      <w:pPr>
        <w:spacing w:before="160" w:after="40" w:line="240" w:lineRule="auto"/>
      </w:pPr>
      <w:r>
        <w:rPr>
          <w:b/>
        </w:rPr>
        <w:t xml:space="preserve">[382] </w:t>
      </w:r>
      <w:hyperlink r:id="rId1203">
        <w:r>
          <w:rPr>
            <w:color w:val="1155CC"/>
            <w:u w:val="single"/>
          </w:rPr>
          <w:t>gephyrin 的 WNK 依赖性磷酸化调节抑制性突触的 GABAA 受体并调节焦虑行为</w:t>
        </w:r>
      </w:hyperlink>
    </w:p>
    <w:p>
      <w:pPr>
        <w:spacing w:before="0" w:after="80"/>
      </w:pPr>
      <w:r>
        <w:rPr>
          <w:i/>
          <w:sz w:val="20"/>
        </w:rPr>
        <w:t>EN: WNK-dependent phosphorylation of gephyrin tunes GABAA receptors at inhibitory synapses and modulates anxiety behavior</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04">
        <w:r>
          <w:rPr>
            <w:color w:val="1155CC"/>
            <w:u w:val="single"/>
          </w:rPr>
          <w:t>10.1073/pnas.2612761123</w:t>
        </w:r>
      </w:hyperlink>
    </w:p>
    <w:p>
      <w:pPr>
        <w:spacing w:before="0" w:after="120"/>
      </w:pPr>
      <w:r>
        <w:rPr>
          <w:b/>
        </w:rPr>
        <w:t xml:space="preserve">Notes: </w:t>
      </w:r>
      <w:r>
        <w:t>abstract_source=crossref</w:t>
      </w:r>
    </w:p>
    <w:p>
      <w:pPr>
        <w:spacing w:before="0" w:after="80" w:lineRule="auto" w:line="276"/>
      </w:pPr>
      <w:r>
        <w:rPr>
          <w:b/>
        </w:rPr>
        <w:t xml:space="preserve">摘要（ZH）: </w:t>
      </w:r>
      <w:r>
        <w:t>氯敏感激酶 WNK1 及其效应器 SPAK 在大脑中的作用仍知之甚少。在这里，我们确定了一种 WNK 依赖性调节机制，可直接控制抑制性 GABA 的突触扩散和聚集</w:t>
      </w:r>
      <w:r>
        <w:t xml:space="preserve"> </w:t>
      </w:r>
      <w:r>
        <w:t>一个</w:t>
      </w:r>
      <w:r>
        <w:t xml:space="preserve"> </w:t>
      </w:r>
      <w:r>
        <w:t>受体（GABA</w:t>
      </w:r>
      <w:r>
        <w:t xml:space="preserve"> </w:t>
      </w:r>
      <w:r>
        <w:t>一个</w:t>
      </w:r>
      <w:r>
        <w:t xml:space="preserve"> </w:t>
      </w:r>
      <w:r>
        <w:t>Rs），以及它们的膜稳定性和内吞作用。我们发现 WNK 信号的激活可以稳定 GABA</w:t>
      </w:r>
      <w:r>
        <w:t xml:space="preserve"> </w:t>
      </w:r>
      <w:r>
        <w:t>一个</w:t>
      </w:r>
      <w:r>
        <w:t xml:space="preserve"> </w:t>
      </w:r>
      <w:r>
        <w:t>Rs位于抑制性突触，而抑制则增强受体内化。这种调节取决于 gephyrin 支架蛋白中央连接区中两个残基的磷酸化状态。调节 WNK 活性会改变神经元活动和 GABA 电流的动力学。在体内，gephyrin 的磷酸模拟形式在 WNK 靶位点的表达会产生类似抗焦虑的作用。先前的证据表明 WNK 信号传导调节氯离子转运蛋白 KCC2 和 NKCC1（细胞内氯离子稳态和 GABA 能功效的关键决定因素），我们的研究结果将 WNK 通路定位为抑制性突触功能的主要调节因子。</w:t>
      </w:r>
    </w:p>
    <w:p>
      <w:pPr>
        <w:spacing w:before="0" w:after="200" w:lineRule="auto" w:line="276"/>
      </w:pPr>
      <w:r>
        <w:rPr>
          <w:b/>
        </w:rPr>
        <w:t xml:space="preserve">Abstract (EN): </w:t>
      </w:r>
      <w:r>
        <w:t>The role of the chloride-sensitive kinase WNK1 and its effector SPAK in the brain remains poorly understood. Here, we identify a WNK-dependent regulatory mechanism that directly controls the synaptic diffusion and clustering of inhibitory GABA</w:t>
      </w:r>
      <w:r>
        <w:t xml:space="preserve"> </w:t>
      </w:r>
      <w:r>
        <w:t>A</w:t>
      </w:r>
      <w:r>
        <w:t xml:space="preserve"> </w:t>
      </w:r>
      <w:r>
        <w:t>receptors (GABA</w:t>
      </w:r>
      <w:r>
        <w:t xml:space="preserve"> </w:t>
      </w:r>
      <w:r>
        <w:t>A</w:t>
      </w:r>
      <w:r>
        <w:t xml:space="preserve"> </w:t>
      </w:r>
      <w:r>
        <w:t>Rs), as well as their membrane stability and endocytosis. We show that activation of WNK signaling stabilizes GABA</w:t>
      </w:r>
      <w:r>
        <w:t xml:space="preserve"> </w:t>
      </w:r>
      <w:r>
        <w:t>A</w:t>
      </w:r>
      <w:r>
        <w:t xml:space="preserve"> </w:t>
      </w:r>
      <w:r>
        <w:t>Rs at inhibitory synapses, while inhibition enhances receptor internalization. This regulation depends on the phosphorylation state of two residues in the central linker region of the gephyrin scaffold protein. Modulating WNK activity alters neuronal activity and the kinetics of GABAergic currents. In vivo, expression of a phospho-mimetic form of gephyrin at WNK-targeted sites produces anxiolytic-like effects. Together with prior evidence showing that WNK signaling regulates the chloride transporters KCC2 and NKCC1, key determinants of intracellular chloride homeostasis and GABAergic efficacy, our findings position the WNK pathway as a master regulator of inhibitory synapse function.</w:t>
      </w:r>
    </w:p>
    <w:p>
      <w:pPr>
        <w:spacing w:before="120" w:after="120"/>
      </w:pPr>
      <w:r>
        <w:rPr>
          <w:sz w:val="18"/>
        </w:rPr>
        <w:t>——————————————————————————————————————————————————————————————————————</w:t>
      </w:r>
    </w:p>
    <w:p>
      <w:pPr>
        <w:spacing w:before="160" w:after="40" w:line="240" w:lineRule="auto"/>
      </w:pPr>
      <w:r>
        <w:rPr>
          <w:b/>
        </w:rPr>
        <w:t xml:space="preserve">[383] </w:t>
      </w:r>
      <w:hyperlink r:id="rId1205">
        <w:r>
          <w:rPr>
            <w:color w:val="1155CC"/>
            <w:u w:val="single"/>
          </w:rPr>
          <w:t>改变主动网络</w:t>
        </w:r>
      </w:hyperlink>
    </w:p>
    <w:p>
      <w:pPr>
        <w:spacing w:before="0" w:after="80"/>
      </w:pPr>
      <w:r>
        <w:rPr>
          <w:i/>
          <w:sz w:val="20"/>
        </w:rPr>
        <w:t>EN: Morphing active networks</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06">
        <w:r>
          <w:rPr>
            <w:color w:val="1155CC"/>
            <w:u w:val="single"/>
          </w:rPr>
          <w:t>10.1073/pnas.2610243123</w:t>
        </w:r>
      </w:hyperlink>
    </w:p>
    <w:p>
      <w:pPr>
        <w:spacing w:before="0" w:after="120"/>
      </w:pPr>
      <w:r>
        <w:rPr>
          <w:b/>
        </w:rPr>
        <w:t xml:space="preserve">Notes: </w:t>
      </w:r>
      <w:r>
        <w:t>abstract_source=crossref</w:t>
      </w:r>
    </w:p>
    <w:p>
      <w:pPr>
        <w:spacing w:before="0" w:after="80" w:lineRule="auto" w:line="276"/>
      </w:pPr>
      <w:r>
        <w:rPr>
          <w:b/>
        </w:rPr>
        <w:t xml:space="preserve">摘要（ZH）: </w:t>
      </w:r>
      <w:r>
        <w:t>像叶子脉络这样的生物网络表现出显着的变形能力，使生物体能够适应环境并茁壮成长。然而，人们对控制此类网络变形的基本机制仍然知之甚少，尤其是当网络本身积极增长并施加约束时。互连拓扑元素固有的复杂性给理论建模和实验研究带来了重大挑战。在这里，我们开发了一种主动 Cosserat 杆模型，可捕获生长引起的网络变形，并通过聚二甲基硅氧烷膨胀实验和四维打印进行验证。通过检查具有不同几何形状的细胞晶格，我们揭示了如何通过网络架构系统地编程对称性和手性。使用具有可调固定位点的仿生脉络模式，我们证明了该网络作为机械约束框架发挥作用：其几何形状决定了生长引起的变形的空间分布，模型预测与生物观察相匹配。通过设计的不均匀生长，我们进一步实现了对不均匀变形的精确控制，包括手性、双向曲率和边缘波纹。我们的研究结果揭示了网络几何和主动生长如何对三维形状变换进行编程，为变形物质、软机器人和可部署结构提供了设计策略。</w:t>
      </w:r>
    </w:p>
    <w:p>
      <w:pPr>
        <w:spacing w:before="0" w:after="200" w:lineRule="auto" w:line="276"/>
      </w:pPr>
      <w:r>
        <w:rPr>
          <w:b/>
        </w:rPr>
        <w:t xml:space="preserve">Abstract (EN): </w:t>
      </w:r>
      <w:r>
        <w:t>Biological networks like leaf venation exhibit remarkable morphing capabilities that enable organisms to adapt and thrive in their environments. However, the underlying mechanisms that govern the morphing of such networks, especially when the network itself actively grows and imposes constraints, remain poorly understood. The inherent complexity of interconnected topological elements poses significant challenges for both theoretical modeling and experimental investigation. Here we develop an active Cosserat rod model capturing growth-induced network morphing, validated through polydimethylsiloxane swelling experiments and four-dimensional printing. By examining cellular lattices with varying geometries, we reveal how symmetry and chirality can be systematically programmed through network architecture. Using bioinspired venation patterns with tunable pinned sites, we demonstrate that the network functions as a mechanically constraining framework: Its geometry dictates the spatial distribution of growth-induced deformation, with model predictions matching biological observations. We further achieve precise control of nonuniform morphing, including chirality, bidirectional curvature, and edge rippling, through engineered inhomogeneous growth. Our findings uncover how network geometry and active growth can program three-dimensional shape transformations, offering a design strategy for morphing matter, soft robotics, and deployable structures.</w:t>
      </w:r>
    </w:p>
    <w:p>
      <w:pPr>
        <w:spacing w:before="120" w:after="120"/>
      </w:pPr>
      <w:r>
        <w:rPr>
          <w:sz w:val="18"/>
        </w:rPr>
        <w:t>——————————————————————————————————————————————————————————————————————</w:t>
      </w:r>
    </w:p>
    <w:p>
      <w:pPr>
        <w:spacing w:before="160" w:after="40" w:line="240" w:lineRule="auto"/>
      </w:pPr>
      <w:r>
        <w:rPr>
          <w:b/>
        </w:rPr>
        <w:t xml:space="preserve">[384] </w:t>
      </w:r>
      <w:hyperlink r:id="rId1207">
        <w:r>
          <w:rPr>
            <w:color w:val="1155CC"/>
            <w:u w:val="single"/>
          </w:rPr>
          <w:t>学习社会等级制度中权力和地位信号的交互式表示</w:t>
        </w:r>
      </w:hyperlink>
    </w:p>
    <w:p>
      <w:pPr>
        <w:spacing w:before="0" w:after="80"/>
      </w:pPr>
      <w:r>
        <w:rPr>
          <w:i/>
          <w:sz w:val="20"/>
        </w:rPr>
        <w:t>EN: Interactive representations of power and status signals in learning social hierarchies</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08">
        <w:r>
          <w:rPr>
            <w:color w:val="1155CC"/>
            <w:u w:val="single"/>
          </w:rPr>
          <w:t>10.1073/pnas.2532908123</w:t>
        </w:r>
      </w:hyperlink>
    </w:p>
    <w:p>
      <w:pPr>
        <w:spacing w:before="0" w:after="120"/>
      </w:pPr>
      <w:r>
        <w:rPr>
          <w:b/>
        </w:rPr>
        <w:t xml:space="preserve">Notes: </w:t>
      </w:r>
      <w:r>
        <w:t>abstract_source=crossref</w:t>
      </w:r>
    </w:p>
    <w:p>
      <w:pPr>
        <w:spacing w:before="0" w:after="80" w:lineRule="auto" w:line="276"/>
      </w:pPr>
      <w:r>
        <w:rPr>
          <w:b/>
        </w:rPr>
        <w:t xml:space="preserve">摘要（ZH）: </w:t>
      </w:r>
      <w:r>
        <w:t>组织我们社会关系的社会等级制度对选择行为具有异质性影响。社会等级制度的两个核心维度：地位（通过承认能力而获得）和权力（控制他人结果的能力）可能会导致不同的行为特征。然而，基于社会反馈学习地位和权力相关信号并影响后续决策的神经计算过程仍不清楚。在这里，我们将功能神经影像与计算模型结合起来，研究个体如何获取有关他人地位和权力的知识，以及这些学习到的等级信号如何在危险的选择任务中形成对建议采纳的社会影响。我们发现内侧前额叶皮层与状态估计相关，而杏仁核与权力估计相关。此外，一个维度的估计会影响学习过程中另一个维度的选择。这表明状态和功率信号之间的相互作用，压后皮层活动与超出即时选择需求的层次结构信号相关。最后，地位广泛调节的反应偏向于安全和有风险的建议，而权力主要增加了对安全建议的偏向。这些发现描述了如何通过实验实例化状态和功率信号来学习并影响风险决策，表明这些层次信号的部分可分离但交互式的表示。</w:t>
      </w:r>
    </w:p>
    <w:p>
      <w:pPr>
        <w:spacing w:before="0" w:after="200" w:lineRule="auto" w:line="276"/>
      </w:pPr>
      <w:r>
        <w:rPr>
          <w:b/>
        </w:rPr>
        <w:t xml:space="preserve">Abstract (EN): </w:t>
      </w:r>
      <w:r>
        <w:t>Social hierarchies, which organize our social relationships, have heterogeneous effects on choice behavior. Two central dimensions of social hierarchies, status, which is earned through recognition of competence, and power, which is the capacity to control the outcomes of others, may contribute to different behavioral profiles. Yet, the neurocomputational processes by which status- and power-related signals are learned based on social feedback, and influence subsequent decision-making, remain unclear. Here, we combine functional neuroimaging with computational modeling to examine how individuals acquire knowledge about others’ status and power, and how these learned hierarchy signals shape social influence on advice-taking during a risky choice task. We found that the medial prefrontal cortex covaried with status estimates, whereas the amygdala covaried with power estimates. Moreover, estimates in one dimension influenced choices in the other during learning. This indicates interactions between status and power signals, with retrosplenial cortex activity associated with hierarchy signals beyond immediate choice demands. Finally, status broadly modulated response biases toward both safe and risky advice, whereas power primarily increased bias toward safe advice. These findings characterize how experimentally instantiated status and power signals are learned and influence risky decision-making, indicating partially separable yet interactive representations of these hierarchy signals.</w:t>
      </w:r>
    </w:p>
    <w:p>
      <w:pPr>
        <w:spacing w:before="120" w:after="120"/>
      </w:pPr>
      <w:r>
        <w:rPr>
          <w:sz w:val="18"/>
        </w:rPr>
        <w:t>——————————————————————————————————————————————————————————————————————</w:t>
      </w:r>
    </w:p>
    <w:p>
      <w:pPr>
        <w:spacing w:before="160" w:after="40" w:line="240" w:lineRule="auto"/>
      </w:pPr>
      <w:r>
        <w:rPr>
          <w:b/>
        </w:rPr>
        <w:t xml:space="preserve">[385] </w:t>
      </w:r>
      <w:hyperlink r:id="rId1209">
        <w:r>
          <w:rPr>
            <w:color w:val="1155CC"/>
            <w:u w:val="single"/>
          </w:rPr>
          <w:t>哺乳动物体内富含钠和锂的 RNA 适体</w:t>
        </w:r>
      </w:hyperlink>
    </w:p>
    <w:p>
      <w:pPr>
        <w:spacing w:before="0" w:after="80"/>
      </w:pPr>
      <w:r>
        <w:rPr>
          <w:i/>
          <w:sz w:val="20"/>
        </w:rPr>
        <w:t>EN: RNA aptamers for sodium and lithium are abundant in mammals</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10">
        <w:r>
          <w:rPr>
            <w:color w:val="1155CC"/>
            <w:u w:val="single"/>
          </w:rPr>
          <w:t>10.1073/pnas.2618832123</w:t>
        </w:r>
      </w:hyperlink>
    </w:p>
    <w:p>
      <w:pPr>
        <w:spacing w:before="0" w:after="120"/>
      </w:pPr>
      <w:r>
        <w:rPr>
          <w:b/>
        </w:rPr>
        <w:t xml:space="preserve">Notes: </w:t>
      </w:r>
      <w:r>
        <w:t>abstract_source=crossref</w:t>
      </w:r>
    </w:p>
    <w:p>
      <w:pPr>
        <w:spacing w:before="0" w:after="80" w:lineRule="auto" w:line="276"/>
      </w:pPr>
      <w:r>
        <w:rPr>
          <w:b/>
        </w:rPr>
        <w:t xml:space="preserve">摘要（ZH）: </w:t>
      </w:r>
      <w:r>
        <w:t>核糖开关在生命的细菌领域很常见，它们响应结合代谢物、元素离子或其他小配体来调节基因表达。我们使用比较序列分析来鉴定人类和其他哺乳动物中的许多 RNA 基序，这些基序在序列和结构上与细菌核糖开关适体的阳离子钠和锂相似。在大约 70 个与离子电导、神经元发育和功能或各种神经系统疾病相关的基因的 mRNA 转录本中发现了候选基因。生物信息学和生化分析支持这样的假设：哺乳动物广泛使用这些 RNA 适体来选择性结合 Na</w:t>
      </w:r>
      <w:r>
        <w:t xml:space="preserve"> </w:t>
      </w:r>
      <w:r>
        <w:t>+</w:t>
      </w:r>
      <w:r>
        <w:t xml:space="preserve"> </w:t>
      </w:r>
      <w:r>
        <w:t>和李</w:t>
      </w:r>
      <w:r>
        <w:t xml:space="preserve"> </w:t>
      </w:r>
      <w:r>
        <w:t>+</w:t>
      </w:r>
      <w:r>
        <w:t xml:space="preserve"> </w:t>
      </w:r>
      <w:r>
        <w:t>。这些结构化 RNA 结构域通常位于 mRNA 或其假定的反义转录物区域，表明它们是核糖开关的组成部分。这种关联还揭示了这些碱金属离子和其表达可能受到单价离子调节的基因之间的联系。这些发现也与李的假设相一致。</w:t>
      </w:r>
      <w:r>
        <w:t xml:space="preserve"> </w:t>
      </w:r>
      <w:r>
        <w:t>+</w:t>
      </w:r>
      <w:r>
        <w:t xml:space="preserve"> </w:t>
      </w:r>
      <w:r>
        <w:t>是调节与某些精神疾病相关的基因的天然贡献者。</w:t>
      </w:r>
    </w:p>
    <w:p>
      <w:pPr>
        <w:spacing w:before="0" w:after="200" w:lineRule="auto" w:line="276"/>
      </w:pPr>
      <w:r>
        <w:rPr>
          <w:b/>
        </w:rPr>
        <w:t xml:space="preserve">Abstract (EN): </w:t>
      </w:r>
      <w:r>
        <w:t>Riboswitches are common in the bacterial domain of life where they regulate gene expression in response to binding metabolites, elemental ions, or other small ligands. We used comparative sequence analyses to identify numerous RNA motifs in humans and other mammals that are similar in sequence and structure to bacterial riboswitch aptamers for cationic sodium and lithium. Candidates are found in the mRNA transcripts for ~70 genes relevant to ion conductance, neuronal development and function, or to various neurological diseases. Bioinformatic and biochemical analyses support the hypothesis that mammals make extensive use of these RNA aptamers to selectively bind Na</w:t>
      </w:r>
      <w:r>
        <w:t xml:space="preserve"> </w:t>
      </w:r>
      <w:r>
        <w:t>+</w:t>
      </w:r>
      <w:r>
        <w:t xml:space="preserve"> </w:t>
      </w:r>
      <w:r>
        <w:t>and Li</w:t>
      </w:r>
      <w:r>
        <w:t xml:space="preserve"> </w:t>
      </w:r>
      <w:r>
        <w:t>+</w:t>
      </w:r>
      <w:r>
        <w:t xml:space="preserve"> </w:t>
      </w:r>
      <w:r>
        <w:t>. These structured RNA domains are often located in regions of mRNAs or their putative antisense transcripts that suggest they are components of riboswitches. Such associations also expose links between these alkali metal ions and genes whose expression is likely under monovalent ion regulation. These findings are also consistent with the hypothesis that Li</w:t>
      </w:r>
      <w:r>
        <w:t xml:space="preserve"> </w:t>
      </w:r>
      <w:r>
        <w:t>+</w:t>
      </w:r>
      <w:r>
        <w:t xml:space="preserve"> </w:t>
      </w:r>
      <w:r>
        <w:t>is a natural contributor to the regulation of genes relevant to certain mental disorders.</w:t>
      </w:r>
    </w:p>
    <w:p>
      <w:pPr>
        <w:spacing w:before="120" w:after="120"/>
      </w:pPr>
      <w:r>
        <w:rPr>
          <w:sz w:val="18"/>
        </w:rPr>
        <w:t>——————————————————————————————————————————————————————————————————————</w:t>
      </w:r>
    </w:p>
    <w:p>
      <w:pPr>
        <w:spacing w:before="160" w:after="40" w:line="240" w:lineRule="auto"/>
      </w:pPr>
      <w:r>
        <w:rPr>
          <w:b/>
        </w:rPr>
        <w:t xml:space="preserve">[386] </w:t>
      </w:r>
      <w:hyperlink r:id="rId1211">
        <w:r>
          <w:rPr>
            <w:color w:val="1155CC"/>
            <w:u w:val="single"/>
          </w:rPr>
          <w:t>驱动蛋白14运动性离子强度控制的起源</w:t>
        </w:r>
      </w:hyperlink>
    </w:p>
    <w:p>
      <w:pPr>
        <w:spacing w:before="0" w:after="80"/>
      </w:pPr>
      <w:r>
        <w:rPr>
          <w:i/>
          <w:sz w:val="20"/>
        </w:rPr>
        <w:t>EN: On the origin of the ionic strength control of the motility of kinesin-14</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12">
        <w:r>
          <w:rPr>
            <w:color w:val="1155CC"/>
            <w:u w:val="single"/>
          </w:rPr>
          <w:t>10.1073/pnas.2618972123</w:t>
        </w:r>
      </w:hyperlink>
    </w:p>
    <w:p>
      <w:pPr>
        <w:spacing w:before="0" w:after="120"/>
      </w:pPr>
      <w:r>
        <w:rPr>
          <w:b/>
        </w:rPr>
        <w:t xml:space="preserve">Notes: </w:t>
      </w:r>
      <w:r>
        <w:t>abstract_source=crossref</w:t>
      </w:r>
    </w:p>
    <w:p>
      <w:pPr>
        <w:spacing w:before="0" w:after="80" w:lineRule="auto" w:line="276"/>
      </w:pPr>
      <w:r>
        <w:rPr>
          <w:b/>
        </w:rPr>
        <w:t xml:space="preserve">摘要（ZH）: </w:t>
      </w:r>
      <w:r>
        <w:t>驱动蛋白 14 马达是一类特殊的驱动蛋白家族蛋白，沿着微管向负端移动。与一般传统驱动蛋白相比，它具有相反的方向性。已发现驱动蛋白 14 的运动性取决于离子强度。即当离子强度发生变化时，蛋白质的运动性发生显着变化。了解这种效应的起源非常重要，这既是一个基本问题，也是全面理解细胞内运输的一部分。在这里，我们探讨了离子强度增加时驱动蛋白 14 运动性降低的分子起源。我们的研究结合了引导分子动力学和伞采样模拟以及结合能计算。结论是，在低离子强度下，从后腿或后腿释放的 ADP 具有比从前腿或前腿释放的明显更低的势垒。然而，在较高的离子强度下，后腿和前腿的 ADP 释放势垒变得较低，现在两条腿的势垒相似。在这种情况下，虽然尾端的 ADP 释放变得更快（通常对应于更高的运动性），但前端的 ADP 释放也更快，并且两个头的整体运动相互平衡，运动性变得更慢。离子强度效应和我们的结合自由能计算表明该系统中的运动性是由静电能控制的。这种效应可能在体内细胞条件下很突出。</w:t>
      </w:r>
    </w:p>
    <w:p>
      <w:pPr>
        <w:spacing w:before="0" w:after="200" w:lineRule="auto" w:line="276"/>
      </w:pPr>
      <w:r>
        <w:rPr>
          <w:b/>
        </w:rPr>
        <w:t xml:space="preserve">Abstract (EN): </w:t>
      </w:r>
      <w:r>
        <w:t>Kinesin-14 motors are a special class of the kinesin family proteins that walk toward the minus end along the microtubule. It has the reverse directionality compared to the general conventional kinesins. The motility of kinesin-14 has been found to depend on the ionic strength. That is, when the ionic strength changes, the motility of the protein changes significantly. Understanding the origin of such effect is important both as a fundamental problem and as a part of the overall understanding of intracellular transportation. Here, we explore the molecular origin behind the lowering of motility of kinesin-14 upon increase in the ionic strength. Our study combines steered molecular dynamics and umbrella sampling simulations and binding energy calculations. It is concluded that at a low ionic strength the ADP release from the trailing or back leg has a significantly lower barrier than that from the leading or front leg. However, at a higher ionic strength the barrier of ADP release becomes lower for both the trailing and leading legs, where now the barriers for both legs are similar. In this case although the ADP release for the trailing end becomes faster (which usually corresponds to higher motility) it is also faster for the leading end, and the overall motion of both heads balance each other and the motility becomes slower. The ionic strength effect and our binding free energy calculations indicated that the motility in this system is controlled by electrostatic energy. Such effects are likely to be prominent in in-vivo cellular conditions.</w:t>
      </w:r>
    </w:p>
    <w:p>
      <w:pPr>
        <w:spacing w:before="120" w:after="120"/>
      </w:pPr>
      <w:r>
        <w:rPr>
          <w:sz w:val="18"/>
        </w:rPr>
        <w:t>——————————————————————————————————————————————————————————————————————</w:t>
      </w:r>
    </w:p>
    <w:p>
      <w:pPr>
        <w:spacing w:before="160" w:after="40" w:line="240" w:lineRule="auto"/>
      </w:pPr>
      <w:r>
        <w:rPr>
          <w:b/>
        </w:rPr>
        <w:t xml:space="preserve">[387] </w:t>
      </w:r>
      <w:hyperlink r:id="rId1213">
        <w:r>
          <w:rPr>
            <w:color w:val="1155CC"/>
            <w:u w:val="single"/>
          </w:rPr>
          <w:t>水星的地壳磁化强度表明存在更强大的古代发电机</w:t>
        </w:r>
      </w:hyperlink>
    </w:p>
    <w:p>
      <w:pPr>
        <w:spacing w:before="0" w:after="80"/>
      </w:pPr>
      <w:r>
        <w:rPr>
          <w:i/>
          <w:sz w:val="20"/>
        </w:rPr>
        <w:t>EN: Mercury’s crustal magnetization indicates a stronger ancient dynamo</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14">
        <w:r>
          <w:rPr>
            <w:color w:val="1155CC"/>
            <w:u w:val="single"/>
          </w:rPr>
          <w:t>10.1073/pnas.2608701123</w:t>
        </w:r>
      </w:hyperlink>
    </w:p>
    <w:p>
      <w:pPr>
        <w:spacing w:before="0" w:after="120"/>
      </w:pPr>
      <w:r>
        <w:rPr>
          <w:b/>
        </w:rPr>
        <w:t xml:space="preserve">Notes: </w:t>
      </w:r>
      <w:r>
        <w:t>abstract_source=crossref</w:t>
      </w:r>
    </w:p>
    <w:p>
      <w:pPr>
        <w:spacing w:before="0" w:after="80" w:lineRule="auto" w:line="276"/>
      </w:pPr>
      <w:r>
        <w:rPr>
          <w:b/>
        </w:rPr>
        <w:t xml:space="preserve">摘要（ZH）: </w:t>
      </w:r>
      <w:r>
        <w:t>水星是太阳系中除地球之外唯一一颗具有活跃发电机磁场（赤道表面约 200 nT）的类地行星。此外，水星约 3.9 至 37 亿年（Ga）的地壳具有强烈磁化（约 30 公里高度处约 10 nT），表明过去存在发电机。然而，过去的发电机场的强度和产生它的机制尚不清楚。为了解决这个问题，我们对古代太阳风与行星场的相互作用以及地壳热演化和磁化模型进行了三维磁流体动力学模拟。我们表明，地壳磁化强度可能是由偶极子场产生的，其赤道表面强度至少约为 2,000 nT，对于反转频率大于每百万年一次的发电机而言，可能高达约 30,000 nT。如此强的磁场可能排除了约 3.7 Ga 前的太阳风反馈和热电发电机机制。相反，我们的结果与过去由几乎完全对流的核心产生的发电机兼容。</w:t>
      </w:r>
    </w:p>
    <w:p>
      <w:pPr>
        <w:spacing w:before="0" w:after="200" w:lineRule="auto" w:line="276"/>
      </w:pPr>
      <w:r>
        <w:rPr>
          <w:b/>
        </w:rPr>
        <w:t xml:space="preserve">Abstract (EN): </w:t>
      </w:r>
      <w:r>
        <w:t>Mercury is the only terrestrial planet in the solar system other than Earth with an active dynamo magnetic field (~200 nT at the equatorial surface). Furthermore, Mercury’s ~3.9- to 3.7-billion-year-old (Ga) crust is strongly magnetized (~10 nT at ~30-km altitude), indicating the presence of a past dynamo. However, the strength of the past dynamo field and the mechanism that generated it are unknown. To address this, we performed three-dimensional magnetohydrodynamic simulations of the ancient solar wind interaction with the planetary field coupled with crustal thermal evolution and magnetization models. We show that the crustal magnetization was likely produced by a dipole field with equatorial surface strength of at least ~2,000 nT and possibly as high as ~30,000 nT for a dynamo with a reversal frequency greater than once per million years. Such strong fields likely exclude both the solar wind feedback and thermoelectric dynamo mechanisms at ~3.7 Ga ago. Instead, our results are compatible with the past dynamo being generated by a nearly fully convective core.</w:t>
      </w:r>
    </w:p>
    <w:p>
      <w:pPr>
        <w:spacing w:before="120" w:after="120"/>
      </w:pPr>
      <w:r>
        <w:rPr>
          <w:sz w:val="18"/>
        </w:rPr>
        <w:t>——————————————————————————————————————————————————————————————————————</w:t>
      </w:r>
    </w:p>
    <w:p>
      <w:pPr>
        <w:spacing w:before="160" w:after="40" w:line="240" w:lineRule="auto"/>
      </w:pPr>
      <w:r>
        <w:rPr>
          <w:b/>
        </w:rPr>
        <w:t xml:space="preserve">[388] </w:t>
      </w:r>
      <w:hyperlink r:id="rId1215">
        <w:r>
          <w:rPr>
            <w:color w:val="1155CC"/>
            <w:u w:val="single"/>
          </w:rPr>
          <w:t>肠道共生丝状真菌重新编程宿主代谢和微生物群以提供辐射防护</w:t>
        </w:r>
      </w:hyperlink>
    </w:p>
    <w:p>
      <w:pPr>
        <w:spacing w:before="0" w:after="80"/>
      </w:pPr>
      <w:r>
        <w:rPr>
          <w:i/>
          <w:sz w:val="20"/>
        </w:rPr>
        <w:t>EN: A gut symbiotic filamentous fungus reprograms host metabolism and the microbiota to confer radioprotection</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16">
        <w:r>
          <w:rPr>
            <w:color w:val="1155CC"/>
            <w:u w:val="single"/>
          </w:rPr>
          <w:t>10.1073/pnas.2608386123</w:t>
        </w:r>
      </w:hyperlink>
    </w:p>
    <w:p>
      <w:pPr>
        <w:spacing w:before="0" w:after="120"/>
      </w:pPr>
      <w:r>
        <w:rPr>
          <w:b/>
        </w:rPr>
        <w:t xml:space="preserve">Notes: </w:t>
      </w:r>
      <w:r>
        <w:t>abstract_source=crossref</w:t>
      </w:r>
    </w:p>
    <w:p>
      <w:pPr>
        <w:spacing w:before="0" w:after="80" w:lineRule="auto" w:line="276"/>
      </w:pPr>
      <w:r>
        <w:rPr>
          <w:b/>
        </w:rPr>
        <w:t xml:space="preserve">摘要（ZH）: </w:t>
      </w:r>
      <w:r>
        <w:t>肠道菌群与宿主生理学的联系越来越紧密，但功能性见解主要由酵母菌主导，而丝状真菌的作用在很大程度上尚未被探索。在这里，我们确定</w:t>
      </w:r>
      <w:r>
        <w:t xml:space="preserve"> </w:t>
      </w:r>
      <w:r>
        <w:t>总状毛霉</w:t>
      </w:r>
      <w:r>
        <w:t xml:space="preserve"> </w:t>
      </w:r>
      <w:r>
        <w:t>作为一种肠道驻留共生丝状真菌，通过菌丝和孢子形式建立肠道定植。</w:t>
      </w:r>
      <w:r>
        <w:t xml:space="preserve"> </w:t>
      </w:r>
      <w:r>
        <w:t>总状芒草</w:t>
      </w:r>
      <w:r>
        <w:t xml:space="preserve"> </w:t>
      </w:r>
      <w:r>
        <w:t>通过将直接宿主支持与微生物介导的放大相结合的综合代谢程序提供辐射防护。该真菌产生 L-谷氨酸、L-天冬氨酸和 DL-赖氨酸，这些物质被转移到宿主体内以增强受辐射的肠上皮细胞的 DNA 损伤修复。同时，</w:t>
      </w:r>
      <w:r>
        <w:t xml:space="preserve"> </w:t>
      </w:r>
      <w:r>
        <w:t>总状芒草</w:t>
      </w:r>
      <w:r>
        <w:t xml:space="preserve"> </w:t>
      </w:r>
      <w:r>
        <w:t>–衍生的甲硫腺苷通过富集来重塑肠道细菌群落</w:t>
      </w:r>
      <w:r>
        <w:t xml:space="preserve"> </w:t>
      </w:r>
      <w:r>
        <w:t>罗伊氏柠檬酸乳杆菌</w:t>
      </w:r>
      <w:r>
        <w:t xml:space="preserve"> </w:t>
      </w:r>
      <w:r>
        <w:t>重新编程硫代谢以产生辐射防护蛋氨酸。这种协调的真菌-细菌代谢轴增强了肠道的放射耐受性。与此机制一致，饮食给药</w:t>
      </w:r>
      <w:r>
        <w:t xml:space="preserve"> </w:t>
      </w:r>
      <w:r>
        <w:t>总状芒草</w:t>
      </w:r>
      <w:r>
        <w:t xml:space="preserve"> </w:t>
      </w:r>
      <w:r>
        <w:t>– 发酵奶酪具有体内辐射防护作用。总之，这些发现证实肠道丝状真菌是宿主与微生物群相互作用的活跃代谢组织者。</w:t>
      </w:r>
    </w:p>
    <w:p>
      <w:pPr>
        <w:spacing w:before="0" w:after="200" w:lineRule="auto" w:line="276"/>
      </w:pPr>
      <w:r>
        <w:rPr>
          <w:b/>
        </w:rPr>
        <w:t xml:space="preserve">Abstract (EN): </w:t>
      </w:r>
      <w:r>
        <w:t>The gut mycobiome is increasingly linked to host physiology, yet functional insights are dominated by yeasts, leaving the roles of filamentous fungi largely unexplored. Here, we identify</w:t>
      </w:r>
      <w:r>
        <w:t xml:space="preserve"> </w:t>
      </w:r>
      <w:r>
        <w:t>Mucor racemosus</w:t>
      </w:r>
      <w:r>
        <w:t xml:space="preserve"> </w:t>
      </w:r>
      <w:r>
        <w:t>as a gut-resident symbiotic filamentous fungus that establishes intestinal colonization via both hyphal and spore forms.</w:t>
      </w:r>
      <w:r>
        <w:t xml:space="preserve"> </w:t>
      </w:r>
      <w:r>
        <w:t>M. racemosus</w:t>
      </w:r>
      <w:r>
        <w:t xml:space="preserve"> </w:t>
      </w:r>
      <w:r>
        <w:t>confers radioprotection through an integrated metabolic program coupling direct host support with microbiota-mediated amplification. The fungus produces L-glutamate, L-aspartate, and DL-lysine, which are transferred to the host to enhance DNA damage repair in radiation-exposed intestinal epithelial cells. In parallel,</w:t>
      </w:r>
      <w:r>
        <w:t xml:space="preserve"> </w:t>
      </w:r>
      <w:r>
        <w:t>M. racemosus</w:t>
      </w:r>
      <w:r>
        <w:t xml:space="preserve"> </w:t>
      </w:r>
      <w:r>
        <w:t>–derived methylthioadenosine remodels the gut bacterial community by enriching</w:t>
      </w:r>
      <w:r>
        <w:t xml:space="preserve"> </w:t>
      </w:r>
      <w:r>
        <w:t>Limosilactobacillus reuteri</w:t>
      </w:r>
      <w:r>
        <w:t xml:space="preserve"> </w:t>
      </w:r>
      <w:r>
        <w:t>and reprogramming sulfur metabolism to generate radioprotective methionine. This coordinated fungal–bacterial metabolic axis reinforces intestinal radiotolerance. Consistent with this mechanism, dietary administration of</w:t>
      </w:r>
      <w:r>
        <w:t xml:space="preserve"> </w:t>
      </w:r>
      <w:r>
        <w:t>M. racemosus</w:t>
      </w:r>
      <w:r>
        <w:t xml:space="preserve"> </w:t>
      </w:r>
      <w:r>
        <w:t>–fermented cheese confers radioprotection in vivo. Together, these findings establish gut filamentous fungi as active metabolic organizers of host–microbiota interactions.</w:t>
      </w:r>
    </w:p>
    <w:p>
      <w:pPr>
        <w:spacing w:before="120" w:after="120"/>
      </w:pPr>
      <w:r>
        <w:rPr>
          <w:sz w:val="18"/>
        </w:rPr>
        <w:t>——————————————————————————————————————————————————————————————————————</w:t>
      </w:r>
    </w:p>
    <w:p>
      <w:pPr>
        <w:spacing w:before="160" w:after="40" w:line="240" w:lineRule="auto"/>
      </w:pPr>
      <w:r>
        <w:rPr>
          <w:b/>
        </w:rPr>
        <w:t xml:space="preserve">[389] </w:t>
      </w:r>
      <w:hyperlink r:id="rId1217">
        <w:r>
          <w:rPr>
            <w:color w:val="1155CC"/>
            <w:u w:val="single"/>
          </w:rPr>
          <w:t>成人前脑兴奋性神经元 Ank3 缺失会破坏行为、神经元活动、膜蛋白质组和髓鞘形成</w:t>
        </w:r>
      </w:hyperlink>
    </w:p>
    <w:p>
      <w:pPr>
        <w:spacing w:before="0" w:after="80"/>
      </w:pPr>
      <w:r>
        <w:rPr>
          <w:i/>
          <w:sz w:val="20"/>
        </w:rPr>
        <w:t>EN: Ank3 loss in adult forebrain excitatory neurons disrupts behavior, neuronal activity, membrane proteome, and myelination</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18">
        <w:r>
          <w:rPr>
            <w:color w:val="1155CC"/>
            <w:u w:val="single"/>
          </w:rPr>
          <w:t>10.1073/pnas.2606900123</w:t>
        </w:r>
      </w:hyperlink>
    </w:p>
    <w:p>
      <w:pPr>
        <w:spacing w:before="0" w:after="120"/>
      </w:pPr>
      <w:r>
        <w:rPr>
          <w:b/>
        </w:rPr>
        <w:t xml:space="preserve">Notes: </w:t>
      </w:r>
      <w:r>
        <w:t>abstract_source=crossref</w:t>
      </w:r>
    </w:p>
    <w:p>
      <w:pPr>
        <w:spacing w:before="0" w:after="80" w:lineRule="auto" w:line="276"/>
      </w:pPr>
      <w:r>
        <w:rPr>
          <w:b/>
        </w:rPr>
        <w:t xml:space="preserve">摘要（ZH）: </w:t>
      </w:r>
      <w:r>
        <w:t>ANK3</w:t>
      </w:r>
      <w:r>
        <w:t xml:space="preserve"> </w:t>
      </w:r>
      <w:r>
        <w:t>编码支架蛋白锚蛋白-G，是双相情感障碍和精神分裂症的主要风险基因，但其细胞和回路水平机制仍不清楚。在这里，我们证明删除</w:t>
      </w:r>
      <w:r>
        <w:t xml:space="preserve"> </w:t>
      </w:r>
      <w:r>
        <w:t>安克3</w:t>
      </w:r>
      <w:r>
        <w:t xml:space="preserve"> </w:t>
      </w:r>
      <w:r>
        <w:t>在前脑兴奋性神经元中——无论是在产前（</w:t>
      </w:r>
      <w:r>
        <w:t xml:space="preserve"> </w:t>
      </w:r>
      <w:r>
        <w:t>安克3</w:t>
      </w:r>
      <w:r>
        <w:t xml:space="preserve"> </w:t>
      </w:r>
      <w:r>
        <w:t>–/</w:t>
      </w:r>
      <w:r>
        <w:t>-</w:t>
      </w:r>
      <w:r>
        <w:t>:Emx1-Cre</w:t>
      </w:r>
      <w:r>
        <w:t xml:space="preserve"> </w:t>
      </w:r>
      <w:r>
        <w:t>）或在青春期（</w:t>
      </w:r>
      <w:r>
        <w:t xml:space="preserve"> </w:t>
      </w:r>
      <w:r>
        <w:t>安克3</w:t>
      </w:r>
      <w:r>
        <w:t xml:space="preserve"> </w:t>
      </w:r>
      <w:r>
        <w:t>–/</w:t>
      </w:r>
      <w:r>
        <w:t>–</w:t>
      </w:r>
      <w:r>
        <w:t xml:space="preserve"> </w:t>
      </w:r>
      <w:r>
        <w:t>:CaMKIIα-Cre</w:t>
      </w:r>
      <w:r>
        <w:t xml:space="preserve"> </w:t>
      </w:r>
      <w:r>
        <w:t>）导致成年期的行为表型趋同，包括多动、焦虑样行为减少和抑郁样反应减少。培养神经元和急性脑切片的钙成像显示，锚蛋白-G 的丢失会降低自发和诱发的神经元活动。对膜富集的皮质部分进行的定量蛋白质组分析揭示了突触蛋白质组的广泛重塑，包括激酶Taok2的上调和髓磷脂碱性蛋白（Mbp）（少突胶质细胞来源的髓磷脂的结构成分）的意外下调。重要的是，长期锂治疗可以逆转行为异常</w:t>
      </w:r>
      <w:r>
        <w:t xml:space="preserve"> </w:t>
      </w:r>
      <w:r>
        <w:t>安克3</w:t>
      </w:r>
      <w:r>
        <w:t xml:space="preserve"> </w:t>
      </w:r>
      <w:r>
        <w:t>-缺陷小鼠，也恢复了Mbp表达。总之，我们的研究结果确定锚蛋白-G 是兴奋性神经元活动、突触结构和髓质之间的分子桥梁。</w:t>
      </w:r>
    </w:p>
    <w:p>
      <w:pPr>
        <w:spacing w:before="0" w:after="200" w:lineRule="auto" w:line="276"/>
      </w:pPr>
      <w:r>
        <w:rPr>
          <w:b/>
        </w:rPr>
        <w:t xml:space="preserve">Abstract (EN): </w:t>
      </w:r>
      <w:r>
        <w:t>ANK3</w:t>
      </w:r>
      <w:r>
        <w:t xml:space="preserve"> </w:t>
      </w:r>
      <w:r>
        <w:t>, encoding the scaffolding protein ankyrin-G, is a major risk gene for bipolar disorder and schizophrenia, but its cellular and circuit-level mechanisms remain poorly defined. Here, we demonstrate that deletion of</w:t>
      </w:r>
      <w:r>
        <w:t xml:space="preserve"> </w:t>
      </w:r>
      <w:r>
        <w:t>Ank3</w:t>
      </w:r>
      <w:r>
        <w:t xml:space="preserve"> </w:t>
      </w:r>
      <w:r>
        <w:t>in forebrain excitatory neurons-either prenatally (</w:t>
      </w:r>
      <w:r>
        <w:t xml:space="preserve"> </w:t>
      </w:r>
      <w:r>
        <w:t>Ank3</w:t>
      </w:r>
      <w:r>
        <w:t xml:space="preserve"> </w:t>
      </w:r>
      <w:r>
        <w:t>–/</w:t>
      </w:r>
      <w:r>
        <w:t>−</w:t>
      </w:r>
      <w:r>
        <w:t>:Emx1-Cre</w:t>
      </w:r>
      <w:r>
        <w:t xml:space="preserve"> </w:t>
      </w:r>
      <w:r>
        <w:t>) or in adolescence (</w:t>
      </w:r>
      <w:r>
        <w:t xml:space="preserve"> </w:t>
      </w:r>
      <w:r>
        <w:t>Ank3</w:t>
      </w:r>
      <w:r>
        <w:t xml:space="preserve"> </w:t>
      </w:r>
      <w:r>
        <w:t>–/</w:t>
      </w:r>
      <w:r>
        <w:t>–</w:t>
      </w:r>
      <w:r>
        <w:t xml:space="preserve"> </w:t>
      </w:r>
      <w:r>
        <w:t>:CaMKIIα-Cre</w:t>
      </w:r>
      <w:r>
        <w:t xml:space="preserve"> </w:t>
      </w:r>
      <w:r>
        <w:t>) leads to convergent behavioral phenotypes in adulthood, including hyperactivity, reduced anxiety-like behavior, and decreased depression-like responses. Calcium imaging in cultured neurons and acute brain slices revealed that ankyrin-G loss reduces both spontaneous and evoked neuronal activity. Quantitative proteomic profiling of membrane-enriched cortical fractions uncovered widespread remodeling of the synaptic proteome, including upregulation of the kinase Taok2 and unexpected downregulation of myelin basic protein (Mbp), a structural component of oligodendrocyte-derived myelin. Importantly, chronic lithium treatment, known to reverse behavioral abnormalities in</w:t>
      </w:r>
      <w:r>
        <w:t xml:space="preserve"> </w:t>
      </w:r>
      <w:r>
        <w:t>Ank3</w:t>
      </w:r>
      <w:r>
        <w:t xml:space="preserve"> </w:t>
      </w:r>
      <w:r>
        <w:t>-deficient mice, also restored Mbp expression. Together, our findings identify ankyrin-G as a molecular bridge between excitatory neuronal activity, synaptic structure, and myelin-associated protein expression, revealing a pathway by which</w:t>
      </w:r>
      <w:r>
        <w:t xml:space="preserve"> </w:t>
      </w:r>
      <w:r>
        <w:t>ANK3</w:t>
      </w:r>
      <w:r>
        <w:t xml:space="preserve"> </w:t>
      </w:r>
      <w:r>
        <w:t>variants may contribute to neuropsychiatric disease.</w:t>
      </w:r>
    </w:p>
    <w:p>
      <w:pPr>
        <w:spacing w:before="120" w:after="120"/>
      </w:pPr>
      <w:r>
        <w:rPr>
          <w:sz w:val="18"/>
        </w:rPr>
        <w:t>——————————————————————————————————————————————————————————————————————</w:t>
      </w:r>
    </w:p>
    <w:p>
      <w:pPr>
        <w:spacing w:before="160" w:after="40" w:line="240" w:lineRule="auto"/>
      </w:pPr>
      <w:r>
        <w:rPr>
          <w:b/>
        </w:rPr>
        <w:t xml:space="preserve">[390] </w:t>
      </w:r>
      <w:hyperlink r:id="rId1219">
        <w:r>
          <w:rPr>
            <w:color w:val="1155CC"/>
            <w:u w:val="single"/>
          </w:rPr>
          <w:t>大麻素耐受依赖于 NEDD4L 的 CB1 受体泛素化</w:t>
        </w:r>
      </w:hyperlink>
    </w:p>
    <w:p>
      <w:pPr>
        <w:spacing w:before="0" w:after="80"/>
      </w:pPr>
      <w:r>
        <w:rPr>
          <w:i/>
          <w:sz w:val="20"/>
        </w:rPr>
        <w:t>EN: Cannabinoid tolerance relies on CB1 receptor ubiquitination by NEDD4L</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20">
        <w:r>
          <w:rPr>
            <w:color w:val="1155CC"/>
            <w:u w:val="single"/>
          </w:rPr>
          <w:t>10.1073/pnas.2606671123</w:t>
        </w:r>
      </w:hyperlink>
    </w:p>
    <w:p>
      <w:pPr>
        <w:spacing w:before="0" w:after="120"/>
      </w:pPr>
      <w:r>
        <w:rPr>
          <w:b/>
        </w:rPr>
        <w:t xml:space="preserve">Notes: </w:t>
      </w:r>
      <w:r>
        <w:t>abstract_source=crossref</w:t>
      </w:r>
    </w:p>
    <w:p>
      <w:pPr>
        <w:spacing w:before="0" w:after="80" w:lineRule="auto" w:line="276"/>
      </w:pPr>
      <w:r>
        <w:rPr>
          <w:b/>
        </w:rPr>
        <w:t xml:space="preserve">摘要（ZH）: </w:t>
      </w:r>
      <w:r>
        <w:t>大麻素是大麻的活性成分，通过与大麻素 CB 结合，对大脑产生多种急性影响</w:t>
      </w:r>
      <w:r>
        <w:rPr>
          <w:vertAlign w:val="subscript"/>
        </w:rPr>
        <w:t>1</w:t>
      </w:r>
      <w:r>
        <w:t>受体（CB</w:t>
      </w:r>
      <w:r>
        <w:rPr>
          <w:vertAlign w:val="subscript"/>
        </w:rPr>
        <w:t>1</w:t>
      </w:r>
      <w:r>
        <w:t>卢比）。然而，反复接触药物后，耐受性会迅速出现，从而破坏基于大麻素的疗法的疗效并导致与大麻相关的不良反应。虽然 CB 的流程</w:t>
      </w:r>
      <w:r>
        <w:rPr>
          <w:vertAlign w:val="subscript"/>
        </w:rPr>
        <w:t>1</w:t>
      </w:r>
      <w:r>
        <w:t>R短期脱敏（即受体解偶联和内化）已得到很好的表征，CB的潜在机制</w:t>
      </w:r>
      <w:r>
        <w:rPr>
          <w:vertAlign w:val="subscript"/>
        </w:rPr>
        <w:t>1</w:t>
      </w:r>
      <w:r>
        <w:t>R 长期耐受性（即受体蛋白水平下调）仍然难以捉摸。在这里，我们确定了一个与 CB 偶联的泛素依赖性途径</w:t>
      </w:r>
      <w:r>
        <w:rPr>
          <w:vertAlign w:val="subscript"/>
        </w:rPr>
        <w:t>1</w:t>
      </w:r>
      <w:r>
        <w:t>R 激活对其蛋白酶体降解。我们证明大麻素具有 G</w:t>
      </w:r>
      <w:r>
        <w:t xml:space="preserve"> </w:t>
      </w:r>
      <w:r>
        <w:t>q/11</w:t>
      </w:r>
      <w:r>
        <w:t xml:space="preserve"> </w:t>
      </w:r>
      <w:r>
        <w:t>-PLC-PKC信号级联磷酸化并激活E3泛素连接酶神经前体细胞表达的发育下调4-like (NEDD4L)，促进其招募到CB</w:t>
      </w:r>
      <w:r>
        <w:rPr>
          <w:vertAlign w:val="subscript"/>
        </w:rPr>
        <w:t>1</w:t>
      </w:r>
      <w:r>
        <w:t>R 和四个特定赖氨酸残基的泛素化。这种修饰针对蛋白酶体清除受体，减少神经元 CB</w:t>
      </w:r>
      <w:r>
        <w:rPr>
          <w:vertAlign w:val="subscript"/>
        </w:rPr>
        <w:t>1</w:t>
      </w:r>
      <w:r>
        <w:t>体外和小鼠大脑中的 R 丰度。使用分子、药理学和特定回路的救援方法，我们证明了预防 CB</w:t>
      </w:r>
      <w:r>
        <w:rPr>
          <w:vertAlign w:val="subscript"/>
        </w:rPr>
        <w:t>1</w:t>
      </w:r>
      <w:r>
        <w:t>R泛素化</w:t>
      </w:r>
    </w:p>
    <w:p>
      <w:pPr>
        <w:spacing w:before="0" w:after="200" w:lineRule="auto" w:line="276"/>
      </w:pPr>
      <w:r>
        <w:rPr>
          <w:b/>
        </w:rPr>
        <w:t xml:space="preserve">Abstract (EN): </w:t>
      </w:r>
      <w:r>
        <w:t>Cannabinoids, the active components of cannabis, exert numerous acute effects in the brain by engaging cannabinoid CB</w:t>
      </w:r>
      <w:r>
        <w:rPr>
          <w:vertAlign w:val="subscript"/>
        </w:rPr>
        <w:t>1</w:t>
      </w:r>
      <w:r>
        <w:t>receptors (CB</w:t>
      </w:r>
      <w:r>
        <w:rPr>
          <w:vertAlign w:val="subscript"/>
        </w:rPr>
        <w:t>1</w:t>
      </w:r>
      <w:r>
        <w:t>Rs). However, tolerance emerges rapidly after repeated drug exposure, undermining the efficacy of cannabinoid-based therapies and contributing to cannabis-associated adverse effects. Although the processes of CB</w:t>
      </w:r>
      <w:r>
        <w:rPr>
          <w:vertAlign w:val="subscript"/>
        </w:rPr>
        <w:t>1</w:t>
      </w:r>
      <w:r>
        <w:t>R short-term desensitization (i.e., receptor uncoupling and internalization) are well characterized, the mechanisms underlying CB</w:t>
      </w:r>
      <w:r>
        <w:rPr>
          <w:vertAlign w:val="subscript"/>
        </w:rPr>
        <w:t>1</w:t>
      </w:r>
      <w:r>
        <w:t>R long-term tolerance (i.e., downregulation of receptor protein levels) remain elusive. Here, we identify a ubiquitin-dependent pathway that couples CB</w:t>
      </w:r>
      <w:r>
        <w:rPr>
          <w:vertAlign w:val="subscript"/>
        </w:rPr>
        <w:t>1</w:t>
      </w:r>
      <w:r>
        <w:t>R activation to its proteasomal degradation. We show that cannabinoids engage a G</w:t>
      </w:r>
      <w:r>
        <w:t xml:space="preserve"> </w:t>
      </w:r>
      <w:r>
        <w:t>q/11</w:t>
      </w:r>
      <w:r>
        <w:t xml:space="preserve"> </w:t>
      </w:r>
      <w:r>
        <w:t>-PLC-PKC signaling cascade that phosphorylates and activates the E3 ubiquitin ligase neural precursor cell-expressed developmentally downregulated 4-like (NEDD4L), promoting its recruitment to CB</w:t>
      </w:r>
      <w:r>
        <w:rPr>
          <w:vertAlign w:val="subscript"/>
        </w:rPr>
        <w:t>1</w:t>
      </w:r>
      <w:r>
        <w:t>R and the ubiquitination of four specific lysine residues. This modification targets the receptor for proteasomal clearance, reducing neuronal CB</w:t>
      </w:r>
      <w:r>
        <w:rPr>
          <w:vertAlign w:val="subscript"/>
        </w:rPr>
        <w:t>1</w:t>
      </w:r>
      <w:r>
        <w:t>R abundance in vitro and in the mouse brain. Using molecular, pharmacological, and circuit-specific rescue approaches, we demonstrate that preventing CB</w:t>
      </w:r>
      <w:r>
        <w:rPr>
          <w:vertAlign w:val="subscript"/>
        </w:rPr>
        <w:t>1</w:t>
      </w:r>
      <w:r>
        <w:t>R ubiquitination stabilizes receptor levels and abolishes behavioral cannabinoid tolerance in mice without impairing acute drug responses. These findings reveal a molecular mechanism that controls CB</w:t>
      </w:r>
      <w:r>
        <w:rPr>
          <w:vertAlign w:val="subscript"/>
        </w:rPr>
        <w:t>1</w:t>
      </w:r>
      <w:r>
        <w:t>R stability and identify NEDD4L-mediated ubiquitination as a central driver of cannabinoid tolerance.</w:t>
      </w:r>
    </w:p>
    <w:p>
      <w:pPr>
        <w:spacing w:before="120" w:after="120"/>
      </w:pPr>
      <w:r>
        <w:rPr>
          <w:sz w:val="18"/>
        </w:rPr>
        <w:t>——————————————————————————————————————————————————————————————————————</w:t>
      </w:r>
    </w:p>
    <w:p>
      <w:pPr>
        <w:spacing w:before="160" w:after="40" w:line="240" w:lineRule="auto"/>
      </w:pPr>
      <w:r>
        <w:rPr>
          <w:b/>
        </w:rPr>
        <w:t xml:space="preserve">[391] </w:t>
      </w:r>
      <w:hyperlink r:id="rId1221">
        <w:r>
          <w:rPr>
            <w:color w:val="1155CC"/>
            <w:u w:val="single"/>
          </w:rPr>
          <w:t>VEGF 分泌对小鼠视网膜 O2 减少的快速、不依赖于 HIF-1α 的反应</w:t>
        </w:r>
      </w:hyperlink>
    </w:p>
    <w:p>
      <w:pPr>
        <w:spacing w:before="0" w:after="80"/>
      </w:pPr>
      <w:r>
        <w:rPr>
          <w:i/>
          <w:sz w:val="20"/>
        </w:rPr>
        <w:t>EN: Rapid, HIF-1α-independent, response of VEGF secretion to decreased O2 in mouse retina</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22">
        <w:r>
          <w:rPr>
            <w:color w:val="1155CC"/>
            <w:u w:val="single"/>
          </w:rPr>
          <w:t>10.1073/pnas.2602872123</w:t>
        </w:r>
      </w:hyperlink>
    </w:p>
    <w:p>
      <w:pPr>
        <w:spacing w:before="0" w:after="120"/>
      </w:pPr>
      <w:r>
        <w:rPr>
          <w:b/>
        </w:rPr>
        <w:t xml:space="preserve">Notes: </w:t>
      </w:r>
      <w:r>
        <w:t>abstract_source=crossref</w:t>
      </w:r>
    </w:p>
    <w:p>
      <w:pPr>
        <w:spacing w:before="0" w:after="80" w:lineRule="auto" w:line="276"/>
      </w:pPr>
      <w:r>
        <w:rPr>
          <w:b/>
        </w:rPr>
        <w:t xml:space="preserve">摘要（ZH）: </w:t>
      </w:r>
      <w:r>
        <w:t>血管内皮生长因子-A (VEGF) 是血管并发症引起的视网膜病变的关键决定因素。其表达长期受到转录因子特别是缺氧诱导因子-1α (HIF-1α) 的调节，以响应氧气可用性的降低 [O</w:t>
      </w:r>
      <w:r>
        <w:rPr>
          <w:vertAlign w:val="subscript"/>
        </w:rPr>
        <w:t>2</w:t>
      </w:r>
      <w:r>
        <w:t>]。我们考虑了 VEGF 分泌是否存在响应低 O2 的明显快速反应成分</w:t>
      </w:r>
      <w:r>
        <w:rPr>
          <w:vertAlign w:val="subscript"/>
        </w:rPr>
        <w:t>2</w:t>
      </w:r>
      <w:r>
        <w:t>，比 HIF-1α 更快。为了研究这种可能性，我们测量了视网膜和其他组织对 VEGF、乳酸和 HIF-1α 对溶解氧快速、精确减少的实时反应。</w:t>
      </w:r>
      <w:r>
        <w:t xml:space="preserve"> </w:t>
      </w:r>
      <w:r>
        <w:t>2.</w:t>
      </w:r>
      <w:r>
        <w:t xml:space="preserve"> </w:t>
      </w:r>
      <w:r>
        <w:t>并表明，视网膜、视网膜色素上皮和内皮细胞均可在[O]降低后5分钟内分泌VEGF</w:t>
      </w:r>
      <w:r>
        <w:rPr>
          <w:vertAlign w:val="subscript"/>
        </w:rPr>
        <w:t>2</w:t>
      </w:r>
      <w:r>
        <w:t>]。视网膜中的 HIF-1α 水平直到溶解 [O] 减少后 20 至 30 分钟才增加。</w:t>
      </w:r>
      <w:r>
        <w:rPr>
          <w:vertAlign w:val="subscript"/>
        </w:rPr>
        <w:t>2</w:t>
      </w:r>
      <w:r>
        <w:t>]。此外，药物 Roxadustat 诱导的 HIF-1α 增加，在大气 (21%) O 下不会刺激 VEGF 分泌。</w:t>
      </w:r>
      <w:r>
        <w:rPr>
          <w:vertAlign w:val="subscript"/>
        </w:rPr>
        <w:t>2</w:t>
      </w:r>
      <w:r>
        <w:t>在通过暴露于蛋白质合成抑制剂放线菌酮消除 HIF-1α 和蛋白质合成后，VEGF 的稳定分泌率持续超过 120 分钟。然后我们研究了 VEGF 释放的机制，发现 VEGF 在 21% O 条件下储存在视网膜质膜中。</w:t>
      </w:r>
      <w:r>
        <w:rPr>
          <w:vertAlign w:val="subscript"/>
        </w:rPr>
        <w:t>2</w:t>
      </w:r>
      <w:r>
        <w:t>。一旦 [O]，这些商店就会在 30 分钟内耗尽</w:t>
      </w:r>
    </w:p>
    <w:p>
      <w:pPr>
        <w:spacing w:before="0" w:after="200" w:lineRule="auto" w:line="276"/>
      </w:pPr>
      <w:r>
        <w:rPr>
          <w:b/>
        </w:rPr>
        <w:t xml:space="preserve">Abstract (EN): </w:t>
      </w:r>
      <w:r>
        <w:t>Vascular endothelial growth factor-A (VEGF) is a critical determinant of retinopathy due to vascular complications. Its expression is chronically regulated by transcription factors notably hypoxia-inducible factor-1α (HIF-1α) in response to decreased availability of oxygen [O</w:t>
      </w:r>
      <w:r>
        <w:rPr>
          <w:vertAlign w:val="subscript"/>
        </w:rPr>
        <w:t>2</w:t>
      </w:r>
      <w:r>
        <w:t>]. We considered whether there is a distinct rapid response component of VEGF secretion in response to low O</w:t>
      </w:r>
      <w:r>
        <w:rPr>
          <w:vertAlign w:val="subscript"/>
        </w:rPr>
        <w:t>2</w:t>
      </w:r>
      <w:r>
        <w:t>, faster than could be achieved by HIF-1α. To investigate this possibility, we measured real time responses of VEGF, lactate, and HIF-1α by retinas and other tissues to rapid and precise decreases in dissolved O</w:t>
      </w:r>
      <w:r>
        <w:t xml:space="preserve"> </w:t>
      </w:r>
      <w:r>
        <w:t>2.</w:t>
      </w:r>
      <w:r>
        <w:t xml:space="preserve"> </w:t>
      </w:r>
      <w:r>
        <w:t>and showed that retinas, retinal pigment epithelium, and endothelial cells all can secrete VEGF within 5 min after a decrease in [O</w:t>
      </w:r>
      <w:r>
        <w:rPr>
          <w:vertAlign w:val="subscript"/>
        </w:rPr>
        <w:t>2</w:t>
      </w:r>
      <w:r>
        <w:t>]. HIF-1α levels in retinas did not increase until 20 to 30 min after a decrease in dissolved [O</w:t>
      </w:r>
      <w:r>
        <w:rPr>
          <w:vertAlign w:val="subscript"/>
        </w:rPr>
        <w:t>2</w:t>
      </w:r>
      <w:r>
        <w:t>]. Moreover, increased HIF-1α induced by the drug Roxadustat, did not stimulate VEGF secretion at atmospheric (21%) O</w:t>
      </w:r>
      <w:r>
        <w:rPr>
          <w:vertAlign w:val="subscript"/>
        </w:rPr>
        <w:t>2</w:t>
      </w:r>
      <w:r>
        <w:t>and a steady rate of VEGF secretion was sustained for over 120 min following elimination of HIF-1α and protein synthesis by exposure to the protein synthesis inhibitor cycloheximide. We then investigated the mechanism of VEGF release and found that VEGF was stored in the plasma membranes of retinas at 21% O</w:t>
      </w:r>
      <w:r>
        <w:rPr>
          <w:vertAlign w:val="subscript"/>
        </w:rPr>
        <w:t>2</w:t>
      </w:r>
      <w:r>
        <w:t>. These stores are depleted within 30 min once [O</w:t>
      </w:r>
      <w:r>
        <w:rPr>
          <w:vertAlign w:val="subscript"/>
        </w:rPr>
        <w:t>2</w:t>
      </w:r>
      <w:r>
        <w:t>] is decreased. Taken together, these findings indicate that VEGF is constitutively made (under the influence of HIF-1α and other transcription factors) and stored within the retina, and rapid release occurs after a substantial decrease in available O</w:t>
      </w:r>
      <w:r>
        <w:rPr>
          <w:vertAlign w:val="subscript"/>
        </w:rPr>
        <w:t>2</w:t>
      </w:r>
      <w:r>
        <w:t>independent of HIF-1α.</w:t>
      </w:r>
    </w:p>
    <w:p>
      <w:pPr>
        <w:spacing w:before="120" w:after="120"/>
      </w:pPr>
      <w:r>
        <w:rPr>
          <w:sz w:val="18"/>
        </w:rPr>
        <w:t>——————————————————————————————————————————————————————————————————————</w:t>
      </w:r>
    </w:p>
    <w:p>
      <w:pPr>
        <w:spacing w:before="160" w:after="40" w:line="240" w:lineRule="auto"/>
      </w:pPr>
      <w:r>
        <w:rPr>
          <w:b/>
        </w:rPr>
        <w:t xml:space="preserve">[392] </w:t>
      </w:r>
      <w:hyperlink r:id="rId1223">
        <w:r>
          <w:rPr>
            <w:color w:val="1155CC"/>
            <w:u w:val="single"/>
          </w:rPr>
          <w:t>SET7介导的IRF3赖氨酸98甲基化减弱抗病毒先天免疫</w:t>
        </w:r>
      </w:hyperlink>
    </w:p>
    <w:p>
      <w:pPr>
        <w:spacing w:before="0" w:after="80"/>
      </w:pPr>
      <w:r>
        <w:rPr>
          <w:i/>
          <w:sz w:val="20"/>
        </w:rPr>
        <w:t>EN: SET7-mediated methylation of IRF3 at lysine 98 attenuates antiviral innate immunity</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24">
        <w:r>
          <w:rPr>
            <w:color w:val="1155CC"/>
            <w:u w:val="single"/>
          </w:rPr>
          <w:t>10.1073/pnas.2601297123</w:t>
        </w:r>
      </w:hyperlink>
    </w:p>
    <w:p>
      <w:pPr>
        <w:spacing w:before="0" w:after="120"/>
      </w:pPr>
      <w:r>
        <w:rPr>
          <w:b/>
        </w:rPr>
        <w:t xml:space="preserve">Notes: </w:t>
      </w:r>
      <w:r>
        <w:t>abstract_source=crossref</w:t>
      </w:r>
    </w:p>
    <w:p>
      <w:pPr>
        <w:spacing w:before="0" w:after="80" w:lineRule="auto" w:line="276"/>
      </w:pPr>
      <w:r>
        <w:rPr>
          <w:b/>
        </w:rPr>
        <w:t xml:space="preserve">摘要（ZH）: </w:t>
      </w:r>
      <w:r>
        <w:t>SET7 属于 SET 结构域 (SETD) 甲基转移酶家族，可催化​​组蛋白和非组蛋白中赖氨酸残基的单甲基化。这个过程可以增强或抑制基因激活。干扰素调节因子 3 (IRF3) 是 I 型干扰素 (IFN) 信号通路中的关键转录因子。该通路由多个翻译后修饰控制，可微调 IRF3 的功能。在这里，我们将 SET7 确定为 IRF3 的负调节因子。 SET7 与 IRF3 相互作用并催化 IRF3 在赖氨酸 98 处的单甲基化。这种修饰减少了 IRF3 磷酸化、二聚化和随后的核转位，从而抑制下游 I 型干扰素的产生。此外，斑马鱼缺乏</w:t>
      </w:r>
      <w:r>
        <w:t xml:space="preserve"> </w:t>
      </w:r>
      <w:r>
        <w:t>设置7</w:t>
      </w:r>
      <w:r>
        <w:t xml:space="preserve"> </w:t>
      </w:r>
      <w:r>
        <w:t>以及那些用抑制剂 (R)-PFI-2 治疗的患者，对病毒感染表现出更强的抵抗力。</w:t>
      </w:r>
      <w:r>
        <w:t xml:space="preserve"> </w:t>
      </w:r>
      <w:r>
        <w:t>套装7</w:t>
      </w:r>
      <w:r>
        <w:t xml:space="preserve"> </w:t>
      </w:r>
      <w:r>
        <w:t>-缺陷小鼠还对RNA和DNA病毒感染表现出更强的抵抗力。我们的研究结果揭示了 SET7 在调节抗病毒先天免疫中的作用，并深入了解影响其激活的 IRF3 单甲基化。</w:t>
      </w:r>
    </w:p>
    <w:p>
      <w:pPr>
        <w:spacing w:before="0" w:after="200" w:lineRule="auto" w:line="276"/>
      </w:pPr>
      <w:r>
        <w:rPr>
          <w:b/>
        </w:rPr>
        <w:t xml:space="preserve">Abstract (EN): </w:t>
      </w:r>
      <w:r>
        <w:t>SET7 belongs to the SET domain (SETD) methyltransferase family, which catalyzes the monomethylation of lysine residues in histones and nonhistone proteins. This process can either enhance or suppress gene activation. Interferon regulatory factor 3 (IRF3) is a key transcription factor in the type I interferon (IFN) signaling pathway. This pathway is controlled by multiple posttranslational modifications that finely tune IRF3’s function. Here, we identify SET7 as a negative regulator of IRF3. SET7 interacts with IRF3 and catalyzes the monomethylation of IRF3 at lysine 98. This modification decreases IRF3 phosphorylation, dimerization, and subsequent nuclear translocation, thereby inhibiting the production of downstream type I interferons. Furthermore, zebrafish lacking</w:t>
      </w:r>
      <w:r>
        <w:t xml:space="preserve"> </w:t>
      </w:r>
      <w:r>
        <w:t>set7</w:t>
      </w:r>
      <w:r>
        <w:t xml:space="preserve"> </w:t>
      </w:r>
      <w:r>
        <w:t>, as well as those treated with the inhibitor (R)-PFI-2, exhibits greater resistance to viral infection.</w:t>
      </w:r>
      <w:r>
        <w:t xml:space="preserve"> </w:t>
      </w:r>
      <w:r>
        <w:t>Set7</w:t>
      </w:r>
      <w:r>
        <w:t xml:space="preserve"> </w:t>
      </w:r>
      <w:r>
        <w:t>-deficient mice also exhibit greater resistance to RNA and DNA viral infections. Our findings reveal a role for SET7 in regulating antiviral innate immunity and provide insight into the IRF3 monomethylation that affects its activation.</w:t>
      </w:r>
    </w:p>
    <w:p>
      <w:pPr>
        <w:spacing w:before="120" w:after="120"/>
      </w:pPr>
      <w:r>
        <w:rPr>
          <w:sz w:val="18"/>
        </w:rPr>
        <w:t>——————————————————————————————————————————————————————————————————————</w:t>
      </w:r>
    </w:p>
    <w:p>
      <w:pPr>
        <w:spacing w:before="160" w:after="40" w:line="240" w:lineRule="auto"/>
      </w:pPr>
      <w:r>
        <w:rPr>
          <w:b/>
        </w:rPr>
        <w:t xml:space="preserve">[393] </w:t>
      </w:r>
      <w:hyperlink r:id="rId1225">
        <w:r>
          <w:rPr>
            <w:color w:val="1155CC"/>
            <w:u w:val="single"/>
          </w:rPr>
          <w:t>多域相互作用控制显性失活 DNMT3A R882H 突变体的丝状组装</w:t>
        </w:r>
      </w:hyperlink>
    </w:p>
    <w:p>
      <w:pPr>
        <w:spacing w:before="0" w:after="80"/>
      </w:pPr>
      <w:r>
        <w:rPr>
          <w:i/>
          <w:sz w:val="20"/>
        </w:rPr>
        <w:t>EN: Multidomain interaction governs the filamentous assembly of the dominant-negative DNMT3A R882H mutant</w:t>
      </w:r>
    </w:p>
    <w:p>
      <w:pPr>
        <w:spacing w:before="0" w:after="120"/>
      </w:pPr>
      <w:r>
        <w:rPr>
          <w:b/>
        </w:rPr>
        <w:t xml:space="preserve">Source: </w:t>
      </w:r>
      <w:r>
        <w:t>Proceedings of the National Academy of Sciences: Keyword search for query</w:t>
      </w:r>
      <w:r>
        <w:t xml:space="preserve">    </w:t>
      </w:r>
      <w:r>
        <w:rPr>
          <w:b/>
        </w:rPr>
        <w:t xml:space="preserve">Pub date: </w:t>
      </w:r>
      <w:r>
        <w:t>2026-08-25 07:00:00+00:00</w:t>
      </w:r>
      <w:r>
        <w:t xml:space="preserve">    </w:t>
      </w:r>
      <w:r>
        <w:rPr>
          <w:b/>
        </w:rPr>
        <w:t xml:space="preserve">DOI: </w:t>
      </w:r>
      <w:hyperlink r:id="rId1226">
        <w:r>
          <w:rPr>
            <w:color w:val="1155CC"/>
            <w:u w:val="single"/>
          </w:rPr>
          <w:t>10.1073/pnas.2609226123</w:t>
        </w:r>
      </w:hyperlink>
    </w:p>
    <w:p>
      <w:pPr>
        <w:spacing w:before="0" w:after="120"/>
      </w:pPr>
      <w:r>
        <w:rPr>
          <w:b/>
        </w:rPr>
        <w:t xml:space="preserve">Notes: </w:t>
      </w:r>
      <w:r>
        <w:t>abstract_source=crossref</w:t>
      </w:r>
    </w:p>
    <w:p>
      <w:pPr>
        <w:spacing w:before="0" w:after="80" w:lineRule="auto" w:line="276"/>
      </w:pPr>
      <w:r>
        <w:rPr>
          <w:b/>
        </w:rPr>
        <w:t xml:space="preserve">摘要（ZH）: </w:t>
      </w:r>
      <w:r>
        <w:t>DNA 甲基转移酶 DNMT3A 介导的 DNA 从头甲基化对于发育过程中基因表达和基因组稳定性的正确调节非常重要。 DNMT3A R882H（DNMT3A</w:t>
      </w:r>
      <w:r>
        <w:t xml:space="preserve"> </w:t>
      </w:r>
      <w:r>
        <w:t>R882H</w:t>
      </w:r>
      <w:r>
        <w:t xml:space="preserve"> </w:t>
      </w:r>
      <w:r>
        <w:t>) 突变是急性髓系白血病和发育障碍中的热点突变，通过促进高阶蛋白质组装对 DNMT3A 介导的 DNA 甲基化发挥显性负效应。然而，由于缺乏对 DNMT3A 同源寡聚体的结构了解，野生型 DNMT3A（DNMT3A</w:t>
      </w:r>
      <w:r>
        <w:t xml:space="preserve"> </w:t>
      </w:r>
      <w:r>
        <w:t>WT</w:t>
      </w:r>
      <w:r>
        <w:t xml:space="preserve"> </w:t>
      </w:r>
      <w:r>
        <w:t>) 和 DNMT3A</w:t>
      </w:r>
      <w:r>
        <w:t xml:space="preserve"> </w:t>
      </w:r>
      <w:r>
        <w:t>R882H</w:t>
      </w:r>
      <w:r>
        <w:t xml:space="preserve"> </w:t>
      </w:r>
      <w:r>
        <w:t>聚合反应仍不清楚。在这里，我们报告了同源寡聚 DNMT3A 的单粒子冷冻电镜结构</w:t>
      </w:r>
      <w:r>
        <w:t xml:space="preserve"> </w:t>
      </w:r>
      <w:r>
        <w:t>WT</w:t>
      </w:r>
      <w:r>
        <w:t xml:space="preserve"> </w:t>
      </w:r>
      <w:r>
        <w:t>和丝状DNMT3A</w:t>
      </w:r>
      <w:r>
        <w:t xml:space="preserve"> </w:t>
      </w:r>
      <w:r>
        <w:t>R882H</w:t>
      </w:r>
      <w:r>
        <w:t xml:space="preserve"> </w:t>
      </w:r>
      <w:r>
        <w:t>，揭示了 DNMT3A 的调节 Pro-Trp-Trp-Pro (PWWP) 和 ATRX-DNMT3-DNMT3L (ADD) 结构域在其动态组装中的作用。虽然 DNMT3A 的寡聚组装主要由甲基转移酶结构域中的寡聚体界面驱动，但 DNMT3A 中 PWWP 和 ADD 结构域的自抑制相互作用使它们处于分子间接触的位置，从而有助于 DNMT3A 的丝状组装</w:t>
      </w:r>
      <w:r>
        <w:t xml:space="preserve"> </w:t>
      </w:r>
      <w:r>
        <w:t>R882H</w:t>
      </w:r>
      <w:r>
        <w:t xml:space="preserve"> </w:t>
      </w:r>
      <w:r>
        <w:t>。破坏自抑制相互作用促进 DNMT3A 的转变</w:t>
      </w:r>
      <w:r>
        <w:t xml:space="preserve"> </w:t>
      </w:r>
      <w:r>
        <w:t>R882H</w:t>
      </w:r>
      <w:r>
        <w:t xml:space="preserve"> </w:t>
      </w:r>
      <w:r>
        <w:t>聚合物朝向低阶低聚物组装，增强了聚集衰减效应</w:t>
      </w:r>
    </w:p>
    <w:p>
      <w:pPr>
        <w:spacing w:before="0" w:after="200" w:lineRule="auto" w:line="276"/>
      </w:pPr>
      <w:r>
        <w:rPr>
          <w:b/>
        </w:rPr>
        <w:t xml:space="preserve">Abstract (EN): </w:t>
      </w:r>
      <w:r>
        <w:t>DNA methyltransferase DNMT3A-mediated de novo DNA methylation is important for proper regulation of gene expression and genomic stability in development. The DNMT3A R882H (DNMT3A</w:t>
      </w:r>
      <w:r>
        <w:t xml:space="preserve"> </w:t>
      </w:r>
      <w:r>
        <w:t>R882H</w:t>
      </w:r>
      <w:r>
        <w:t xml:space="preserve"> </w:t>
      </w:r>
      <w:r>
        <w:t>) mutation, a hot-spot mutation in acute myeloid leukemia and developmental disorders, exerts a dominant-negative effect in DNMT3A-mediated DNA methylation through promoting high-order protein assembly. However, due to the lack of structural knowledge on DNMT3A homo-oligomers, the mechanism behind wild-type DNMT3A (DNMT3A</w:t>
      </w:r>
      <w:r>
        <w:t xml:space="preserve"> </w:t>
      </w:r>
      <w:r>
        <w:t>WT</w:t>
      </w:r>
      <w:r>
        <w:t xml:space="preserve"> </w:t>
      </w:r>
      <w:r>
        <w:t>) and DNMT3A</w:t>
      </w:r>
      <w:r>
        <w:t xml:space="preserve"> </w:t>
      </w:r>
      <w:r>
        <w:t>R882H</w:t>
      </w:r>
      <w:r>
        <w:t xml:space="preserve"> </w:t>
      </w:r>
      <w:r>
        <w:t>polymerization remains unclear. Here, we report the single-particle cryo-EM structures of homo-oligomeric DNMT3A</w:t>
      </w:r>
      <w:r>
        <w:t xml:space="preserve"> </w:t>
      </w:r>
      <w:r>
        <w:t>WT</w:t>
      </w:r>
      <w:r>
        <w:t xml:space="preserve"> </w:t>
      </w:r>
      <w:r>
        <w:t>and filamentous DNMT3A</w:t>
      </w:r>
      <w:r>
        <w:t xml:space="preserve"> </w:t>
      </w:r>
      <w:r>
        <w:t>R882H</w:t>
      </w:r>
      <w:r>
        <w:t xml:space="preserve"> </w:t>
      </w:r>
      <w:r>
        <w:t>, revealing the role of the regulatory Pro-Trp-Trp-Pro (PWWP) and ATRX-DNMT3-DNMT3L (ADD) domains of DNMT3A in their dynamic assembly. While the oligomeric assembly of DNMT3A is mainly driven by the well-characterized oligomer interfaces in the methyltransferase domain, the autoinhibitory interaction of the PWWP and ADD domains in DNMT3A places them in a position for intermolecular contact, thereby contributing to the filamentous assembly of DNMT3A</w:t>
      </w:r>
      <w:r>
        <w:t xml:space="preserve"> </w:t>
      </w:r>
      <w:r>
        <w:t>R882H</w:t>
      </w:r>
      <w:r>
        <w:t xml:space="preserve"> </w:t>
      </w:r>
      <w:r>
        <w:t>. Disrupting the autoinhibitory interaction facilitates the transition of DNMT3A</w:t>
      </w:r>
      <w:r>
        <w:t xml:space="preserve"> </w:t>
      </w:r>
      <w:r>
        <w:t>R882H</w:t>
      </w:r>
      <w:r>
        <w:t xml:space="preserve"> </w:t>
      </w:r>
      <w:r>
        <w:t>polymer toward the low-order oligomeric assembly, reinforcing the aggregation-attenuation effect of the previously characterized oligomer-interface mutation R676K. Together, this study uncovers a multidomain cooperated assembly mechanism for DNMT3A, with important implication in development of effective therapeutic strategies against DNMT3A</w:t>
      </w:r>
      <w:r>
        <w:t xml:space="preserve"> </w:t>
      </w:r>
      <w:r>
        <w:t>R882H</w:t>
      </w:r>
      <w:r>
        <w:t xml:space="preserve"> </w:t>
      </w:r>
      <w:r>
        <w:t>-associated diseases.</w:t>
      </w:r>
    </w:p>
    <w:p>
      <w:pPr>
        <w:spacing w:before="120" w:after="120"/>
      </w:pPr>
      <w:r>
        <w:rPr>
          <w:sz w:val="18"/>
        </w:rPr>
        <w:t>——————————————————————————————————————————————————————————————————————</w:t>
      </w:r>
    </w:p>
    <w:p>
      <w:pPr>
        <w:spacing w:before="160" w:after="40" w:line="240" w:lineRule="auto"/>
      </w:pPr>
      <w:r>
        <w:rPr>
          <w:b/>
        </w:rPr>
        <w:t xml:space="preserve">[394] </w:t>
      </w:r>
      <w:hyperlink r:id="rId1227">
        <w:r>
          <w:rPr>
            <w:color w:val="1155CC"/>
            <w:u w:val="single"/>
          </w:rPr>
          <w:t>缺陷工程热释电 Ca3Co4O9−x 纳米结构可实现细胞焦亡和训练有素的免疫疗法</w:t>
        </w:r>
      </w:hyperlink>
    </w:p>
    <w:p>
      <w:pPr>
        <w:spacing w:before="0" w:after="80"/>
      </w:pPr>
      <w:r>
        <w:rPr>
          <w:i/>
          <w:sz w:val="20"/>
        </w:rPr>
        <w:t>EN: Defect Engineered Pyroelectric Ca3Co4O9−x Nanostructure Enables Pyroptosis and Trained Immunotherapy</w:t>
      </w:r>
    </w:p>
    <w:p>
      <w:pPr>
        <w:spacing w:before="0" w:after="120"/>
      </w:pPr>
      <w:r>
        <w:rPr>
          <w:b/>
        </w:rPr>
        <w:t xml:space="preserve">Source: </w:t>
      </w:r>
      <w:r>
        <w:t>Wiley: Advanced Materials: Table of Contents</w:t>
      </w:r>
      <w:r>
        <w:t xml:space="preserve">    </w:t>
      </w:r>
      <w:r>
        <w:rPr>
          <w:b/>
        </w:rPr>
        <w:t xml:space="preserve">Pub date: </w:t>
      </w:r>
      <w:r>
        <w:t>2026-08-25 07:30:14+00:00</w:t>
      </w:r>
      <w:r>
        <w:t xml:space="preserve">    </w:t>
      </w:r>
      <w:r>
        <w:rPr>
          <w:b/>
        </w:rPr>
        <w:t xml:space="preserve">DOI: </w:t>
      </w:r>
      <w:hyperlink r:id="rId1228">
        <w:r>
          <w:rPr>
            <w:color w:val="1155CC"/>
            <w:u w:val="single"/>
          </w:rPr>
          <w:t>10.1002/adma.74768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释电动力疗法能够触发促炎细胞死亡和抗肿瘤训练的免疫力。然而，传统热释电材料的高导热性、快速的热释电载流子重组以及肿瘤细胞有限的免疫原性极大地阻碍了经过训练的免疫治疗的疗效。在此，集成了铁掺杂缺陷工程错配层状钙钴氧化物（Ca</w:t>
      </w:r>
      <w:r>
        <w:rPr>
          <w:vertAlign w:val="subscript"/>
        </w:rPr>
        <w:t>3</w:t>
      </w:r>
      <w:r>
        <w:t>钴</w:t>
      </w:r>
      <w:r>
        <w:rPr>
          <w:vertAlign w:val="subscript"/>
        </w:rPr>
        <w:t>4</w:t>
      </w:r>
      <w:r>
        <w:t>氧</w:t>
      </w:r>
      <w:r>
        <w:t xml:space="preserve"> </w:t>
      </w:r>
      <w:r>
        <w:t>9−</w:t>
      </w:r>
      <w:r>
        <w:t xml:space="preserve"> </w:t>
      </w:r>
      <w:r>
        <w:t>x</w:t>
      </w:r>
      <w:r>
        <w:t xml:space="preserve"> </w:t>
      </w:r>
      <w:r>
        <w:t>）构建了纳米结构、免疫佐剂聚肌苷-聚胞苷酸和从 4T1 细胞中提取的纳米囊泡，以启动细胞焦亡和抗肿瘤训练的免疫治疗。失配层状钙的低导热率</w:t>
      </w:r>
      <w:r>
        <w:rPr>
          <w:vertAlign w:val="subscript"/>
        </w:rPr>
        <w:t>3</w:t>
      </w:r>
      <w:r>
        <w:t>钴</w:t>
      </w:r>
      <w:r>
        <w:rPr>
          <w:vertAlign w:val="subscript"/>
        </w:rPr>
        <w:t>4</w:t>
      </w:r>
      <w:r>
        <w:t>氧</w:t>
      </w:r>
      <w:r>
        <w:t xml:space="preserve"> </w:t>
      </w:r>
      <w:r>
        <w:t>9−</w:t>
      </w:r>
      <w:r>
        <w:t xml:space="preserve"> </w:t>
      </w:r>
      <w:r>
        <w:t>x</w:t>
      </w:r>
      <w:r>
        <w:t xml:space="preserve"> </w:t>
      </w:r>
      <w:r>
        <w:t>降低整体热导率。缺陷工程产生的氧空位充当电子陷阱，抑制载流子复合。因此，钙</w:t>
      </w:r>
      <w:r>
        <w:rPr>
          <w:vertAlign w:val="subscript"/>
        </w:rPr>
        <w:t>3</w:t>
      </w:r>
      <w:r>
        <w:t>钴</w:t>
      </w:r>
      <w:r>
        <w:rPr>
          <w:vertAlign w:val="subscript"/>
        </w:rPr>
        <w:t>4</w:t>
      </w:r>
      <w:r>
        <w:t>氧</w:t>
      </w:r>
      <w:r>
        <w:t xml:space="preserve"> </w:t>
      </w:r>
      <w:r>
        <w:t>9−</w:t>
      </w:r>
      <w:r>
        <w:t xml:space="preserve"> </w:t>
      </w:r>
      <w:r>
        <w:t>x</w:t>
      </w:r>
      <w:r>
        <w:t xml:space="preserve"> </w:t>
      </w:r>
      <w:r>
        <w:t>实现热、电、化学领域多层次能量转换，丰富各种研究领域</w:t>
      </w:r>
    </w:p>
    <w:p>
      <w:pPr>
        <w:spacing w:before="0" w:after="200" w:lineRule="auto" w:line="276"/>
      </w:pPr>
      <w:r>
        <w:rPr>
          <w:b/>
        </w:rPr>
        <w:t xml:space="preserve">Abstract (EN): </w:t>
      </w:r>
      <w:r>
        <w:t>Pyroelectric dynamic therapy is capable of triggering pro‐inflammatory cell death and anti‐tumor trained immunity. However, the high thermal conductivity, quick pyroelectric carrier recombination of traditional pyroelectric materials, and the limited immunogenicity of tumor cells greatly hinder the efficacy of trained immunotherapy. Herein, a nanoplatform integrating iron‐doped defect‐engineered misfit layered calcium cobalt oxide (Ca</w:t>
      </w:r>
      <w:r>
        <w:rPr>
          <w:vertAlign w:val="subscript"/>
        </w:rPr>
        <w:t>3</w:t>
      </w:r>
      <w:r>
        <w:t>Co</w:t>
      </w:r>
      <w:r>
        <w:rPr>
          <w:vertAlign w:val="subscript"/>
        </w:rPr>
        <w:t>4</w:t>
      </w:r>
      <w:r>
        <w:t>O</w:t>
      </w:r>
      <w:r>
        <w:t xml:space="preserve"> </w:t>
      </w:r>
      <w:r>
        <w:t>9−</w:t>
      </w:r>
      <w:r>
        <w:t xml:space="preserve"> </w:t>
      </w:r>
      <w:r>
        <w:t>x</w:t>
      </w:r>
      <w:r>
        <w:t xml:space="preserve"> </w:t>
      </w:r>
      <w:r>
        <w:t>) nanostructure, immune adjuvant polyinosinic‐polycytidylic acid, and nanovesicles extracted from 4T1 cells is constructed to initiate pyroptosis and the anti‐tumor trained immunotherapy. The low thermal conductivity of misfit layered Ca</w:t>
      </w:r>
      <w:r>
        <w:rPr>
          <w:vertAlign w:val="subscript"/>
        </w:rPr>
        <w:t>3</w:t>
      </w:r>
      <w:r>
        <w:t>Co</w:t>
      </w:r>
      <w:r>
        <w:rPr>
          <w:vertAlign w:val="subscript"/>
        </w:rPr>
        <w:t>4</w:t>
      </w:r>
      <w:r>
        <w:t>O</w:t>
      </w:r>
      <w:r>
        <w:t xml:space="preserve"> </w:t>
      </w:r>
      <w:r>
        <w:t>9−</w:t>
      </w:r>
      <w:r>
        <w:t xml:space="preserve"> </w:t>
      </w:r>
      <w:r>
        <w:t>x</w:t>
      </w:r>
      <w:r>
        <w:t xml:space="preserve"> </w:t>
      </w:r>
      <w:r>
        <w:t>reduces the overall thermal conductivity. The oxygen vacancies created by defect engineering serve as electron traps, inhibiting charge carrier recombination. Therefore, Ca</w:t>
      </w:r>
      <w:r>
        <w:rPr>
          <w:vertAlign w:val="subscript"/>
        </w:rPr>
        <w:t>3</w:t>
      </w:r>
      <w:r>
        <w:t>Co</w:t>
      </w:r>
      <w:r>
        <w:rPr>
          <w:vertAlign w:val="subscript"/>
        </w:rPr>
        <w:t>4</w:t>
      </w:r>
      <w:r>
        <w:t>O</w:t>
      </w:r>
      <w:r>
        <w:t xml:space="preserve"> </w:t>
      </w:r>
      <w:r>
        <w:t>9−</w:t>
      </w:r>
      <w:r>
        <w:t xml:space="preserve"> </w:t>
      </w:r>
      <w:r>
        <w:t>x</w:t>
      </w:r>
      <w:r>
        <w:t xml:space="preserve"> </w:t>
      </w:r>
      <w:r>
        <w:t>achieves multi‐level energy conversion between thermal, electrical, and chemical fields, enriching various reactive oxygen species (ROS). Polyinosinic‐polycytidylic acid synergizing with ROS activates caspase‐1/Gasdermin D‐mediated pyroptosis, and stimulates the secretion of more types of inflammatory cytokines through the stimulator of interferon genes (STING) pathway, leveraging the limited immunogenicity of the tumor environment. Nanovesicles provide precisely homologous tumor‐targeting ability by efficient biomimetic fusion. The nanoplatform demonstrates excellent pyroptosis‐inducing efficiency and anti‐tumor immunity training ability, indicating the feasibility of the multi‐physical field energy conversion and defect engineering strategy for synergistic enhancement of pyroelectric dynamic therapy in anti‐tumor trained immunotherapy.</w:t>
      </w:r>
    </w:p>
    <w:p>
      <w:pPr>
        <w:spacing w:before="120" w:after="120"/>
      </w:pPr>
      <w:r>
        <w:rPr>
          <w:sz w:val="18"/>
        </w:rPr>
        <w:t>——————————————————————————————————————————————————————————————————————</w:t>
      </w:r>
    </w:p>
    <w:p>
      <w:pPr>
        <w:spacing w:before="160" w:after="40" w:line="240" w:lineRule="auto"/>
      </w:pPr>
      <w:r>
        <w:rPr>
          <w:b/>
        </w:rPr>
        <w:t xml:space="preserve">[395] </w:t>
      </w:r>
      <w:hyperlink r:id="rId1229">
        <w:r>
          <w:rPr>
            <w:color w:val="1155CC"/>
            <w:u w:val="single"/>
          </w:rPr>
          <w:t>残余应力下聚合物玻璃膜中的链构象</w:t>
        </w:r>
      </w:hyperlink>
    </w:p>
    <w:p>
      <w:pPr>
        <w:spacing w:before="0" w:after="80"/>
      </w:pPr>
      <w:r>
        <w:rPr>
          <w:i/>
          <w:sz w:val="20"/>
        </w:rPr>
        <w:t>EN: Chain Conformation in Polymer Glassy Films Under Residual Stress</w:t>
      </w:r>
    </w:p>
    <w:p>
      <w:pPr>
        <w:spacing w:before="0" w:after="120"/>
      </w:pPr>
      <w:r>
        <w:rPr>
          <w:b/>
        </w:rPr>
        <w:t xml:space="preserve">Source: </w:t>
      </w:r>
      <w:r>
        <w:t>Wiley: Advanced Materials: Table of Contents</w:t>
      </w:r>
      <w:r>
        <w:t xml:space="preserve">    </w:t>
      </w:r>
      <w:r>
        <w:rPr>
          <w:b/>
        </w:rPr>
        <w:t xml:space="preserve">Pub date: </w:t>
      </w:r>
      <w:r>
        <w:t>2026-08-25 07:41:16+00:00</w:t>
      </w:r>
      <w:r>
        <w:t xml:space="preserve">    </w:t>
      </w:r>
      <w:r>
        <w:rPr>
          <w:b/>
        </w:rPr>
        <w:t xml:space="preserve">DOI: </w:t>
      </w:r>
      <w:hyperlink r:id="rId1230">
        <w:r>
          <w:rPr>
            <w:color w:val="1155CC"/>
            <w:u w:val="single"/>
          </w:rPr>
          <w:t>10.1002/adma.74806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研究了残余应力下聚合物玻璃膜中链构象的演变。选择聚甲基丙烯酸正丁酯（PnBMA）作为模型聚合物。聚合物的两个链端分别用荧光供体和受体标记。通过测量它们之间的荧光共振能量转移（FRET）效率，可以确定聚合物链的端到端距离。采用旋涂法制备的未经过热退火的聚合物薄膜作为模型样品，内部储存有残余应力。研究发现，PnBMA 链被拉长，​​这是残余应力的分子来源，表现为缩放指数的增加，从零残余应力下的 ​​0.5 变为 8.5 MPa 残余应力下的 ​​0.8。使用单分子荧光散焦显微镜跟踪荧光探针的旋转运动，揭示了供体的旋转在受体存在的情况下受到抑制，在较短的距离处抑制更大。</w:t>
      </w:r>
    </w:p>
    <w:p>
      <w:pPr>
        <w:spacing w:before="0" w:after="200" w:lineRule="auto" w:line="276"/>
      </w:pPr>
      <w:r>
        <w:rPr>
          <w:b/>
        </w:rPr>
        <w:t xml:space="preserve">Abstract (EN): </w:t>
      </w:r>
      <w:r>
        <w:t>The evolution of chain conformation in polymer glassy films under residual stress was investigated. Poly n‐butyl methacrylate (PnBMA) was selected as the model polymer. The polymers were labeled at the two chain ends with a fluorescence donor and acceptor, separately. By measuring the fluorescence resonance energy transfer (FRET) efficiency between them, the end‐to‐end distance of the polymer chains was determined. Polymer thin films fabricated by spin‐casting without thermal annealing were taken as the model sample with residual stress stored inside. It was found that the PnBMA chains are elongated as the molecular source of residual stress, as expressed by the increase in the scaling exponent, changing from 0.5 under zero residual stress to 0.8 at 8.5 MPa residual stress. Single‐molecule fluorescence defocused microscopy was used to track the rotational motion of the fluorescent probes, revealing that the donor's rotation is suppressed in the presence of the acceptor, with larger suppression at shorter distance.</w:t>
      </w:r>
    </w:p>
    <w:p>
      <w:pPr>
        <w:spacing w:before="120" w:after="120"/>
      </w:pPr>
      <w:r>
        <w:rPr>
          <w:sz w:val="18"/>
        </w:rPr>
        <w:t>——————————————————————————————————————————————————————————————————————</w:t>
      </w:r>
    </w:p>
    <w:p>
      <w:pPr>
        <w:spacing w:before="160" w:after="40" w:line="240" w:lineRule="auto"/>
      </w:pPr>
      <w:r>
        <w:rPr>
          <w:b/>
        </w:rPr>
        <w:t xml:space="preserve">[396] </w:t>
      </w:r>
      <w:hyperlink r:id="rId1231">
        <w:r>
          <w:rPr>
            <w:color w:val="1155CC"/>
            <w:u w:val="single"/>
          </w:rPr>
          <w:t>动力学锁定纤维网络可实现防污、机械鲁棒的两性离子水凝胶</w:t>
        </w:r>
      </w:hyperlink>
    </w:p>
    <w:p>
      <w:pPr>
        <w:spacing w:before="0" w:after="80"/>
      </w:pPr>
      <w:r>
        <w:rPr>
          <w:i/>
          <w:sz w:val="20"/>
        </w:rPr>
        <w:t>EN: Kinetic‐Locked Fiber Networks Enable Anti‐Fouling, Mechanically Robust Zwitterionic Hydrogels</w:t>
      </w:r>
    </w:p>
    <w:p>
      <w:pPr>
        <w:spacing w:before="0" w:after="120"/>
      </w:pPr>
      <w:r>
        <w:rPr>
          <w:b/>
        </w:rPr>
        <w:t xml:space="preserve">Source: </w:t>
      </w:r>
      <w:r>
        <w:t>Wiley: Advanced Materials: Table of Contents</w:t>
      </w:r>
      <w:r>
        <w:t xml:space="preserve">    </w:t>
      </w:r>
      <w:r>
        <w:rPr>
          <w:b/>
        </w:rPr>
        <w:t xml:space="preserve">Pub date: </w:t>
      </w:r>
      <w:r>
        <w:t>2026-08-25 07:51:30+00:00</w:t>
      </w:r>
      <w:r>
        <w:t xml:space="preserve">    </w:t>
      </w:r>
      <w:r>
        <w:rPr>
          <w:b/>
        </w:rPr>
        <w:t xml:space="preserve">DOI: </w:t>
      </w:r>
      <w:hyperlink r:id="rId1232">
        <w:r>
          <w:rPr>
            <w:color w:val="1155CC"/>
            <w:u w:val="single"/>
          </w:rPr>
          <w:t>10.1002/adma.74810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两性离子水凝胶具有优异的防污特性和生物相容性，但其机械强度较弱限制了植入式应用。现有的增强策略要么引入会损害防污性能的非两性离子相，要么采用仍达不到高机械强度的两性离子填料。在这里，我们提出了一种动力学锁定策略来制造用于水凝胶增强的坚固、防污两性离子复合纤维。共溶解亲水性两性离子和疏水性聚合物，然后进行静电纺丝，通过超快溶剂蒸发在动力学上捕获分子缠结，抑制热力学相分离。动力学上保持的分子缠结保持了两性离子组分的防污性能，同时使疏水性聚合物能够提供显着的机械强度。此外，纤维和两性离子基质之间的缠结和静电相互作用形成了一个坚固的界面，可实现有效的负载转移。这种方法广泛适用于聚合物系统，生产的水凝胶具有高拉伸强度 (2.48 MPa)、极高的拉伸性 (1040%) 和卓越的断裂韧性 (27.76 kJ m)</w:t>
      </w:r>
      <w:r>
        <w:t xml:space="preserve"> </w:t>
      </w:r>
      <w:r>
        <w:t>−2</w:t>
      </w:r>
      <w:r>
        <w:t xml:space="preserve"> </w:t>
      </w:r>
      <w:r>
        <w:t>-比纯两性离子水凝胶提高了三个数量级）而不牺牲防污性能。这些进步支持可靠的长期体内肌电图记录和有效的坐骨神经治疗</w:t>
      </w:r>
    </w:p>
    <w:p>
      <w:pPr>
        <w:spacing w:before="0" w:after="200" w:lineRule="auto" w:line="276"/>
      </w:pPr>
      <w:r>
        <w:rPr>
          <w:b/>
        </w:rPr>
        <w:t xml:space="preserve">Abstract (EN): </w:t>
      </w:r>
      <w:r>
        <w:t>Zwitterionic hydrogels possess exceptional antifouling characteristics and biocompatibility, but their weak mechanical strength limits implantable applications. Existing enhancement strategies either introduce non‐zwitterionic phases that compromise antifouling performance or employ zwitterionic fillers that still fall short of achieving high mechanical robustness. Here, we present a kinetic‐locking strategy to fabricate strong, antifouling zwitterionic composite fibers for hydrogel reinforcement. Co‐dissolving hydrophilic zwitterionic and hydrophobic polymers followed by electrospinning kinetically traps molecular entanglement via ultrafast solvent evaporation, suppressing thermodynamic phase separation. The kinetically preserved molecular entanglement maintains the antifouling properties of the zwitterionic component while enabling the hydrophobic polymer to contribute substantial mechanical strength. In addition, the entanglement and electrostatic interaction between the fibers and the zwitterionic matrix form a robust interface for efficient load transfer. This approach is broadly applicable across polymer systems, producing hydrogels that integrate high tensile strength (2.48 MPa), extreme stretchability (1040%), and remarkable fracture toughness (27.76 kJ m</w:t>
      </w:r>
      <w:r>
        <w:t xml:space="preserve"> </w:t>
      </w:r>
      <w:r>
        <w:t>−2</w:t>
      </w:r>
      <w:r>
        <w:t xml:space="preserve"> </w:t>
      </w:r>
      <w:r>
        <w:t>—a three‐order‐of‐magnitude improvement over pure zwitterionic hydrogels) without sacrificing antifouling properties. These advances support reliable long‐term in vivo electromyography recording and effective sciatic nerve stimulation. The work establishes kinetic locking as a general design paradigm to overcome the strength–antifouling trade‐off in zwitterionic hydrogels, advancing durable, long‐term implantable bioelectronics.</w:t>
      </w:r>
    </w:p>
    <w:p>
      <w:pPr>
        <w:spacing w:before="120" w:after="120"/>
      </w:pPr>
      <w:r>
        <w:rPr>
          <w:sz w:val="18"/>
        </w:rPr>
        <w:t>——————————————————————————————————————————————————————————————————————</w:t>
      </w:r>
    </w:p>
    <w:p>
      <w:pPr>
        <w:spacing w:before="160" w:after="40" w:line="240" w:lineRule="auto"/>
      </w:pPr>
      <w:r>
        <w:rPr>
          <w:b/>
        </w:rPr>
        <w:t xml:space="preserve">[397] </w:t>
      </w:r>
      <w:hyperlink r:id="rId1233">
        <w:r>
          <w:rPr>
            <w:color w:val="1155CC"/>
            <w:u w:val="single"/>
          </w:rPr>
          <w:t>通过具有高自旋霍尔电导率的体镜对称破缺 Bi1−xSbx (012) 实现垂直磁化的确定性无场切换</w:t>
        </w:r>
      </w:hyperlink>
    </w:p>
    <w:p>
      <w:pPr>
        <w:spacing w:before="0" w:after="80"/>
      </w:pPr>
      <w:r>
        <w:rPr>
          <w:i/>
          <w:sz w:val="20"/>
        </w:rPr>
        <w:t>EN: Deterministic Field‐Free Switching of Perpendicular Magnetization by Bulk Mirror Symmetry Broken Bi1−xSbx (012) with High Spin Hall Conductivity</w:t>
      </w:r>
    </w:p>
    <w:p>
      <w:pPr>
        <w:spacing w:before="0" w:after="120"/>
      </w:pPr>
      <w:r>
        <w:rPr>
          <w:b/>
        </w:rPr>
        <w:t xml:space="preserve">Source: </w:t>
      </w:r>
      <w:r>
        <w:t>Wiley: Advanced Materials: Table of Contents</w:t>
      </w:r>
      <w:r>
        <w:t xml:space="preserve">    </w:t>
      </w:r>
      <w:r>
        <w:rPr>
          <w:b/>
        </w:rPr>
        <w:t xml:space="preserve">Pub date: </w:t>
      </w:r>
      <w:r>
        <w:t>2026-08-25 08:45:34+00:00</w:t>
      </w:r>
      <w:r>
        <w:t xml:space="preserve">    </w:t>
      </w:r>
      <w:r>
        <w:rPr>
          <w:b/>
        </w:rPr>
        <w:t xml:space="preserve">DOI: </w:t>
      </w:r>
      <w:hyperlink r:id="rId1234">
        <w:r>
          <w:rPr>
            <w:color w:val="1155CC"/>
            <w:u w:val="single"/>
          </w:rPr>
          <w:t>10.1002/adma.74710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镜面对称破缺材料中产生面外自旋轨道扭矩是电流感应无场磁化翻转的一种有前途的方法。然而，关键的挑战在于识别具有高面内自旋霍尔电导率的材料，同时为低功率自旋电子应用产生大的面外自旋轨道扭矩。先前研究的低对称性材料（其中镜面对称破缺仅限于表面且自旋霍尔电导率较低）尚未解决这一挑战。在这里，我们展示了由体镜对称破缺拓扑材料 Bi 实现的确定性无场磁化开关</w:t>
      </w:r>
      <w:r>
        <w:t xml:space="preserve"> </w:t>
      </w:r>
      <w:r>
        <w:t>1−</w:t>
      </w:r>
      <w:r>
        <w:t xml:space="preserve"> </w:t>
      </w:r>
      <w:r>
        <w:t>x</w:t>
      </w:r>
      <w:r>
        <w:t xml:space="preserve"> </w:t>
      </w:r>
      <w:r>
        <w:t>锑</w:t>
      </w:r>
      <w:r>
        <w:t xml:space="preserve"> </w:t>
      </w:r>
      <w:r>
        <w:t>x</w:t>
      </w:r>
      <w:r>
        <w:t xml:space="preserve"> </w:t>
      </w:r>
      <w:r>
        <w:t>（012）具有高面内自旋霍尔电导率。功耗比基于重金属的设备低两个数量级。自旋扭矩铁磁共振测量证实了 Bi 平面外自旋轨道扭矩的本体起源</w:t>
      </w:r>
      <w:r>
        <w:t xml:space="preserve"> </w:t>
      </w:r>
      <w:r>
        <w:t>1−</w:t>
      </w:r>
      <w:r>
        <w:t xml:space="preserve"> </w:t>
      </w:r>
      <w:r>
        <w:t>x</w:t>
      </w:r>
      <w:r>
        <w:t xml:space="preserve"> </w:t>
      </w:r>
      <w:r>
        <w:t>锑</w:t>
      </w:r>
      <w:r>
        <w:t xml:space="preserve"> </w:t>
      </w:r>
      <w:r>
        <w:t>x</w:t>
      </w:r>
      <w:r>
        <w:t xml:space="preserve"> </w:t>
      </w:r>
      <w:r>
        <w:t>（012），产生面外自旋霍尔电导率（对于</w:t>
      </w:r>
      <w:r>
        <w:t xml:space="preserve"> </w:t>
      </w:r>
      <w:r>
        <w:t>x</w:t>
      </w:r>
      <w:r>
        <w:t xml:space="preserve"> </w:t>
      </w:r>
      <w:r>
        <w:t>= 0.2），比TAlrTe大5.6倍</w:t>
      </w:r>
      <w:r>
        <w:rPr>
          <w:vertAlign w:val="subscript"/>
        </w:rPr>
        <w:t>4</w:t>
      </w:r>
      <w:r>
        <w:t>。我们的结果</w:t>
      </w:r>
    </w:p>
    <w:p>
      <w:pPr>
        <w:spacing w:before="0" w:after="200" w:lineRule="auto" w:line="276"/>
      </w:pPr>
      <w:r>
        <w:rPr>
          <w:b/>
        </w:rPr>
        <w:t xml:space="preserve">Abstract (EN): </w:t>
      </w:r>
      <w:r>
        <w:t>Out‐of‐plane spin–orbit torque generation in mirror‐symmetry‐broken materials is a promising approach for current‐induced field‐free magnetization switching. However, the key challenge lies in identifying materials with high in‐plane spin Hall conductivity that simultaneously generate large out‐of‐plane spin–orbit torque for low‐power spintronic applications. Previously studied low‐symmetry materials, in which mirror‐symmetry breaking is confined to the surface and the spin Hall conductivity is low, have not resolved this challenge. Here, we demonstrate deterministic field‐free magnetization switching enabled by the bulk‐mirror‐symmetry‐broken topological material Bi</w:t>
      </w:r>
      <w:r>
        <w:t xml:space="preserve"> </w:t>
      </w:r>
      <w:r>
        <w:t>1−</w:t>
      </w:r>
      <w:r>
        <w:t xml:space="preserve"> </w:t>
      </w:r>
      <w:r>
        <w:t>x</w:t>
      </w:r>
      <w:r>
        <w:t xml:space="preserve"> </w:t>
      </w:r>
      <w:r>
        <w:t>Sb</w:t>
      </w:r>
      <w:r>
        <w:t xml:space="preserve"> </w:t>
      </w:r>
      <w:r>
        <w:t>x</w:t>
      </w:r>
      <w:r>
        <w:t xml:space="preserve"> </w:t>
      </w:r>
      <w:r>
        <w:t>(012) with high in‐plane spin Hall conductivity. The power consumption is two orders of magnitude lower than that of heavy‐metal‐based devices. Spin‐torque ferromagnetic resonance measurements confirm the bulk origin of the out‐of‐plane spin–orbit torque in Bi</w:t>
      </w:r>
      <w:r>
        <w:t xml:space="preserve"> </w:t>
      </w:r>
      <w:r>
        <w:t>1−</w:t>
      </w:r>
      <w:r>
        <w:t xml:space="preserve"> </w:t>
      </w:r>
      <w:r>
        <w:t>x</w:t>
      </w:r>
      <w:r>
        <w:t xml:space="preserve"> </w:t>
      </w:r>
      <w:r>
        <w:t>Sb</w:t>
      </w:r>
      <w:r>
        <w:t xml:space="preserve"> </w:t>
      </w:r>
      <w:r>
        <w:t>x</w:t>
      </w:r>
      <w:r>
        <w:t xml:space="preserve"> </w:t>
      </w:r>
      <w:r>
        <w:t>(012), yielding an out‐of‐plane spin Hall conductivity of  (for</w:t>
      </w:r>
      <w:r>
        <w:t xml:space="preserve"> </w:t>
      </w:r>
      <w:r>
        <w:t>x</w:t>
      </w:r>
      <w:r>
        <w:t xml:space="preserve"> </w:t>
      </w:r>
      <w:r>
        <w:t>= 0.2), which is 5.6 times larger than that of TaIrTe</w:t>
      </w:r>
      <w:r>
        <w:rPr>
          <w:vertAlign w:val="subscript"/>
        </w:rPr>
        <w:t>4</w:t>
      </w:r>
      <w:r>
        <w:t>. Our results establish bulk mirror‐symmetry engineering as an effective strategy for designing energy‐efficient field‐free spin–orbit torque devices.</w:t>
      </w:r>
    </w:p>
    <w:p>
      <w:pPr>
        <w:spacing w:before="120" w:after="120"/>
      </w:pPr>
      <w:r>
        <w:rPr>
          <w:sz w:val="18"/>
        </w:rPr>
        <w:t>——————————————————————————————————————————————————————————————————————</w:t>
      </w:r>
    </w:p>
    <w:p>
      <w:pPr>
        <w:spacing w:before="160" w:after="40" w:line="240" w:lineRule="auto"/>
      </w:pPr>
      <w:r>
        <w:rPr>
          <w:b/>
        </w:rPr>
        <w:t xml:space="preserve">[398] </w:t>
      </w:r>
      <w:hyperlink r:id="rId1235">
        <w:r>
          <w:rPr>
            <w:color w:val="1155CC"/>
            <w:u w:val="single"/>
          </w:rPr>
          <w:t>稳态期望值的时间相关性</w:t>
        </w:r>
      </w:hyperlink>
    </w:p>
    <w:p>
      <w:pPr>
        <w:spacing w:before="0" w:after="80"/>
      </w:pPr>
      <w:r>
        <w:rPr>
          <w:i/>
          <w:sz w:val="20"/>
        </w:rPr>
        <w:t>EN: Time Correlations from Steady-State Expectation Values</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36">
        <w:r>
          <w:rPr>
            <w:color w:val="1155CC"/>
            <w:u w:val="single"/>
          </w:rPr>
          <w:t>10.1103/24zv-dwcj</w:t>
        </w:r>
      </w:hyperlink>
    </w:p>
    <w:p>
      <w:pPr>
        <w:spacing w:before="0" w:after="120"/>
      </w:pPr>
      <w:r>
        <w:rPr>
          <w:b/>
        </w:rPr>
        <w:t xml:space="preserve">Notes: </w:t>
      </w:r>
      <w:r>
        <w:t>abstract_source=rss_description</w:t>
      </w:r>
    </w:p>
    <w:p>
      <w:pPr>
        <w:spacing w:before="0" w:after="80" w:lineRule="auto" w:line="276"/>
      </w:pPr>
      <w:r>
        <w:rPr>
          <w:b/>
        </w:rPr>
        <w:t xml:space="preserve">摘要（ZH）: </w:t>
      </w:r>
      <w:r>
        <w:t>作者：Wojciech Górecki、Simone Felicetti、Lorenzo Maccone 和 Roberto Di Candia 恢复相关函数的属性通常具有挑战性。一方面，在实验上，它需要比系统动力学更精细的时间分辨率的测量。另一方面，分析或数值分析需要解决系统演化问题。在这里，我们使用rece...[物理。莱特牧师。 137, 090401] 2026 年 8 月 25 日星期二发布</w:t>
      </w:r>
    </w:p>
    <w:p>
      <w:pPr>
        <w:spacing w:before="0" w:after="200" w:lineRule="auto" w:line="276"/>
      </w:pPr>
      <w:r>
        <w:rPr>
          <w:b/>
        </w:rPr>
        <w:t xml:space="preserve">Abstract (EN): </w:t>
      </w:r>
      <w:r>
        <w:t>Author(s): Wojciech Górecki, Simone Felicetti, Lorenzo Maccone, and Roberto Di CandiaRecovering properties of correlation functions is typically challenging. On the one hand, experimentally, it requires measurements with a temporal resolution finer than the system’s dynamics. On the other hand, analytical or numerical analysis requires solving the system evolution. Here, we use rece…[Phys. Rev. Lett. 137, 090401] Published Tue Aug 25, 2026</w:t>
      </w:r>
    </w:p>
    <w:p>
      <w:pPr>
        <w:spacing w:before="120" w:after="120"/>
      </w:pPr>
      <w:r>
        <w:rPr>
          <w:sz w:val="18"/>
        </w:rPr>
        <w:t>——————————————————————————————————————————————————————————————————————</w:t>
      </w:r>
    </w:p>
    <w:p>
      <w:pPr>
        <w:spacing w:before="160" w:after="40" w:line="240" w:lineRule="auto"/>
      </w:pPr>
      <w:r>
        <w:rPr>
          <w:b/>
        </w:rPr>
        <w:t xml:space="preserve">[399] </w:t>
      </w:r>
      <w:hyperlink r:id="rId1237">
        <w:r>
          <w:rPr>
            <w:color w:val="1155CC"/>
            <w:u w:val="single"/>
          </w:rPr>
          <w:t>卡罗尔全息对偶是非局域的</w:t>
        </w:r>
      </w:hyperlink>
    </w:p>
    <w:p>
      <w:pPr>
        <w:spacing w:before="0" w:after="80"/>
      </w:pPr>
      <w:r>
        <w:rPr>
          <w:i/>
          <w:sz w:val="20"/>
        </w:rPr>
        <w:t>EN: Carrollian Holographic Duals Are Nonlocal</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38">
        <w:r>
          <w:rPr>
            <w:color w:val="1155CC"/>
            <w:u w:val="single"/>
          </w:rPr>
          <w:t>10.1103/f26s-4p77</w:t>
        </w:r>
      </w:hyperlink>
    </w:p>
    <w:p>
      <w:pPr>
        <w:spacing w:before="0" w:after="120"/>
      </w:pPr>
      <w:r>
        <w:rPr>
          <w:b/>
        </w:rPr>
        <w:t xml:space="preserve">Notes: </w:t>
      </w:r>
      <w:r>
        <w:t>abstract_source=rss_description</w:t>
      </w:r>
    </w:p>
    <w:p>
      <w:pPr>
        <w:spacing w:before="0" w:after="80" w:lineRule="auto" w:line="276"/>
      </w:pPr>
      <w:r>
        <w:rPr>
          <w:b/>
        </w:rPr>
        <w:t xml:space="preserve">摘要（ZH）: </w:t>
      </w:r>
      <w:r>
        <w:t>作者：Jordan Cotler、Prateksh Dhivakar 和 Kristan Jensen 将与物质耦合的平面空间重力通用理论的 $S$ 矩阵映射到假定的卡罗尔对偶的相关函数，我们表明体相互作用意味着边界非定域性。莱特牧师。 137, 091601] 2026 年 8 月 25 日星期二发布</w:t>
      </w:r>
    </w:p>
    <w:p>
      <w:pPr>
        <w:spacing w:before="0" w:after="200" w:lineRule="auto" w:line="276"/>
      </w:pPr>
      <w:r>
        <w:rPr>
          <w:b/>
        </w:rPr>
        <w:t xml:space="preserve">Abstract (EN): </w:t>
      </w:r>
      <w:r>
        <w:t>Author(s): Jordan Cotler, Prateksh Dhivakar, and Kristan JensenMapping the $S$ matrix of a generic theory of flat-space gravity coupled to matter to correlation functions of a putative Carrollian dual, we show that bulk interactions imply boundary nonlocality.[Phys. Rev. Lett. 137, 091601] Published Tue Aug 25, 2026</w:t>
      </w:r>
    </w:p>
    <w:p>
      <w:pPr>
        <w:spacing w:before="120" w:after="120"/>
      </w:pPr>
      <w:r>
        <w:rPr>
          <w:sz w:val="18"/>
        </w:rPr>
        <w:t>——————————————————————————————————————————————————————————————————————</w:t>
      </w:r>
    </w:p>
    <w:p>
      <w:pPr>
        <w:spacing w:before="160" w:after="40" w:line="240" w:lineRule="auto"/>
      </w:pPr>
      <w:r>
        <w:rPr>
          <w:b/>
        </w:rPr>
        <w:t xml:space="preserve">[400] </w:t>
      </w:r>
      <w:hyperlink r:id="rId1239">
        <w:r>
          <w:rPr>
            <w:color w:val="1155CC"/>
            <w:u w:val="single"/>
          </w:rPr>
          <w:t>极化双量子相干性的通用标度和多体复活</w:t>
        </w:r>
      </w:hyperlink>
    </w:p>
    <w:p>
      <w:pPr>
        <w:spacing w:before="0" w:after="80"/>
      </w:pPr>
      <w:r>
        <w:rPr>
          <w:i/>
          <w:sz w:val="20"/>
        </w:rPr>
        <w:t>EN: Universal Scaling and Many-Body Resurrection of Polaritonic Double-Quantum Coherences</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40">
        <w:r>
          <w:rPr>
            <w:color w:val="1155CC"/>
            <w:u w:val="single"/>
          </w:rPr>
          <w:t>10.1103/kjvq-zdnh</w:t>
        </w:r>
      </w:hyperlink>
    </w:p>
    <w:p>
      <w:pPr>
        <w:spacing w:before="0" w:after="120"/>
      </w:pPr>
      <w:r>
        <w:rPr>
          <w:b/>
        </w:rPr>
        <w:t xml:space="preserve">Notes: </w:t>
      </w:r>
      <w:r>
        <w:t>abstract_source=rss_description</w:t>
      </w:r>
    </w:p>
    <w:p>
      <w:pPr>
        <w:spacing w:before="0" w:after="80" w:lineRule="auto" w:line="276"/>
      </w:pPr>
      <w:r>
        <w:rPr>
          <w:b/>
        </w:rPr>
        <w:t xml:space="preserve">摘要（ZH）: </w:t>
      </w:r>
      <w:r>
        <w:t>作者：Maxim Sukharev分子系综的超快非线性光学响应在强光-物质耦合下发生了根本性的改变。为了严格隔离真正的多体贡献，在完全非微扰的麦克斯韦-刘维尔框架内开发了精确的时域场减协议……[物理。莱特牧师。 137, 093802] 2026 年 8 月 25 日星期二发布</w:t>
      </w:r>
    </w:p>
    <w:p>
      <w:pPr>
        <w:spacing w:before="0" w:after="200" w:lineRule="auto" w:line="276"/>
      </w:pPr>
      <w:r>
        <w:rPr>
          <w:b/>
        </w:rPr>
        <w:t xml:space="preserve">Abstract (EN): </w:t>
      </w:r>
      <w:r>
        <w:t>Author(s): Maxim SukharevThe ultrafast nonlinear optical response of molecular ensembles is fundamentally altered under strong light-matter coupling. To rigorously isolate the genuine many-body contributions, an exact time-domain field-subtraction protocol is developed within a fully nonperturbative Maxwell-Liouville framew…[Phys. Rev. Lett. 137, 093802] Published Tue Aug 25, 2026</w:t>
      </w:r>
    </w:p>
    <w:p>
      <w:pPr>
        <w:spacing w:before="120" w:after="120"/>
      </w:pPr>
      <w:r>
        <w:rPr>
          <w:sz w:val="18"/>
        </w:rPr>
        <w:t>——————————————————————————————————————————————————————————————————————</w:t>
      </w:r>
    </w:p>
    <w:p>
      <w:pPr>
        <w:spacing w:before="160" w:after="40" w:line="240" w:lineRule="auto"/>
      </w:pPr>
      <w:r>
        <w:rPr>
          <w:b/>
        </w:rPr>
        <w:t xml:space="preserve">[401] </w:t>
      </w:r>
      <w:hyperlink r:id="rId1241">
        <w:r>
          <w:rPr>
            <w:color w:val="1155CC"/>
            <w:u w:val="single"/>
          </w:rPr>
          <w:t>Harper-Hofstadter 模型中混沌重正化群的普遍非幂律标度</w:t>
        </w:r>
      </w:hyperlink>
    </w:p>
    <w:p>
      <w:pPr>
        <w:spacing w:before="0" w:after="80"/>
      </w:pPr>
      <w:r>
        <w:rPr>
          <w:i/>
          <w:sz w:val="20"/>
        </w:rPr>
        <w:t>EN: Universal Nonpower Law Scaling from a Chaotic Renormalization Group in the Harper-Hofstadter Model</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42">
        <w:r>
          <w:rPr>
            <w:color w:val="1155CC"/>
            <w:u w:val="single"/>
          </w:rPr>
          <w:t>10.1103/cdyf-tmnx</w:t>
        </w:r>
      </w:hyperlink>
    </w:p>
    <w:p>
      <w:pPr>
        <w:spacing w:before="0" w:after="120"/>
      </w:pPr>
      <w:r>
        <w:rPr>
          <w:b/>
        </w:rPr>
        <w:t xml:space="preserve">Notes: </w:t>
      </w:r>
      <w:r>
        <w:t>abstract_source=rss_description</w:t>
      </w:r>
    </w:p>
    <w:p>
      <w:pPr>
        <w:spacing w:before="0" w:after="80" w:lineRule="auto" w:line="276"/>
      </w:pPr>
      <w:r>
        <w:rPr>
          <w:b/>
        </w:rPr>
        <w:t xml:space="preserve">摘要（ZH）: </w:t>
      </w:r>
      <w:r>
        <w:t>作者：Luke Yeo 和 Philip J. D. Crowley 之前对不可通约系统的研究得出的结论是，它们的临界标度敏感地依赖于非理性 $α$，$α$ 决定了不可通约性。与这种信念相反，在规范的 Harper-Hofstadter 模型中，我们表明几乎所有…[Phys.莱特牧师。 137, 096303] 2026 年 8 月 25 日星期二发布</w:t>
      </w:r>
    </w:p>
    <w:p>
      <w:pPr>
        <w:spacing w:before="0" w:after="200" w:lineRule="auto" w:line="276"/>
      </w:pPr>
      <w:r>
        <w:rPr>
          <w:b/>
        </w:rPr>
        <w:t xml:space="preserve">Abstract (EN): </w:t>
      </w:r>
      <w:r>
        <w:t>Author(s): Luke Yeo and Philip J. D. CrowleyPrevious studies of incommensurate systems concluded that their critical scaling is sensitively dependent on the irrational, $α$, which determines the incommensuration. Contrary to this belief, in the canonical Harper-Hofstadter model, we show there is universal $α$-independent scaling for almost al…[Phys. Rev. Lett. 137, 096303] Published Tue Aug 25, 2026</w:t>
      </w:r>
    </w:p>
    <w:p>
      <w:pPr>
        <w:spacing w:before="120" w:after="120"/>
      </w:pPr>
      <w:r>
        <w:rPr>
          <w:sz w:val="18"/>
        </w:rPr>
        <w:t>——————————————————————————————————————————————————————————————————————</w:t>
      </w:r>
    </w:p>
    <w:p>
      <w:pPr>
        <w:spacing w:before="160" w:after="40" w:line="240" w:lineRule="auto"/>
      </w:pPr>
      <w:r>
        <w:rPr>
          <w:b/>
        </w:rPr>
        <w:t xml:space="preserve">[402] </w:t>
      </w:r>
      <w:hyperlink r:id="rId1243">
        <w:r>
          <w:rPr>
            <w:color w:val="1155CC"/>
            <w:u w:val="single"/>
          </w:rPr>
          <w:t>基于形状的水母再生形态弹性</w:t>
        </w:r>
      </w:hyperlink>
    </w:p>
    <w:p>
      <w:pPr>
        <w:spacing w:before="0" w:after="80"/>
      </w:pPr>
      <w:r>
        <w:rPr>
          <w:i/>
          <w:sz w:val="20"/>
        </w:rPr>
        <w:t>EN: Shape-Based Morphoelasticity for Jellyfish Regeneration</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44">
        <w:r>
          <w:rPr>
            <w:color w:val="1155CC"/>
            <w:u w:val="single"/>
          </w:rPr>
          <w:t>10.1103/9wv9-359m</w:t>
        </w:r>
      </w:hyperlink>
    </w:p>
    <w:p>
      <w:pPr>
        <w:spacing w:before="0" w:after="120"/>
      </w:pPr>
      <w:r>
        <w:rPr>
          <w:b/>
        </w:rPr>
        <w:t xml:space="preserve">Notes: </w:t>
      </w:r>
      <w:r>
        <w:t>abstract_source=rss_description</w:t>
      </w:r>
    </w:p>
    <w:p>
      <w:pPr>
        <w:spacing w:before="0" w:after="80" w:lineRule="auto" w:line="276"/>
      </w:pPr>
      <w:r>
        <w:rPr>
          <w:b/>
        </w:rPr>
        <w:t xml:space="preserve">摘要（ZH）: </w:t>
      </w:r>
      <w:r>
        <w:t>作者：Pierre Rizkallah、Jean-François Joanny 和 Martine Ben Amar 许多动物表现出非凡的再生能力，但驱动大规模组织重塑的机械过程仍然难以表征。在这种重塑过程中直接测量应力是很困难的，而形态的变化却很容易观察到。受到伤口的激励，他……[物理。莱特牧师。 137, 098402] 2026 年 8 月 25 日星期二发布</w:t>
      </w:r>
    </w:p>
    <w:p>
      <w:pPr>
        <w:spacing w:before="0" w:after="200" w:lineRule="auto" w:line="276"/>
      </w:pPr>
      <w:r>
        <w:rPr>
          <w:b/>
        </w:rPr>
        <w:t xml:space="preserve">Abstract (EN): </w:t>
      </w:r>
      <w:r>
        <w:t>Author(s): Pierre Rizkallah, Jean-François Joanny, and Martine Ben AmarMany animals exhibit remarkable regenerative abilities, yet the mechanical processes that drive large-scale tissue reshaping remain challenging to characterize. Direct measurements of stress during such remodeling are difficult, while changes in morphology are readily observed. Motivated by wound he…[Phys. Rev. Lett. 137, 098402] Published Tue Aug 25, 2026</w:t>
      </w:r>
    </w:p>
    <w:p>
      <w:pPr>
        <w:spacing w:before="120" w:after="120"/>
      </w:pPr>
      <w:r>
        <w:rPr>
          <w:sz w:val="18"/>
        </w:rPr>
        <w:t>——————————————————————————————————————————————————————————————————————</w:t>
      </w:r>
    </w:p>
    <w:p>
      <w:pPr>
        <w:spacing w:before="160" w:after="40" w:line="240" w:lineRule="auto"/>
      </w:pPr>
      <w:r>
        <w:rPr>
          <w:b/>
        </w:rPr>
        <w:t xml:space="preserve">[403] </w:t>
      </w:r>
      <w:hyperlink r:id="rId1245">
        <w:r>
          <w:rPr>
            <w:color w:val="1155CC"/>
            <w:u w:val="single"/>
          </w:rPr>
          <w:t>Migdal-Eliashberg 理论的有效性限制：极化子和双极化子的作用</w:t>
        </w:r>
      </w:hyperlink>
    </w:p>
    <w:p>
      <w:pPr>
        <w:spacing w:before="0" w:after="80"/>
      </w:pPr>
      <w:r>
        <w:rPr>
          <w:i/>
          <w:sz w:val="20"/>
        </w:rPr>
        <w:t>EN: Limits of Validity for Migdal-Eliashberg Theory: Role of Polarons and Bipolarons</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46">
        <w:r>
          <w:rPr>
            <w:color w:val="1155CC"/>
            <w:u w:val="single"/>
          </w:rPr>
          <w:t>10.1103/zd4s-cgnj</w:t>
        </w:r>
      </w:hyperlink>
    </w:p>
    <w:p>
      <w:pPr>
        <w:spacing w:before="0" w:after="120"/>
      </w:pPr>
      <w:r>
        <w:rPr>
          <w:b/>
        </w:rPr>
        <w:t xml:space="preserve">Notes: </w:t>
      </w:r>
      <w:r>
        <w:t>abstract_source=rss_description</w:t>
      </w:r>
    </w:p>
    <w:p>
      <w:pPr>
        <w:spacing w:before="0" w:after="80" w:lineRule="auto" w:line="276"/>
      </w:pPr>
      <w:r>
        <w:rPr>
          <w:b/>
        </w:rPr>
        <w:t xml:space="preserve">摘要（ZH）: </w:t>
      </w:r>
      <w:r>
        <w:t>作者：Nikolay Prokof’ev、Ilya Esterlis、Artem Abanov 和 Andrey Chubukov 人们普遍认为，在绝热极限下，由 Migdal-Eliashberg 理论描述的电子声子系统的费米液态保持稳定，直到修饰的声子软化。我们对原型荷斯坦模型的变分和分析分析表明，在广泛的范围内……[Phys。莱特牧师。 137, 096501] 2026 年 8 月 25 日星期二发布</w:t>
      </w:r>
    </w:p>
    <w:p>
      <w:pPr>
        <w:spacing w:before="0" w:after="200" w:lineRule="auto" w:line="276"/>
      </w:pPr>
      <w:r>
        <w:rPr>
          <w:b/>
        </w:rPr>
        <w:t xml:space="preserve">Abstract (EN): </w:t>
      </w:r>
      <w:r>
        <w:t>Author(s): Nikolay Prokof’ev, Ilya Esterlis, Artem Abanov, and Andrey ChubukovIt is widely believed that in the adiabatic limit the Fermi liquid state of an electron-phonon system, described by Migdal-Eliashberg theory, remains stable until the dressed phonon softens. Our variational and analytic analysis of the prototypical Holstein model shows that, in a wide range of filli…[Phys. Rev. Lett. 137, 096501] Published Tue Aug 25, 2026</w:t>
      </w:r>
    </w:p>
    <w:p>
      <w:pPr>
        <w:spacing w:before="120" w:after="120"/>
      </w:pPr>
      <w:r>
        <w:rPr>
          <w:sz w:val="18"/>
        </w:rPr>
        <w:t>——————————————————————————————————————————————————————————————————————</w:t>
      </w:r>
    </w:p>
    <w:p>
      <w:pPr>
        <w:spacing w:before="160" w:after="40" w:line="240" w:lineRule="auto"/>
      </w:pPr>
      <w:r>
        <w:rPr>
          <w:b/>
        </w:rPr>
        <w:t xml:space="preserve">[404] </w:t>
      </w:r>
      <w:hyperlink r:id="rId1247">
        <w:r>
          <w:rPr>
            <w:color w:val="1155CC"/>
            <w:u w:val="single"/>
          </w:rPr>
          <w:t>$π{h}_{11/2}$缺中子稀土原子核中的旋转结构$^{131}\mathrm{Pm}$</w:t>
        </w:r>
      </w:hyperlink>
    </w:p>
    <w:p>
      <w:pPr>
        <w:spacing w:before="0" w:after="80"/>
      </w:pPr>
      <w:r>
        <w:rPr>
          <w:i/>
          <w:sz w:val="20"/>
        </w:rPr>
        <w:t>EN: $π{h}_{11/2}$ rotational structure in the neutron-deficient rare-earth nucleus $^{131}\mathrm{Pm}$</w:t>
      </w:r>
    </w:p>
    <w:p>
      <w:pPr>
        <w:spacing w:before="0" w:after="120"/>
      </w:pPr>
      <w:r>
        <w:rPr>
          <w:b/>
        </w:rPr>
        <w:t xml:space="preserve">Source: </w:t>
      </w:r>
      <w:r>
        <w:t>Recent Articles in Phys. Rev. C</w:t>
      </w:r>
      <w:r>
        <w:t xml:space="preserve">    </w:t>
      </w:r>
      <w:r>
        <w:rPr>
          <w:b/>
        </w:rPr>
        <w:t xml:space="preserve">Pub date: </w:t>
      </w:r>
      <w:r>
        <w:t>2026-08-25 10:00:00+00:00</w:t>
      </w:r>
      <w:r>
        <w:t xml:space="preserve">    </w:t>
      </w:r>
      <w:r>
        <w:rPr>
          <w:b/>
        </w:rPr>
        <w:t xml:space="preserve">DOI: </w:t>
      </w:r>
      <w:hyperlink r:id="rId1248">
        <w:r>
          <w:rPr>
            <w:color w:val="1155CC"/>
            <w:u w:val="single"/>
          </w:rPr>
          <w:t>10.1103/442b-1n6q</w:t>
        </w:r>
      </w:hyperlink>
    </w:p>
    <w:p>
      <w:pPr>
        <w:spacing w:before="0" w:after="120"/>
      </w:pPr>
      <w:r>
        <w:rPr>
          <w:b/>
        </w:rPr>
        <w:t xml:space="preserve">Notes: </w:t>
      </w:r>
      <w:r>
        <w:t>abstract_source=rss_description</w:t>
      </w:r>
    </w:p>
    <w:p>
      <w:pPr>
        <w:spacing w:before="0" w:after="80" w:lineRule="auto" w:line="276"/>
      </w:pPr>
      <w:r>
        <w:rPr>
          <w:b/>
        </w:rPr>
        <w:t xml:space="preserve">摘要（ZH）: </w:t>
      </w:r>
      <w:r>
        <w:t>作者：C. M. Sullivan 等人使用 Jurogam 3 $γ$ 射线光谱仪研究了缺中子核 $_{61}^{131}\mathrm{Pm}_{70}$ 中的高自旋态。这是具有已知激发态的最轻的钷同位素。质子入侵者${h}_{11/2}$旋转结构已扩展到更高的a…[Phys. Rev. C 114, L021304] 于 2026 年 8 月 25 日星期二发布</w:t>
      </w:r>
    </w:p>
    <w:p>
      <w:pPr>
        <w:spacing w:before="0" w:after="200" w:lineRule="auto" w:line="276"/>
      </w:pPr>
      <w:r>
        <w:rPr>
          <w:b/>
        </w:rPr>
        <w:t xml:space="preserve">Abstract (EN): </w:t>
      </w:r>
      <w:r>
        <w:t>Author(s): C. M. Sullivan et al.High-spin states in the neutron-deficient nucleus $_{61}^{131}\mathrm{Pm}_{70}$ have been investigated using the Jurogam 3 $γ$-ray spectrometer. This is the lightest promethium isotope with known excited states. The proton intruder ${h}_{11/2}$ rotational structure has been extended to both higher a…[Phys. Rev. C 114, L021304] Published Tue Aug 25, 2026</w:t>
      </w:r>
    </w:p>
    <w:p>
      <w:pPr>
        <w:spacing w:before="120" w:after="120"/>
      </w:pPr>
      <w:r>
        <w:rPr>
          <w:sz w:val="18"/>
        </w:rPr>
        <w:t>——————————————————————————————————————————————————————————————————————</w:t>
      </w:r>
    </w:p>
    <w:p>
      <w:pPr>
        <w:spacing w:before="160" w:after="40" w:line="240" w:lineRule="auto"/>
      </w:pPr>
      <w:r>
        <w:rPr>
          <w:b/>
        </w:rPr>
        <w:t xml:space="preserve">[405] </w:t>
      </w:r>
      <w:hyperlink r:id="rId1249">
        <w:r>
          <w:rPr>
            <w:color w:val="1155CC"/>
            <w:u w:val="single"/>
          </w:rPr>
          <w:t>马尔可夫过程中的核 $γ$ 射线级联</w:t>
        </w:r>
      </w:hyperlink>
    </w:p>
    <w:p>
      <w:pPr>
        <w:spacing w:before="0" w:after="80"/>
      </w:pPr>
      <w:r>
        <w:rPr>
          <w:i/>
          <w:sz w:val="20"/>
        </w:rPr>
        <w:t>EN: Nuclear $γ$-ray cascades as Markov processes</w:t>
      </w:r>
    </w:p>
    <w:p>
      <w:pPr>
        <w:spacing w:before="0" w:after="120"/>
      </w:pPr>
      <w:r>
        <w:rPr>
          <w:b/>
        </w:rPr>
        <w:t xml:space="preserve">Source: </w:t>
      </w:r>
      <w:r>
        <w:t>Recent Articles in Phys. Rev. C</w:t>
      </w:r>
      <w:r>
        <w:t xml:space="preserve">    </w:t>
      </w:r>
      <w:r>
        <w:rPr>
          <w:b/>
        </w:rPr>
        <w:t xml:space="preserve">Pub date: </w:t>
      </w:r>
      <w:r>
        <w:t>2026-08-25 10:00:00+00:00</w:t>
      </w:r>
      <w:r>
        <w:t xml:space="preserve">    </w:t>
      </w:r>
      <w:r>
        <w:rPr>
          <w:b/>
        </w:rPr>
        <w:t xml:space="preserve">DOI: </w:t>
      </w:r>
      <w:hyperlink r:id="rId1250">
        <w:r>
          <w:rPr>
            <w:color w:val="1155CC"/>
            <w:u w:val="single"/>
          </w:rPr>
          <w:t>10.1103/2463-2jfv</w:t>
        </w:r>
      </w:hyperlink>
    </w:p>
    <w:p>
      <w:pPr>
        <w:spacing w:before="0" w:after="120"/>
      </w:pPr>
      <w:r>
        <w:rPr>
          <w:b/>
        </w:rPr>
        <w:t xml:space="preserve">Notes: </w:t>
      </w:r>
      <w:r>
        <w:t>abstract_source=rss_description</w:t>
      </w:r>
    </w:p>
    <w:p>
      <w:pPr>
        <w:spacing w:before="0" w:after="80" w:lineRule="auto" w:line="276"/>
      </w:pPr>
      <w:r>
        <w:rPr>
          <w:b/>
        </w:rPr>
        <w:t xml:space="preserve">摘要（ZH）: </w:t>
      </w:r>
      <w:r>
        <w:t>作者：Athanasios Psaltis 提出了一种基于吸收马尔可夫链的核衰变方案中计算 $γ$ 射线馈送概率的框架。在这种方法中，激发核态被视为瞬态，长寿命能级被视为吸收态，从而可以从t中准确获得进料分数……[Phys。 Rev. C 114, 025807] 于 2026 年 8 月 25 日星期二发布</w:t>
      </w:r>
    </w:p>
    <w:p>
      <w:pPr>
        <w:spacing w:before="0" w:after="200" w:lineRule="auto" w:line="276"/>
      </w:pPr>
      <w:r>
        <w:rPr>
          <w:b/>
        </w:rPr>
        <w:t xml:space="preserve">Abstract (EN): </w:t>
      </w:r>
      <w:r>
        <w:t>Author(s): Athanasios PsaltisA framework for computing $γ$-ray feeding probabilities in nuclear decay schemes based on absorbing Markov chains is presented. In this approach, excited nuclear states are treated as transient states and long-lived levels as absorbing states, allowing feeding fractions to be obtained exactly from t…[Phys. Rev. C 114, 025807] Published Tue Aug 25, 2026</w:t>
      </w:r>
    </w:p>
    <w:p>
      <w:pPr>
        <w:spacing w:before="120" w:after="120"/>
      </w:pPr>
      <w:r>
        <w:rPr>
          <w:sz w:val="18"/>
        </w:rPr>
        <w:t>——————————————————————————————————————————————————————————————————————</w:t>
      </w:r>
    </w:p>
    <w:p>
      <w:pPr>
        <w:spacing w:before="160" w:after="40" w:line="240" w:lineRule="auto"/>
      </w:pPr>
      <w:r>
        <w:rPr>
          <w:b/>
        </w:rPr>
        <w:t xml:space="preserve">[406] </w:t>
      </w:r>
      <w:hyperlink r:id="rId1251">
        <w:r>
          <w:rPr>
            <w:color w:val="1155CC"/>
            <w:u w:val="single"/>
          </w:rPr>
          <w:t>$N=50$ 和 $Z=40$ 附近出现四极和八极集体：$^{92}\mathrm{Mo}$ 的库仑激发</w:t>
        </w:r>
      </w:hyperlink>
    </w:p>
    <w:p>
      <w:pPr>
        <w:spacing w:before="0" w:after="80"/>
      </w:pPr>
      <w:r>
        <w:rPr>
          <w:i/>
          <w:sz w:val="20"/>
        </w:rPr>
        <w:t>EN: Emergence of quadrupole and octupole collectivity near $N=50$ and $Z=40$ : Coulomb excitation of $^{92}\mathrm{Mo}$</w:t>
      </w:r>
    </w:p>
    <w:p>
      <w:pPr>
        <w:spacing w:before="0" w:after="120"/>
      </w:pPr>
      <w:r>
        <w:rPr>
          <w:b/>
        </w:rPr>
        <w:t xml:space="preserve">Source: </w:t>
      </w:r>
      <w:r>
        <w:t>Recent Articles in Phys. Rev. C</w:t>
      </w:r>
      <w:r>
        <w:t xml:space="preserve">    </w:t>
      </w:r>
      <w:r>
        <w:rPr>
          <w:b/>
        </w:rPr>
        <w:t xml:space="preserve">Pub date: </w:t>
      </w:r>
      <w:r>
        <w:t>2026-08-25 10:00:00+00:00</w:t>
      </w:r>
      <w:r>
        <w:t xml:space="preserve">    </w:t>
      </w:r>
      <w:r>
        <w:rPr>
          <w:b/>
        </w:rPr>
        <w:t xml:space="preserve">DOI: </w:t>
      </w:r>
      <w:hyperlink r:id="rId1252">
        <w:r>
          <w:rPr>
            <w:color w:val="1155CC"/>
            <w:u w:val="single"/>
          </w:rPr>
          <w:t>10.1103/n2jr-6c42</w:t>
        </w:r>
      </w:hyperlink>
    </w:p>
    <w:p>
      <w:pPr>
        <w:spacing w:before="0" w:after="120"/>
      </w:pPr>
      <w:r>
        <w:rPr>
          <w:b/>
        </w:rPr>
        <w:t xml:space="preserve">Notes: </w:t>
      </w:r>
      <w:r>
        <w:t>abstract_source=rss_description</w:t>
      </w:r>
    </w:p>
    <w:p>
      <w:pPr>
        <w:spacing w:before="0" w:after="80" w:lineRule="auto" w:line="276"/>
      </w:pPr>
      <w:r>
        <w:rPr>
          <w:b/>
        </w:rPr>
        <w:t xml:space="preserve">摘要（ZH）: </w:t>
      </w:r>
      <w:r>
        <w:t>作者：J. Heery 等人。$N=50$ 核 $^{92}\mathrm{Mo}$ $(Z=42)$ 中低位态的集体结构已通过使用与 $γ$ 射线能量跟踪束内核阵列 (GRETINA) 耦合的 CHICO2 装置进行亚势垒库仑激发进行了研究。四极和八极的集体性质…[物理。 Rev. C 114, 024338] 于 2026 年 8 月 25 日星期二发布</w:t>
      </w:r>
    </w:p>
    <w:p>
      <w:pPr>
        <w:spacing w:before="0" w:after="200" w:lineRule="auto" w:line="276"/>
      </w:pPr>
      <w:r>
        <w:rPr>
          <w:b/>
        </w:rPr>
        <w:t xml:space="preserve">Abstract (EN): </w:t>
      </w:r>
      <w:r>
        <w:t>Author(s): J. Heery et al.The collective structure of low-lying states in the $N=50$ nucleus $^{92}\mathrm{Mo}$ $(Z=42)$ has been investigated through sub-barrier Coulomb excitation using the CHICO2 device coupled to the $γ$-ray energy tracking in-beam nuclear array (GRETINA). Quadrupole and octupole collective properties ar…[Phys. Rev. C 114, 024338] Published Tue Aug 25, 2026</w:t>
      </w:r>
    </w:p>
    <w:p>
      <w:pPr>
        <w:spacing w:before="120" w:after="120"/>
      </w:pPr>
      <w:r>
        <w:rPr>
          <w:sz w:val="18"/>
        </w:rPr>
        <w:t>——————————————————————————————————————————————————————————————————————</w:t>
      </w:r>
    </w:p>
    <w:p>
      <w:pPr>
        <w:spacing w:before="160" w:after="40" w:line="240" w:lineRule="auto"/>
      </w:pPr>
      <w:r>
        <w:rPr>
          <w:b/>
        </w:rPr>
        <w:t xml:space="preserve">[407] </w:t>
      </w:r>
      <w:hyperlink r:id="rId1253">
        <w:r>
          <w:rPr>
            <w:color w:val="1155CC"/>
            <w:u w:val="single"/>
          </w:rPr>
          <w:t>用第二次随机相位近似研究对双体外场的核反应</w:t>
        </w:r>
      </w:hyperlink>
    </w:p>
    <w:p>
      <w:pPr>
        <w:spacing w:before="0" w:after="80"/>
      </w:pPr>
      <w:r>
        <w:rPr>
          <w:i/>
          <w:sz w:val="20"/>
        </w:rPr>
        <w:t>EN: Nuclear responses to two-body external fields studied with the second random-phase approximation</w:t>
      </w:r>
    </w:p>
    <w:p>
      <w:pPr>
        <w:spacing w:before="0" w:after="120"/>
      </w:pPr>
      <w:r>
        <w:rPr>
          <w:b/>
        </w:rPr>
        <w:t xml:space="preserve">Source: </w:t>
      </w:r>
      <w:r>
        <w:t>Recent Articles in Phys. Rev. C</w:t>
      </w:r>
      <w:r>
        <w:t xml:space="preserve">    </w:t>
      </w:r>
      <w:r>
        <w:rPr>
          <w:b/>
        </w:rPr>
        <w:t xml:space="preserve">Pub date: </w:t>
      </w:r>
      <w:r>
        <w:t>2026-08-25 10:00:00+00:00</w:t>
      </w:r>
      <w:r>
        <w:t xml:space="preserve">    </w:t>
      </w:r>
      <w:r>
        <w:rPr>
          <w:b/>
        </w:rPr>
        <w:t xml:space="preserve">DOI: </w:t>
      </w:r>
      <w:hyperlink r:id="rId1254">
        <w:r>
          <w:rPr>
            <w:color w:val="1155CC"/>
            <w:u w:val="single"/>
          </w:rPr>
          <w:t>10.1103/tps2-gnzq</w:t>
        </w:r>
      </w:hyperlink>
    </w:p>
    <w:p>
      <w:pPr>
        <w:spacing w:before="0" w:after="120"/>
      </w:pPr>
      <w:r>
        <w:rPr>
          <w:b/>
        </w:rPr>
        <w:t xml:space="preserve">Notes: </w:t>
      </w:r>
      <w:r>
        <w:t>abstract_source=rss_description</w:t>
      </w:r>
    </w:p>
    <w:p>
      <w:pPr>
        <w:spacing w:before="0" w:after="80" w:lineRule="auto" w:line="276"/>
      </w:pPr>
      <w:r>
        <w:rPr>
          <w:b/>
        </w:rPr>
        <w:t xml:space="preserve">摘要（ZH）: </w:t>
      </w:r>
      <w:r>
        <w:t>作者：Futoshi Minato 这项研究研究了 $^{16}\mathrm{O}$ 和 $^{40}\mathrm{Ca}$ 的减法第二随机相位近似 (SSRPA) 内对双体外场（解释为双声子激发）的核反应。为了阐明这些模式的基本特征，Hartree–Fock 和 SS…[Phys。 Rev. C 114, 024341] 于 2026 年 8 月 25 日星期二发布</w:t>
      </w:r>
    </w:p>
    <w:p>
      <w:pPr>
        <w:spacing w:before="0" w:after="200" w:lineRule="auto" w:line="276"/>
      </w:pPr>
      <w:r>
        <w:rPr>
          <w:b/>
        </w:rPr>
        <w:t xml:space="preserve">Abstract (EN): </w:t>
      </w:r>
      <w:r>
        <w:t>Author(s): Futoshi MinatoThis study investigates nuclear responses to two-body external fields, interpreted as double-phonon excitations, within the subtracted second random-phase approximation (SSRPA) for $^{16}\mathrm{O}$ and $^{40}\mathrm{Ca}$. To clarify the underlying characteristics of these modes, Hartree–Fock and SS…[Phys. Rev. C 114, 024341] Published Tue Aug 25, 2026</w:t>
      </w:r>
    </w:p>
    <w:p>
      <w:pPr>
        <w:spacing w:before="120" w:after="120"/>
      </w:pPr>
      <w:r>
        <w:rPr>
          <w:sz w:val="18"/>
        </w:rPr>
        <w:t>——————————————————————————————————————————————————————————————————————</w:t>
      </w:r>
    </w:p>
    <w:p>
      <w:pPr>
        <w:spacing w:before="160" w:after="40" w:line="240" w:lineRule="auto"/>
      </w:pPr>
      <w:r>
        <w:rPr>
          <w:b/>
        </w:rPr>
        <w:t xml:space="preserve">[408] </w:t>
      </w:r>
      <w:hyperlink r:id="rId1255">
        <w:r>
          <w:rPr>
            <w:color w:val="1155CC"/>
            <w:u w:val="single"/>
          </w:rPr>
          <w:t>在无序系统中展开布洛赫态</w:t>
        </w:r>
      </w:hyperlink>
    </w:p>
    <w:p>
      <w:pPr>
        <w:spacing w:before="0" w:after="80"/>
      </w:pPr>
      <w:r>
        <w:rPr>
          <w:i/>
          <w:sz w:val="20"/>
        </w:rPr>
        <w:t>EN: Unfolding Bloch States in Disordered Systems</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56">
        <w:r>
          <w:rPr>
            <w:color w:val="1155CC"/>
            <w:u w:val="single"/>
          </w:rPr>
          <w:t>10.1103/z13d-t7p7</w:t>
        </w:r>
      </w:hyperlink>
    </w:p>
    <w:p>
      <w:pPr>
        <w:spacing w:before="0" w:after="120"/>
      </w:pPr>
      <w:r>
        <w:rPr>
          <w:b/>
        </w:rPr>
        <w:t xml:space="preserve">Notes: </w:t>
      </w:r>
      <w:r>
        <w:t>abstract_source=rss_description</w:t>
      </w:r>
    </w:p>
    <w:p>
      <w:pPr>
        <w:spacing w:before="0" w:after="80" w:lineRule="auto" w:line="276"/>
      </w:pPr>
      <w:r>
        <w:rPr>
          <w:b/>
        </w:rPr>
        <w:t xml:space="preserve">摘要（ZH）: </w:t>
      </w:r>
      <w:r>
        <w:t>Author(s): T. Thuy Hoang, Kunihiro Yananose, Sungjong Woo, Seongjin Ahn, Dong Han, Xian-Bin Li, and Junhyeok BangIn crystalline solids, disorder breaks translational symmetry and obscures $\mathbit{k}$-resolved Bloch states, limiting an accurate description of wave-function-based observables.在这封信中，我们提出了一种方法，不仅可以展开能带结构，还可以展开相应的布洛赫态 i…[物理学。莱特牧师。 137, 096402] 2026 年 8 月 25 日星期二发布</w:t>
      </w:r>
    </w:p>
    <w:p>
      <w:pPr>
        <w:spacing w:before="0" w:after="200" w:lineRule="auto" w:line="276"/>
      </w:pPr>
      <w:r>
        <w:rPr>
          <w:b/>
        </w:rPr>
        <w:t xml:space="preserve">Abstract (EN): </w:t>
      </w:r>
      <w:r>
        <w:t>Author(s): T. Thuy Hoang, Kunihiro Yananose, Sungjong Woo, Seongjin Ahn, Dong Han, Xian-Bin Li, and Junhyeok BangIn crystalline solids, disorder breaks translational symmetry and obscures $\mathbit{k}$-resolved Bloch states, limiting an accurate description of wave-function-based observables. In this Letter, we present a method that unfolds not only the band structures but also the corresponding Bloch states i…[Phys. Rev. Lett. 137, 096402] Published Tue Aug 25, 2026</w:t>
      </w:r>
    </w:p>
    <w:p>
      <w:pPr>
        <w:spacing w:before="120" w:after="120"/>
      </w:pPr>
      <w:r>
        <w:rPr>
          <w:sz w:val="18"/>
        </w:rPr>
        <w:t>——————————————————————————————————————————————————————————————————————</w:t>
      </w:r>
    </w:p>
    <w:p>
      <w:pPr>
        <w:spacing w:before="160" w:after="40" w:line="240" w:lineRule="auto"/>
      </w:pPr>
      <w:r>
        <w:rPr>
          <w:b/>
        </w:rPr>
        <w:t xml:space="preserve">[409] </w:t>
      </w:r>
      <w:hyperlink r:id="rId1257">
        <w:r>
          <w:rPr>
            <w:color w:val="1155CC"/>
            <w:u w:val="single"/>
          </w:rPr>
          <w:t>探索基于核衰变的强场QED</w:t>
        </w:r>
      </w:hyperlink>
    </w:p>
    <w:p>
      <w:pPr>
        <w:spacing w:before="0" w:after="80"/>
      </w:pPr>
      <w:r>
        <w:rPr>
          <w:i/>
          <w:sz w:val="20"/>
        </w:rPr>
        <w:t>EN: Exploring strong-field QED based on nuclear decays</w:t>
      </w:r>
    </w:p>
    <w:p>
      <w:pPr>
        <w:spacing w:before="0" w:after="120"/>
      </w:pPr>
      <w:r>
        <w:rPr>
          <w:b/>
        </w:rPr>
        <w:t xml:space="preserve">Source: </w:t>
      </w:r>
      <w:r>
        <w:t>Recent Articles in Phys. Rev. C</w:t>
      </w:r>
      <w:r>
        <w:t xml:space="preserve">    </w:t>
      </w:r>
      <w:r>
        <w:rPr>
          <w:b/>
        </w:rPr>
        <w:t xml:space="preserve">Pub date: </w:t>
      </w:r>
      <w:r>
        <w:t>2026-08-25 10:00:00+00:00</w:t>
      </w:r>
      <w:r>
        <w:t xml:space="preserve">    </w:t>
      </w:r>
      <w:r>
        <w:rPr>
          <w:b/>
        </w:rPr>
        <w:t xml:space="preserve">DOI: </w:t>
      </w:r>
      <w:hyperlink r:id="rId1258">
        <w:r>
          <w:rPr>
            <w:color w:val="1155CC"/>
            <w:u w:val="single"/>
          </w:rPr>
          <w:t>10.1103/h55n-s18v</w:t>
        </w:r>
      </w:hyperlink>
    </w:p>
    <w:p>
      <w:pPr>
        <w:spacing w:before="0" w:after="120"/>
      </w:pPr>
      <w:r>
        <w:rPr>
          <w:b/>
        </w:rPr>
        <w:t xml:space="preserve">Notes: </w:t>
      </w:r>
      <w:r>
        <w:t>abstract_source=rss_description</w:t>
      </w:r>
    </w:p>
    <w:p>
      <w:pPr>
        <w:spacing w:before="0" w:after="80" w:lineRule="auto" w:line="276"/>
      </w:pPr>
      <w:r>
        <w:rPr>
          <w:b/>
        </w:rPr>
        <w:t xml:space="preserve">摘要（ZH）: </w:t>
      </w:r>
      <w:r>
        <w:t>作者：董建民重核内的静电场强度远远超过著名的施温格临界场强和当今可用的最强激光场。在如此极端的电场下，核系统中以真空极化为主的量子电动力学（QED）效应变得……[物理。 Rev. C 114, L021303] 于 2026 年 8 月 25 日星期二发布</w:t>
      </w:r>
    </w:p>
    <w:p>
      <w:pPr>
        <w:spacing w:before="0" w:after="200" w:lineRule="auto" w:line="276"/>
      </w:pPr>
      <w:r>
        <w:rPr>
          <w:b/>
        </w:rPr>
        <w:t xml:space="preserve">Abstract (EN): </w:t>
      </w:r>
      <w:r>
        <w:t>Author(s): Jianmin DongThe electrostatic field strength inside heavy nuclei far exceeds the famous Schwinger critical field strength and most intense laser fields available nowadays. Under such an extreme electric field, the quantum electrodynamics (QED) effect dominated by vacuum polarization in the nuclear system turns …[Phys. Rev. C 114, L021303] Published Tue Aug 25, 2026</w:t>
      </w:r>
    </w:p>
    <w:p>
      <w:pPr>
        <w:spacing w:before="120" w:after="120"/>
      </w:pPr>
      <w:r>
        <w:rPr>
          <w:sz w:val="18"/>
        </w:rPr>
        <w:t>——————————————————————————————————————————————————————————————————————</w:t>
      </w:r>
    </w:p>
    <w:p>
      <w:pPr>
        <w:spacing w:before="160" w:after="40" w:line="240" w:lineRule="auto"/>
      </w:pPr>
      <w:r>
        <w:rPr>
          <w:b/>
        </w:rPr>
        <w:t xml:space="preserve">[410] </w:t>
      </w:r>
      <w:hyperlink r:id="rId1259">
        <w:r>
          <w:rPr>
            <w:color w:val="1155CC"/>
            <w:u w:val="single"/>
          </w:rPr>
          <w:t>用于量子计算的改进准粒子核哈密顿量</w:t>
        </w:r>
      </w:hyperlink>
    </w:p>
    <w:p>
      <w:pPr>
        <w:spacing w:before="0" w:after="80"/>
      </w:pPr>
      <w:r>
        <w:rPr>
          <w:i/>
          <w:sz w:val="20"/>
        </w:rPr>
        <w:t>EN: Improved quasiparticle nuclear Hamiltonians for quantum computing</w:t>
      </w:r>
    </w:p>
    <w:p>
      <w:pPr>
        <w:spacing w:before="0" w:after="120"/>
      </w:pPr>
      <w:r>
        <w:rPr>
          <w:b/>
        </w:rPr>
        <w:t xml:space="preserve">Source: </w:t>
      </w:r>
      <w:r>
        <w:t>Recent Articles in Phys. Rev. C</w:t>
      </w:r>
      <w:r>
        <w:t xml:space="preserve">    </w:t>
      </w:r>
      <w:r>
        <w:rPr>
          <w:b/>
        </w:rPr>
        <w:t xml:space="preserve">Pub date: </w:t>
      </w:r>
      <w:r>
        <w:t>2026-08-25 10:00:00+00:00</w:t>
      </w:r>
      <w:r>
        <w:t xml:space="preserve">    </w:t>
      </w:r>
      <w:r>
        <w:rPr>
          <w:b/>
        </w:rPr>
        <w:t xml:space="preserve">DOI: </w:t>
      </w:r>
      <w:hyperlink r:id="rId1260">
        <w:r>
          <w:rPr>
            <w:color w:val="1155CC"/>
            <w:u w:val="single"/>
          </w:rPr>
          <w:t>10.1103/yl3n-3tbf</w:t>
        </w:r>
      </w:hyperlink>
    </w:p>
    <w:p>
      <w:pPr>
        <w:spacing w:before="0" w:after="120"/>
      </w:pPr>
      <w:r>
        <w:rPr>
          <w:b/>
        </w:rPr>
        <w:t xml:space="preserve">Notes: </w:t>
      </w:r>
      <w:r>
        <w:t>abstract_source=rss_description</w:t>
      </w:r>
    </w:p>
    <w:p>
      <w:pPr>
        <w:spacing w:before="0" w:after="80" w:lineRule="auto" w:line="276"/>
      </w:pPr>
      <w:r>
        <w:rPr>
          <w:b/>
        </w:rPr>
        <w:t xml:space="preserve">摘要（ZH）: </w:t>
      </w:r>
      <w:r>
        <w:t>作者：Emanuele Costa 和 Javier Menéndez 量子计算越来越多地为核结构模拟提供具体的解决方案，有可能克服限制大空间中经典对角化方法的指数缩放。一种特别有效的编码方案，基于集体类核子 p…[Phys。 Rev. C 114, 024339] 于 2026 年 8 月 25 日星期二发布</w:t>
      </w:r>
    </w:p>
    <w:p>
      <w:pPr>
        <w:spacing w:before="0" w:after="200" w:lineRule="auto" w:line="276"/>
      </w:pPr>
      <w:r>
        <w:rPr>
          <w:b/>
        </w:rPr>
        <w:t xml:space="preserve">Abstract (EN): </w:t>
      </w:r>
      <w:r>
        <w:t>Author(s): Emanuele Costa and Javier MenéndezQuantum computing is increasingly offering concrete solutions toward the simulation of nuclear structure, with the potential to overcome the exponential scaling that limits classical diagonalization methods in large spaces. A particularly efficient encoding scheme, based on collective like-nucleon p…[Phys. Rev. C 114, 024339] Published Tue Aug 25, 2026</w:t>
      </w:r>
    </w:p>
    <w:p>
      <w:pPr>
        <w:spacing w:before="120" w:after="120"/>
      </w:pPr>
      <w:r>
        <w:rPr>
          <w:sz w:val="18"/>
        </w:rPr>
        <w:t>——————————————————————————————————————————————————————————————————————</w:t>
      </w:r>
    </w:p>
    <w:p>
      <w:pPr>
        <w:spacing w:before="160" w:after="40" w:line="240" w:lineRule="auto"/>
      </w:pPr>
      <w:r>
        <w:rPr>
          <w:b/>
        </w:rPr>
        <w:t xml:space="preserve">[411] </w:t>
      </w:r>
      <w:hyperlink r:id="rId1261">
        <w:r>
          <w:rPr>
            <w:color w:val="1155CC"/>
            <w:u w:val="single"/>
          </w:rPr>
          <w:t>等标量和等矢量耦合状态之间转变时的 Yrast 状态寿命 $^{94}\mathrm{Pd}$</w:t>
        </w:r>
      </w:hyperlink>
    </w:p>
    <w:p>
      <w:pPr>
        <w:spacing w:before="0" w:after="80"/>
      </w:pPr>
      <w:r>
        <w:rPr>
          <w:i/>
          <w:sz w:val="20"/>
        </w:rPr>
        <w:t>EN: Yrast-state lifetimes in $^{94}\mathrm{Pd}$ at the transition between the isoscalar and isovector coupling regimes</w:t>
      </w:r>
    </w:p>
    <w:p>
      <w:pPr>
        <w:spacing w:before="0" w:after="120"/>
      </w:pPr>
      <w:r>
        <w:rPr>
          <w:b/>
        </w:rPr>
        <w:t xml:space="preserve">Source: </w:t>
      </w:r>
      <w:r>
        <w:t>Recent Articles in Phys. Rev. C</w:t>
      </w:r>
      <w:r>
        <w:t xml:space="preserve">    </w:t>
      </w:r>
      <w:r>
        <w:rPr>
          <w:b/>
        </w:rPr>
        <w:t xml:space="preserve">Pub date: </w:t>
      </w:r>
      <w:r>
        <w:t>2026-08-25 10:00:00+00:00</w:t>
      </w:r>
      <w:r>
        <w:t xml:space="preserve">    </w:t>
      </w:r>
      <w:r>
        <w:rPr>
          <w:b/>
        </w:rPr>
        <w:t xml:space="preserve">DOI: </w:t>
      </w:r>
      <w:hyperlink r:id="rId1262">
        <w:r>
          <w:rPr>
            <w:color w:val="1155CC"/>
            <w:u w:val="single"/>
          </w:rPr>
          <w:t>10.1103/smjm-rplr</w:t>
        </w:r>
      </w:hyperlink>
    </w:p>
    <w:p>
      <w:pPr>
        <w:spacing w:before="0" w:after="120"/>
      </w:pPr>
      <w:r>
        <w:rPr>
          <w:b/>
        </w:rPr>
        <w:t xml:space="preserve">Notes: </w:t>
      </w:r>
      <w:r>
        <w:t>abstract_source=rss_description</w:t>
      </w:r>
    </w:p>
    <w:p>
      <w:pPr>
        <w:spacing w:before="0" w:after="80" w:lineRule="auto" w:line="276"/>
      </w:pPr>
      <w:r>
        <w:rPr>
          <w:b/>
        </w:rPr>
        <w:t xml:space="preserve">摘要（ZH）: </w:t>
      </w:r>
      <w:r>
        <w:t>作者：Y. Jang 等人。$^{94}\mathrm{Pd}$ 中 yrast 激发态的半衰期使用同分异构衰变光谱进行测量。该实验在放射性同位素束工厂进行，其中 $^{94}\mathrm{Pd}$ 离子是通过 $^{124}\mathrm{Xe}$ 光束撞击 $^{9}\mathr…[Phys. Rev. C 114, 024342] 于 2026 年 8 月 25 日星期二发布</w:t>
      </w:r>
    </w:p>
    <w:p>
      <w:pPr>
        <w:spacing w:before="0" w:after="200" w:lineRule="auto" w:line="276"/>
      </w:pPr>
      <w:r>
        <w:rPr>
          <w:b/>
        </w:rPr>
        <w:t xml:space="preserve">Abstract (EN): </w:t>
      </w:r>
      <w:r>
        <w:t>Author(s): Y. Jang et al.Half-lives of yrast excited states in $^{94}\mathrm{Pd}$ were measured using isomeric decay spectroscopy. The experiment was performed at Radioactive Isotope Beam Factory, where $^{94}\mathrm{Pd}$ ions were produced via in-flight fragmentation of a $^{124}\mathrm{Xe}$ beam impinging on a $^{9}\mathr…[Phys. Rev. C 114, 024342] Published Tue Aug 25, 2026</w:t>
      </w:r>
    </w:p>
    <w:p>
      <w:pPr>
        <w:spacing w:before="120" w:after="120"/>
      </w:pPr>
      <w:r>
        <w:rPr>
          <w:sz w:val="18"/>
        </w:rPr>
        <w:t>——————————————————————————————————————————————————————————————————————</w:t>
      </w:r>
    </w:p>
    <w:p>
      <w:pPr>
        <w:spacing w:before="160" w:after="40" w:line="240" w:lineRule="auto"/>
      </w:pPr>
      <w:r>
        <w:rPr>
          <w:b/>
        </w:rPr>
        <w:t xml:space="preserve">[412] </w:t>
      </w:r>
      <w:hyperlink r:id="rId1263">
        <w:r>
          <w:rPr>
            <w:color w:val="1155CC"/>
            <w:u w:val="single"/>
          </w:rPr>
          <w:t>层代码中的部分自校正</w:t>
        </w:r>
      </w:hyperlink>
    </w:p>
    <w:p>
      <w:pPr>
        <w:spacing w:before="0" w:after="80"/>
      </w:pPr>
      <w:r>
        <w:rPr>
          <w:i/>
          <w:sz w:val="20"/>
        </w:rPr>
        <w:t>EN: Partial Self-Correction in Layer Codes</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64">
        <w:r>
          <w:rPr>
            <w:color w:val="1155CC"/>
            <w:u w:val="single"/>
          </w:rPr>
          <w:t>10.1103/mb89-8436</w:t>
        </w:r>
      </w:hyperlink>
    </w:p>
    <w:p>
      <w:pPr>
        <w:spacing w:before="0" w:after="120"/>
      </w:pPr>
      <w:r>
        <w:rPr>
          <w:b/>
        </w:rPr>
        <w:t xml:space="preserve">Notes: </w:t>
      </w:r>
      <w:r>
        <w:t>abstract_source=rss_description</w:t>
      </w:r>
    </w:p>
    <w:p>
      <w:pPr>
        <w:spacing w:before="0" w:after="80" w:lineRule="auto" w:line="276"/>
      </w:pPr>
      <w:r>
        <w:rPr>
          <w:b/>
        </w:rPr>
        <w:t xml:space="preserve">摘要（ZH）: </w:t>
      </w:r>
      <w:r>
        <w:t>作者：Dominic J. Williamson 在有限温度下存储大规模量子信息需要自主且可靠的量子硬盘，也称为自校正量子存储器。寻找三维自校正量子存储器是一个长期悬而未决的问题。最近引入的层......[Phys。莱特牧师。 137, 090601] 2026 年 8 月 25 日星期二发布</w:t>
      </w:r>
    </w:p>
    <w:p>
      <w:pPr>
        <w:spacing w:before="0" w:after="200" w:lineRule="auto" w:line="276"/>
      </w:pPr>
      <w:r>
        <w:rPr>
          <w:b/>
        </w:rPr>
        <w:t xml:space="preserve">Abstract (EN): </w:t>
      </w:r>
      <w:r>
        <w:t>Author(s): Dominic J. WilliamsonThe storage of large-scale quantum information at finite temperature requires an autonomous and reliable quantum hard drive, also known as a self-correcting quantum memory. It is a long-standing open problem to find a self-correcting quantum memory in three dimensions. The recently introduced layer …[Phys. Rev. Lett. 137, 090601] Published Tue Aug 25, 2026</w:t>
      </w:r>
    </w:p>
    <w:p>
      <w:pPr>
        <w:spacing w:before="120" w:after="120"/>
      </w:pPr>
      <w:r>
        <w:rPr>
          <w:sz w:val="18"/>
        </w:rPr>
        <w:t>——————————————————————————————————————————————————————————————————————</w:t>
      </w:r>
    </w:p>
    <w:p>
      <w:pPr>
        <w:spacing w:before="160" w:after="40" w:line="240" w:lineRule="auto"/>
      </w:pPr>
      <w:r>
        <w:rPr>
          <w:b/>
        </w:rPr>
        <w:t xml:space="preserve">[413] </w:t>
      </w:r>
      <w:hyperlink r:id="rId1265">
        <w:r>
          <w:rPr>
            <w:color w:val="1155CC"/>
            <w:u w:val="single"/>
          </w:rPr>
          <w:t>电荷调节的构象跃迁控制非单调夹断动力学</w:t>
        </w:r>
      </w:hyperlink>
    </w:p>
    <w:p>
      <w:pPr>
        <w:spacing w:before="0" w:after="80"/>
      </w:pPr>
      <w:r>
        <w:rPr>
          <w:i/>
          <w:sz w:val="20"/>
        </w:rPr>
        <w:t>EN: Charge-Regulated Conformational Transitions Govern Non-Monotonic Pinch-Off Dynamics</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66">
        <w:r>
          <w:rPr>
            <w:color w:val="1155CC"/>
            <w:u w:val="single"/>
          </w:rPr>
          <w:t>10.1103/p7zm-bcdd</w:t>
        </w:r>
      </w:hyperlink>
    </w:p>
    <w:p>
      <w:pPr>
        <w:spacing w:before="0" w:after="120"/>
      </w:pPr>
      <w:r>
        <w:rPr>
          <w:b/>
        </w:rPr>
        <w:t xml:space="preserve">Notes: </w:t>
      </w:r>
      <w:r>
        <w:t>abstract_source=rss_description</w:t>
      </w:r>
    </w:p>
    <w:p>
      <w:pPr>
        <w:spacing w:before="0" w:after="80" w:lineRule="auto" w:line="276"/>
      </w:pPr>
      <w:r>
        <w:rPr>
          <w:b/>
        </w:rPr>
        <w:t xml:space="preserve">摘要（ZH）: </w:t>
      </w:r>
      <w:r>
        <w:t>作者：Zihao Dong、Hongyi Zou、Qiyou Liu、Chao Li、Chiyu Xie、Zhengdong Cheng、Lijun Yang、Kaikai Cheng 和 Ruo-Yu Dong 虽然分子构象变化显着影响液滴夹断，但构象演化重塑毛细管驱动破裂的控制机制仍然难以捉摸。在这里，我们使用电荷调节来驱动弱电中的构象转变，从而分离出构象的作用......[Phys。莱特牧师。 137, 098102] 2026 年 8 月 25 日星期二发布</w:t>
      </w:r>
    </w:p>
    <w:p>
      <w:pPr>
        <w:spacing w:before="0" w:after="200" w:lineRule="auto" w:line="276"/>
      </w:pPr>
      <w:r>
        <w:rPr>
          <w:b/>
        </w:rPr>
        <w:t xml:space="preserve">Abstract (EN): </w:t>
      </w:r>
      <w:r>
        <w:t>Author(s): Zihao Dong, Hongyi Zou, Qiyou Liu, Chao Li, Chiyu Xie, Zhengdong Cheng, Lijun Yang, Kaikai Zheng, and Ruo-Yu DongWhile molecular conformational changes significantly influence drop pinch-off, the governing mechanisms by which conformational evolution reshapes capillary-driven breakup remain elusive. Here, we isolate the role of conformation using charge regulation to drive conformational transitions in weak po…[Phys. Rev. Lett. 137, 098102] Published Tue Aug 25, 2026</w:t>
      </w:r>
    </w:p>
    <w:p>
      <w:pPr>
        <w:spacing w:before="120" w:after="120"/>
      </w:pPr>
      <w:r>
        <w:rPr>
          <w:sz w:val="18"/>
        </w:rPr>
        <w:t>——————————————————————————————————————————————————————————————————————</w:t>
      </w:r>
    </w:p>
    <w:p>
      <w:pPr>
        <w:spacing w:before="160" w:after="40" w:line="240" w:lineRule="auto"/>
      </w:pPr>
      <w:r>
        <w:rPr>
          <w:b/>
        </w:rPr>
        <w:t xml:space="preserve">[414] </w:t>
      </w:r>
      <w:hyperlink r:id="rId1267">
        <w:r>
          <w:rPr>
            <w:color w:val="1155CC"/>
            <w:u w:val="single"/>
          </w:rPr>
          <w:t>随机搜索中的动态冗余和死亡率</w:t>
        </w:r>
      </w:hyperlink>
    </w:p>
    <w:p>
      <w:pPr>
        <w:spacing w:before="0" w:after="80"/>
      </w:pPr>
      <w:r>
        <w:rPr>
          <w:i/>
          <w:sz w:val="20"/>
        </w:rPr>
        <w:t>EN: Dynamic Redundancy and Mortality in Stochastic Search</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68">
        <w:r>
          <w:rPr>
            <w:color w:val="1155CC"/>
            <w:u w:val="single"/>
          </w:rPr>
          <w:t>10.1103/s79q-l1dq</w:t>
        </w:r>
      </w:hyperlink>
    </w:p>
    <w:p>
      <w:pPr>
        <w:spacing w:before="0" w:after="120"/>
      </w:pPr>
      <w:r>
        <w:rPr>
          <w:b/>
        </w:rPr>
        <w:t xml:space="preserve">Notes: </w:t>
      </w:r>
      <w:r>
        <w:t>abstract_source=rss_description</w:t>
      </w:r>
    </w:p>
    <w:p>
      <w:pPr>
        <w:spacing w:before="0" w:after="80" w:lineRule="auto" w:line="276"/>
      </w:pPr>
      <w:r>
        <w:rPr>
          <w:b/>
        </w:rPr>
        <w:t xml:space="preserve">摘要（ZH）: </w:t>
      </w:r>
      <w:r>
        <w:t>作者：Samantha Linn 和 Aanjaneya Kumar 随机搜索过程是自然和人工系统的基本组成部分。在这种情况下，搜索者的数量很少是恒定的：可能会招募新的特工，而其他特工可能会放弃搜索。尽管这些动态无处不在，但它们对搜索效率的综合影响……[Phys。莱特牧师。 137, 097102] 2026 年 8 月 25 日星期二发布</w:t>
      </w:r>
    </w:p>
    <w:p>
      <w:pPr>
        <w:spacing w:before="0" w:after="200" w:lineRule="auto" w:line="276"/>
      </w:pPr>
      <w:r>
        <w:rPr>
          <w:b/>
        </w:rPr>
        <w:t xml:space="preserve">Abstract (EN): </w:t>
      </w:r>
      <w:r>
        <w:t>Author(s): Samantha Linn and Aanjaneya KumarStochastic search processes are a fundamental part of natural and artificial systems. In such settings, the number of searchers is rarely constant: new agents may be recruited while others can abandon the search. Despite the ubiquity of these dynamics, their combined influence on search efficiency r…[Phys. Rev. Lett. 137, 097102] Published Tue Aug 25, 2026</w:t>
      </w:r>
    </w:p>
    <w:p>
      <w:pPr>
        <w:spacing w:before="120" w:after="120"/>
      </w:pPr>
      <w:r>
        <w:rPr>
          <w:sz w:val="18"/>
        </w:rPr>
        <w:t>——————————————————————————————————————————————————————————————————————</w:t>
      </w:r>
    </w:p>
    <w:p>
      <w:pPr>
        <w:spacing w:before="160" w:after="40" w:line="240" w:lineRule="auto"/>
      </w:pPr>
      <w:r>
        <w:rPr>
          <w:b/>
        </w:rPr>
        <w:t xml:space="preserve">[415] </w:t>
      </w:r>
      <w:hyperlink r:id="rId1269">
        <w:r>
          <w:rPr>
            <w:color w:val="1155CC"/>
            <w:u w:val="single"/>
          </w:rPr>
          <w:t>层数奇偶校验引起的拓扑相变</w:t>
        </w:r>
      </w:hyperlink>
    </w:p>
    <w:p>
      <w:pPr>
        <w:spacing w:before="0" w:after="80"/>
      </w:pPr>
      <w:r>
        <w:rPr>
          <w:i/>
          <w:sz w:val="20"/>
        </w:rPr>
        <w:t>EN: Layer-Number Parity Induced Topological Phase Transition</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70">
        <w:r>
          <w:rPr>
            <w:color w:val="1155CC"/>
            <w:u w:val="single"/>
          </w:rPr>
          <w:t>10.1103/jxhl-p79b</w:t>
        </w:r>
      </w:hyperlink>
    </w:p>
    <w:p>
      <w:pPr>
        <w:spacing w:before="0" w:after="120"/>
      </w:pPr>
      <w:r>
        <w:rPr>
          <w:b/>
        </w:rPr>
        <w:t xml:space="preserve">Notes: </w:t>
      </w:r>
      <w:r>
        <w:t>abstract_source=rss_description</w:t>
      </w:r>
    </w:p>
    <w:p>
      <w:pPr>
        <w:spacing w:before="0" w:after="80" w:lineRule="auto" w:line="276"/>
      </w:pPr>
      <w:r>
        <w:rPr>
          <w:b/>
        </w:rPr>
        <w:t xml:space="preserve">摘要（ZH）: </w:t>
      </w:r>
      <w:r>
        <w:t>作者：Kai Chen、Junyanguan、JiaminGuo、HeGao、ZhongmingGu 和 Jie Zhu 我们证明，在强制对称性限制下，堆叠拓扑平凡层会产生具有受保护边界态的涌现拓扑相。值得注意的是，层数本身充当拓扑开关，使系统能够在连续的状态中托管拓扑束缚态……[物理。莱特牧师。 137, 096602] 2026 年 8 月 25 日星期二发布</w:t>
      </w:r>
    </w:p>
    <w:p>
      <w:pPr>
        <w:spacing w:before="0" w:after="200" w:lineRule="auto" w:line="276"/>
      </w:pPr>
      <w:r>
        <w:rPr>
          <w:b/>
        </w:rPr>
        <w:t xml:space="preserve">Abstract (EN): </w:t>
      </w:r>
      <w:r>
        <w:t>Author(s): Kai Chen, Junyan Guan, Jiamin Guo, He Gao, Zhongming Gu, and Jie ZhuWe demonstrate that stacking topologically trivial layers, under enforced symmetry restrictions, yields emergent topological phases with protected boundary states. Remarkably, the number of layers itself acts as a topological switch, enabling the system to host topological bound states in the contin…[Phys. Rev. Lett. 137, 096602] Published Tue Aug 25, 2026</w:t>
      </w:r>
    </w:p>
    <w:p>
      <w:pPr>
        <w:spacing w:before="120" w:after="120"/>
      </w:pPr>
      <w:r>
        <w:rPr>
          <w:sz w:val="18"/>
        </w:rPr>
        <w:t>——————————————————————————————————————————————————————————————————————</w:t>
      </w:r>
    </w:p>
    <w:p>
      <w:pPr>
        <w:spacing w:before="160" w:after="40" w:line="240" w:lineRule="auto"/>
      </w:pPr>
      <w:r>
        <w:rPr>
          <w:b/>
        </w:rPr>
        <w:t xml:space="preserve">[416] </w:t>
      </w:r>
      <w:hyperlink r:id="rId1271">
        <w:r>
          <w:rPr>
            <w:color w:val="1155CC"/>
            <w:u w:val="single"/>
          </w:rPr>
          <w:t>装饰兰道能级中不可压缩相的出现和转变</w:t>
        </w:r>
      </w:hyperlink>
    </w:p>
    <w:p>
      <w:pPr>
        <w:spacing w:before="0" w:after="80"/>
      </w:pPr>
      <w:r>
        <w:rPr>
          <w:i/>
          <w:sz w:val="20"/>
        </w:rPr>
        <w:t>EN: Emergence and Transition of Incompressible Phases in Decorated Landau Levels</w:t>
      </w:r>
    </w:p>
    <w:p>
      <w:pPr>
        <w:spacing w:before="0" w:after="120"/>
      </w:pPr>
      <w:r>
        <w:rPr>
          <w:b/>
        </w:rPr>
        <w:t xml:space="preserve">Source: </w:t>
      </w:r>
      <w:r>
        <w:t>Recent Articles in Phys. Rev. Lett.</w:t>
      </w:r>
      <w:r>
        <w:t xml:space="preserve">    </w:t>
      </w:r>
      <w:r>
        <w:rPr>
          <w:b/>
        </w:rPr>
        <w:t xml:space="preserve">Pub date: </w:t>
      </w:r>
      <w:r>
        <w:t>2026-08-25 10:00:00+00:00</w:t>
      </w:r>
      <w:r>
        <w:t xml:space="preserve">    </w:t>
      </w:r>
      <w:r>
        <w:rPr>
          <w:b/>
        </w:rPr>
        <w:t xml:space="preserve">DOI: </w:t>
      </w:r>
      <w:hyperlink r:id="rId1272">
        <w:r>
          <w:rPr>
            <w:color w:val="1155CC"/>
            <w:u w:val="single"/>
          </w:rPr>
          <w:t>10.1103/n824-tw3h</w:t>
        </w:r>
      </w:hyperlink>
    </w:p>
    <w:p>
      <w:pPr>
        <w:spacing w:before="0" w:after="120"/>
      </w:pPr>
      <w:r>
        <w:rPr>
          <w:b/>
        </w:rPr>
        <w:t xml:space="preserve">Notes: </w:t>
      </w:r>
      <w:r>
        <w:t>abstract_source=rss_description</w:t>
      </w:r>
    </w:p>
    <w:p>
      <w:pPr>
        <w:spacing w:before="0" w:after="80" w:lineRule="auto" w:line="276"/>
      </w:pPr>
      <w:r>
        <w:rPr>
          <w:b/>
        </w:rPr>
        <w:t xml:space="preserve">摘要（ZH）: </w:t>
      </w:r>
      <w:r>
        <w:t>作者：Bo Peng、Yuzhu Wang 和 Bo Yang 具有周期性静电势的单一朗道能级 (LL) 可以实现大量相互作用的拓扑相，其中霍尔电导率通常不等于 LL 填充因子。他们的物理学可以通过一系列新的平坦拓扑带来捕捉：装饰兰道……[物理学。莱特牧师。 137, 096601] 2026 年 8 月 25 日星期二发布</w:t>
      </w:r>
    </w:p>
    <w:p>
      <w:pPr>
        <w:spacing w:before="0" w:after="200" w:lineRule="auto" w:line="276"/>
      </w:pPr>
      <w:r>
        <w:rPr>
          <w:b/>
        </w:rPr>
        <w:t xml:space="preserve">Abstract (EN): </w:t>
      </w:r>
      <w:r>
        <w:t>Author(s): Bo Peng, Yuzhu Wang, and Bo YangA single Landau level (LL) dressed with periodic electrostatic potentials can realize a plethora of interacting topological phases where the Hall conductivity generally does not equal to the LL filling factor. Their physics can be captured by a new family of flat topological bands: decorated Landau …[Phys. Rev. Lett. 137, 096601] Published Tue Aug 25, 2026</w:t>
      </w:r>
    </w:p>
    <w:p>
      <w:pPr>
        <w:spacing w:before="120" w:after="120"/>
      </w:pPr>
      <w:r>
        <w:rPr>
          <w:sz w:val="18"/>
        </w:rPr>
        <w:t>——————————————————————————————————————————————————————————————————————</w:t>
      </w:r>
    </w:p>
    <w:p>
      <w:pPr>
        <w:spacing w:before="160" w:after="40" w:line="240" w:lineRule="auto"/>
      </w:pPr>
      <w:r>
        <w:rPr>
          <w:b/>
        </w:rPr>
        <w:t xml:space="preserve">[417] </w:t>
      </w:r>
      <w:hyperlink r:id="rId1273">
        <w:r>
          <w:rPr>
            <w:color w:val="1155CC"/>
            <w:u w:val="single"/>
          </w:rPr>
          <w:t>用于超快单向吸收的可扩展、稳健、仿生液体二极管</w:t>
        </w:r>
      </w:hyperlink>
    </w:p>
    <w:p>
      <w:pPr>
        <w:spacing w:before="0" w:after="80"/>
      </w:pPr>
      <w:r>
        <w:rPr>
          <w:i/>
          <w:sz w:val="20"/>
        </w:rPr>
        <w:t>EN: A Scalable, Robust, and Bioinspired Liquid Diode for Ultrafast Unidirectional Absorption</w:t>
      </w:r>
    </w:p>
    <w:p>
      <w:pPr>
        <w:spacing w:before="0" w:after="120"/>
      </w:pPr>
      <w:r>
        <w:rPr>
          <w:b/>
        </w:rPr>
        <w:t xml:space="preserve">Source: </w:t>
      </w:r>
      <w:r>
        <w:t>Wiley: Advanced Materials: Table of Contents</w:t>
      </w:r>
      <w:r>
        <w:t xml:space="preserve">    </w:t>
      </w:r>
      <w:r>
        <w:rPr>
          <w:b/>
        </w:rPr>
        <w:t xml:space="preserve">Pub date: </w:t>
      </w:r>
      <w:r>
        <w:t>2026-08-25 14:09:49+00:00</w:t>
      </w:r>
      <w:r>
        <w:t xml:space="preserve">    </w:t>
      </w:r>
      <w:r>
        <w:rPr>
          <w:b/>
        </w:rPr>
        <w:t xml:space="preserve">DOI: </w:t>
      </w:r>
      <w:hyperlink r:id="rId1274">
        <w:r>
          <w:rPr>
            <w:color w:val="1155CC"/>
            <w:u w:val="single"/>
          </w:rPr>
          <w:t>10.1002/adma.74548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体表生物体液的有效管理对于先进的医疗保护和保健至关重要。虽然传统的设计通常仅依赖于单向渗透，但我们之前建立的微纤维覆盖的多孔基材模型利用横向毛细管力和垂直渗透之间的协同相互作用，将吸收动力学提高了 150 倍以上。然而，这种结构的可扩展制造和机械鲁棒性仍然具有挑战性。在这里，我们提出了一种基于静电植绒与非溶剂诱导相分离相结合的半连续制造策略，以生产由微纤维阵列、多孔粘合夹层和纤维支撑体（MA-PA-FS）组成的三层复合材料。我们系统地阐明了每一层在引导快速液体吸收和增强结构完整性方面的作用。优化的 MA-PA-FS 复合材料实现了超快单向吸水（9.3 毫秒内 5 µL），比多孔控制表面（90.0 秒）快三个数量级，并且还可以有效吸收新鲜猪血等粘性生物液体。除了出色的液体吸收性外，该材料还具有高透湿性和强大的机械耐久性。这项研究为设计可扩展的高性能生物流体处理界面提供了科学基础，在医用纺织品、防护装备和相关健康技术方面具有广阔的潜力。</w:t>
      </w:r>
    </w:p>
    <w:p>
      <w:pPr>
        <w:spacing w:before="0" w:after="200" w:lineRule="auto" w:line="276"/>
      </w:pPr>
      <w:r>
        <w:rPr>
          <w:b/>
        </w:rPr>
        <w:t xml:space="preserve">Abstract (EN): </w:t>
      </w:r>
      <w:r>
        <w:t>Efficient management of biofluids on body surfaces is essential for advanced medical protection and healthcare. While conventional designs often rely solely on unidirectional penetration, our previously established model of a microfiber‐covered porous substrate leverages synergistic interplay between lateral capillary forces and vertical permeation to enhance absorption kinetics by over 150‐fold. However, scalable fabrication and mechanical robustness of such a structure remain challenging. Here, we present a semi‐continuous manufacturing strategy based on electrostatic flocking combined with non‐solvent‐induced phase separation to produce a trilayered composite consisting of a micro‐fiber array, a porous adhesive interlayer, and a fibrous support (MA‐PA‐FS). We systematically elucidate the role of each layer in guiding rapid liquid absorption and enhancing structural integrity. The optimized MA‐PA‐FS composite achieves ultrafast unidirectional water absorption (5 µL in 9.3 ms)—three orders of magnitude faster than a porous control surface (90.0 s)—and also effectively absorbs viscous biological fluids such as fresh porcine blood. Besides exceptional liquid absorption, the material exhibits high moisture permeability and strong mechanical durability. This study provides a scientific foundation for designing scalable, high‐performance biofluid‐handling interfaces, with promising potential in medical textiles, protective gear, and related health technologies.</w:t>
      </w:r>
    </w:p>
    <w:p>
      <w:pPr>
        <w:spacing w:before="120" w:after="120"/>
      </w:pPr>
      <w:r>
        <w:rPr>
          <w:sz w:val="18"/>
        </w:rPr>
        <w:t>——————————————————————————————————————————————————————————————————————</w:t>
      </w:r>
    </w:p>
    <w:p>
      <w:pPr>
        <w:spacing w:before="160" w:after="40" w:line="240" w:lineRule="auto"/>
      </w:pPr>
      <w:r>
        <w:rPr>
          <w:b/>
        </w:rPr>
        <w:t xml:space="preserve">[418] </w:t>
      </w:r>
      <w:hyperlink r:id="rId1275">
        <w:r>
          <w:rPr>
            <w:color w:val="1155CC"/>
            <w:u w:val="single"/>
          </w:rPr>
          <w:t>解码双金属 MOF 中用于高级氧化过程的协同途径</w:t>
        </w:r>
      </w:hyperlink>
    </w:p>
    <w:p>
      <w:pPr>
        <w:spacing w:before="0" w:after="80"/>
      </w:pPr>
      <w:r>
        <w:rPr>
          <w:i/>
          <w:sz w:val="20"/>
        </w:rPr>
        <w:t>EN: Decoding Synergistic Pathways in Bimetallic MOFs for Advanced Oxidation Processes</w:t>
      </w:r>
    </w:p>
    <w:p>
      <w:pPr>
        <w:spacing w:before="0" w:after="120"/>
      </w:pPr>
      <w:r>
        <w:rPr>
          <w:b/>
        </w:rPr>
        <w:t xml:space="preserve">Source: </w:t>
      </w:r>
      <w:r>
        <w:t>Wiley: Advanced Materials: Table of Contents</w:t>
      </w:r>
      <w:r>
        <w:t xml:space="preserve">    </w:t>
      </w:r>
      <w:r>
        <w:rPr>
          <w:b/>
        </w:rPr>
        <w:t xml:space="preserve">Pub date: </w:t>
      </w:r>
      <w:r>
        <w:t>2026-08-25 14:30:44+00:00</w:t>
      </w:r>
      <w:r>
        <w:t xml:space="preserve">    </w:t>
      </w:r>
      <w:r>
        <w:rPr>
          <w:b/>
        </w:rPr>
        <w:t xml:space="preserve">DOI: </w:t>
      </w:r>
      <w:hyperlink r:id="rId1276">
        <w:r>
          <w:rPr>
            <w:color w:val="1155CC"/>
            <w:u w:val="single"/>
          </w:rPr>
          <w:t>10.1002/adma.74785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双金属金属有机骨架（BMOF）为高级氧化过程（AOP）提供了一个多功能平台，因为成对的金属中心可以调节骨架结构、电荷分布、氧化还原循环、氧化剂活化和反应物质生成。本综述对用于废水修复的基于 BMOF 的 AOP 进行了以机制为导向的分析，涵盖材料设计、合成、纯化、活化、结构验证和催化应用。特别注意通过相、成分、空间和局部结构分析来验证真正的 BMOF 形成，并通过适当的控制、浸出测试、光谱证据和理论计算来建立双金属协同作用。比较光催化、H 的合作途径</w:t>
      </w:r>
      <w:r>
        <w:rPr>
          <w:vertAlign w:val="subscript"/>
        </w:rPr>
        <w:t>2</w:t>
      </w:r>
      <w:r>
        <w:t>氧</w:t>
      </w:r>
      <w:r>
        <w:rPr>
          <w:vertAlign w:val="subscript"/>
        </w:rPr>
        <w:t>2</w:t>
      </w:r>
      <w:r>
        <w:t>活化、过一硫酸盐和过二硫酸盐活化、催化臭氧化和过乙酸活化，重点是金属化学和局部配位如何调节电子结构、氧化剂选择性、反应物质生成和催化性能。对交叉研究比较、金属浸出、水稳定性和真实水基质中的性能进行了严格评估，同时催化剂回收和长期运行被确定为关键的实际差距。最后，提出了设计原则和未来优先事项，以开发用于实际废水处理的稳定、可扩展且经过机械验证的 BMOF</w:t>
      </w:r>
    </w:p>
    <w:p>
      <w:pPr>
        <w:spacing w:before="0" w:after="200" w:lineRule="auto" w:line="276"/>
      </w:pPr>
      <w:r>
        <w:rPr>
          <w:b/>
        </w:rPr>
        <w:t xml:space="preserve">Abstract (EN): </w:t>
      </w:r>
      <w:r>
        <w:t>Bimetallic metal–organic frameworks (BMOFs) offer a versatile platform for advanced oxidation processes (AOPs) because paired metal centers can regulate framework structure, charge distribution, redox cycling, oxidant activation, and reactive‐species generation. This review presents a mechanism‐oriented analysis of BMOF‐based AOPs for wastewater remediation, covering material design, synthesis, purification, activation, structural validation, and catalytic applications. Particular attention is given to validating genuine BMOF formation through phase, compositional, spatial, and local‐structural analyses, and to establishing bimetallic synergy through appropriate controls, leaching tests, spectroscopic evidence, and theoretical calculations. Cooperative pathways are compared across photocatalysis, H</w:t>
      </w:r>
      <w:r>
        <w:rPr>
          <w:vertAlign w:val="subscript"/>
        </w:rPr>
        <w:t>2</w:t>
      </w:r>
      <w:r>
        <w:t>O</w:t>
      </w:r>
      <w:r>
        <w:rPr>
          <w:vertAlign w:val="subscript"/>
        </w:rPr>
        <w:t>2</w:t>
      </w:r>
      <w:r>
        <w:t>activation, peroxymonosulfate and peroxydisulfate activation, catalytic ozonation, and peracetic acid activation, with emphasis on how metal chemistry and local coordination regulate electronic structure, oxidant selectivity, reactive‐species generation, and catalytic performance. Cross‐study comparisons, metal leaching, aqueous stability, and performance in real‐water matrices are critically assessed, while catalyst recovery and long‐term operation are identified as key practical gaps. Finally, design principles and future priorities are proposed for developing stable, scalable, and mechanistically validated BMOFs for practical wastewater treatment. By integrating structural validation, mechanistic analysis, design principles, and engineering considerations, this review provides a basis for developing stable and scalable BMOF‐AOP systems for practical wastewater treatment.</w:t>
      </w:r>
    </w:p>
    <w:p>
      <w:pPr>
        <w:spacing w:before="120" w:after="120"/>
      </w:pPr>
      <w:r>
        <w:rPr>
          <w:sz w:val="18"/>
        </w:rPr>
        <w:t>——————————————————————————————————————————————————————————————————————</w:t>
      </w:r>
    </w:p>
    <w:p>
      <w:pPr>
        <w:spacing w:before="160" w:after="40" w:line="240" w:lineRule="auto"/>
      </w:pPr>
      <w:r>
        <w:rPr>
          <w:b/>
        </w:rPr>
        <w:t xml:space="preserve">[419] </w:t>
      </w:r>
      <w:hyperlink r:id="rId1277">
        <w:r>
          <w:rPr>
            <w:color w:val="1155CC"/>
            <w:u w:val="single"/>
          </w:rPr>
          <w:t>用于免洗生物测定的多色荧光肽的一般策略</w:t>
        </w:r>
      </w:hyperlink>
    </w:p>
    <w:p>
      <w:pPr>
        <w:spacing w:before="0" w:after="80"/>
      </w:pPr>
      <w:r>
        <w:rPr>
          <w:i/>
          <w:sz w:val="20"/>
        </w:rPr>
        <w:t>EN: A general strategy towards multicolour fluorogenic peptides for wash-free bioassays</w:t>
      </w:r>
    </w:p>
    <w:p>
      <w:pPr>
        <w:spacing w:before="0" w:after="120"/>
      </w:pPr>
      <w:r>
        <w:rPr>
          <w:b/>
        </w:rPr>
        <w:t xml:space="preserve">Source: </w:t>
      </w:r>
      <w:r>
        <w:t>Nature Chemistry</w:t>
      </w:r>
      <w:r>
        <w:t xml:space="preserve">    </w:t>
      </w:r>
      <w:r>
        <w:rPr>
          <w:b/>
        </w:rPr>
        <w:t xml:space="preserve">Pub date: </w:t>
      </w:r>
      <w:r>
        <w:t>2026-08-26 00:00:00+00:00</w:t>
      </w:r>
      <w:r>
        <w:t xml:space="preserve">    </w:t>
      </w:r>
      <w:r>
        <w:rPr>
          <w:b/>
        </w:rPr>
        <w:t xml:space="preserve">DOI: </w:t>
      </w:r>
      <w:hyperlink r:id="rId1278">
        <w:r>
          <w:rPr>
            <w:color w:val="1155CC"/>
            <w:u w:val="single"/>
          </w:rPr>
          <w:t>10.1038/s41557-026-02228-0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肽的荧光探针是活细胞成像的宝贵工具，但传统的标记方法通常需要清洗或长时间孵育，限制了其信噪比。荧光氨基酸（FgAA）可以克服这些限制，但由于缺乏通用的猝灭原理和与不同荧光团兼容的合成路线，其合理设计仍然具有挑战性。在这里，我们开发了一种通用策略，通过分子内色氨酸诱导的猝灭将本构型明亮的荧光团转化为开启的 FgAA。计算分析表明，猝灭是由光诱导电子转移或扭曲的分子内电荷转移机制控制的，具有跨紫外到近红外荧光团支架的适应性。我们合成了一个大型的多色 FgAA 文库，并将它们整合到固相肽合成中，以生成用于活细胞实时显微镜观察的启动探针。然后，我们设计了针对程序性细胞死亡蛋白 1 (PD-1) 的荧光肽，从而能够筛选 T 细胞靶向药物，并将阿伐麦贝鉴定为 PD-1 活性的小分子调节剂。这项工作为肽工程、成像和药物发现设计多色 FgAA 建立了合理的策略。</w:t>
      </w:r>
    </w:p>
    <w:p>
      <w:pPr>
        <w:spacing w:before="0" w:after="200" w:lineRule="auto" w:line="276"/>
      </w:pPr>
      <w:r>
        <w:rPr>
          <w:b/>
        </w:rPr>
        <w:t xml:space="preserve">Abstract (EN): </w:t>
      </w:r>
      <w:r>
        <w:t>Peptide-based fluorescent probes are valuable tools for live-cell imaging, but conventional labelling approaches often require washing or long incubation, limiting their signal-to-noise ratios. Fluorogenic amino acids (FgAAs) can overcome these limitations, yet their rational design remains challenging owing to the lack of generalizable quenching principles and synthetic routes compatible with diverse fluorophores. Here we developed a general strategy to convert constitutively bright fluorophores into turn-on FgAAs through intramolecular tryptophan-induced quenching. Computational analysis showed that quenching is governed by photoinduced electron transfer or twisted intramolecular charge transfer mechanisms, with adaptability across ultraviolet-to-near-infrared fluorophore scaffolds. We synthesized a large library of multicolour FgAAs and integrated them into solid-phase peptide synthesis to generate turn-on probes for real-time microscopy in live cells. We then designed fluorogenic peptides targeting programmed cell death protein 1 (PD-1), enabling T cell targeted drug screening and identifying avasimibe as a small-molecule modulator of PD-1 activity. This work establishes a rational strategy for designing multicolour FgAAs for peptide engineering, imaging and drug discovery.</w:t>
      </w:r>
    </w:p>
    <w:p>
      <w:pPr>
        <w:spacing w:before="120" w:after="120"/>
      </w:pPr>
      <w:r>
        <w:rPr>
          <w:sz w:val="18"/>
        </w:rPr>
        <w:t>——————————————————————————————————————————————————————————————————————</w:t>
      </w:r>
    </w:p>
    <w:p>
      <w:pPr>
        <w:spacing w:before="160" w:after="40" w:line="240" w:lineRule="auto"/>
      </w:pPr>
      <w:r>
        <w:rPr>
          <w:b/>
        </w:rPr>
        <w:t xml:space="preserve">[420] </w:t>
      </w:r>
      <w:hyperlink r:id="rId1279">
        <w:r>
          <w:rPr>
            <w:color w:val="1155CC"/>
            <w:u w:val="single"/>
          </w:rPr>
          <w:t>靶向抗癌药物递送的结合释放策略</w:t>
        </w:r>
      </w:hyperlink>
    </w:p>
    <w:p>
      <w:pPr>
        <w:spacing w:before="0" w:after="80"/>
      </w:pPr>
      <w:r>
        <w:rPr>
          <w:i/>
          <w:sz w:val="20"/>
        </w:rPr>
        <w:t>EN: A binding-to-release strategy for targeted anticancer drug delivery</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280">
        <w:r>
          <w:rPr>
            <w:color w:val="1155CC"/>
            <w:u w:val="single"/>
          </w:rPr>
          <w:t>10.1038/s41586-026-10971-0</w:t>
        </w:r>
      </w:hyperlink>
    </w:p>
    <w:p>
      <w:pPr>
        <w:spacing w:before="0" w:after="120"/>
      </w:pPr>
      <w:r>
        <w:rPr>
          <w:b/>
        </w:rPr>
        <w:t xml:space="preserve">Notes: </w:t>
      </w:r>
      <w:r>
        <w:t>abstract_source=pubmed</w:t>
      </w:r>
    </w:p>
    <w:p>
      <w:pPr>
        <w:spacing w:before="0" w:after="80" w:lineRule="auto" w:line="276"/>
      </w:pPr>
      <w:r>
        <w:rPr>
          <w:b/>
        </w:rPr>
        <w:t xml:space="preserve">摘要（ZH）: </w:t>
      </w:r>
      <w:r>
        <w:t>药物偶联物，例如抗体-药物偶联物 (ADC) 和小分子-药物偶联物 (SMDC)，通常依赖于有效受体介导的内吞作用来释放有效负载1-3 - 由约 10% 的靶点支持4-7。对于内化较差的靶标，药物缀合物会迅速解离和清除，从而限制功效。为了克服内化释放（ITR）模式的限制，我们引入了一种结合释放（BTR）策略，通过定位亲电试剂以被结合袋内的近端亲核残基直接裂解，从而将药物释放与内吞作用解耦。为了实现这一目标，我们开发了磷（V）-苯酚交换（PhoPEx），这是一种受硫（VI）氟化物交换启发的化学物质，能够释放各种有效负载。该平台表现出从体外到临床标本的高度特异性，实现了患者来源淋巴结中成纤维细胞激活蛋白（FAP）表达的精确检测。在治疗环境中，FAP-BTR-SMDC 在肿瘤中的单甲基阿里他汀 E 暴露量 (AUC0-120 h) 比内化依赖性 FAP-ITR-SMDC 高 5.9 倍，匹配 FAP-ITR-ADC 水平，同时最大限度地减少脱靶释放。这导致比率得到改善：肿瘤与血液的比率分别比 FAP-ITR-SMDC 和 FAP-ITR-ADC 的 14.7 倍和 3.6 倍高，肿瘤与肝脏的比率分别高 55.1 倍和 58.7 倍。这种生物分布增加了最大耐受剂量，并导致各种肿瘤模型中的肿瘤几乎完全消退。我们进一步将 BTR 扩展到程序性细胞死亡配体 1 (PD-L1)</w:t>
      </w:r>
    </w:p>
    <w:p>
      <w:pPr>
        <w:spacing w:before="0" w:after="200" w:lineRule="auto" w:line="276"/>
      </w:pPr>
      <w:r>
        <w:rPr>
          <w:b/>
        </w:rPr>
        <w:t xml:space="preserve">Abstract (EN): </w:t>
      </w:r>
      <w:r>
        <w:t>Drug conjugates, such as antibody-drug conjugates (ADCs) and small molecule-drug conjugates (SMDCs), are often dependent on efficient receptor-mediated endocytosis for payload release1-3-supported by about 10% of targets4-7. For poorly internalizing targets, drug conjugates dissociate and clear rapidly, limiting efficacy. To overcome the limitation in the internalization-to-release (ITR) pattern, we introduce a binding-to-release (BTR) strategy that decouples drug release from endocytosis by positioning an electrophile for direct cleavage by a proximal nucleophilic residue within the binding pocket. To realize this, we developed phosphorus(V)-phenol exchange (PhoPEx), a sulfur(VI) fluoride exchange-inspired chemistry enabling release of various payloads. This platform demonstrated high specificity from in vitro to clinical specimens, achieving precise detection of fibroblast activation protein (FAP) expression in patient-derived lymph nodes. In therapeutic settings, the FAP-BTR-SMDC achieved 5.9-fold higher monomethyl auristatin E exposure (AUC0-120 h) in tumours than internalization-dependent FAP-ITR-SMDC, matching FAP-ITR-ADC levels while minimizing off-target release. This led to improved ratios: the tumour-to-blood ratio was 14.7- and 3.6-fold higher than that of FAP-ITR-SMDC and FAP-ITR-ADC, respectively, and the tumour-to-liver ratio was 55.1- and 58.7-fold higher, respectively. This biodistribution increased the maximum tolerated dose and led to near-complete tumour regression in various tumour models. We further extended BTR to programmed cell death ligand 1 (PD-L1) and an mRNA-display-derived FAP peptide, suggesting potential broad applicability. This work establishes a framework that overcomes the internalization barrier, broadening the target scope for therapeutic and diagnostic conjugates.</w:t>
      </w:r>
    </w:p>
    <w:p>
      <w:pPr>
        <w:spacing w:before="120" w:after="120"/>
      </w:pPr>
      <w:r>
        <w:rPr>
          <w:sz w:val="18"/>
        </w:rPr>
        <w:t>——————————————————————————————————————————————————————————————————————</w:t>
      </w:r>
    </w:p>
    <w:p>
      <w:pPr>
        <w:spacing w:before="160" w:after="40" w:line="240" w:lineRule="auto"/>
      </w:pPr>
      <w:r>
        <w:rPr>
          <w:b/>
        </w:rPr>
        <w:t xml:space="preserve">[421] </w:t>
      </w:r>
      <w:hyperlink r:id="rId1281">
        <w:r>
          <w:rPr>
            <w:color w:val="1155CC"/>
            <w:u w:val="single"/>
          </w:rPr>
          <w:t>异常兴奋性神经元 ERBB4 促进阿尔茨海默病病理学</w:t>
        </w:r>
      </w:hyperlink>
    </w:p>
    <w:p>
      <w:pPr>
        <w:spacing w:before="0" w:after="80"/>
      </w:pPr>
      <w:r>
        <w:rPr>
          <w:i/>
          <w:sz w:val="20"/>
        </w:rPr>
        <w:t>EN: Aberrant excitatory neuronal ERBB4 promotes Alzheimer’s disease pathology</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282">
        <w:r>
          <w:rPr>
            <w:color w:val="1155CC"/>
            <w:u w:val="single"/>
          </w:rPr>
          <w:t>10.1038/s41586-026-10964-z</w:t>
        </w:r>
      </w:hyperlink>
    </w:p>
    <w:p>
      <w:pPr>
        <w:spacing w:before="0" w:after="120"/>
      </w:pPr>
      <w:r>
        <w:rPr>
          <w:b/>
        </w:rPr>
        <w:t xml:space="preserve">Notes: </w:t>
      </w:r>
      <w:r>
        <w:t>abstract_source=pubmed</w:t>
      </w:r>
    </w:p>
    <w:p>
      <w:pPr>
        <w:spacing w:before="0" w:after="80" w:lineRule="auto" w:line="276"/>
      </w:pPr>
      <w:r>
        <w:rPr>
          <w:b/>
        </w:rPr>
        <w:t xml:space="preserve">摘要（ZH）: </w:t>
      </w:r>
      <w:r>
        <w:t>神经炎症和突触损失与阿尔茨海默病 (AD) 的认知能力下降有关。尽管小胶质细胞过度吞噬活性与突触丢失有关1-4，但这些病理学背后的机制仍然不清楚。在这里，我们证明，在小鼠 AD 进展过程中，星形胶质细胞和小胶质细胞增加了兴奋性突触的吞噬消除，同时减少了抑制性突触的消除，这表明单独的神经炎症对于早期 AD 突触丧失可能是可有可无的。相反，单核 RNA 测序分析发现早期反应性兴奋性神经元 (EREN) 的出现，其特征是异位 Erb-B2 受体酪氨酸激酶 4 (Erbb4) 的表达，这是 AD 小鼠模型中最早的主要改变之一。 AD 兴奋性神经元中的选择性 Erbb4 缺失消除了异常的神经元网络活动和突触损失，以及反应性神经胶质增生、淀粉样蛋白斑沉积和认知缺陷。相反，野生型兴奋性神经元中 Erbb4 的过度表达再现了这些核心 AD 样表型，而没有淀粉样斑块。从机制上讲，这些效应需要 ERBB4 下游的哺乳动物雷帕霉素靶点 (mTOR) 信号传导。随后的转录组分析表明，兴奋性神经元 Erbb4 对于诱导 EREN 和反应性神经胶质增生是必要且充分的。对人类 AD 转录组数据的定向中介分析进一步支持了一个模型，其中兴奋性神经元 ERBB4 有助于将淀粉样蛋白病理学与 tau 增殖和认知能力下降联系起来的致病级联反应。这些发现</w:t>
      </w:r>
    </w:p>
    <w:p>
      <w:pPr>
        <w:spacing w:before="0" w:after="200" w:lineRule="auto" w:line="276"/>
      </w:pPr>
      <w:r>
        <w:rPr>
          <w:b/>
        </w:rPr>
        <w:t xml:space="preserve">Abstract (EN): </w:t>
      </w:r>
      <w:r>
        <w:t>Neuroinflammation and synapse loss are associated with cognitive decline in Alzheimer's disease (AD). Although microglial hyperphagocytic activity has been implicated in synapse loss1-4, the mechanisms underlying these pathologies remain obscure. Here we demonstrate that, during AD progression in mice, astrocytes and microglia increase phagocytic elimination of excitatory synapses while reducing elimination of inhibitory synapses, suggesting that neuroinflammation alone may be dispensable for early AD synapse loss. Instead, single-nucleus RNA-sequencing analysis identified the emergence of early-responsive excitatory neurons (EREN), characterized by expression of ectopic Erb-B2 receptor tyrosine kinase 4 (Erbb4), as one of the earliest major alterations in AD mouse models. Selective Erbb4 deletion in AD excitatory neurons abrogated abnormal neuronal network activities and synapse loss, as well as reactive gliosis, amyloid plaque deposition and cognitive deficits. Conversely, Erbb4 overexpression in wild-type excitatory neurons recapitulated these core AD-like phenotypes without amyloid plaques. Mechanistically, these effects required mammalian target of rapamycin (mTOR) signalling downstream of ERBB4. Subsequent transcriptomic analyses showed that excitatory neuronal Erbb4 is both necessary and sufficient to induce EREN and reactive gliosis. Directed mediation analysis of human AD transcriptomic data further support a model in which excitatory neuronal ERBB4 contributes to a pathogenic cascade that links amyloid pathology to tau propagation and cognitive decline. These findings identify aberrant Erbb4 expression in excitatory neurons as an early driver of AD pathophysiology and a potential therapeutic target across neurodegenerative diseases.</w:t>
      </w:r>
    </w:p>
    <w:p>
      <w:pPr>
        <w:spacing w:before="120" w:after="120"/>
      </w:pPr>
      <w:r>
        <w:rPr>
          <w:sz w:val="18"/>
        </w:rPr>
        <w:t>——————————————————————————————————————————————————————————————————————</w:t>
      </w:r>
    </w:p>
    <w:p>
      <w:pPr>
        <w:spacing w:before="160" w:after="40" w:line="240" w:lineRule="auto"/>
      </w:pPr>
      <w:r>
        <w:rPr>
          <w:b/>
        </w:rPr>
        <w:t xml:space="preserve">[422] </w:t>
      </w:r>
      <w:hyperlink r:id="rId1283">
        <w:r>
          <w:rPr>
            <w:color w:val="1155CC"/>
            <w:u w:val="single"/>
          </w:rPr>
          <w:t>使用神经场对可变 VLBI 观测进行视频重建</w:t>
        </w:r>
      </w:hyperlink>
    </w:p>
    <w:p>
      <w:pPr>
        <w:spacing w:before="0" w:after="80"/>
      </w:pPr>
      <w:r>
        <w:rPr>
          <w:i/>
          <w:sz w:val="20"/>
        </w:rPr>
        <w:t>EN: Video reconstruction of variable VLBI observations with neural fields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284">
        <w:r>
          <w:rPr>
            <w:color w:val="1155CC"/>
            <w:u w:val="single"/>
          </w:rPr>
          <w:t>10.1038/s41586-026-10988-5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超大质量黑洞吸积和准直相对论性等离子体射流的喷射本质上是由大规模磁场形成的动态过程</w:t>
      </w:r>
      <w:r>
        <w:t xml:space="preserve"> </w:t>
      </w:r>
      <w:r>
        <w:t>1-4</w:t>
      </w:r>
      <w:r>
        <w:t xml:space="preserve"> </w:t>
      </w:r>
      <w:r>
        <w:t>。已经开发出各种算法来使用无线电干涉观测以不同尺度对这些物体进行成像</w:t>
      </w:r>
      <w:r>
        <w:t xml:space="preserve"> </w:t>
      </w:r>
      <w:r>
        <w:t>5–8</w:t>
      </w:r>
      <w:r>
        <w:t xml:space="preserve"> </w:t>
      </w:r>
      <w:r>
        <w:t>。然而，缺乏能够以高分辨率可靠地解析源的时间变化的成像方法。在这里，我们提出了一种用于可变源的超长基线干涉测量观测的视频重建算法。该算法使用神经表示</w:t>
      </w:r>
      <w:r>
        <w:rPr>
          <w:vertAlign w:val="subscript"/>
        </w:rPr>
        <w:t>9</w:t>
      </w:r>
      <w:r>
        <w:t>视频的同时处理不同时间的观察结果，同时学习和利用数据中存在的时空相关性。该算法根据快速变化源的单次观测（例如使用事件视界望远镜对人马座 A* 进行地平尺度观测）或根据缓慢变化源的重复观测来重建偏振时间连续视频。在这项工作中，我们演示了后一种情况，应用于 Blazar 3C 345 的多历元甚长基线阵列观测（参考文献 1）。</w:t>
      </w:r>
      <w:r>
        <w:rPr>
          <w:vertAlign w:val="subscript"/>
        </w:rPr>
        <w:t>10</w:t>
      </w:r>
      <w:r>
        <w:t>）。与传统方法相比，视频的时间连续性与分辨率和动态范围的改进相结合，能够测量喷射中等离子体的局部瞬时速度，与之前的方法相比</w:t>
      </w:r>
    </w:p>
    <w:p>
      <w:pPr>
        <w:spacing w:before="0" w:after="200" w:lineRule="auto" w:line="276"/>
      </w:pPr>
      <w:r>
        <w:rPr>
          <w:b/>
        </w:rPr>
        <w:t xml:space="preserve">Abstract (EN): </w:t>
      </w:r>
      <w:r>
        <w:t>Supermassive black hole accretion and the ejection of collimated, relativistic jets of plasma are intrinsically dynamic processes shaped by large-scale magnetic fields</w:t>
      </w:r>
      <w:r>
        <w:t xml:space="preserve"> </w:t>
      </w:r>
      <w:r>
        <w:t>1–4</w:t>
      </w:r>
      <w:r>
        <w:t xml:space="preserve"> </w:t>
      </w:r>
      <w:r>
        <w:t>. Various algorithms have been developed to image these objects at different scales using radio interferometric observations</w:t>
      </w:r>
      <w:r>
        <w:t xml:space="preserve"> </w:t>
      </w:r>
      <w:r>
        <w:t>5–8</w:t>
      </w:r>
      <w:r>
        <w:t xml:space="preserve"> </w:t>
      </w:r>
      <w:r>
        <w:t>. However, there is a lack of imaging methods that can robustly resolve the temporal variability of the sources at high resolution. Here we present , a video reconstruction algorithm for very long baseline interferometry observations of variable sources. The  algorithm uses a neural representation</w:t>
      </w:r>
      <w:r>
        <w:rPr>
          <w:vertAlign w:val="subscript"/>
        </w:rPr>
        <w:t>9</w:t>
      </w:r>
      <w:r>
        <w:t>of the video to simultaneously process observations at different times, while learning and leveraging the spatio-temporal correlations present in the data. The algorithm reconstructs polarimetric time-continuous videos from single observations of fast-varying sources, such as horizon-scale observations of Sagittarius A* with the Event Horizon Telescope, or from repeated observations of slowly varying sources. In this work, we demonstrate the latter case, applying  to multi-epoch Very Long Baseline Array observations of blazar 3C 345 (ref.</w:t>
      </w:r>
      <w:r>
        <w:rPr>
          <w:vertAlign w:val="subscript"/>
        </w:rPr>
        <w:t>10</w:t>
      </w:r>
      <w:r>
        <w:t>). The time continuity of the video, combined with the resolution and dynamic range improvement achieved over traditional methods, enables the measurement of the local, instantaneous velocity of the plasma in the jet, in contrast to previous methods that track only discrete components. The proposed algorithm and methodology provide a transformative tool for kinematic jet analysis and can be applied to entire monitoring programs, providing a complete kinematic description of hundreds of sources, possibly leading to a reinterpretation of established models.</w:t>
      </w:r>
    </w:p>
    <w:p>
      <w:pPr>
        <w:spacing w:before="120" w:after="120"/>
      </w:pPr>
      <w:r>
        <w:rPr>
          <w:sz w:val="18"/>
        </w:rPr>
        <w:t>——————————————————————————————————————————————————————————————————————</w:t>
      </w:r>
    </w:p>
    <w:p>
      <w:pPr>
        <w:spacing w:before="160" w:after="40" w:line="240" w:lineRule="auto"/>
      </w:pPr>
      <w:r>
        <w:rPr>
          <w:b/>
        </w:rPr>
        <w:t xml:space="preserve">[423] </w:t>
      </w:r>
      <w:hyperlink r:id="rId1285">
        <w:r>
          <w:rPr>
            <w:color w:val="1155CC"/>
            <w:u w:val="single"/>
          </w:rPr>
          <w:t>内源性大麻素通过逆行增益控制促进奖励参与</w:t>
        </w:r>
      </w:hyperlink>
    </w:p>
    <w:p>
      <w:pPr>
        <w:spacing w:before="0" w:after="80"/>
      </w:pPr>
      <w:r>
        <w:rPr>
          <w:i/>
          <w:sz w:val="20"/>
        </w:rPr>
        <w:t>EN: Endocannabinoids facilitate reward engagement through retrograde gain control</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286">
        <w:r>
          <w:rPr>
            <w:color w:val="1155CC"/>
            <w:u w:val="single"/>
          </w:rPr>
          <w:t>10.1038/s41586-026-10967-w</w:t>
        </w:r>
      </w:hyperlink>
    </w:p>
    <w:p>
      <w:pPr>
        <w:spacing w:before="0" w:after="120"/>
      </w:pPr>
      <w:r>
        <w:rPr>
          <w:b/>
        </w:rPr>
        <w:t xml:space="preserve">Notes: </w:t>
      </w:r>
      <w:r>
        <w:t>abstract_source=pubmed</w:t>
      </w:r>
    </w:p>
    <w:p>
      <w:pPr>
        <w:spacing w:before="0" w:after="80" w:lineRule="auto" w:line="276"/>
      </w:pPr>
      <w:r>
        <w:rPr>
          <w:b/>
        </w:rPr>
        <w:t xml:space="preserve">摘要（ZH）: </w:t>
      </w:r>
      <w:r>
        <w:t>神经调节信号有望成为增益控制的神经机制，通过动态塑造兴奋性和抑制性快速神经传递来作为影响神经元活动的关键调节因素。内源性大麻素 (eCB) 信号系统是哺乳动物大脑中表达最广泛的神经调节系统，已被证明可以通过体外和离体逆行、突触前作用过滤兴奋性和抑制性输入1-9。然而，eCB 是否通过逆行增益控制来最终促进自由活动的哺乳动物的动机行为尚未确定。在这里，我们使用一套基于体内生理、成像、遗传和机器学习的方法，揭示了 eCB 的动态释放在通过遗传和解剖学定义的丘脑纹状体回路寻求奖励期间控制行为参与方面的基本作用。</w:t>
      </w:r>
    </w:p>
    <w:p>
      <w:pPr>
        <w:spacing w:before="0" w:after="200" w:lineRule="auto" w:line="276"/>
      </w:pPr>
      <w:r>
        <w:rPr>
          <w:b/>
        </w:rPr>
        <w:t xml:space="preserve">Abstract (EN): </w:t>
      </w:r>
      <w:r>
        <w:t>Neuromodulatory signalling is poised to serve as a neural mechanism for gain control, acting as a crucial tuning factor to influence neuronal activity by dynamically shaping excitatory and inhibitory fast neurotransmission. The endocannabinoid (eCB) signalling system, the most widely expressed neuromodulatory system in the mammalian brain, has been demonstrated to filter excitatory and inhibitory inputs through retrograde, presynaptic action in vitro and ex vivo1-9. However, whether eCBs exert retrograde gain control to ultimately facilitate motivated behaviours in freely moving mammals has not been established. Here, using a suite of in vivo physiological, imaging, genetic and machine learning-based approaches, we uncover a fundamental role for the dynamic release of eCBs in controlling behavioural engagement during reward seeking through a genetically and anatomically defined thalamostriatal circuit.</w:t>
      </w:r>
    </w:p>
    <w:p>
      <w:pPr>
        <w:spacing w:before="120" w:after="120"/>
      </w:pPr>
      <w:r>
        <w:rPr>
          <w:sz w:val="18"/>
        </w:rPr>
        <w:t>——————————————————————————————————————————————————————————————————————</w:t>
      </w:r>
    </w:p>
    <w:p>
      <w:pPr>
        <w:spacing w:before="160" w:after="40" w:line="240" w:lineRule="auto"/>
      </w:pPr>
      <w:r>
        <w:rPr>
          <w:b/>
        </w:rPr>
        <w:t xml:space="preserve">[424] </w:t>
      </w:r>
      <w:hyperlink r:id="rId1287">
        <w:r>
          <w:rPr>
            <w:color w:val="1155CC"/>
            <w:u w:val="single"/>
          </w:rPr>
          <w:t>颗粒细胞重新调整皮质轨迹以适应不同的环境</w:t>
        </w:r>
      </w:hyperlink>
    </w:p>
    <w:p>
      <w:pPr>
        <w:spacing w:before="0" w:after="80"/>
      </w:pPr>
      <w:r>
        <w:rPr>
          <w:i/>
          <w:sz w:val="20"/>
        </w:rPr>
        <w:t>EN: Granule cells reorient cortical trajectories to separate contexts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288">
        <w:r>
          <w:rPr>
            <w:color w:val="1155CC"/>
            <w:u w:val="single"/>
          </w:rPr>
          <w:t>10.1038/s41586-026-10946-1</w:t>
        </w:r>
      </w:hyperlink>
    </w:p>
    <w:p>
      <w:pPr>
        <w:spacing w:before="0" w:after="120"/>
      </w:pPr>
      <w:r>
        <w:rPr>
          <w:b/>
        </w:rPr>
        <w:t xml:space="preserve">Notes: </w:t>
      </w:r>
      <w:r>
        <w:t>abstract_source=pubmed</w:t>
      </w:r>
    </w:p>
    <w:p>
      <w:pPr>
        <w:spacing w:before="0" w:after="80" w:lineRule="auto" w:line="276"/>
      </w:pPr>
      <w:r>
        <w:rPr>
          <w:b/>
        </w:rPr>
        <w:t xml:space="preserve">摘要（ZH）: </w:t>
      </w:r>
      <w:r>
        <w:t>为了有效地学习，动物必须在相关环境中进行概括，同时又要区分它们。泛化依赖于整个新皮质1,2的低维神经流形，它通过将神经活动限制在任务相关轴3来加速学习。相反，上下文分离被认为依赖于可以将信息投射到高维特征空间4,5的神经扩展层，最著名的是小脑颗粒细胞（GrCs）6-8。在这里，为了研究泛化-分离权衡，我们在并行学习具有共享时间结构的两种不同技能的过程中，同时对通用皮质小脑通路9-前运动层 5锥体束（L5PT）和GrCs-in小鼠中的关键节点进行成像。 GrC 没有扩展皮质表征，而是保留了每个任务的低阶编码。在不同的环境中，尽管皮质-小脑耦合稳定，但 L5PT 活动模式普遍化，而 GrC 模式则暂时重新映射。但 GrC 群体不是独立地打乱，而是连贯地重新映射：它们的低维轨迹在任务之间“旋转”分开，分离上下文，同时保留每个任务的皮质几何形状。此外，在专家小鼠中，GrC 轨迹的​​分歧最为强烈。这表明了基本的劳动架构分工：皮层为平滑泛化提供不变的动态原语，而小脑活动则重新配置它们以驱动特定于上下文的输出。</w:t>
      </w:r>
    </w:p>
    <w:p>
      <w:pPr>
        <w:spacing w:before="0" w:after="200" w:lineRule="auto" w:line="276"/>
      </w:pPr>
      <w:r>
        <w:rPr>
          <w:b/>
        </w:rPr>
        <w:t xml:space="preserve">Abstract (EN): </w:t>
      </w:r>
      <w:r>
        <w:t>To learn effectively, animals must generalize across related contexts yet distinguish between them. Generalization relies on low-dimensional neural manifolds throughout the neocortex1,2, which accelerate learning by constraining neural activity to task-relevant axes3.Conversely, context separation is thought to depend on neural expansion layers that can project information into high-dimensional feature spaces4,5, most famously cerebellar granule cells (GrCs)6-8. Here, to investigate the generalization-separation trade-off, we simultaneously imaged key nodes in the universal cortico-cerebellar pathway9-premotor layer 5 pyramidal tract (L5PT) and GrCs-in mice during parallel learning of two distinct skills with a shared temporal structure. Rather than expanding the cortical representations, GrCs retained their low-rank encoding of each task. Across contexts, despite stable cortico-cerebellar coupling, L5PT activity patterns generalized, whereas GrC patterns temporally remapped. But rather than independently scrambling, GrC populations remapped coherently: their low-dimensional trajectories 'rotated' apart between tasks, separating the contexts while preserving the cortical geometry of each. Moreover, GrC trajectories diverged most strongly in expert mice. This suggests a fundamental architectural division of labour: the cortex provides invariant dynamic primitives for smooth generalization, whereas cerebellar activity reconfigures them to drive context-specific output.</w:t>
      </w:r>
    </w:p>
    <w:p>
      <w:pPr>
        <w:spacing w:before="120" w:after="120"/>
      </w:pPr>
      <w:r>
        <w:rPr>
          <w:sz w:val="18"/>
        </w:rPr>
        <w:t>——————————————————————————————————————————————————————————————————————</w:t>
      </w:r>
    </w:p>
    <w:p>
      <w:pPr>
        <w:spacing w:before="160" w:after="40" w:line="240" w:lineRule="auto"/>
      </w:pPr>
      <w:r>
        <w:rPr>
          <w:b/>
        </w:rPr>
        <w:t xml:space="preserve">[425] </w:t>
      </w:r>
      <w:hyperlink r:id="rId1289">
        <w:r>
          <w:rPr>
            <w:color w:val="1155CC"/>
            <w:u w:val="single"/>
          </w:rPr>
          <w:t>海洋中岩藻依聚糖的协同降解</w:t>
        </w:r>
      </w:hyperlink>
    </w:p>
    <w:p>
      <w:pPr>
        <w:spacing w:before="0" w:after="80"/>
      </w:pPr>
      <w:r>
        <w:rPr>
          <w:i/>
          <w:sz w:val="20"/>
        </w:rPr>
        <w:t>EN: Synergistic degradation of fucoidans in the ocean</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290">
        <w:r>
          <w:rPr>
            <w:color w:val="1155CC"/>
            <w:u w:val="single"/>
          </w:rPr>
          <w:t>10.1038/s41586-026-10980-z</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褐藻糖胶是一类由褐藻和硅藻产生的复杂多糖，由于其对微生物降解的抵抗力，有助于长期固碳</w:t>
      </w:r>
      <w:r>
        <w:t xml:space="preserve"> </w:t>
      </w:r>
      <w:r>
        <w:t>1,2</w:t>
      </w:r>
      <w:r>
        <w:t xml:space="preserve"> </w:t>
      </w:r>
      <w:r>
        <w:t>。尽管个别微生物可以分解这些多糖的部分</w:t>
      </w:r>
      <w:r>
        <w:t xml:space="preserve"> </w:t>
      </w:r>
      <w:r>
        <w:t>3–5</w:t>
      </w:r>
      <w:r>
        <w:t xml:space="preserve"> </w:t>
      </w:r>
      <w:r>
        <w:t>，目前尚不清楚本质上是否可能完全崩溃，如果可以，则通过什么机制实现。在这里，我们表明岩藻依聚糖是通过具有互补代谢功能的特殊细菌之间的协同相互作用而降解的。通过对重建的海洋菌群的代谢组学分析，我们发现了优先降解硫酸化岩藻糖主链或稀有单体侧枝的细菌代谢群。这种功能分工导致不同降解剂之间产生出乎意料的大量协同相互作用，将降解效率提高至 97.1%。尽管不同类型藻类的岩藻依聚糖结构不同</w:t>
      </w:r>
      <w:r>
        <w:rPr>
          <w:vertAlign w:val="subscript"/>
        </w:rPr>
        <w:t>6</w:t>
      </w:r>
      <w:r>
        <w:t>，降解剂的代谢功能保持保守，从而能够根据群落和底物组成定量预测降解结果。海洋宏基因组中功能互补的岩藻依聚糖降解剂的频繁共现表明协同降解是一种全球相关策略。我们的研究结果表明，复杂生物聚合物的环境周转不仅取决于个体代谢能力</w:t>
      </w:r>
    </w:p>
    <w:p>
      <w:pPr>
        <w:spacing w:before="0" w:after="200" w:lineRule="auto" w:line="276"/>
      </w:pPr>
      <w:r>
        <w:rPr>
          <w:b/>
        </w:rPr>
        <w:t xml:space="preserve">Abstract (EN): </w:t>
      </w:r>
      <w:r>
        <w:t>Fucoidans, a class of complex polysaccharides produced by brown algae and diatoms, contribute to long-term carbon sequestration owing to their resistance to microbial degradation</w:t>
      </w:r>
      <w:r>
        <w:t xml:space="preserve"> </w:t>
      </w:r>
      <w:r>
        <w:t>1,2</w:t>
      </w:r>
      <w:r>
        <w:t xml:space="preserve"> </w:t>
      </w:r>
      <w:r>
        <w:t>. Although individual microorganisms can break down portions of these polysaccharides</w:t>
      </w:r>
      <w:r>
        <w:t xml:space="preserve"> </w:t>
      </w:r>
      <w:r>
        <w:t>3–5</w:t>
      </w:r>
      <w:r>
        <w:t xml:space="preserve"> </w:t>
      </w:r>
      <w:r>
        <w:t>, it remains unclear whether complete breakdown is possible in nature and, if so, by what mechanisms. Here we show that fucoidans are degraded through synergistic interactions between specialized bacteria with complementary metabolic functions. Using metabolomic analysis of a reconstructed marine consortium, we uncovered metabolic guilds of bacteria that preferentially degrade either the sulfated fucose backbone or the side branches of rare monomers. This functional division of labour leads to an unexpectedly high number of synergistic interactions between different degraders that enhanced degradation efficiency up to 97.1%. Despite varying fucoidan structures across different types of algae</w:t>
      </w:r>
      <w:r>
        <w:rPr>
          <w:vertAlign w:val="subscript"/>
        </w:rPr>
        <w:t>6</w:t>
      </w:r>
      <w:r>
        <w:t>, the metabolic functions of degraders remained conserved, enabling quantitative prediction of degradation outcomes based on community and substrate composition. The frequent co-occurrence of functionally complementary fucoidan degraders in ocean metagenomes suggests that synergistic degradation is a globally relevant strategy. Our findings suggest that the environmental turnover of complex biopolymers depends not only on individual metabolic capabilities of degraders but also on ecological interactions shaped by substrate architecture. This work provides a mechanistic framework for understanding carbon cycling in the ocean and for engineering synthetic microbial consortia to degrade recalcitrant polysaccharides.</w:t>
      </w:r>
    </w:p>
    <w:p>
      <w:pPr>
        <w:spacing w:before="120" w:after="120"/>
      </w:pPr>
      <w:r>
        <w:rPr>
          <w:sz w:val="18"/>
        </w:rPr>
        <w:t>——————————————————————————————————————————————————————————————————————</w:t>
      </w:r>
    </w:p>
    <w:p>
      <w:pPr>
        <w:spacing w:before="160" w:after="40" w:line="240" w:lineRule="auto"/>
      </w:pPr>
      <w:r>
        <w:rPr>
          <w:b/>
        </w:rPr>
        <w:t xml:space="preserve">[426] </w:t>
      </w:r>
      <w:hyperlink r:id="rId1291">
        <w:r>
          <w:rPr>
            <w:color w:val="1155CC"/>
            <w:u w:val="single"/>
          </w:rPr>
          <w:t>单一多原子分子离子的红外吸收光谱</w:t>
        </w:r>
      </w:hyperlink>
    </w:p>
    <w:p>
      <w:pPr>
        <w:spacing w:before="0" w:after="80"/>
      </w:pPr>
      <w:r>
        <w:rPr>
          <w:i/>
          <w:sz w:val="20"/>
        </w:rPr>
        <w:t>EN: Infrared absorption spectroscopy of a single polyatomic molecular ion</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292">
        <w:r>
          <w:rPr>
            <w:color w:val="1155CC"/>
            <w:u w:val="single"/>
          </w:rPr>
          <w:t>10.1038/s41586-026-10915-8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吸收光谱是探测分子结构的基本工具</w:t>
      </w:r>
      <w:r>
        <w:rPr>
          <w:vertAlign w:val="subscript"/>
        </w:rPr>
        <w:t>1</w:t>
      </w:r>
      <w:r>
        <w:t>。然而，由于信噪比低，对单个分子进行吸收光谱分析具有挑战性</w:t>
      </w:r>
      <w:r>
        <w:t xml:space="preserve"> </w:t>
      </w:r>
      <w:r>
        <w:t>2,3</w:t>
      </w:r>
      <w:r>
        <w:t xml:space="preserve"> </w:t>
      </w:r>
      <w:r>
        <w:t>。在这里，我们报告了与原子离子共同捕获的单分子离子中红外振动跃迁的无损吸收光谱。通过从吸收的光子到分子的动量转移来检测单个光子的吸收。使用双离子晶体的非经典运动状态放大该反冲信号，然后由原子离子读出</w:t>
      </w:r>
      <w:r>
        <w:rPr>
          <w:vertAlign w:val="subscript"/>
        </w:rPr>
        <w:t>4</w:t>
      </w:r>
      <w:r>
        <w:t>。我们表征了反冲检测方法，并用它来研究飞秒激光脉冲与单个 CaOH 中 O-H 伸缩振动之间的相互作用</w:t>
      </w:r>
      <w:r>
        <w:t xml:space="preserve"> </w:t>
      </w:r>
      <w:r>
        <w:t>+</w:t>
      </w:r>
      <w:r>
        <w:t xml:space="preserve"> </w:t>
      </w:r>
      <w:r>
        <w:t>分子离子。此外，我们还展示了单光子灵敏度振动跃迁获得的光谱。该方法可以提供一种对复杂多原子分子进行非破坏性状态检测的方法，用于制备和测量各种分子种类的量子态。</w:t>
      </w:r>
    </w:p>
    <w:p>
      <w:pPr>
        <w:spacing w:before="0" w:after="200" w:lineRule="auto" w:line="276"/>
      </w:pPr>
      <w:r>
        <w:rPr>
          <w:b/>
        </w:rPr>
        <w:t xml:space="preserve">Abstract (EN): </w:t>
      </w:r>
      <w:r>
        <w:t>Absorption spectroscopy is a fundamental tool for probing molecular structure</w:t>
      </w:r>
      <w:r>
        <w:rPr>
          <w:vertAlign w:val="subscript"/>
        </w:rPr>
        <w:t>1</w:t>
      </w:r>
      <w:r>
        <w:t>. However, performing absorption spectroscopy on individual molecules is challenging because of the low signal-to-noise ratio</w:t>
      </w:r>
      <w:r>
        <w:t xml:space="preserve"> </w:t>
      </w:r>
      <w:r>
        <w:t>2,3</w:t>
      </w:r>
      <w:r>
        <w:t xml:space="preserve"> </w:t>
      </w:r>
      <w:r>
        <w:t>. Here we report on non-destructive absorption spectroscopy on a mid-infrared vibrational transition in a single molecular ion that is co-trapped with an atomic ion. The absorption of a single photon is detected by the momentum transfer from the absorbed photon onto the molecule. This recoil signal is amplified using a non-classical state of motion of the two-ion crystal and subsequently read out by the atomic ion</w:t>
      </w:r>
      <w:r>
        <w:rPr>
          <w:vertAlign w:val="subscript"/>
        </w:rPr>
        <w:t>4</w:t>
      </w:r>
      <w:r>
        <w:t>. We characterize the recoil detection method and use it to investigate the interaction between femtosecond laser pulses and the O–H stretching vibration in individual CaOH</w:t>
      </w:r>
      <w:r>
        <w:t xml:space="preserve"> </w:t>
      </w:r>
      <w:r>
        <w:t>+</w:t>
      </w:r>
      <w:r>
        <w:t xml:space="preserve"> </w:t>
      </w:r>
      <w:r>
        <w:t>molecular ions. Furthermore, we present the spectrum obtained for the vibrational transition with single-photon sensitivity. This method can provide a way of performing non-destructive state detection of complex polyatomic molecules, for preparation and measurement of the quantum state of a wide range of molecular species.</w:t>
      </w:r>
    </w:p>
    <w:p>
      <w:pPr>
        <w:spacing w:before="120" w:after="120"/>
      </w:pPr>
      <w:r>
        <w:rPr>
          <w:sz w:val="18"/>
        </w:rPr>
        <w:t>——————————————————————————————————————————————————————————————————————</w:t>
      </w:r>
    </w:p>
    <w:p>
      <w:pPr>
        <w:spacing w:before="160" w:after="40" w:line="240" w:lineRule="auto"/>
      </w:pPr>
      <w:r>
        <w:rPr>
          <w:b/>
        </w:rPr>
        <w:t xml:space="preserve">[427] </w:t>
      </w:r>
      <w:hyperlink r:id="rId1293">
        <w:r>
          <w:rPr>
            <w:color w:val="1155CC"/>
            <w:u w:val="single"/>
          </w:rPr>
          <w:t>多莉·帕顿去世，享年 80 岁——研究人员庆祝她对科学的贡献</w:t>
        </w:r>
      </w:hyperlink>
    </w:p>
    <w:p>
      <w:pPr>
        <w:spacing w:before="0" w:after="80"/>
      </w:pPr>
      <w:r>
        <w:rPr>
          <w:i/>
          <w:sz w:val="20"/>
        </w:rPr>
        <w:t>EN: Dolly Parton dies aged 80 — researchers celebrate her contributions to science</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294">
        <w:r>
          <w:rPr>
            <w:color w:val="1155CC"/>
            <w:u w:val="single"/>
          </w:rPr>
          <w:t>10.1038/d41586-026-02676-1</w:t>
        </w:r>
      </w:hyperlink>
    </w:p>
    <w:p>
      <w:pPr>
        <w:spacing w:before="0" w:after="120"/>
      </w:pPr>
      <w:r>
        <w:rPr>
          <w:b/>
        </w:rPr>
        <w:t xml:space="preserve">Notes: </w:t>
      </w:r>
      <w:r>
        <w:t>abstract_source=rss_nature</w:t>
      </w:r>
    </w:p>
    <w:p>
      <w:pPr>
        <w:spacing w:before="0" w:after="80" w:lineRule="auto" w:line="276"/>
      </w:pPr>
      <w:r>
        <w:rPr>
          <w:b/>
        </w:rPr>
        <w:t xml:space="preserve">摘要（ZH）: </w:t>
      </w:r>
      <w:r>
        <w:t>这位乡村歌手是疫苗、公共卫生、扫盲和边缘化社区的倡导者。</w:t>
      </w:r>
    </w:p>
    <w:p>
      <w:pPr>
        <w:spacing w:before="0" w:after="200" w:lineRule="auto" w:line="276"/>
      </w:pPr>
      <w:r>
        <w:rPr>
          <w:b/>
        </w:rPr>
        <w:t xml:space="preserve">Abstract (EN): </w:t>
      </w:r>
      <w:r>
        <w:t>The country singer was an advocate for vaccines, public health, literacy and marginalized communities.</w:t>
      </w:r>
    </w:p>
    <w:p>
      <w:pPr>
        <w:spacing w:before="120" w:after="120"/>
      </w:pPr>
      <w:r>
        <w:rPr>
          <w:sz w:val="18"/>
        </w:rPr>
        <w:t>——————————————————————————————————————————————————————————————————————</w:t>
      </w:r>
    </w:p>
    <w:p>
      <w:pPr>
        <w:spacing w:before="160" w:after="40" w:line="240" w:lineRule="auto"/>
      </w:pPr>
      <w:r>
        <w:rPr>
          <w:b/>
        </w:rPr>
        <w:t xml:space="preserve">[428] </w:t>
      </w:r>
      <w:hyperlink r:id="rId1295">
        <w:r>
          <w:rPr>
            <w:color w:val="1155CC"/>
            <w:u w:val="single"/>
          </w:rPr>
          <w:t>季风与大陆：气候-构造耦合系统</w:t>
        </w:r>
      </w:hyperlink>
    </w:p>
    <w:p>
      <w:pPr>
        <w:spacing w:before="0" w:after="80"/>
      </w:pPr>
      <w:r>
        <w:rPr>
          <w:i/>
          <w:sz w:val="20"/>
        </w:rPr>
        <w:t>EN: Monsoon and continent: a climate-tectonic coupling system</w:t>
      </w:r>
    </w:p>
    <w:p>
      <w:pPr>
        <w:spacing w:before="0" w:after="120"/>
      </w:pPr>
      <w:r>
        <w:rPr>
          <w:b/>
        </w:rPr>
        <w:t xml:space="preserve">Source: </w:t>
      </w:r>
      <w:r>
        <w:t>National Science Review Advance Access</w:t>
      </w:r>
      <w:r>
        <w:t xml:space="preserve">    </w:t>
      </w:r>
      <w:r>
        <w:rPr>
          <w:b/>
        </w:rPr>
        <w:t xml:space="preserve">Pub date: </w:t>
      </w:r>
      <w:r>
        <w:t>2026-08-26 00:00:00+00:00</w:t>
      </w:r>
      <w:r>
        <w:t xml:space="preserve">    </w:t>
      </w:r>
      <w:r>
        <w:rPr>
          <w:b/>
        </w:rPr>
        <w:t xml:space="preserve">DOI: </w:t>
      </w:r>
      <w:hyperlink r:id="rId1296">
        <w:r>
          <w:rPr>
            <w:color w:val="1155CC"/>
            <w:u w:val="single"/>
          </w:rPr>
          <w:t>10.1093/nsr/nwag540</w:t>
        </w:r>
      </w:hyperlink>
    </w:p>
    <w:p>
      <w:pPr>
        <w:spacing w:before="0" w:after="120"/>
      </w:pPr>
      <w:r>
        <w:rPr>
          <w:b/>
        </w:rPr>
        <w:t xml:space="preserve">Notes: </w:t>
      </w:r>
      <w:r>
        <w:t>abstract_source=openalex</w:t>
      </w:r>
    </w:p>
    <w:p>
      <w:pPr>
        <w:spacing w:before="0" w:after="80" w:lineRule="auto" w:line="276"/>
      </w:pPr>
      <w:r>
        <w:rPr>
          <w:b/>
        </w:rPr>
        <w:t xml:space="preserve">摘要（ZH）: </w:t>
      </w:r>
      <w:r>
        <w:t>NSR编委</w:t>
      </w:r>
    </w:p>
    <w:p>
      <w:pPr>
        <w:spacing w:before="0" w:after="200" w:lineRule="auto" w:line="276"/>
      </w:pPr>
      <w:r>
        <w:rPr>
          <w:b/>
        </w:rPr>
        <w:t xml:space="preserve">Abstract (EN): </w:t>
      </w:r>
      <w:r>
        <w:t>Editorial Board Member of NSR</w:t>
      </w:r>
    </w:p>
    <w:p>
      <w:pPr>
        <w:spacing w:before="120" w:after="120"/>
      </w:pPr>
      <w:r>
        <w:rPr>
          <w:sz w:val="18"/>
        </w:rPr>
        <w:t>——————————————————————————————————————————————————————————————————————</w:t>
      </w:r>
    </w:p>
    <w:p>
      <w:pPr>
        <w:spacing w:before="160" w:after="40" w:line="240" w:lineRule="auto"/>
      </w:pPr>
      <w:r>
        <w:rPr>
          <w:b/>
        </w:rPr>
        <w:t xml:space="preserve">[429] </w:t>
      </w:r>
      <w:hyperlink r:id="rId1297">
        <w:r>
          <w:rPr>
            <w:color w:val="1155CC"/>
            <w:u w:val="single"/>
          </w:rPr>
          <w:t>迈向可持续的跨时间情感脑机接口：时间变异性的显式建模和结构校准</w:t>
        </w:r>
      </w:hyperlink>
    </w:p>
    <w:p>
      <w:pPr>
        <w:spacing w:before="0" w:after="80"/>
      </w:pPr>
      <w:r>
        <w:rPr>
          <w:i/>
          <w:sz w:val="20"/>
        </w:rPr>
        <w:t>EN: Toward Sustainable Cross-Time Affective Brain–Computer Interfaces: Explicit Modeling and Structural Calibration of Temporal Variability</w:t>
      </w:r>
    </w:p>
    <w:p>
      <w:pPr>
        <w:spacing w:before="0" w:after="120"/>
      </w:pPr>
      <w:r>
        <w:rPr>
          <w:b/>
        </w:rPr>
        <w:t xml:space="preserve">Source: </w:t>
      </w:r>
      <w:r>
        <w:t>National Science Review Advance Access</w:t>
      </w:r>
      <w:r>
        <w:t xml:space="preserve">    </w:t>
      </w:r>
      <w:r>
        <w:rPr>
          <w:b/>
        </w:rPr>
        <w:t xml:space="preserve">Pub date: </w:t>
      </w:r>
      <w:r>
        <w:t>2026-08-26 00:00:00+00:00</w:t>
      </w:r>
      <w:r>
        <w:t xml:space="preserve">    </w:t>
      </w:r>
      <w:r>
        <w:rPr>
          <w:b/>
        </w:rPr>
        <w:t xml:space="preserve">DOI: </w:t>
      </w:r>
      <w:hyperlink r:id="rId1298">
        <w:r>
          <w:rPr>
            <w:color w:val="1155CC"/>
            <w:u w:val="single"/>
          </w:rPr>
          <w:t>10.1093/nsr/nwag544</w:t>
        </w:r>
      </w:hyperlink>
    </w:p>
    <w:p>
      <w:pPr>
        <w:spacing w:before="0" w:after="120"/>
      </w:pPr>
      <w:r>
        <w:rPr>
          <w:b/>
        </w:rPr>
        <w:t xml:space="preserve">Notes: </w:t>
      </w:r>
      <w:r>
        <w:t>abstract_source=rss_oup</w:t>
      </w:r>
    </w:p>
    <w:p>
      <w:pPr>
        <w:spacing w:before="0" w:after="80" w:lineRule="auto" w:line="276"/>
      </w:pPr>
      <w:r>
        <w:rPr>
          <w:b/>
        </w:rPr>
        <w:t xml:space="preserve">摘要（ZH）: </w:t>
      </w:r>
      <w:r>
        <w:t>时间变异性限制了跨时间情感脑机接口（aBCI）的实际应用。现有的静态特征到情绪映射方法无法捕获大脑状态的动态变化。在这里，我们提出了一种多级动态集成感知网络算法（MDIN），它通过三层框架显式地模拟时间变化：时空谱联合感知模块、用于特征捕获的自适应动态感知矩阵以及用于跨域一致性保持的判别对齐策略。这种结构不仅减轻了时间变化对情感识别的影响，而且还抑制了弱监督学习场景中的噪声积累。 ECPL 和 SEED 数据集上的实验表明，MDIN 实现了最高的跨时间识别准确率，分别为 96.97% 和 94.21%，优于最先进的方法。值得注意的是，作为情感神经工程中时间变异性建模的一种新颖的结构解决方案，它为开发用于心理健康监测和人机交互的自适应、长期稳定的 aBCI 系统提供了理论和技术基础。</w:t>
      </w:r>
    </w:p>
    <w:p>
      <w:pPr>
        <w:spacing w:before="0" w:after="200" w:lineRule="auto" w:line="276"/>
      </w:pPr>
      <w:r>
        <w:rPr>
          <w:b/>
        </w:rPr>
        <w:t xml:space="preserve">Abstract (EN): </w:t>
      </w:r>
      <w:r>
        <w:t>Temporal variability limits the practical application of cross-time affective brain-computer interfaces (aBCI). Existing static feature-to-emotion mapping methods are unable to capture the dynamic changes in brain state. Here we propose a multi-level dynamic integrated perception network algorithm (MDIN), which explicitly models temporal variability through a three-layer framework: a temporal-spatial-spectral joint perception module, an adaptive dynamic perception matrix for feature capture, and a discriminative alignment strategy for cross-domain consistency preservation. This structure not only mitigates the impact of temporal variability on emotion recognition but also suppresses noise accumulation in weakly supervised learning scenarios. Experiments on the ECPL and SEED datasets demonstrate that MDIN achieves the highest cross-time recognition accuracies of 96.97% and 94.21%, respectively, outperforming state-of-the-art methods. Notably, as a novel structural solution for temporal variability modeling in affective neuroengineering, it provides a theoretical and technical basis for developing adaptive, long-term stable aBCI systems for mental health monitoring and human-machine interaction.</w:t>
      </w:r>
    </w:p>
    <w:p>
      <w:pPr>
        <w:spacing w:before="120" w:after="120"/>
      </w:pPr>
      <w:r>
        <w:rPr>
          <w:sz w:val="18"/>
        </w:rPr>
        <w:t>——————————————————————————————————————————————————————————————————————</w:t>
      </w:r>
    </w:p>
    <w:p>
      <w:pPr>
        <w:spacing w:before="160" w:after="40" w:line="240" w:lineRule="auto"/>
      </w:pPr>
      <w:r>
        <w:rPr>
          <w:b/>
        </w:rPr>
        <w:t xml:space="preserve">[430] </w:t>
      </w:r>
      <w:hyperlink r:id="rId1299">
        <w:r>
          <w:rPr>
            <w:color w:val="1155CC"/>
            <w:u w:val="single"/>
          </w:rPr>
          <w:t>人鞘糖脂看门人 UGCG 的灵长类特异性调控</w:t>
        </w:r>
      </w:hyperlink>
    </w:p>
    <w:p>
      <w:pPr>
        <w:spacing w:before="0" w:after="80"/>
      </w:pPr>
      <w:r>
        <w:rPr>
          <w:i/>
          <w:sz w:val="20"/>
        </w:rPr>
        <w:t>EN: Primate-specific regulation of the human glycosphingolipid gatekeeper UGCG</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00">
        <w:r>
          <w:rPr>
            <w:color w:val="1155CC"/>
            <w:u w:val="single"/>
          </w:rPr>
          <w:t>10.1038/s41586-026-10927-4</w:t>
        </w:r>
      </w:hyperlink>
    </w:p>
    <w:p>
      <w:pPr>
        <w:spacing w:before="0" w:after="120"/>
      </w:pPr>
      <w:r>
        <w:rPr>
          <w:b/>
        </w:rPr>
        <w:t xml:space="preserve">Notes: </w:t>
      </w:r>
      <w:r>
        <w:t>abstract_source=pubmed</w:t>
      </w:r>
    </w:p>
    <w:p>
      <w:pPr>
        <w:spacing w:before="0" w:after="80" w:lineRule="auto" w:line="276"/>
      </w:pPr>
      <w:r>
        <w:rPr>
          <w:b/>
        </w:rPr>
        <w:t xml:space="preserve">摘要（ZH）: </w:t>
      </w:r>
      <w:r>
        <w:t>鞘糖脂是组织脂质微区并协调细胞信号传导、分化和神经元功能的重要膜成分1-4。在人类中，这些功能源自通过逐步聚糖精制产生的数百种鞘糖脂种类5,6。进入该网络是由 UDP-葡萄糖神经酰胺葡萄糖基转移酶 (UGCG) 催化的单一定向反应控制的，UGCG 是决定鞘糖脂多样性规模和组成的看门人。尽管其生物学和治疗重要性7,8，但其机制和调节仍然未知。在这里，我们报告了全长人类 UGCG 在八种功能状态下的低温电子显微镜结构，分辨率为 2.9-3.4 Å。 UGCG 采用以前未被识别的三通跨膜结构，将 GT-A 核心锚定在膜界面上，并创建一个与可溶性和膜嵌入底物结合的二分活性位点。与经典 GT-A 酶相反，UGCG 使用由精氨酸网络驱动的不依赖于金属的催化机制。我们确定了一种灵长类动物特异性的空间元件，可以调节脂质亲和力和催化周转，调节鞘糖脂的进入。临床使用抑制剂的结构揭示了这种结构如何控制其效力和选择性。总之，这些发现定义了一种酶控制鞘糖脂多样性的结构和进化逻辑，并为疾病中膜脂稳态的精确调节提供了框架。</w:t>
      </w:r>
    </w:p>
    <w:p>
      <w:pPr>
        <w:spacing w:before="0" w:after="200" w:lineRule="auto" w:line="276"/>
      </w:pPr>
      <w:r>
        <w:rPr>
          <w:b/>
        </w:rPr>
        <w:t xml:space="preserve">Abstract (EN): </w:t>
      </w:r>
      <w:r>
        <w:t>Glycosphingolipids are essential membrane components that organize lipid microdomains and orchestrate cellular signalling, differentiation and neuronal function1-4. In humans, these functions arise from a repertoire of several hundred glycosphingolipid species generated through stepwise glycan elaboration5,6. Entry into this network is controlled by a single committed reaction catalysed by UDP-glucose ceramide glucosyltransferase (UGCG), the gatekeeper that dictates the scale and composition of glycosphingolipid diversity. Despite its biological and therapeutic importance7,8, its mechanism and regulation have remained unknown. Here we report cryogenic electron microscopy structures of full-length human UGCG in eight functional states at 2.9-3.4 Å resolution. UGCG adopts a previously unrecognized triple-pass transmembrane architecture that anchors a GT-A core at the membrane interface and creates a bipartite active site engaging soluble and membrane-embedded substrates. Contrary to canonical GT-A enzymes, UGCG uses a metal-independent catalytic mechanism driven by an arginine network. We identify a primate-specific steric element that tunes lipid affinity and catalytic turnover, modulating glycosphingolipid entry. Structures with clinically used inhibitors reveal how this architecture governs their potency and selectivity. Together, these findings define the structural and evolutionary logic by which one enzyme controls glycosphingolipid diversity and provide a framework for precision modulation of membrane lipid homeostasis in disease.</w:t>
      </w:r>
    </w:p>
    <w:p>
      <w:pPr>
        <w:spacing w:before="120" w:after="120"/>
      </w:pPr>
      <w:r>
        <w:rPr>
          <w:sz w:val="18"/>
        </w:rPr>
        <w:t>——————————————————————————————————————————————————————————————————————</w:t>
      </w:r>
    </w:p>
    <w:p>
      <w:pPr>
        <w:spacing w:before="160" w:after="40" w:line="240" w:lineRule="auto"/>
      </w:pPr>
      <w:r>
        <w:rPr>
          <w:b/>
        </w:rPr>
        <w:t xml:space="preserve">[431] </w:t>
      </w:r>
      <w:hyperlink r:id="rId1301">
        <w:r>
          <w:rPr>
            <w:color w:val="1155CC"/>
            <w:u w:val="single"/>
          </w:rPr>
          <w:t>CrSb 中的 3D 体分辨 g 波交磁有序参数</w:t>
        </w:r>
      </w:hyperlink>
    </w:p>
    <w:p>
      <w:pPr>
        <w:spacing w:before="0" w:after="80"/>
      </w:pPr>
      <w:r>
        <w:rPr>
          <w:i/>
          <w:sz w:val="20"/>
        </w:rPr>
        <w:t>EN: 3D bulk-resolved g-wave altermagnetic order parameter in CrSb</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02">
        <w:r>
          <w:rPr>
            <w:color w:val="1155CC"/>
            <w:u w:val="single"/>
          </w:rPr>
          <w:t>10.1038/s41586-026-10902-z</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物质的电子相，例如磁性和超导性，是通过其有序参数来定义和区分的，这些有序参数量化了每个相背后的自发对称性破缺。简单的情况包括铁磁体的均匀磁化</w:t>
      </w:r>
      <w:r>
        <w:t xml:space="preserve"> </w:t>
      </w:r>
      <w:r>
        <w:t>1,2</w:t>
      </w:r>
      <w:r>
        <w:t xml:space="preserve"> </w:t>
      </w:r>
      <w:r>
        <w:t>和传统超导体的各向同性间隙函数</w:t>
      </w:r>
      <w:r>
        <w:rPr>
          <w:vertAlign w:val="subscript"/>
        </w:rPr>
        <w:t>3</w:t>
      </w:r>
      <w:r>
        <w:t>。非常规超导体</w:t>
      </w:r>
      <w:r>
        <w:rPr>
          <w:vertAlign w:val="subscript"/>
        </w:rPr>
        <w:t>4</w:t>
      </w:r>
      <w:r>
        <w:t>通常具有节点能隙函数，其中能隙在费米表面上的节点处改变符号。这种非常规或节点序参数对称性的概念最近已扩展到许多磁系统</w:t>
      </w:r>
      <w:r>
        <w:t xml:space="preserve"> </w:t>
      </w:r>
      <w:r>
        <w:t>5–8</w:t>
      </w:r>
      <w:r>
        <w:t xml:space="preserve"> </w:t>
      </w:r>
      <w:r>
        <w:t>，包括交流磁铁</w:t>
      </w:r>
      <w:r>
        <w:t xml:space="preserve"> </w:t>
      </w:r>
      <w:r>
        <w:t>9-13</w:t>
      </w:r>
      <w:r>
        <w:t xml:space="preserve"> </w:t>
      </w:r>
      <w:r>
        <w:t>，其中上旋和下旋物种具有非简并费米表面。在这里我们证明磁量子振荡</w:t>
      </w:r>
      <w:r>
        <w:rPr>
          <w:vertAlign w:val="subscript"/>
        </w:rPr>
        <w:t>14</w:t>
      </w:r>
      <w:r>
        <w:t>测量可以提供非常规磁体中有序参数的高分辨率、体积敏感的三维（3D）映射。通过在 CrSb 布里渊区的高对称性和低对称性方向上旋转磁场，我们发现这种材料的交变磁带结构导致每个自旋分裂费米片远离节点方向的对称性降低。在动量空间中，上下自旋之间的交换分裂遵循</w:t>
      </w:r>
      <w:r>
        <w:t xml:space="preserve"> </w:t>
      </w:r>
      <w:r>
        <w:t>$${{\垫子</w:t>
      </w:r>
    </w:p>
    <w:p>
      <w:pPr>
        <w:spacing w:before="0" w:after="200" w:lineRule="auto" w:line="276"/>
      </w:pPr>
      <w:r>
        <w:rPr>
          <w:b/>
        </w:rPr>
        <w:t xml:space="preserve">Abstract (EN): </w:t>
      </w:r>
      <w:r>
        <w:t>Electronic phases of matter, such as magnetism and superconductivity, are defined and distinguished by their order parameters quantifying the spontaneous symmetry breaking underlying each phase. Simple cases include the uniform magnetization of ferromagnets</w:t>
      </w:r>
      <w:r>
        <w:t xml:space="preserve"> </w:t>
      </w:r>
      <w:r>
        <w:t>1,2</w:t>
      </w:r>
      <w:r>
        <w:t xml:space="preserve"> </w:t>
      </w:r>
      <w:r>
        <w:t>and the isotropic gap function of conventional superconductors</w:t>
      </w:r>
      <w:r>
        <w:rPr>
          <w:vertAlign w:val="subscript"/>
        </w:rPr>
        <w:t>3</w:t>
      </w:r>
      <w:r>
        <w:t>. Unconventional superconductors</w:t>
      </w:r>
      <w:r>
        <w:rPr>
          <w:vertAlign w:val="subscript"/>
        </w:rPr>
        <w:t>4</w:t>
      </w:r>
      <w:r>
        <w:t>often have a nodal gap function, in which the gap changes sign at nodes on the Fermi surface. This concept of unconventional or nodal order parameter symmetry has recently been extended to numerous magnetic systems</w:t>
      </w:r>
      <w:r>
        <w:t xml:space="preserve"> </w:t>
      </w:r>
      <w:r>
        <w:t>5–8</w:t>
      </w:r>
      <w:r>
        <w:t xml:space="preserve"> </w:t>
      </w:r>
      <w:r>
        <w:t>, including altermagnets</w:t>
      </w:r>
      <w:r>
        <w:t xml:space="preserve"> </w:t>
      </w:r>
      <w:r>
        <w:t>9–13</w:t>
      </w:r>
      <w:r>
        <w:t xml:space="preserve"> </w:t>
      </w:r>
      <w:r>
        <w:t>, in which up- and down-spin species have non-degenerate Fermi surfaces. Here we demonstrate that magnetic quantum oscillation</w:t>
      </w:r>
      <w:r>
        <w:rPr>
          <w:vertAlign w:val="subscript"/>
        </w:rPr>
        <w:t>14</w:t>
      </w:r>
      <w:r>
        <w:t>measurements can provide a high-resolution, bulk-sensitive, three-dimensional (3D) mapping of the order parameter in an unconventional magnet. By rotating a magnetic field through high- and low-symmetry directions of the CrSb Brillouin zone, we show that the altermagnetic band structure of this material leads to a reduction of symmetry for each spin-split Fermi sheet away from nodal orientations. In momentum space, the exchange splitting between up and down spins follows the profile of the</w:t>
      </w:r>
      <w:r>
        <w:t xml:space="preserve"> </w:t>
      </w:r>
      <w:r>
        <w:t>$${{\mathcal{Y}}}_{4}^{-3}=yz\,(3{x}^{2}-{y}^{2})$$</w:t>
      </w:r>
      <w:r>
        <w:t xml:space="preserve"> </w:t>
      </w:r>
      <w:r>
        <w:t>Y</w:t>
      </w:r>
      <w:r>
        <w:t xml:space="preserve"> </w:t>
      </w:r>
      <w:r>
        <w:rPr>
          <w:vertAlign w:val="subscript"/>
        </w:rPr>
        <w:t>4</w:t>
      </w:r>
      <w:r>
        <w:t xml:space="preserve"> </w:t>
      </w:r>
      <w:r>
        <w:t>−</w:t>
      </w:r>
      <w:r>
        <w:rPr>
          <w:vertAlign w:val="subscript"/>
        </w:rPr>
        <w:t>3</w:t>
      </w:r>
      <w:r>
        <w:t xml:space="preserve"> </w:t>
      </w:r>
      <w:r>
        <w:t>=</w:t>
      </w:r>
      <w:r>
        <w:t xml:space="preserve"> </w:t>
      </w:r>
      <w:r>
        <w:t>y</w:t>
      </w:r>
      <w:r>
        <w:t xml:space="preserve"> </w:t>
      </w:r>
      <w:r>
        <w:t>z</w:t>
      </w:r>
      <w:r>
        <w:t xml:space="preserve"> </w:t>
      </w:r>
      <w:r>
        <w:t>(</w:t>
      </w:r>
      <w:r>
        <w:rPr>
          <w:vertAlign w:val="subscript"/>
        </w:rPr>
        <w:t>3</w:t>
      </w:r>
      <w:r>
        <w:t xml:space="preserve"> </w:t>
      </w:r>
      <w:r>
        <w:t>x</w:t>
      </w:r>
      <w:r>
        <w:t xml:space="preserve"> </w:t>
      </w:r>
      <w:r>
        <w:rPr>
          <w:vertAlign w:val="subscript"/>
        </w:rPr>
        <w:t>2</w:t>
      </w:r>
      <w:r>
        <w:t xml:space="preserve"> </w:t>
      </w:r>
      <w:r>
        <w:t>−</w:t>
      </w:r>
      <w:r>
        <w:t xml:space="preserve"> </w:t>
      </w:r>
      <w:r>
        <w:t>y</w:t>
      </w:r>
      <w:r>
        <w:t xml:space="preserve"> </w:t>
      </w:r>
      <w:r>
        <w:rPr>
          <w:vertAlign w:val="subscript"/>
        </w:rPr>
        <w:t>2</w:t>
      </w:r>
      <w:r>
        <w:t xml:space="preserve"> </w:t>
      </w:r>
      <w:r>
        <w:t>)</w:t>
      </w:r>
      <w:r>
        <w:t xml:space="preserve"> </w:t>
      </w:r>
      <w:r>
        <w:t>real spherical harmonic—analogous to a</w:t>
      </w:r>
      <w:r>
        <w:t xml:space="preserve"> </w:t>
      </w:r>
      <w:r>
        <w:t>g</w:t>
      </w:r>
      <w:r>
        <w:t xml:space="preserve"> </w:t>
      </w:r>
      <w:r>
        <w:t>-orbital of the hydrogen atom. Although notoriously difficult to resolve in unconventional superconductors, our work demonstrates that the order parameter symmetry of unconventional magnets can be precisely mapped by quantum oscillatory quasiparticle spectroscopy, establishing CrSb as a prototypical</w:t>
      </w:r>
      <w:r>
        <w:t xml:space="preserve"> </w:t>
      </w:r>
      <w:r>
        <w:t>g</w:t>
      </w:r>
      <w:r>
        <w:t xml:space="preserve"> </w:t>
      </w:r>
      <w:r>
        <w:t>-wave metallic altermagnet.</w:t>
      </w:r>
    </w:p>
    <w:p>
      <w:pPr>
        <w:spacing w:before="120" w:after="120"/>
      </w:pPr>
      <w:r>
        <w:rPr>
          <w:sz w:val="18"/>
        </w:rPr>
        <w:t>——————————————————————————————————————————————————————————————————————</w:t>
      </w:r>
    </w:p>
    <w:p>
      <w:pPr>
        <w:spacing w:before="160" w:after="40" w:line="240" w:lineRule="auto"/>
      </w:pPr>
      <w:r>
        <w:rPr>
          <w:b/>
        </w:rPr>
        <w:t xml:space="preserve">[432] </w:t>
      </w:r>
      <w:hyperlink r:id="rId1303">
        <w:r>
          <w:rPr>
            <w:color w:val="1155CC"/>
            <w:u w:val="single"/>
          </w:rPr>
          <w:t>使用图像势态检测类单极拓扑磁电响应的潜力</w:t>
        </w:r>
      </w:hyperlink>
    </w:p>
    <w:p>
      <w:pPr>
        <w:spacing w:before="0" w:after="80"/>
      </w:pPr>
      <w:r>
        <w:rPr>
          <w:i/>
          <w:sz w:val="20"/>
        </w:rPr>
        <w:t>EN: Potential for detecting a monopole-like topological magnetoelectric response using image potential states</w:t>
      </w:r>
    </w:p>
    <w:p>
      <w:pPr>
        <w:spacing w:before="0" w:after="120"/>
      </w:pPr>
      <w:r>
        <w:rPr>
          <w:b/>
        </w:rPr>
        <w:t xml:space="preserve">Source: </w:t>
      </w:r>
      <w:r>
        <w:t>National Science Review Advance Access</w:t>
      </w:r>
      <w:r>
        <w:t xml:space="preserve">    </w:t>
      </w:r>
      <w:r>
        <w:rPr>
          <w:b/>
        </w:rPr>
        <w:t xml:space="preserve">Pub date: </w:t>
      </w:r>
      <w:r>
        <w:t>2026-08-26 00:00:00+00:00</w:t>
      </w:r>
      <w:r>
        <w:t xml:space="preserve">    </w:t>
      </w:r>
      <w:r>
        <w:rPr>
          <w:b/>
        </w:rPr>
        <w:t xml:space="preserve">DOI: </w:t>
      </w:r>
      <w:hyperlink r:id="rId1304">
        <w:r>
          <w:rPr>
            <w:color w:val="1155CC"/>
            <w:u w:val="single"/>
          </w:rPr>
          <w:t>10.1093/nsr/nwag548</w:t>
        </w:r>
      </w:hyperlink>
    </w:p>
    <w:p>
      <w:pPr>
        <w:spacing w:before="0" w:after="120"/>
      </w:pPr>
      <w:r>
        <w:rPr>
          <w:b/>
        </w:rPr>
        <w:t xml:space="preserve">Notes: </w:t>
      </w:r>
      <w:r>
        <w:t>abstract_source=rss_oup</w:t>
      </w:r>
    </w:p>
    <w:p>
      <w:pPr>
        <w:spacing w:before="0" w:after="80" w:lineRule="auto" w:line="276"/>
      </w:pPr>
      <w:r>
        <w:rPr>
          <w:b/>
        </w:rPr>
        <w:t xml:space="preserve">摘要（ZH）: </w:t>
      </w:r>
      <w:r>
        <w:t>磁单极子是一种表现为孤立磁荷的假设粒子，长期以来一直被超出标准模型的理论所预测，但在实验上仍然难以捉摸。齐等人。提出通过在拓扑绝缘体/真空界面施加主动电场可以在真实空间中实现磁单极子。在这里，我们使用场发射扫描隧道显微镜来研究高阶拓扑绝缘体 Bi(111) 上的图像势态 (IPS) 并观察异常的 IPS 分裂。通过改变衬底介电特性和薄膜厚度，我们发现分裂与径向活性电场和 Bi(111) 拓扑表面态的出现相关。这些观察结果与现象学场景兼容，其中主动径向电场耦合到 Bi(111) 表面态并诱导有效的单极子拓扑磁电响应。我们的结果将场发射 IPS 光谱建立为探测拓扑表面主动场感应磁电响应的敏感平台。</w:t>
      </w:r>
    </w:p>
    <w:p>
      <w:pPr>
        <w:spacing w:before="0" w:after="200" w:lineRule="auto" w:line="276"/>
      </w:pPr>
      <w:r>
        <w:rPr>
          <w:b/>
        </w:rPr>
        <w:t xml:space="preserve">Abstract (EN): </w:t>
      </w:r>
      <w:r>
        <w:t>Magnetic monopoles, hypothetical particles behaving as isolated magnetic charges, have long been predicted by theories beyond the standard model but remain experimentally elusive. Qi et al. proposed that magnetic monopoles could be realized in real space by applying an active electric field at a topological-insulator/vacuum interface. Here, we use field-emission scanning tunneling microscopy to investigate image potential states (IPSs) on higher-order topological insulator Bi(111) and observe anomalous IPS splitting. By varying substrate dielectric properties and film thickness, we find that the splitting correlates with the radial active electric field and the emergence of Bi(111) topological surface states. These observations are compatible with a phenomenological scenario in which the active radial electric field couples to the Bi(111) surface states and induces an effective monopole-like topological magnetoelectric response. Our results establish field-emission IPS spectroscopy as a sensitive platform for probing active-field-induced magnetoelectric responses at topological surfaces.</w:t>
      </w:r>
    </w:p>
    <w:p>
      <w:pPr>
        <w:spacing w:before="120" w:after="120"/>
      </w:pPr>
      <w:r>
        <w:rPr>
          <w:sz w:val="18"/>
        </w:rPr>
        <w:t>——————————————————————————————————————————————————————————————————————</w:t>
      </w:r>
    </w:p>
    <w:p>
      <w:pPr>
        <w:spacing w:before="160" w:after="40" w:line="240" w:lineRule="auto"/>
      </w:pPr>
      <w:r>
        <w:rPr>
          <w:b/>
        </w:rPr>
        <w:t xml:space="preserve">[433] </w:t>
      </w:r>
      <w:hyperlink r:id="rId1305">
        <w:r>
          <w:rPr>
            <w:color w:val="1155CC"/>
            <w:u w:val="single"/>
          </w:rPr>
          <w:t>用于时空控制癌症光免疫治疗的原位益生菌到后生元转化</w:t>
        </w:r>
      </w:hyperlink>
    </w:p>
    <w:p>
      <w:pPr>
        <w:spacing w:before="0" w:after="80"/>
      </w:pPr>
      <w:r>
        <w:rPr>
          <w:i/>
          <w:sz w:val="20"/>
        </w:rPr>
        <w:t>EN: In situ probiotic-to-postbiotic transformation for spatiotemporally controlled cancer photoimmunotherapy</w:t>
      </w:r>
    </w:p>
    <w:p>
      <w:pPr>
        <w:spacing w:before="0" w:after="120"/>
      </w:pPr>
      <w:r>
        <w:rPr>
          <w:b/>
        </w:rPr>
        <w:t xml:space="preserve">Source: </w:t>
      </w:r>
      <w:r>
        <w:t>National Science Review Advance Access</w:t>
      </w:r>
      <w:r>
        <w:t xml:space="preserve">    </w:t>
      </w:r>
      <w:r>
        <w:rPr>
          <w:b/>
        </w:rPr>
        <w:t xml:space="preserve">Pub date: </w:t>
      </w:r>
      <w:r>
        <w:t>2026-08-26 00:00:00+00:00</w:t>
      </w:r>
      <w:r>
        <w:t xml:space="preserve">    </w:t>
      </w:r>
      <w:r>
        <w:rPr>
          <w:b/>
        </w:rPr>
        <w:t xml:space="preserve">DOI: </w:t>
      </w:r>
      <w:hyperlink r:id="rId1306">
        <w:r>
          <w:rPr>
            <w:color w:val="1155CC"/>
            <w:u w:val="single"/>
          </w:rPr>
          <w:t>10.1093/nsr/nwag545</w:t>
        </w:r>
      </w:hyperlink>
    </w:p>
    <w:p>
      <w:pPr>
        <w:spacing w:before="0" w:after="120"/>
      </w:pPr>
      <w:r>
        <w:rPr>
          <w:b/>
        </w:rPr>
        <w:t xml:space="preserve">Notes: </w:t>
      </w:r>
      <w:r>
        <w:t>abstract_source=rss_oup</w:t>
      </w:r>
    </w:p>
    <w:p>
      <w:pPr>
        <w:spacing w:before="0" w:after="80" w:lineRule="auto" w:line="276"/>
      </w:pPr>
      <w:r>
        <w:rPr>
          <w:b/>
        </w:rPr>
        <w:t xml:space="preserve">摘要（ZH）: </w:t>
      </w:r>
      <w:r>
        <w:t>目前的癌症光疗常常受到次优的免疫原性和不可避免的免疫逃逸的阻碍。在此，通过在天然兼性厌氧益生菌上化学接枝载药光疗纳米模块开发了可编程生物杂交光疗平台。该平台利用益生菌固有的缺氧运动，在肿瘤组织内实现强大的活性积累。在第一次近红外（NIR）激光刺激下，该平台发生原位</w:t>
      </w:r>
    </w:p>
    <w:p>
      <w:pPr>
        <w:spacing w:before="0" w:after="200" w:lineRule="auto" w:line="276"/>
      </w:pPr>
      <w:r>
        <w:rPr>
          <w:b/>
        </w:rPr>
        <w:t xml:space="preserve">Abstract (EN): </w:t>
      </w:r>
      <w:r>
        <w:t>Current cancer phototherapy is often hindered by suboptimal immunogenicity and inevitable immune escape. Herein, a programmable bio-hybridized phototherapeutic platform is developed by chemical grafting drug-loaded phototherapeutic nano-modules on natural facultative anaerobic probiotics. Exploiting the innate hypoxia-tropic motility of probiotics, the platform achieves robust active accumulation within tumor tissues. Under the first near-infrared (NIR) laser stimulus, the platform undergoes in situ</w:t>
      </w:r>
    </w:p>
    <w:p>
      <w:pPr>
        <w:spacing w:before="120" w:after="120"/>
      </w:pPr>
      <w:r>
        <w:rPr>
          <w:sz w:val="18"/>
        </w:rPr>
        <w:t>——————————————————————————————————————————————————————————————————————</w:t>
      </w:r>
    </w:p>
    <w:p>
      <w:pPr>
        <w:spacing w:before="160" w:after="40" w:line="240" w:lineRule="auto"/>
      </w:pPr>
      <w:r>
        <w:rPr>
          <w:b/>
        </w:rPr>
        <w:t xml:space="preserve">[434] </w:t>
      </w:r>
      <w:hyperlink r:id="rId1307">
        <w:r>
          <w:rPr>
            <w:color w:val="1155CC"/>
            <w:u w:val="single"/>
          </w:rPr>
          <w:t>喜欢咖啡和冰淇淋：山姆·莫滕和伊莱·莫滕访谈录</w:t>
        </w:r>
      </w:hyperlink>
    </w:p>
    <w:p>
      <w:pPr>
        <w:spacing w:before="0" w:after="80"/>
      </w:pPr>
      <w:r>
        <w:rPr>
          <w:i/>
          <w:sz w:val="20"/>
        </w:rPr>
        <w:t>EN: Like coffee and ice cream: an interview with Sam and Eli Morten</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08">
        <w:r>
          <w:rPr>
            <w:color w:val="1155CC"/>
            <w:u w:val="single"/>
          </w:rPr>
          <w:t>10.1038/d41586-026-02412-9</w:t>
        </w:r>
      </w:hyperlink>
    </w:p>
    <w:p>
      <w:pPr>
        <w:spacing w:before="0" w:after="120"/>
      </w:pPr>
      <w:r>
        <w:rPr>
          <w:b/>
        </w:rPr>
        <w:t xml:space="preserve">Notes: </w:t>
      </w:r>
      <w:r>
        <w:t>abstract_source=nature_html</w:t>
      </w:r>
    </w:p>
    <w:p>
      <w:pPr>
        <w:spacing w:before="0" w:after="80" w:lineRule="auto" w:line="276"/>
      </w:pPr>
      <w:r>
        <w:rPr>
          <w:b/>
        </w:rPr>
        <w:t xml:space="preserve">摘要（ZH）: </w:t>
      </w:r>
      <w:r>
        <w:t>联合经营。</w:t>
      </w:r>
    </w:p>
    <w:p>
      <w:pPr>
        <w:spacing w:before="0" w:after="200" w:lineRule="auto" w:line="276"/>
      </w:pPr>
      <w:r>
        <w:rPr>
          <w:b/>
        </w:rPr>
        <w:t xml:space="preserve">Abstract (EN): </w:t>
      </w:r>
      <w:r>
        <w:t>Joint operation.</w:t>
      </w:r>
    </w:p>
    <w:p>
      <w:pPr>
        <w:spacing w:before="120" w:after="120"/>
      </w:pPr>
      <w:r>
        <w:rPr>
          <w:sz w:val="18"/>
        </w:rPr>
        <w:t>——————————————————————————————————————————————————————————————————————</w:t>
      </w:r>
    </w:p>
    <w:p>
      <w:pPr>
        <w:spacing w:before="160" w:after="40" w:line="240" w:lineRule="auto"/>
      </w:pPr>
      <w:r>
        <w:rPr>
          <w:b/>
        </w:rPr>
        <w:t xml:space="preserve">[435] </w:t>
      </w:r>
      <w:hyperlink r:id="rId1309">
        <w:r>
          <w:rPr>
            <w:color w:val="1155CC"/>
            <w:u w:val="single"/>
          </w:rPr>
          <w:t>SSRIs 令人费解的科学原理：它们到底是如何发挥作用的？</w:t>
        </w:r>
      </w:hyperlink>
    </w:p>
    <w:p>
      <w:pPr>
        <w:spacing w:before="0" w:after="80"/>
      </w:pPr>
      <w:r>
        <w:rPr>
          <w:i/>
          <w:sz w:val="20"/>
        </w:rPr>
        <w:t>EN: The baffling science of SSRIs: how do they really work?</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10">
        <w:r>
          <w:rPr>
            <w:color w:val="1155CC"/>
            <w:u w:val="single"/>
          </w:rPr>
          <w:t>10.1038/d41586-026-02570-w</w:t>
        </w:r>
      </w:hyperlink>
    </w:p>
    <w:p>
      <w:pPr>
        <w:spacing w:before="0" w:after="120"/>
      </w:pPr>
      <w:r>
        <w:rPr>
          <w:b/>
        </w:rPr>
        <w:t xml:space="preserve">Notes: </w:t>
      </w:r>
      <w:r>
        <w:t>abstract_source=rss_nature</w:t>
      </w:r>
    </w:p>
    <w:p>
      <w:pPr>
        <w:spacing w:before="0" w:after="80" w:lineRule="auto" w:line="276"/>
      </w:pPr>
      <w:r>
        <w:rPr>
          <w:b/>
        </w:rPr>
        <w:t xml:space="preserve">摘要（ZH）: </w:t>
      </w:r>
      <w:r>
        <w:t>世界上最受欢迎的抗抑郁药物正受到批评。但它们真的比海洛因更难戒掉吗？</w:t>
      </w:r>
    </w:p>
    <w:p>
      <w:pPr>
        <w:spacing w:before="0" w:after="200" w:lineRule="auto" w:line="276"/>
      </w:pPr>
      <w:r>
        <w:rPr>
          <w:b/>
        </w:rPr>
        <w:t xml:space="preserve">Abstract (EN): </w:t>
      </w:r>
      <w:r>
        <w:t>The world’s most popular antidepressant drugs are under fire. But are they really harder to quit than heroin?</w:t>
      </w:r>
    </w:p>
    <w:p>
      <w:pPr>
        <w:spacing w:before="120" w:after="120"/>
      </w:pPr>
      <w:r>
        <w:rPr>
          <w:sz w:val="18"/>
        </w:rPr>
        <w:t>——————————————————————————————————————————————————————————————————————</w:t>
      </w:r>
    </w:p>
    <w:p>
      <w:pPr>
        <w:spacing w:before="160" w:after="40" w:line="240" w:lineRule="auto"/>
      </w:pPr>
      <w:r>
        <w:rPr>
          <w:b/>
        </w:rPr>
        <w:t xml:space="preserve">[436] </w:t>
      </w:r>
      <w:hyperlink r:id="rId1311">
        <w:r>
          <w:rPr>
            <w:color w:val="1155CC"/>
            <w:u w:val="single"/>
          </w:rPr>
          <w:t>南非的科学家“注册法”可能成为世界的模板——如果国家做得对的话</w:t>
        </w:r>
      </w:hyperlink>
    </w:p>
    <w:p>
      <w:pPr>
        <w:spacing w:before="0" w:after="80"/>
      </w:pPr>
      <w:r>
        <w:rPr>
          <w:i/>
          <w:sz w:val="20"/>
        </w:rPr>
        <w:t>EN: South Africa’s ‘registration law’ for scientists could be a template for the world — if the nation gets it right</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12">
        <w:r>
          <w:rPr>
            <w:color w:val="1155CC"/>
            <w:u w:val="single"/>
          </w:rPr>
          <w:t>10.1038/d41586-026-02568-4</w:t>
        </w:r>
      </w:hyperlink>
    </w:p>
    <w:p>
      <w:pPr>
        <w:spacing w:before="0" w:after="120"/>
      </w:pPr>
      <w:r>
        <w:rPr>
          <w:b/>
        </w:rPr>
        <w:t xml:space="preserve">Notes: </w:t>
      </w:r>
      <w:r>
        <w:t>abstract_source=rss_nature</w:t>
      </w:r>
    </w:p>
    <w:p>
      <w:pPr>
        <w:spacing w:before="0" w:after="80" w:lineRule="auto" w:line="276"/>
      </w:pPr>
      <w:r>
        <w:rPr>
          <w:b/>
        </w:rPr>
        <w:t xml:space="preserve">摘要（ZH）: </w:t>
      </w:r>
      <w:r>
        <w:t>迫使一些科学家在专业机构注册的计划可以保护人类和环境，但目前的版本缺乏明确性。</w:t>
      </w:r>
    </w:p>
    <w:p>
      <w:pPr>
        <w:spacing w:before="0" w:after="200" w:lineRule="auto" w:line="276"/>
      </w:pPr>
      <w:r>
        <w:rPr>
          <w:b/>
        </w:rPr>
        <w:t xml:space="preserve">Abstract (EN): </w:t>
      </w:r>
      <w:r>
        <w:t>The plan to force some scientists to register with a professional body could protect people and the environment, but the current version lacks clarity.</w:t>
      </w:r>
    </w:p>
    <w:p>
      <w:pPr>
        <w:spacing w:before="120" w:after="120"/>
      </w:pPr>
      <w:r>
        <w:rPr>
          <w:sz w:val="18"/>
        </w:rPr>
        <w:t>——————————————————————————————————————————————————————————————————————</w:t>
      </w:r>
    </w:p>
    <w:p>
      <w:pPr>
        <w:spacing w:before="160" w:after="40" w:line="240" w:lineRule="auto"/>
      </w:pPr>
      <w:r>
        <w:rPr>
          <w:b/>
        </w:rPr>
        <w:t xml:space="preserve">[437] </w:t>
      </w:r>
      <w:hyperlink r:id="rId1313">
        <w:r>
          <w:rPr>
            <w:color w:val="1155CC"/>
            <w:u w:val="single"/>
          </w:rPr>
          <w:t>带状疱疹疫苗可以降低患心脏病的风险吗？越来越多的证据表明存在联系</w:t>
        </w:r>
      </w:hyperlink>
    </w:p>
    <w:p>
      <w:pPr>
        <w:spacing w:before="0" w:after="80"/>
      </w:pPr>
      <w:r>
        <w:rPr>
          <w:i/>
          <w:sz w:val="20"/>
        </w:rPr>
        <w:t>EN: Does the shingles vaccine cut heart disease risk? Mounting evidence suggests a link</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14">
        <w:r>
          <w:rPr>
            <w:color w:val="1155CC"/>
            <w:u w:val="single"/>
          </w:rPr>
          <w:t>10.1038/d41586-026-02663-6</w:t>
        </w:r>
      </w:hyperlink>
    </w:p>
    <w:p>
      <w:pPr>
        <w:spacing w:before="0" w:after="120"/>
      </w:pPr>
      <w:r>
        <w:rPr>
          <w:b/>
        </w:rPr>
        <w:t xml:space="preserve">Notes: </w:t>
      </w:r>
      <w:r>
        <w:t>abstract_source=rss_nature</w:t>
      </w:r>
    </w:p>
    <w:p>
      <w:pPr>
        <w:spacing w:before="0" w:after="80" w:lineRule="auto" w:line="276"/>
      </w:pPr>
      <w:r>
        <w:rPr>
          <w:b/>
        </w:rPr>
        <w:t xml:space="preserve">摘要（ZH）: </w:t>
      </w:r>
      <w:r>
        <w:t>大型研究发现，接受针对病毒性疾病的“重组”疫苗的人患心血管疾病的风险较低。</w:t>
      </w:r>
    </w:p>
    <w:p>
      <w:pPr>
        <w:spacing w:before="0" w:after="200" w:lineRule="auto" w:line="276"/>
      </w:pPr>
      <w:r>
        <w:rPr>
          <w:b/>
        </w:rPr>
        <w:t xml:space="preserve">Abstract (EN): </w:t>
      </w:r>
      <w:r>
        <w:t>Large study finds that people who received the ‘recombinant’ vaccine for the viral condition had a lower risk of cardiovascular problems.</w:t>
      </w:r>
    </w:p>
    <w:p>
      <w:pPr>
        <w:spacing w:before="120" w:after="120"/>
      </w:pPr>
      <w:r>
        <w:rPr>
          <w:sz w:val="18"/>
        </w:rPr>
        <w:t>——————————————————————————————————————————————————————————————————————</w:t>
      </w:r>
    </w:p>
    <w:p>
      <w:pPr>
        <w:spacing w:before="160" w:after="40" w:line="240" w:lineRule="auto"/>
      </w:pPr>
      <w:r>
        <w:rPr>
          <w:b/>
        </w:rPr>
        <w:t xml:space="preserve">[438] </w:t>
      </w:r>
      <w:hyperlink r:id="rId1315">
        <w:r>
          <w:rPr>
            <w:color w:val="1155CC"/>
            <w:u w:val="single"/>
          </w:rPr>
          <w:t>二氧化碳含量增加促进了干旱条件下萨凡纳草的生长</w:t>
        </w:r>
      </w:hyperlink>
    </w:p>
    <w:p>
      <w:pPr>
        <w:spacing w:before="0" w:after="80"/>
      </w:pPr>
      <w:r>
        <w:rPr>
          <w:i/>
          <w:sz w:val="20"/>
        </w:rPr>
        <w:t>EN: Savannah grass growth in dry conditions is boosted by increased CO2 levels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16">
        <w:r>
          <w:rPr>
            <w:color w:val="1155CC"/>
            <w:u w:val="single"/>
          </w:rPr>
          <w:t>10.1038/d41586-026-02480-x</w:t>
        </w:r>
      </w:hyperlink>
    </w:p>
    <w:p>
      <w:pPr>
        <w:spacing w:before="0" w:after="120"/>
      </w:pPr>
      <w:r>
        <w:rPr>
          <w:b/>
        </w:rPr>
        <w:t xml:space="preserve">Notes: </w:t>
      </w:r>
      <w:r>
        <w:t>abstract_source=openalex</w:t>
      </w:r>
    </w:p>
    <w:p>
      <w:pPr>
        <w:spacing w:before="0" w:after="80" w:lineRule="auto" w:line="276"/>
      </w:pPr>
      <w:r>
        <w:rPr>
          <w:b/>
        </w:rPr>
        <w:t xml:space="preserve">摘要（ZH）: </w:t>
      </w:r>
      <w:r>
        <w:t>对 70 次实验和 32 年实地观察的分析表明，在水有限的情况下，增加二氧化碳量可以促进 C4 族草的生长。这些发现挑战了 C4 草对二氧化碳水平变化反应较弱的假设，并揭示了世界大草原上一个被忽视的变化驱动因素。南非克鲁格国家公园 30 多年来的观察证实了 70 次二氧化碳浓缩实验的结果。</w:t>
      </w:r>
    </w:p>
    <w:p>
      <w:pPr>
        <w:spacing w:before="0" w:after="200" w:lineRule="auto" w:line="276"/>
      </w:pPr>
      <w:r>
        <w:rPr>
          <w:b/>
        </w:rPr>
        <w:t xml:space="preserve">Abstract (EN): </w:t>
      </w:r>
      <w:r>
        <w:t>Analysis of 70 experiments and 32 years of field observations shows that increasing the amount of carbon dioxide enhances the growth of the C4 group of grasses when water is limited. These findings challenge the assumption that C4 grasses respond weakly to changes in carbon dioxide level, and reveal an overlooked driver of change across the world’s savannahs. Observations over more than 30 years at Kruger National Park in South Africa confirm the findings of 70 CO2-enrichment experiments.</w:t>
      </w:r>
    </w:p>
    <w:p>
      <w:pPr>
        <w:spacing w:before="120" w:after="120"/>
      </w:pPr>
      <w:r>
        <w:rPr>
          <w:sz w:val="18"/>
        </w:rPr>
        <w:t>——————————————————————————————————————————————————————————————————————</w:t>
      </w:r>
    </w:p>
    <w:p>
      <w:pPr>
        <w:spacing w:before="160" w:after="40" w:line="240" w:lineRule="auto"/>
      </w:pPr>
      <w:r>
        <w:rPr>
          <w:b/>
        </w:rPr>
        <w:t xml:space="preserve">[439] </w:t>
      </w:r>
      <w:hyperlink r:id="rId1317">
        <w:r>
          <w:rPr>
            <w:color w:val="1155CC"/>
            <w:u w:val="single"/>
          </w:rPr>
          <w:t>这种脉动的肌肉移植物模仿了运动的好处</w:t>
        </w:r>
      </w:hyperlink>
    </w:p>
    <w:p>
      <w:pPr>
        <w:spacing w:before="0" w:after="80"/>
      </w:pPr>
      <w:r>
        <w:rPr>
          <w:i/>
          <w:sz w:val="20"/>
        </w:rPr>
        <w:t>EN: This pulsating muscle graft mimics benefits of exercise</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18">
        <w:r>
          <w:rPr>
            <w:color w:val="1155CC"/>
            <w:u w:val="single"/>
          </w:rPr>
          <w:t>10.1038/d41586-026-02664-5</w:t>
        </w:r>
      </w:hyperlink>
    </w:p>
    <w:p>
      <w:pPr>
        <w:spacing w:before="0" w:after="120"/>
      </w:pPr>
      <w:r>
        <w:rPr>
          <w:b/>
        </w:rPr>
        <w:t xml:space="preserve">Notes: </w:t>
      </w:r>
      <w:r>
        <w:t>abstract_source=rss_nature</w:t>
      </w:r>
    </w:p>
    <w:p>
      <w:pPr>
        <w:spacing w:before="0" w:after="80" w:lineRule="auto" w:line="276"/>
      </w:pPr>
      <w:r>
        <w:rPr>
          <w:b/>
        </w:rPr>
        <w:t xml:space="preserve">摘要（ZH）: </w:t>
      </w:r>
      <w:r>
        <w:t>接受手术植入的小鼠产生了更多的肌肉质量、力量和骨密度。</w:t>
      </w:r>
    </w:p>
    <w:p>
      <w:pPr>
        <w:spacing w:before="0" w:after="200" w:lineRule="auto" w:line="276"/>
      </w:pPr>
      <w:r>
        <w:rPr>
          <w:b/>
        </w:rPr>
        <w:t xml:space="preserve">Abstract (EN): </w:t>
      </w:r>
      <w:r>
        <w:t>Mice with the surgical implant developed more muscle mass, strength and bone density.</w:t>
      </w:r>
    </w:p>
    <w:p>
      <w:pPr>
        <w:spacing w:before="120" w:after="120"/>
      </w:pPr>
      <w:r>
        <w:rPr>
          <w:sz w:val="18"/>
        </w:rPr>
        <w:t>——————————————————————————————————————————————————————————————————————</w:t>
      </w:r>
    </w:p>
    <w:p>
      <w:pPr>
        <w:spacing w:before="160" w:after="40" w:line="240" w:lineRule="auto"/>
      </w:pPr>
      <w:r>
        <w:rPr>
          <w:b/>
        </w:rPr>
        <w:t xml:space="preserve">[440] </w:t>
      </w:r>
      <w:hyperlink r:id="rId1319">
        <w:r>
          <w:rPr>
            <w:color w:val="1155CC"/>
            <w:u w:val="single"/>
          </w:rPr>
          <w:t>每日简报：庆祝多莉·帕顿对科学的贡献</w:t>
        </w:r>
      </w:hyperlink>
    </w:p>
    <w:p>
      <w:pPr>
        <w:spacing w:before="0" w:after="80"/>
      </w:pPr>
      <w:r>
        <w:rPr>
          <w:i/>
          <w:sz w:val="20"/>
        </w:rPr>
        <w:t>EN: Daily briefing: Celebrating Dolly Parton’s contributions to science</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20">
        <w:r>
          <w:rPr>
            <w:color w:val="1155CC"/>
            <w:u w:val="single"/>
          </w:rPr>
          <w:t>10.1038/d41586-026-02719-7</w:t>
        </w:r>
      </w:hyperlink>
    </w:p>
    <w:p>
      <w:pPr>
        <w:spacing w:before="0" w:after="120"/>
      </w:pPr>
      <w:r>
        <w:rPr>
          <w:b/>
        </w:rPr>
        <w:t xml:space="preserve">Notes: </w:t>
      </w:r>
      <w:r>
        <w:t>abstract_source=rss_nature</w:t>
      </w:r>
    </w:p>
    <w:p>
      <w:pPr>
        <w:spacing w:before="0" w:after="80" w:lineRule="auto" w:line="276"/>
      </w:pPr>
      <w:r>
        <w:rPr>
          <w:b/>
        </w:rPr>
        <w:t xml:space="preserve">摘要（ZH）: </w:t>
      </w:r>
      <w:r>
        <w:t>帕顿帮助资助了 Moderna 的早期疫苗研究以及其他慈善项目。另外，还介绍了抑郁症的原因和治疗方法，以及人工智能检测工具如何对抗抑郁症。</w:t>
      </w:r>
    </w:p>
    <w:p>
      <w:pPr>
        <w:spacing w:before="0" w:after="200" w:lineRule="auto" w:line="276"/>
      </w:pPr>
      <w:r>
        <w:rPr>
          <w:b/>
        </w:rPr>
        <w:t xml:space="preserve">Abstract (EN): </w:t>
      </w:r>
      <w:r>
        <w:t>Parton helped to fund Moderna’s early-stage vaccine research, among other philanthropic projects. Plus, causes and treatments for depression, and how AI-detection tools are pushing back against slop.</w:t>
      </w:r>
    </w:p>
    <w:p>
      <w:pPr>
        <w:spacing w:before="120" w:after="120"/>
      </w:pPr>
      <w:r>
        <w:rPr>
          <w:sz w:val="18"/>
        </w:rPr>
        <w:t>——————————————————————————————————————————————————————————————————————</w:t>
      </w:r>
    </w:p>
    <w:p>
      <w:pPr>
        <w:spacing w:before="160" w:after="40" w:line="240" w:lineRule="auto"/>
      </w:pPr>
      <w:r>
        <w:rPr>
          <w:b/>
        </w:rPr>
        <w:t xml:space="preserve">[441] </w:t>
      </w:r>
      <w:hyperlink r:id="rId1321">
        <w:r>
          <w:rPr>
            <w:color w:val="1155CC"/>
            <w:u w:val="single"/>
          </w:rPr>
          <w:t>长读长测序揭示精子减数分裂前基因转化</w:t>
        </w:r>
      </w:hyperlink>
    </w:p>
    <w:p>
      <w:pPr>
        <w:spacing w:before="0" w:after="80"/>
      </w:pPr>
      <w:r>
        <w:rPr>
          <w:i/>
          <w:sz w:val="20"/>
        </w:rPr>
        <w:t>EN: Long-read sequencing reveals pre-meiotic gene conversion in sperm</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22">
        <w:r>
          <w:rPr>
            <w:color w:val="1155CC"/>
            <w:u w:val="single"/>
          </w:rPr>
          <w:t>10.1038/s41586-026-10901-0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减数分裂重组是通过创建现有等位基因的新组合来产生遗传多样性的基本过程</w:t>
      </w:r>
      <w:r>
        <w:rPr>
          <w:vertAlign w:val="subscript"/>
        </w:rPr>
        <w:t>1</w:t>
      </w:r>
      <w:r>
        <w:t>。而人类的交叉现象已得到很好的表征</w:t>
      </w:r>
      <w:r>
        <w:rPr>
          <w:vertAlign w:val="subscript"/>
        </w:rPr>
        <w:t>2</w:t>
      </w:r>
      <w:r>
        <w:t>，导致基因转换的更频繁的非交叉仍然难以研究。在这里，我们展示了来自精子的单个高保真长测序读数可以捕获交叉和非交叉，这使得能够有效地对单个男性进行任意样本量的分析。我们分析了来自 13 名捐献者的 15 个精子样本中的 2,382 个候选非交叉，并鉴定了一个具有与 PRDM9 诱导重组不同的特性的一致成分。这种现象与 DMC1 结合、交叉重组图或 GC 偏向基因转换识别的减数分裂双链断裂位点无关，但与基因组脆弱位点相关。该成分也出现在谱系数据中的父系非交叉基因转换中</w:t>
      </w:r>
      <w:r>
        <w:rPr>
          <w:vertAlign w:val="subscript"/>
        </w:rPr>
        <w:t>3</w:t>
      </w:r>
      <w:r>
        <w:t>。对 12 个血液样本进行相同的分析</w:t>
      </w:r>
      <w:r>
        <w:rPr>
          <w:vertAlign w:val="subscript"/>
        </w:rPr>
        <w:t>4</w:t>
      </w:r>
      <w:r>
        <w:t>，我们观察到具有相似特性的非交叉基因转换，但交叉事件很少。此外，我们证明了不同类型重组的供体之间存在差异，即使它们具有相同的 PRDM9 基因型。我们认为精子中看到的非交叉基因转换事件的很大一部分发生在减数分裂之前。</w:t>
      </w:r>
    </w:p>
    <w:p>
      <w:pPr>
        <w:spacing w:before="0" w:after="200" w:lineRule="auto" w:line="276"/>
      </w:pPr>
      <w:r>
        <w:rPr>
          <w:b/>
        </w:rPr>
        <w:t xml:space="preserve">Abstract (EN): </w:t>
      </w:r>
      <w:r>
        <w:t>Meiotic recombination is a fundamental process that generates genetic diversity by creating new combinations of existing alleles</w:t>
      </w:r>
      <w:r>
        <w:rPr>
          <w:vertAlign w:val="subscript"/>
        </w:rPr>
        <w:t>1</w:t>
      </w:r>
      <w:r>
        <w:t>. Whereas crossovers in humans are well characterized</w:t>
      </w:r>
      <w:r>
        <w:rPr>
          <w:vertAlign w:val="subscript"/>
        </w:rPr>
        <w:t>2</w:t>
      </w:r>
      <w:r>
        <w:t>, the more frequent non-crossovers that lead to gene conversion remain challenging to study. Here we show that single high-fidelity long sequencing reads from sperm can capture both crossovers and non-crossovers, which enables effectively arbitrary sample sizes for analysis from a single male. We analysed 2,382 candidate non-crossovers in 15 sperm samples from 13 donors, and identified a consistent component with properties distinct from PRDM9-induced recombination. This phenomenon was not associated with meiotic double-strand break sites identified by DMC1 binding, the crossover recombination map or GC-biased gene conversion, but was associated with genomic fragile sites. This component is also seen in paternal non-crossover gene conversions in pedigree data</w:t>
      </w:r>
      <w:r>
        <w:rPr>
          <w:vertAlign w:val="subscript"/>
        </w:rPr>
        <w:t>3</w:t>
      </w:r>
      <w:r>
        <w:t>. Applying the same analysis to 12 blood samples</w:t>
      </w:r>
      <w:r>
        <w:rPr>
          <w:vertAlign w:val="subscript"/>
        </w:rPr>
        <w:t>4</w:t>
      </w:r>
      <w:r>
        <w:t>, we observed non-crossover gene conversions with similar properties, but very few crossover events. Further, we demonstrate variation between donors for the different types of recombination, even when they share the same PRDM9 genotype. We suggest that a substantial fraction of the non-crossover gene conversion events seen in sperm arise prior to meiosis.</w:t>
      </w:r>
    </w:p>
    <w:p>
      <w:pPr>
        <w:spacing w:before="120" w:after="120"/>
      </w:pPr>
      <w:r>
        <w:rPr>
          <w:sz w:val="18"/>
        </w:rPr>
        <w:t>——————————————————————————————————————————————————————————————————————</w:t>
      </w:r>
    </w:p>
    <w:p>
      <w:pPr>
        <w:spacing w:before="160" w:after="40" w:line="240" w:lineRule="auto"/>
      </w:pPr>
      <w:r>
        <w:rPr>
          <w:b/>
        </w:rPr>
        <w:t xml:space="preserve">[442] </w:t>
      </w:r>
      <w:hyperlink r:id="rId1323">
        <w:r>
          <w:rPr>
            <w:color w:val="1155CC"/>
            <w:u w:val="single"/>
          </w:rPr>
          <w:t>通过堆垛层错工程实现金刚石的协同硬化和增韧</w:t>
        </w:r>
      </w:hyperlink>
    </w:p>
    <w:p>
      <w:pPr>
        <w:spacing w:before="0" w:after="80"/>
      </w:pPr>
      <w:r>
        <w:rPr>
          <w:i/>
          <w:sz w:val="20"/>
        </w:rPr>
        <w:t>EN: Synergistic hardening and toughening of diamond through stacking-fault engineering</w:t>
      </w:r>
    </w:p>
    <w:p>
      <w:pPr>
        <w:spacing w:before="0" w:after="120"/>
      </w:pPr>
      <w:r>
        <w:rPr>
          <w:b/>
        </w:rPr>
        <w:t xml:space="preserve">Source: </w:t>
      </w:r>
      <w:r>
        <w:t>National Science Review Advance Access</w:t>
      </w:r>
      <w:r>
        <w:t xml:space="preserve">    </w:t>
      </w:r>
      <w:r>
        <w:rPr>
          <w:b/>
        </w:rPr>
        <w:t xml:space="preserve">Pub date: </w:t>
      </w:r>
      <w:r>
        <w:t>2026-08-26 00:00:00+00:00</w:t>
      </w:r>
      <w:r>
        <w:t xml:space="preserve">    </w:t>
      </w:r>
      <w:r>
        <w:rPr>
          <w:b/>
        </w:rPr>
        <w:t xml:space="preserve">DOI: </w:t>
      </w:r>
      <w:hyperlink r:id="rId1324">
        <w:r>
          <w:rPr>
            <w:color w:val="1155CC"/>
            <w:u w:val="single"/>
          </w:rPr>
          <w:t>10.1093/nsr/nwag546</w:t>
        </w:r>
      </w:hyperlink>
    </w:p>
    <w:p>
      <w:pPr>
        <w:spacing w:before="0" w:after="120"/>
      </w:pPr>
      <w:r>
        <w:rPr>
          <w:b/>
        </w:rPr>
        <w:t xml:space="preserve">Notes: </w:t>
      </w:r>
      <w:r>
        <w:t>abstract_source=rss_oup</w:t>
      </w:r>
    </w:p>
    <w:p>
      <w:pPr>
        <w:spacing w:before="0" w:after="80" w:lineRule="auto" w:line="276"/>
      </w:pPr>
      <w:r>
        <w:rPr>
          <w:b/>
        </w:rPr>
        <w:t xml:space="preserve">摘要（ZH）: </w:t>
      </w:r>
      <w:r>
        <w:t>通过细长石墨片的前体遗传，预先定向的堆垛层错网络被编程为多晶金刚石，产生由高纵横比薄片和致密断层束组成的砖墙结构。这种缺陷结构保留了超高硬度，同时提高了空气中的抗裂性和氧化稳定性。优化后的样品的努氏硬度为140.1 ± 3.0 GPa，压痕断裂韧性为16.9 ± 4.2 MPa·m1/2，氧化起始温度为1295 K。相关断裂后高分辨率透射电子显微镜（HRTEM）、高角度环形暗场扫描透射电子显微镜（HAADF-STEM）和电子能量损失谱（EELS）分析表明，断裂源附近的多相桥，包括应变立方金刚石、无序堆垛层错丰富区域和局部 sp</w:t>
      </w:r>
    </w:p>
    <w:p>
      <w:pPr>
        <w:spacing w:before="0" w:after="200" w:lineRule="auto" w:line="276"/>
      </w:pPr>
      <w:r>
        <w:rPr>
          <w:b/>
        </w:rPr>
        <w:t xml:space="preserve">Abstract (EN): </w:t>
      </w:r>
      <w:r>
        <w:t>Pre-oriented stacking-fault networks are programmed into polycrystalline diamond through precursor inheritance from elongated graphite flakes, producing a brick-wall architecture composed of high-aspect-ratio lamellae and dense fault bundles. This defect architecture preserves ultrahigh hardness while increasing crack resistance and oxidation stability in air. The optimized sample exhibits a Knoop hardness of 140.1 ± 3.0 GPa, an indentation fracture toughness of 16.9 ± 4.2 MPa·m1/2, and an oxidation-onset temperature of 1295 K. Correlative post-fracture high-resolution transmission electron microscopy (HRTEM), high-angle annular dark-field scanning transmission electron microscopy (HAADF-STEM), and electron energy-loss spectroscopy (EELS) analyses reveal a confined multiphase bridge near fracture origins, comprising strained cubic diamond, disordered stacking-fault-rich regions, and localized sp</w:t>
      </w:r>
    </w:p>
    <w:p>
      <w:pPr>
        <w:spacing w:before="120" w:after="120"/>
      </w:pPr>
      <w:r>
        <w:rPr>
          <w:sz w:val="18"/>
        </w:rPr>
        <w:t>——————————————————————————————————————————————————————————————————————</w:t>
      </w:r>
    </w:p>
    <w:p>
      <w:pPr>
        <w:spacing w:before="160" w:after="40" w:line="240" w:lineRule="auto"/>
      </w:pPr>
      <w:r>
        <w:rPr>
          <w:b/>
        </w:rPr>
        <w:t xml:space="preserve">[443] </w:t>
      </w:r>
      <w:hyperlink r:id="rId1325">
        <w:r>
          <w:rPr>
            <w:color w:val="1155CC"/>
            <w:u w:val="single"/>
          </w:rPr>
          <w:t>等离子喷射电影是天文学夏季大片</w:t>
        </w:r>
      </w:hyperlink>
    </w:p>
    <w:p>
      <w:pPr>
        <w:spacing w:before="0" w:after="80"/>
      </w:pPr>
      <w:r>
        <w:rPr>
          <w:i/>
          <w:sz w:val="20"/>
        </w:rPr>
        <w:t>EN: Plasma-jet movie is astronomy’s summer blockbuster</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26">
        <w:r>
          <w:rPr>
            <w:color w:val="1155CC"/>
            <w:u w:val="single"/>
          </w:rPr>
          <w:t>10.1038/d41586-026-02522-4</w:t>
        </w:r>
      </w:hyperlink>
    </w:p>
    <w:p>
      <w:pPr>
        <w:spacing w:before="0" w:after="120"/>
      </w:pPr>
      <w:r>
        <w:rPr>
          <w:b/>
        </w:rPr>
        <w:t xml:space="preserve">Notes: </w:t>
      </w:r>
      <w:r>
        <w:t>abstract_source=rss_nature</w:t>
      </w:r>
    </w:p>
    <w:p>
      <w:pPr>
        <w:spacing w:before="0" w:after="80" w:lineRule="auto" w:line="276"/>
      </w:pPr>
      <w:r>
        <w:rPr>
          <w:b/>
        </w:rPr>
        <w:t xml:space="preserve">摘要（ZH）: </w:t>
      </w:r>
      <w:r>
        <w:t>活跃星系 3C 345 的图像仅有 116 张，但人工智能驱动的算法已经创建了从其中心喷出的等离子射流的高度详细视频。</w:t>
      </w:r>
    </w:p>
    <w:p>
      <w:pPr>
        <w:spacing w:before="0" w:after="200" w:lineRule="auto" w:line="276"/>
      </w:pPr>
      <w:r>
        <w:rPr>
          <w:b/>
        </w:rPr>
        <w:t xml:space="preserve">Abstract (EN): </w:t>
      </w:r>
      <w:r>
        <w:t>Just 116 images exist of the active galaxy 3C 345 — but an AI-driven algorithm has created a highly detailed video of the plasma jets blasted from its centre.</w:t>
      </w:r>
    </w:p>
    <w:p>
      <w:pPr>
        <w:spacing w:before="120" w:after="120"/>
      </w:pPr>
      <w:r>
        <w:rPr>
          <w:sz w:val="18"/>
        </w:rPr>
        <w:t>——————————————————————————————————————————————————————————————————————</w:t>
      </w:r>
    </w:p>
    <w:p>
      <w:pPr>
        <w:spacing w:before="160" w:after="40" w:line="240" w:lineRule="auto"/>
      </w:pPr>
      <w:r>
        <w:rPr>
          <w:b/>
        </w:rPr>
        <w:t xml:space="preserve">[444] </w:t>
      </w:r>
      <w:hyperlink r:id="rId1327">
        <w:r>
          <w:rPr>
            <w:color w:val="1155CC"/>
            <w:u w:val="single"/>
          </w:rPr>
          <w:t>从鼠耳蝠基因组洞察长寿和病毒驱动的适应</w:t>
        </w:r>
      </w:hyperlink>
    </w:p>
    <w:p>
      <w:pPr>
        <w:spacing w:before="0" w:after="80"/>
      </w:pPr>
      <w:r>
        <w:rPr>
          <w:i/>
          <w:sz w:val="20"/>
        </w:rPr>
        <w:t>EN: Insights into longevity and virus-driven adaptation from Myotis bat genomes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28">
        <w:r>
          <w:rPr>
            <w:color w:val="1155CC"/>
            <w:u w:val="single"/>
          </w:rPr>
          <w:t>10.1038/s41586-026-10932-7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属</w:t>
      </w:r>
      <w:r>
        <w:t xml:space="preserve"> </w:t>
      </w:r>
      <w:r>
        <w:t>鼠耳草属</w:t>
      </w:r>
      <w:r>
        <w:t xml:space="preserve"> </w:t>
      </w:r>
      <w:r>
        <w:t>是蝙蝠中最大的分支之一，它在哺乳动物中表现出一些最极端的寿命差异，同时对病毒耐受性和免疫防御具有独特的适应能力</w:t>
      </w:r>
      <w:r>
        <w:t xml:space="preserve"> </w:t>
      </w:r>
      <w:r>
        <w:t>1–3</w:t>
      </w:r>
      <w:r>
        <w:t xml:space="preserve"> </w:t>
      </w:r>
      <w:r>
        <w:t>。在这里，为了研究这些表型的进化，我们为八个密切相关的细胞系和近乎完整的基因组组装</w:t>
      </w:r>
      <w:r>
        <w:t xml:space="preserve"> </w:t>
      </w:r>
      <w:r>
        <w:t>鼠耳草属</w:t>
      </w:r>
      <w:r>
        <w:t xml:space="preserve"> </w:t>
      </w:r>
      <w:r>
        <w:t>种。通过全基因组正选择筛选、原代细胞结构变异分析和功能实验，我们确定了有助于长寿、抗癌和病毒相互作用的适应模式。与所有其他哺乳动物相比，我们展示了对 DNA 和 RNA 病毒的独特适应模式，蝙蝠表现出对 DNA 病毒相互作用蛋白的正选择的全基因组过度表现，以及对 RNA 病毒相互作用蛋白的拷贝数变异率的升高。表征</w:t>
      </w:r>
      <w:r>
        <w:t xml:space="preserve"> </w:t>
      </w:r>
      <w:r>
        <w:t>鼠耳草属</w:t>
      </w:r>
      <w:r>
        <w:t xml:space="preserve"> </w:t>
      </w:r>
      <w:r>
        <w:t>-关键免疫因子的特异性重复</w:t>
      </w:r>
      <w:r>
        <w:t xml:space="preserve"> </w:t>
      </w:r>
      <w:r>
        <w:t>EIF2AK2</w:t>
      </w:r>
      <w:r>
        <w:t xml:space="preserve"> </w:t>
      </w:r>
      <w:r>
        <w:t>（也称为</w:t>
      </w:r>
      <w:r>
        <w:t xml:space="preserve"> </w:t>
      </w:r>
      <w:r>
        <w:t>PKR</w:t>
      </w:r>
      <w:r>
        <w:t xml:space="preserve"> </w:t>
      </w:r>
      <w:r>
        <w:t>）揭示了多个古代分离的跨物种拷贝数多态性。我们表明，寿命的循环进化见于</w:t>
      </w:r>
      <w:r>
        <w:t xml:space="preserve"> </w:t>
      </w:r>
      <w:r>
        <w:t>鼠耳草属</w:t>
      </w:r>
      <w:r>
        <w:t xml:space="preserve"> </w:t>
      </w:r>
      <w:r>
        <w:t>与癌症途径的正选择相关，并且在长寿的原代细胞中表现出对 DNA 损伤的独特反应</w:t>
      </w:r>
    </w:p>
    <w:p>
      <w:pPr>
        <w:spacing w:before="0" w:after="200" w:lineRule="auto" w:line="276"/>
      </w:pPr>
      <w:r>
        <w:rPr>
          <w:b/>
        </w:rPr>
        <w:t xml:space="preserve">Abstract (EN): </w:t>
      </w:r>
      <w:r>
        <w:t>The genus</w:t>
      </w:r>
      <w:r>
        <w:t xml:space="preserve"> </w:t>
      </w:r>
      <w:r>
        <w:t>Myotis</w:t>
      </w:r>
      <w:r>
        <w:t xml:space="preserve"> </w:t>
      </w:r>
      <w:r>
        <w:t>is one of the largest clades of bats, and it exhibits some of the most extreme variation in lifespans among mammals, alongside unique adaptations to viral tolerance and immune defence</w:t>
      </w:r>
      <w:r>
        <w:t xml:space="preserve"> </w:t>
      </w:r>
      <w:r>
        <w:t>1–3</w:t>
      </w:r>
      <w:r>
        <w:t xml:space="preserve"> </w:t>
      </w:r>
      <w:r>
        <w:t>. Here, to study the evolution of these phenotypes, we generated cell lines and near-complete genome assemblies for eight closely related</w:t>
      </w:r>
      <w:r>
        <w:t xml:space="preserve"> </w:t>
      </w:r>
      <w:r>
        <w:t>Myotis</w:t>
      </w:r>
      <w:r>
        <w:t xml:space="preserve"> </w:t>
      </w:r>
      <w:r>
        <w:t>species. Using genome-wide screens of positive selection, analyses of structural variation and functional experiments in primary cells, we identify patterns of adaptation contributing to longevity, cancer resistance and viral interactions. We demonstrate distinct modes of adaptation to DNA and RNA viruses compared with all other mammals, with bats exhibiting genome-wide over-representation of positive selection for DNA-virus-interacting proteins and elevated rates of copy-number variation for RNA-virus-interacting proteins. Characterization of</w:t>
      </w:r>
      <w:r>
        <w:t xml:space="preserve"> </w:t>
      </w:r>
      <w:r>
        <w:t>Myotis</w:t>
      </w:r>
      <w:r>
        <w:t xml:space="preserve"> </w:t>
      </w:r>
      <w:r>
        <w:t>-specific duplications of the key immune factor</w:t>
      </w:r>
      <w:r>
        <w:t xml:space="preserve"> </w:t>
      </w:r>
      <w:r>
        <w:t>EIF2AK2</w:t>
      </w:r>
      <w:r>
        <w:t xml:space="preserve"> </w:t>
      </w:r>
      <w:r>
        <w:t>(also known as</w:t>
      </w:r>
      <w:r>
        <w:t xml:space="preserve"> </w:t>
      </w:r>
      <w:r>
        <w:t>PKR</w:t>
      </w:r>
      <w:r>
        <w:t xml:space="preserve"> </w:t>
      </w:r>
      <w:r>
        <w:t>) reveals multiple ancient segregating trans-species copy-number polymorphisms. We show that the recurrent evolution of longevity seen in</w:t>
      </w:r>
      <w:r>
        <w:t xml:space="preserve"> </w:t>
      </w:r>
      <w:r>
        <w:t>Myotis</w:t>
      </w:r>
      <w:r>
        <w:t xml:space="preserve"> </w:t>
      </w:r>
      <w:r>
        <w:t>is associated with positive selection in cancer pathways, and demonstrate a unique response to DNA damage in primary cells of the long-lived</w:t>
      </w:r>
      <w:r>
        <w:t xml:space="preserve"> </w:t>
      </w:r>
      <w:r>
        <w:t>Myotis</w:t>
      </w:r>
      <w:r>
        <w:t xml:space="preserve"> </w:t>
      </w:r>
      <w:r>
        <w:t>lucifugus</w:t>
      </w:r>
      <w:r>
        <w:t xml:space="preserve"> </w:t>
      </w:r>
      <w:r>
        <w:t>. Together, our results suggest that bats’ remarkable longevity and immunity are linked through pleiotropic adaptations to viruses and ageing-related disease.</w:t>
      </w:r>
    </w:p>
    <w:p>
      <w:pPr>
        <w:spacing w:before="120" w:after="120"/>
      </w:pPr>
      <w:r>
        <w:rPr>
          <w:sz w:val="18"/>
        </w:rPr>
        <w:t>——————————————————————————————————————————————————————————————————————</w:t>
      </w:r>
    </w:p>
    <w:p>
      <w:pPr>
        <w:spacing w:before="160" w:after="40" w:line="240" w:lineRule="auto"/>
      </w:pPr>
      <w:r>
        <w:rPr>
          <w:b/>
        </w:rPr>
        <w:t xml:space="preserve">[445] </w:t>
      </w:r>
      <w:hyperlink r:id="rId1329">
        <w:r>
          <w:rPr>
            <w:color w:val="1155CC"/>
            <w:u w:val="single"/>
          </w:rPr>
          <w:t>遗传密码的自动原型设计</w:t>
        </w:r>
      </w:hyperlink>
    </w:p>
    <w:p>
      <w:pPr>
        <w:spacing w:before="0" w:after="80"/>
      </w:pPr>
      <w:r>
        <w:rPr>
          <w:i/>
          <w:sz w:val="20"/>
        </w:rPr>
        <w:t>EN: Automated prototyping of genetic codes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30">
        <w:r>
          <w:rPr>
            <w:color w:val="1155CC"/>
            <w:u w:val="single"/>
          </w:rPr>
          <w:t>10.1038/s41586-026-10949-y</w:t>
        </w:r>
      </w:hyperlink>
    </w:p>
    <w:p>
      <w:pPr>
        <w:spacing w:before="0" w:after="120"/>
      </w:pPr>
      <w:r>
        <w:rPr>
          <w:b/>
        </w:rPr>
        <w:t xml:space="preserve">Notes: </w:t>
      </w:r>
      <w:r>
        <w:t>abstract_source=pubmed</w:t>
      </w:r>
    </w:p>
    <w:p>
      <w:pPr>
        <w:spacing w:before="0" w:after="80" w:lineRule="auto" w:line="276"/>
      </w:pPr>
      <w:r>
        <w:rPr>
          <w:b/>
        </w:rPr>
        <w:t xml:space="preserve">摘要（ZH）: </w:t>
      </w:r>
      <w:r>
        <w:t>标准遗传密码使用 64 个密码子编码生命领域的 20 种规范氨基酸。全新的遗传密码使新的化学、治疗方法和生态系统工程成为可能，但重新编码生物体的基因组却极具挑战性1-6。在这里，我们描述了自动遗传 tRNA 扩增 (AGENTEX)，用于无细胞翻译系统中遗传密码的多重机器人原型设计。核糖体大亚基 (LSU) 中的两个 Watson-Crick 相互作用介导对 tRNA 3' CCA 末端的识别，从而防止具有替代 3' 序列的 tRNA 在翻译过程中被容纳7,8。基于这些相互作用，我们研究了非 CCA-3' tRNA (otRNA) 被天然氨酰基 tRNA 合成酶 (aaRS) 氨酰化的程度，从而允许 otRNA 池使用具有改变的 LSU 的核糖体来指定独特的遗传密码。我们开发了多重自动化方法来读取合成 tRNA 文库中的氨酰化。我们发现 tRNA 3' 端对突变表现出显着的灵活性，允许所有大肠杆菌 aaRS 对大多数 otRNA 进行氨酰化。基于我们的发现，我们开发了无细胞翻译系统，能够将 34 个 aaRS 压缩为 34 个密码子的遗传密码。使用 AGENTEX，我们评估了两个遗传密码和标准遗传密码，以及非标准氨基酸掺入和最多三个密码子的重新分配。我们的研究结果对全新翻译系统的设计、具有多种非标准单体的生物聚合物的合成以及理解</w:t>
      </w:r>
    </w:p>
    <w:p>
      <w:pPr>
        <w:spacing w:before="0" w:after="200" w:lineRule="auto" w:line="276"/>
      </w:pPr>
      <w:r>
        <w:rPr>
          <w:b/>
        </w:rPr>
        <w:t xml:space="preserve">Abstract (EN): </w:t>
      </w:r>
      <w:r>
        <w:t>The standard genetic code uses 64 codons to encode 20 canonical amino acids across domains of life. New-to-nature genetic codes enable new chemistries, therapeutics and ecosystem engineering, but recoding the genome of an organism is exceptionally challenging1-6. Here we describe automated genetic tRNA expansion (AGENTEX) for multiplexed robotic prototyping of genetic codes in cell-free translation systems. Two Watson-Crick interactions in the ribosomal large subunit (LSU) mediate recognition of the 3' CCA end of tRNAs, preventing tRNAs with alternative 3' sequences from being accommodated during translation7,8. Building on these interactions, we investigated the extent to which non-CCA-3' tRNAs (otRNAs) would be aminoacylated by natural aminoacyl tRNA synthetases (aaRSs), allowing pools of otRNAs to specify unique genetic codes using ribosomes with altered LSU. We developed multiplexed and automated methods to read aminoacylation in libraries of synthetic tRNAs. We discovered that the tRNA 3' end shows remarkable flexibility to mutation, allowing aminoacylation of most otRNAs by all Escherichia coli aaRSs. Building on our discovery, we developed cell-free translation systems enabling compressed genetic codes of 34 aaRSs for 34 codons. Using AGENTEX, we evaluated two genetic codes alongside the standard genetic code, with non-standard amino acid incorporation and reassignment of up to three codons. Our findings have implications for the design of radically new translation systems, the synthesis of biopolymers with several instances of non-standard monomers, and understanding of possible past and future genetic codes.</w:t>
      </w:r>
    </w:p>
    <w:p>
      <w:pPr>
        <w:spacing w:before="120" w:after="120"/>
      </w:pPr>
      <w:r>
        <w:rPr>
          <w:sz w:val="18"/>
        </w:rPr>
        <w:t>——————————————————————————————————————————————————————————————————————</w:t>
      </w:r>
    </w:p>
    <w:p>
      <w:pPr>
        <w:spacing w:before="160" w:after="40" w:line="240" w:lineRule="auto"/>
      </w:pPr>
      <w:r>
        <w:rPr>
          <w:b/>
        </w:rPr>
        <w:t xml:space="preserve">[446] </w:t>
      </w:r>
      <w:hyperlink r:id="rId1331">
        <w:r>
          <w:rPr>
            <w:color w:val="1155CC"/>
            <w:u w:val="single"/>
          </w:rPr>
          <w:t>厄尔尼诺现象加剧，创下历史最高海洋温度</w:t>
        </w:r>
      </w:hyperlink>
    </w:p>
    <w:p>
      <w:pPr>
        <w:spacing w:before="0" w:after="80"/>
      </w:pPr>
      <w:r>
        <w:rPr>
          <w:i/>
          <w:sz w:val="20"/>
        </w:rPr>
        <w:t>EN: Highest-ever ocean temperatures recorded as El Niño intensifies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32">
        <w:r>
          <w:rPr>
            <w:color w:val="1155CC"/>
            <w:u w:val="single"/>
          </w:rPr>
          <w:t>10.1038/d41586-026-02681-4</w:t>
        </w:r>
      </w:hyperlink>
    </w:p>
    <w:p>
      <w:pPr>
        <w:spacing w:before="0" w:after="120"/>
      </w:pPr>
      <w:r>
        <w:rPr>
          <w:b/>
        </w:rPr>
        <w:t xml:space="preserve">Notes: </w:t>
      </w:r>
      <w:r>
        <w:t>abstract_source=rss_nature</w:t>
      </w:r>
    </w:p>
    <w:p>
      <w:pPr>
        <w:spacing w:before="0" w:after="80" w:lineRule="auto" w:line="276"/>
      </w:pPr>
      <w:r>
        <w:rPr>
          <w:b/>
        </w:rPr>
        <w:t xml:space="preserve">摘要（ZH）: </w:t>
      </w:r>
      <w:r>
        <w:t>为什么极端温度预计会削弱海洋碳汇 - 另外，线粒体注射如何治疗视力丧失。</w:t>
      </w:r>
    </w:p>
    <w:p>
      <w:pPr>
        <w:spacing w:before="0" w:after="200" w:lineRule="auto" w:line="276"/>
      </w:pPr>
      <w:r>
        <w:rPr>
          <w:b/>
        </w:rPr>
        <w:t xml:space="preserve">Abstract (EN): </w:t>
      </w:r>
      <w:r>
        <w:t>Why extreme temperatures are expected to weaken ocean carbon sinks — plus, how mitochondrial injections could treat vision loss.</w:t>
      </w:r>
    </w:p>
    <w:p>
      <w:pPr>
        <w:spacing w:before="120" w:after="120"/>
      </w:pPr>
      <w:r>
        <w:rPr>
          <w:sz w:val="18"/>
        </w:rPr>
        <w:t>——————————————————————————————————————————————————————————————————————</w:t>
      </w:r>
    </w:p>
    <w:p>
      <w:pPr>
        <w:spacing w:before="160" w:after="40" w:line="240" w:lineRule="auto"/>
      </w:pPr>
      <w:r>
        <w:rPr>
          <w:b/>
        </w:rPr>
        <w:t xml:space="preserve">[447] </w:t>
      </w:r>
      <w:hyperlink r:id="rId1333">
        <w:r>
          <w:rPr>
            <w:color w:val="1155CC"/>
            <w:u w:val="single"/>
          </w:rPr>
          <w:t>磁光技术继续前进</w:t>
        </w:r>
      </w:hyperlink>
    </w:p>
    <w:p>
      <w:pPr>
        <w:spacing w:before="0" w:after="80"/>
      </w:pPr>
      <w:r>
        <w:rPr>
          <w:i/>
          <w:sz w:val="20"/>
        </w:rPr>
        <w:t>EN: Magneto-optics marches on</w:t>
      </w:r>
    </w:p>
    <w:p>
      <w:pPr>
        <w:spacing w:before="0" w:after="120"/>
      </w:pPr>
      <w:r>
        <w:rPr>
          <w:b/>
        </w:rPr>
        <w:t xml:space="preserve">Source: </w:t>
      </w:r>
      <w:r>
        <w:t>Nature Materials</w:t>
      </w:r>
      <w:r>
        <w:t xml:space="preserve">    </w:t>
      </w:r>
      <w:r>
        <w:rPr>
          <w:b/>
        </w:rPr>
        <w:t xml:space="preserve">Pub date: </w:t>
      </w:r>
      <w:r>
        <w:t>2026-08-26 00:00:00+00:00</w:t>
      </w:r>
      <w:r>
        <w:t xml:space="preserve">    </w:t>
      </w:r>
      <w:r>
        <w:rPr>
          <w:b/>
        </w:rPr>
        <w:t xml:space="preserve">DOI: </w:t>
      </w:r>
      <w:hyperlink r:id="rId1334">
        <w:r>
          <w:rPr>
            <w:color w:val="1155CC"/>
            <w:u w:val="single"/>
          </w:rPr>
          <w:t>10.1038/s41563-026-02743-y</w:t>
        </w:r>
      </w:hyperlink>
    </w:p>
    <w:p>
      <w:pPr>
        <w:spacing w:before="0" w:after="120"/>
      </w:pPr>
      <w:r>
        <w:rPr>
          <w:b/>
        </w:rPr>
        <w:t xml:space="preserve">Notes: </w:t>
      </w:r>
      <w:r>
        <w:t>abstract_source=rss_nature</w:t>
      </w:r>
    </w:p>
    <w:p>
      <w:pPr>
        <w:spacing w:before="0" w:after="80" w:lineRule="auto" w:line="276"/>
      </w:pPr>
      <w:r>
        <w:rPr>
          <w:b/>
        </w:rPr>
        <w:t xml:space="preserve">摘要（ZH）: </w:t>
      </w:r>
      <w:r>
        <w:t>材料合成和光源的持续发展正在推动磁光现象的发现。</w:t>
      </w:r>
    </w:p>
    <w:p>
      <w:pPr>
        <w:spacing w:before="0" w:after="200" w:lineRule="auto" w:line="276"/>
      </w:pPr>
      <w:r>
        <w:rPr>
          <w:b/>
        </w:rPr>
        <w:t xml:space="preserve">Abstract (EN): </w:t>
      </w:r>
      <w:r>
        <w:t>Continued developments in materials synthesis and light sources are driving the discovery of magneto-optical phenomena.</w:t>
      </w:r>
    </w:p>
    <w:p>
      <w:pPr>
        <w:spacing w:before="120" w:after="120"/>
      </w:pPr>
      <w:r>
        <w:rPr>
          <w:sz w:val="18"/>
        </w:rPr>
        <w:t>——————————————————————————————————————————————————————————————————————</w:t>
      </w:r>
    </w:p>
    <w:p>
      <w:pPr>
        <w:spacing w:before="160" w:after="40" w:line="240" w:lineRule="auto"/>
      </w:pPr>
      <w:r>
        <w:rPr>
          <w:b/>
        </w:rPr>
        <w:t xml:space="preserve">[448] </w:t>
      </w:r>
      <w:hyperlink r:id="rId1335">
        <w:r>
          <w:rPr>
            <w:color w:val="1155CC"/>
            <w:u w:val="single"/>
          </w:rPr>
          <w:t>系统疫苗学和人类免疫结构</w:t>
        </w:r>
      </w:hyperlink>
    </w:p>
    <w:p>
      <w:pPr>
        <w:spacing w:before="0" w:after="80"/>
      </w:pPr>
      <w:r>
        <w:rPr>
          <w:i/>
          <w:sz w:val="20"/>
        </w:rPr>
        <w:t>EN: Systems vaccinology and the architecture of human immunity</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36">
        <w:r>
          <w:rPr>
            <w:color w:val="1155CC"/>
            <w:u w:val="single"/>
          </w:rPr>
          <w:t>10.1038/s41586-026-10753-8</w:t>
        </w:r>
      </w:hyperlink>
    </w:p>
    <w:p>
      <w:pPr>
        <w:spacing w:before="0" w:after="120"/>
      </w:pPr>
      <w:r>
        <w:rPr>
          <w:b/>
        </w:rPr>
        <w:t xml:space="preserve">Notes: </w:t>
      </w:r>
      <w:r>
        <w:t>abstract_source=pubmed</w:t>
      </w:r>
    </w:p>
    <w:p>
      <w:pPr>
        <w:spacing w:before="0" w:after="80" w:lineRule="auto" w:line="276"/>
      </w:pPr>
      <w:r>
        <w:rPr>
          <w:b/>
        </w:rPr>
        <w:t xml:space="preserve">摘要（ZH）: </w:t>
      </w:r>
      <w:r>
        <w:t>疫苗接种是人类历史上最伟大的胜利之一。传统上，疫苗的设计目的是刺激抗体反应以阻止感染，但这忽视了免疫系统复杂且多方面的防御机制。在这里，我们回顾了系统疫苗学领域的现状，该领域通过使用疫苗作为人类免疫系统的受控探针，并应用多组学和计算方法来揭示人类免疫的本质，从而改变了疫苗研究。这些方法已经确定了预测免疫反应的强度和持久性的分子特征，并揭示了新的人类生物学，包括宿主遗传学、新陈代谢和微生物组如何塑造免疫，并证明宿主防御是从跨越基线免疫状态、早期反应动态和组织水平相互作用的协调免疫程序中产生的。人工智能的快速进步开始加速从大量多组学数据集中提取知识和理解。这些发展使系统疫苗学成为合理疫苗设计的强大框架。然而，尽管它对发现和人类免疫学产生了相当大的影响，但将这些见解转化为临床和监管实践仍然存在相当大的挑战。解决这一转化差距对于充分发挥系统疫苗学的潜力至关重要，以针对现有和新出现的传染病威胁提供更安全、更有效的疫苗。</w:t>
      </w:r>
    </w:p>
    <w:p>
      <w:pPr>
        <w:spacing w:before="0" w:after="200" w:lineRule="auto" w:line="276"/>
      </w:pPr>
      <w:r>
        <w:rPr>
          <w:b/>
        </w:rPr>
        <w:t xml:space="preserve">Abstract (EN): </w:t>
      </w:r>
      <w:r>
        <w:t>Vaccination is one of the greatest triumphs in human history. Traditionally, vaccines were designed to stimulate antibody responses that block infection, but this overlooks the immune system's complex and multifaceted defence mechanisms. Here we review the current state of the field of systems vaccinology, which has transformed vaccine research by using vaccines as controlled probes of the human immune system and by applying multi-omics and computational approaches to reveal the nature of human immunity. These approaches have identified molecular signatures that predict the magnitude and durability of immune responses and revealed new human biology, including how host genetics, metabolism and the microbiome shape immunity, and demonstrated that host defence emerges from coordinated immune programs spanning baseline immune state, early response dynamics and tissue-level interactions. Rapid advances in artificial intelligence are beginning to accelerate the distillation of knowledge and understanding from vast multi-omics datasets. These developments position systems vaccinology as a powerful framework for rational vaccine design. However, despite its considerable impact on discovery and human immunology, considerable challenges remain in translating these insights into clinical and regulatory practice. Addressing this translational gap will be essential for realizing the full potential of systems vaccinology to deliver safer, more effective vaccines against existing and emerging infectious threats.</w:t>
      </w:r>
    </w:p>
    <w:p>
      <w:pPr>
        <w:spacing w:before="120" w:after="120"/>
      </w:pPr>
      <w:r>
        <w:rPr>
          <w:sz w:val="18"/>
        </w:rPr>
        <w:t>——————————————————————————————————————————————————————————————————————</w:t>
      </w:r>
    </w:p>
    <w:p>
      <w:pPr>
        <w:spacing w:before="160" w:after="40" w:line="240" w:lineRule="auto"/>
      </w:pPr>
      <w:r>
        <w:rPr>
          <w:b/>
        </w:rPr>
        <w:t xml:space="preserve">[449] </w:t>
      </w:r>
      <w:hyperlink r:id="rId1337">
        <w:r>
          <w:rPr>
            <w:color w:val="1155CC"/>
            <w:u w:val="single"/>
          </w:rPr>
          <w:t>触发钒电极的转化</w:t>
        </w:r>
      </w:hyperlink>
    </w:p>
    <w:p>
      <w:pPr>
        <w:spacing w:before="0" w:after="80"/>
      </w:pPr>
      <w:r>
        <w:rPr>
          <w:i/>
          <w:sz w:val="20"/>
        </w:rPr>
        <w:t>EN: Triggering conversion in vanadium electrodes</w:t>
      </w:r>
    </w:p>
    <w:p>
      <w:pPr>
        <w:spacing w:before="0" w:after="120"/>
      </w:pPr>
      <w:r>
        <w:rPr>
          <w:b/>
        </w:rPr>
        <w:t xml:space="preserve">Source: </w:t>
      </w:r>
      <w:r>
        <w:t>Nature Materials</w:t>
      </w:r>
      <w:r>
        <w:t xml:space="preserve">    </w:t>
      </w:r>
      <w:r>
        <w:rPr>
          <w:b/>
        </w:rPr>
        <w:t xml:space="preserve">Pub date: </w:t>
      </w:r>
      <w:r>
        <w:t>2026-08-26 00:00:00+00:00</w:t>
      </w:r>
      <w:r>
        <w:t xml:space="preserve">    </w:t>
      </w:r>
      <w:r>
        <w:rPr>
          <w:b/>
        </w:rPr>
        <w:t xml:space="preserve">DOI: </w:t>
      </w:r>
      <w:hyperlink r:id="rId1338">
        <w:r>
          <w:rPr>
            <w:color w:val="1155CC"/>
            <w:u w:val="single"/>
          </w:rPr>
          <w:t>10.1038/s41563-026-02714-3</w:t>
        </w:r>
      </w:hyperlink>
    </w:p>
    <w:p>
      <w:pPr>
        <w:spacing w:before="0" w:after="120"/>
      </w:pPr>
      <w:r>
        <w:rPr>
          <w:b/>
        </w:rPr>
        <w:t xml:space="preserve">Notes: </w:t>
      </w:r>
      <w:r>
        <w:t>abstract_source=rss_nature</w:t>
      </w:r>
    </w:p>
    <w:p>
      <w:pPr>
        <w:spacing w:before="0" w:after="80" w:lineRule="auto" w:line="276"/>
      </w:pPr>
      <w:r>
        <w:rPr>
          <w:b/>
        </w:rPr>
        <w:t xml:space="preserve">摘要（ZH）: </w:t>
      </w:r>
      <w:r>
        <w:t>在水性电池中有效使用过渡金属需要在每个金属上转移多个电子，这会导致难以管理的转化反应。现在展示了钒如何从单电子插入转变为四电子转换。</w:t>
      </w:r>
    </w:p>
    <w:p>
      <w:pPr>
        <w:spacing w:before="0" w:after="200" w:lineRule="auto" w:line="276"/>
      </w:pPr>
      <w:r>
        <w:rPr>
          <w:b/>
        </w:rPr>
        <w:t xml:space="preserve">Abstract (EN): </w:t>
      </w:r>
      <w:r>
        <w:t>Using transition metals efficiently in aqueous batteries requires transferring multiple electrons per metal, which leads to difficult-to-manage conversion reactions. It is now shown how vanadium can be changed from one-electron insertion to four-electron conversion.</w:t>
      </w:r>
    </w:p>
    <w:p>
      <w:pPr>
        <w:spacing w:before="120" w:after="120"/>
      </w:pPr>
      <w:r>
        <w:rPr>
          <w:sz w:val="18"/>
        </w:rPr>
        <w:t>——————————————————————————————————————————————————————————————————————</w:t>
      </w:r>
    </w:p>
    <w:p>
      <w:pPr>
        <w:spacing w:before="160" w:after="40" w:line="240" w:lineRule="auto"/>
      </w:pPr>
      <w:r>
        <w:rPr>
          <w:b/>
        </w:rPr>
        <w:t xml:space="preserve">[450] </w:t>
      </w:r>
      <w:hyperlink r:id="rId1339">
        <w:r>
          <w:rPr>
            <w:color w:val="1155CC"/>
            <w:u w:val="single"/>
          </w:rPr>
          <w:t>多尺度分形-LLM协同作用，用于智能电网中安全同步相量数据认证</w:t>
        </w:r>
      </w:hyperlink>
    </w:p>
    <w:p>
      <w:pPr>
        <w:spacing w:before="0" w:after="80"/>
      </w:pPr>
      <w:r>
        <w:rPr>
          <w:i/>
          <w:sz w:val="20"/>
        </w:rPr>
        <w:t>EN: Multiscale fractal-LLM synergy for secure synchrophasor data authentication in smart grids</w:t>
      </w:r>
    </w:p>
    <w:p>
      <w:pPr>
        <w:spacing w:before="0" w:after="120"/>
      </w:pPr>
      <w:r>
        <w:rPr>
          <w:b/>
        </w:rPr>
        <w:t xml:space="preserve">Source: </w:t>
      </w:r>
      <w:r>
        <w:t>ScienceDirect Publication: Applied Energy</w:t>
      </w:r>
      <w:r>
        <w:t xml:space="preserve">    </w:t>
      </w:r>
      <w:r>
        <w:rPr>
          <w:b/>
        </w:rPr>
        <w:t xml:space="preserve">Pub date: </w:t>
      </w:r>
      <w:r>
        <w:t>2026-08-26 00:00:00+00:00</w:t>
      </w:r>
      <w:r>
        <w:t xml:space="preserve">    </w:t>
      </w:r>
      <w:r>
        <w:rPr>
          <w:b/>
        </w:rPr>
        <w:t xml:space="preserve">DOI: </w:t>
      </w:r>
      <w:hyperlink r:id="rId1340">
        <w:r>
          <w:rPr>
            <w:color w:val="1155CC"/>
            <w:u w:val="single"/>
          </w:rPr>
          <w:t>10.1016/j.apenergy.2026.128753</w:t>
        </w:r>
      </w:hyperlink>
    </w:p>
    <w:p>
      <w:pPr>
        <w:spacing w:before="0" w:after="120"/>
      </w:pPr>
      <w:r>
        <w:rPr>
          <w:b/>
        </w:rPr>
        <w:t xml:space="preserve">Notes: </w:t>
      </w:r>
      <w:r>
        <w:t>abstract_source=openalex</w:t>
      </w:r>
    </w:p>
    <w:p>
      <w:pPr>
        <w:spacing w:before="0" w:after="80" w:lineRule="auto" w:line="276"/>
      </w:pPr>
      <w:r>
        <w:rPr>
          <w:b/>
        </w:rPr>
        <w:t xml:space="preserve">摘要（ZH）: </w:t>
      </w:r>
      <w:r>
        <w:t>同步相量数据 (SD) 捕获输电和配电网络的状态和动态，由分散的相量测量单元 (PMU) 记录，这些单元通过网络物理系统中的先进通信基础设施连接。虽然 SD 的源信息对于基于 PMU 的应用程序至关重要，但它仍然容易受到数据完整性攻击。在进行任何 SD 分析之前，必须高效执行可靠的 SD 源身份验证，以确保应用程序的完整性。现有的机器学习认证方法主要针对广大区域的稀疏SD，无法代表真实的网络状况。本研究提出了一种对州内密集 PMU 进行数据驱动的 SD 源身份验证，无需详细的电力网络拓扑、参数或对 PMU 硬件和数据基础设施进行昂贵的升级。它通过多尺度分形 - 大语言模型 (LLM) 协同作用提供实用的数据驱动方法，以实现安全 SD 身份验证。具体来说，开发了多尺度矢量可见性高度相关分析 (MVVHCA)，用于同时从具有多个属性的 SD 中提取长期分形相关性，并精确定位显示峰值多重分形的尺度。然后，通过自适应多重分形插值（AMFI）重建高保真合成SD。这些合成的 SD 由法学硕士进一步处理，以实现稳健、实时的来源认证。对来自多个州内位置的广泛现实世界 SD 进行的验证证实了卓越的准确性和计算效率，这建立了</w:t>
      </w:r>
    </w:p>
    <w:p>
      <w:pPr>
        <w:spacing w:before="0" w:after="200" w:lineRule="auto" w:line="276"/>
      </w:pPr>
      <w:r>
        <w:rPr>
          <w:b/>
        </w:rPr>
        <w:t xml:space="preserve">Abstract (EN): </w:t>
      </w:r>
      <w:r>
        <w:t>Synchrophasor Data (SD), which captures the states and dynamics of transmission and distribution power networks, is recorded by dispersed Phasor Measurement Units (PMUs) that are connected through advanced communication infrastructures in cyber-physical systems. While the source information of SD is critical for PMU-based applications, it remains susceptible to data integrity attacks. Reliable SD source authentication must be performed efficiently before any SD analytics to ensure application integrity. Existing machine learning authentication methods are focused on sparse SD across vast regions and fail to represent realistic network conditions. This study presents a data-driven SD source authentication of dense PMUs at intra-state locations without requiring detailed power network topology, parameters, or costly upgrades to PMU hardware and data infrastructure. It offers a practical data-driven approach through multiscale fractal - Large Language Models (LLMs) synergy for secure SD authentication. Specifically, Multiscale Vector Visibility Height Correlation Analysis (MVVHCA) is developed to extract long-term fractal correlations from SD with multiple attributes simultaneously and pinpoint scales exhibiting peak multifractality. Then, high-fidelity synthetic SD is reconstructed through Adaptive Multifractal Interpolation (AMFI). These synthetic SD are further processed by LLMs to achieve robust, real-time source authentication. Validation on extensive real-world SD from multiple intra-state locations confirms superior accuracy and computational efficiency, which establishes a scalable solution for secure operation of renewable-dominated smart grids.</w:t>
      </w:r>
    </w:p>
    <w:p>
      <w:pPr>
        <w:spacing w:before="120" w:after="120"/>
      </w:pPr>
      <w:r>
        <w:rPr>
          <w:sz w:val="18"/>
        </w:rPr>
        <w:t>——————————————————————————————————————————————————————————————————————</w:t>
      </w:r>
    </w:p>
    <w:p>
      <w:pPr>
        <w:spacing w:before="160" w:after="40" w:line="240" w:lineRule="auto"/>
      </w:pPr>
      <w:r>
        <w:rPr>
          <w:b/>
        </w:rPr>
        <w:t xml:space="preserve">[451] </w:t>
      </w:r>
      <w:hyperlink r:id="rId1341">
        <w:r>
          <w:rPr>
            <w:color w:val="1155CC"/>
            <w:u w:val="single"/>
          </w:rPr>
          <w:t>糖脂合成中关键酶的结构揭示了进化之谜</w:t>
        </w:r>
      </w:hyperlink>
    </w:p>
    <w:p>
      <w:pPr>
        <w:spacing w:before="0" w:after="80"/>
      </w:pPr>
      <w:r>
        <w:rPr>
          <w:i/>
          <w:sz w:val="20"/>
        </w:rPr>
        <w:t>EN: Evolutionary mystery revealed by structures of a key enzyme in the synthesis of glycolipids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42">
        <w:r>
          <w:rPr>
            <w:color w:val="1155CC"/>
            <w:u w:val="single"/>
          </w:rPr>
          <w:t>10.1038/d41586-026-02378-8</w:t>
        </w:r>
      </w:hyperlink>
    </w:p>
    <w:p>
      <w:pPr>
        <w:spacing w:before="0" w:after="120"/>
      </w:pPr>
      <w:r>
        <w:rPr>
          <w:b/>
        </w:rPr>
        <w:t xml:space="preserve">Notes: </w:t>
      </w:r>
      <w:r>
        <w:t>abstract_source=rss_nature</w:t>
      </w:r>
    </w:p>
    <w:p>
      <w:pPr>
        <w:spacing w:before="0" w:after="80" w:lineRule="auto" w:line="276"/>
      </w:pPr>
      <w:r>
        <w:rPr>
          <w:b/>
        </w:rPr>
        <w:t xml:space="preserve">摘要（ZH）: </w:t>
      </w:r>
      <w:r>
        <w:t>用于制造重要的携带糖的脂质的蛋白质的结构揭示了灵长类动物进化过程中出现的令人惊讶的反应机制和内置制动器。</w:t>
      </w:r>
    </w:p>
    <w:p>
      <w:pPr>
        <w:spacing w:before="0" w:after="200" w:lineRule="auto" w:line="276"/>
      </w:pPr>
      <w:r>
        <w:rPr>
          <w:b/>
        </w:rPr>
        <w:t xml:space="preserve">Abstract (EN): </w:t>
      </w:r>
      <w:r>
        <w:t>Structures of a protein used to make crucial sugar-carrying lipids uncover a surprising reaction mechanism and a built-in brake that emerged during primate evolution.</w:t>
      </w:r>
    </w:p>
    <w:p>
      <w:pPr>
        <w:spacing w:before="120" w:after="120"/>
      </w:pPr>
      <w:r>
        <w:rPr>
          <w:sz w:val="18"/>
        </w:rPr>
        <w:t>——————————————————————————————————————————————————————————————————————</w:t>
      </w:r>
    </w:p>
    <w:p>
      <w:pPr>
        <w:spacing w:before="160" w:after="40" w:line="240" w:lineRule="auto"/>
      </w:pPr>
      <w:r>
        <w:rPr>
          <w:b/>
        </w:rPr>
        <w:t xml:space="preserve">[452] </w:t>
      </w:r>
      <w:hyperlink r:id="rId1343">
        <w:r>
          <w:rPr>
            <w:color w:val="1155CC"/>
            <w:u w:val="single"/>
          </w:rPr>
          <w:t>界面设计的液态金属复合水凝胶具有高韧性和极高的缺陷不敏感性，适用于耐损伤可穿戴设备</w:t>
        </w:r>
      </w:hyperlink>
    </w:p>
    <w:p>
      <w:pPr>
        <w:spacing w:before="0" w:after="80"/>
      </w:pPr>
      <w:r>
        <w:rPr>
          <w:i/>
          <w:sz w:val="20"/>
        </w:rPr>
        <w:t>EN: Interface-engineered liquid metal-composited hydrogels with high toughness and extreme flaw insensitivity for damage-tolerant wearables</w:t>
      </w:r>
    </w:p>
    <w:p>
      <w:pPr>
        <w:spacing w:before="0" w:after="120"/>
      </w:pPr>
      <w:r>
        <w:rPr>
          <w:b/>
        </w:rPr>
        <w:t xml:space="preserve">Source: </w:t>
      </w:r>
      <w:r>
        <w:t>Matter</w:t>
      </w:r>
      <w:r>
        <w:t xml:space="preserve">    </w:t>
      </w:r>
      <w:r>
        <w:rPr>
          <w:b/>
        </w:rPr>
        <w:t xml:space="preserve">Pub date: </w:t>
      </w:r>
      <w:r>
        <w:t>2026-08-26 00:00:00+00:00</w:t>
      </w:r>
      <w:r>
        <w:t xml:space="preserve">    </w:t>
      </w:r>
      <w:r>
        <w:rPr>
          <w:b/>
        </w:rPr>
        <w:t xml:space="preserve">DOI: </w:t>
      </w:r>
      <w:hyperlink r:id="rId1344">
        <w:r>
          <w:rPr>
            <w:color w:val="1155CC"/>
            <w:u w:val="single"/>
          </w:rPr>
          <w:t>10.1016/j.matt.2026.102971</w:t>
        </w:r>
      </w:hyperlink>
    </w:p>
    <w:p>
      <w:pPr>
        <w:spacing w:before="0" w:after="120"/>
      </w:pPr>
      <w:r>
        <w:rPr>
          <w:b/>
        </w:rPr>
        <w:t xml:space="preserve">Notes: </w:t>
      </w:r>
      <w:r>
        <w:t>abstract_source=rss_cell</w:t>
      </w:r>
    </w:p>
    <w:p>
      <w:pPr>
        <w:spacing w:before="0" w:after="80" w:lineRule="auto" w:line="276"/>
      </w:pPr>
      <w:r>
        <w:rPr>
          <w:b/>
        </w:rPr>
        <w:t xml:space="preserve">摘要（ZH）: </w:t>
      </w:r>
      <w:r>
        <w:t>这项工作提出了一种界面工程策略，通过用单宁酸涂覆液态金属（LM）来稳定液态金属在水介质中的分散体，并与水凝胶基质建立强而动态的相互作用。由此产生的 LM 复合水凝胶具有高拉伸性、韧性和出色的缺陷不敏感性，为耐损伤可穿戴设备提供了一个多功能平台。</w:t>
      </w:r>
    </w:p>
    <w:p>
      <w:pPr>
        <w:spacing w:before="0" w:after="200" w:lineRule="auto" w:line="276"/>
      </w:pPr>
      <w:r>
        <w:rPr>
          <w:b/>
        </w:rPr>
        <w:t xml:space="preserve">Abstract (EN): </w:t>
      </w:r>
      <w:r>
        <w:t>This work proposes an interface-engineered strategy by coating liquid metal (LM) with tannic acid to stabilize LM dispersion in aqueous media and establish strong yet dynamic interactions with the hydrogel matrix. The resulting LM-composited hydrogels achieve high stretchability, toughness, and exceptional flaw insensitivity, providing a versatile platform for damage-tolerant wearable devices.</w:t>
      </w:r>
    </w:p>
    <w:p>
      <w:pPr>
        <w:spacing w:before="120" w:after="120"/>
      </w:pPr>
      <w:r>
        <w:rPr>
          <w:sz w:val="18"/>
        </w:rPr>
        <w:t>——————————————————————————————————————————————————————————————————————</w:t>
      </w:r>
    </w:p>
    <w:p>
      <w:pPr>
        <w:spacing w:before="160" w:after="40" w:line="240" w:lineRule="auto"/>
      </w:pPr>
      <w:r>
        <w:rPr>
          <w:b/>
        </w:rPr>
        <w:t xml:space="preserve">[453] </w:t>
      </w:r>
      <w:hyperlink r:id="rId1345">
        <w:r>
          <w:rPr>
            <w:color w:val="1155CC"/>
            <w:u w:val="single"/>
          </w:rPr>
          <w:t>最近全球同步的季节性温暖事件自公元 850 年以来前所未有</w:t>
        </w:r>
      </w:hyperlink>
    </w:p>
    <w:p>
      <w:pPr>
        <w:spacing w:before="0" w:after="80"/>
      </w:pPr>
      <w:r>
        <w:rPr>
          <w:i/>
          <w:sz w:val="20"/>
        </w:rPr>
        <w:t>EN: Recent globally synchronous seasonal warm events unprecedented since 850 CE</w:t>
      </w:r>
    </w:p>
    <w:p>
      <w:pPr>
        <w:spacing w:before="0" w:after="120"/>
      </w:pPr>
      <w:r>
        <w:rPr>
          <w:b/>
        </w:rPr>
        <w:t xml:space="preserve">Source: </w:t>
      </w:r>
      <w:r>
        <w:t>Earth and environmental sciences : Nature Communications subject feeds</w:t>
      </w:r>
      <w:r>
        <w:t xml:space="preserve">    </w:t>
      </w:r>
      <w:r>
        <w:rPr>
          <w:b/>
        </w:rPr>
        <w:t xml:space="preserve">Pub date: </w:t>
      </w:r>
      <w:r>
        <w:t>2026-08-26 00:00:00+00:00</w:t>
      </w:r>
    </w:p>
    <w:p>
      <w:pPr>
        <w:spacing w:before="0" w:after="120"/>
      </w:pPr>
      <w:r>
        <w:rPr>
          <w:b/>
        </w:rPr>
        <w:t xml:space="preserve">Notes: </w:t>
      </w:r>
      <w:r>
        <w:t>abstract_source=nature_html</w:t>
      </w:r>
    </w:p>
    <w:p>
      <w:pPr>
        <w:spacing w:before="0" w:after="80" w:lineRule="auto" w:line="276"/>
      </w:pPr>
      <w:r>
        <w:rPr>
          <w:b/>
        </w:rPr>
        <w:t xml:space="preserve">摘要（ZH）: </w:t>
      </w:r>
      <w:r>
        <w:t>空间同步的极端温暖事件可以同时影响多个区域，从而放大环境和社会影响。然而，之前的研究主要集中在器乐时期的六月至八月（JJA）事件，限制了对其季节性流行和长期演变的了解。在这里，我们使用季节性平均近地表气温 (SAT) 检查全球同步季节性温暖事件 (GSSWE)，并引入极端指数 (EI)，该指数将归一化的当地陆地 SAT 异常强度与超过指定 SAT 阈值的陆地区域的空间范围相结合。利用仪器观测、古再分析产品和气候模型模拟，我们评估了自公元 850 年以来全球陆地 GSSWE 极值的变化。我们发现自 1970 年代以来，所有四个季节的 GSSWE 都急剧增强，达到了多数据集记录中早期未发现的水平。检测和归因分析表明，以温室气体强迫为主的人为强迫是造成最近这种加剧的主要因素。在空间上，热带地区由于其较低的内在变异性，对 GSSWE 的近期极端贡献很大。这些发现强调，气候风险评估和适应规划需要考虑季节性温暖极端事件日益增长的空间一致性和强度。</w:t>
      </w:r>
    </w:p>
    <w:p>
      <w:pPr>
        <w:spacing w:before="0" w:after="200" w:lineRule="auto" w:line="276"/>
      </w:pPr>
      <w:r>
        <w:rPr>
          <w:b/>
        </w:rPr>
        <w:t xml:space="preserve">Abstract (EN): </w:t>
      </w:r>
      <w:r>
        <w:t>Spatially synchronous extreme warm events can amplify environmental and societal impacts by affecting multiple regions simultaneously. However, previous studies have largely focused on June–August (JJA) events during the instrumental period, limiting understanding of their seasonal prevalence and long-term evolution. Here, we examine globally synchronous seasonal warm events (GSSWEs) using seasonal mean near-surface air temperature (SAT) and introduce an Extremity Index (EI) that combines normalized local land SAT anomaly intensity with the spatial extent of land areas exceeding a specified SAT threshold. Using instrumental observations, paleo-reanalysis products and climate model simulations, we assess changes in global-land GSSWE extremity since 850 Common Era (CE). We find that GSSWEs have intensified sharply since the 1970s across all four seasons, reaching levels not found earlier in the multi-dataset records. Detection and attribution analyses indicate that anthropogenic forcing, dominated by greenhouse-gas forcing, is the main contributor to this recent intensification. Spatially, the tropics contribute greatly to the recent extremity of GSSWEs due to their lower intrinsic variability. These findings highlight that climate-risk assessment and adaptation planning need to consider the growing spatial coherence and intensity of seasonal warm extremes.</w:t>
      </w:r>
    </w:p>
    <w:p>
      <w:pPr>
        <w:spacing w:before="120" w:after="120"/>
      </w:pPr>
      <w:r>
        <w:rPr>
          <w:sz w:val="18"/>
        </w:rPr>
        <w:t>——————————————————————————————————————————————————————————————————————</w:t>
      </w:r>
    </w:p>
    <w:p>
      <w:pPr>
        <w:spacing w:before="160" w:after="40" w:line="240" w:lineRule="auto"/>
      </w:pPr>
      <w:r>
        <w:rPr>
          <w:b/>
        </w:rPr>
        <w:t xml:space="preserve">[454] </w:t>
      </w:r>
      <w:hyperlink r:id="rId1346">
        <w:r>
          <w:rPr>
            <w:color w:val="1155CC"/>
            <w:u w:val="single"/>
          </w:rPr>
          <w:t>数据驱动的喷发预测的社会经济价值，以平衡虚假警报和灾难性损失</w:t>
        </w:r>
      </w:hyperlink>
    </w:p>
    <w:p>
      <w:pPr>
        <w:spacing w:before="0" w:after="80"/>
      </w:pPr>
      <w:r>
        <w:rPr>
          <w:i/>
          <w:sz w:val="20"/>
        </w:rPr>
        <w:t>EN: Socio-economic value of data-driven eruption forecasts to balance false alarms against catastrophic loss</w:t>
      </w:r>
    </w:p>
    <w:p>
      <w:pPr>
        <w:spacing w:before="0" w:after="120"/>
      </w:pPr>
      <w:r>
        <w:rPr>
          <w:b/>
        </w:rPr>
        <w:t xml:space="preserve">Source: </w:t>
      </w:r>
      <w:r>
        <w:t>Earth and environmental sciences : Nature Communications subject feeds</w:t>
      </w:r>
      <w:r>
        <w:t xml:space="preserve">    </w:t>
      </w:r>
      <w:r>
        <w:rPr>
          <w:b/>
        </w:rPr>
        <w:t xml:space="preserve">Pub date: </w:t>
      </w:r>
      <w:r>
        <w:t>2026-08-26 00:00:00+00:00</w:t>
      </w:r>
    </w:p>
    <w:p>
      <w:pPr>
        <w:spacing w:before="0" w:after="120"/>
      </w:pPr>
      <w:r>
        <w:rPr>
          <w:b/>
        </w:rPr>
        <w:t xml:space="preserve">Notes: </w:t>
      </w:r>
      <w:r>
        <w:t>abstract_source=nature_html</w:t>
      </w:r>
    </w:p>
    <w:p>
      <w:pPr>
        <w:spacing w:before="0" w:after="80" w:lineRule="auto" w:line="276"/>
      </w:pPr>
      <w:r>
        <w:rPr>
          <w:b/>
        </w:rPr>
        <w:t xml:space="preserve">摘要（ZH）: </w:t>
      </w:r>
      <w:r>
        <w:t>采用新的火山喷发预测方法通常强调预测准确性，往往忽视了其减少总体寿命和经济损失的潜力。我们引入了潜在经济价值（PEV）框架，该框架通过平衡预防措施与可避免的灾难性损失（例如大规模伤亡）来评估预测效用。利用来自五座火山连续地震数据的机器学习预测，我们发现，与误报相比，未预测的喷发（错过的）会产生不成比例的后果，误报会产生反复出现且可控制的破坏。对 2019 年法卡里火山（新西兰）和 2014 年御岳火山（日本）喷发以及另外三座火山的回顾性分析表明，尽管产生了大量误报，损失仍可减少 30-90%。在所有案例研究中，有效的预测优先考虑减少错过的喷发而不是最大化准确性。这支持使用更多预防性警告阈值，前提是以维护公众合规性和信任的方式管理由此产生的警报频率的增加。</w:t>
      </w:r>
    </w:p>
    <w:p>
      <w:pPr>
        <w:spacing w:before="0" w:after="200" w:lineRule="auto" w:line="276"/>
      </w:pPr>
      <w:r>
        <w:rPr>
          <w:b/>
        </w:rPr>
        <w:t xml:space="preserve">Abstract (EN): </w:t>
      </w:r>
      <w:r>
        <w:t>The adoption of new forecasting methods for volcanic eruptions typically emphasizes predictive accuracy, often overlooking their potential to reduce overall life and economic losses. We introduce a Potential Economic Value (PEV) framework that evaluates forecast utility by balancing precautionary actions against avoidable catastrophic losses (such as mass casualties). Using machine-learning forecasts from continuous seismic data at five volcanoes, we show that non-forecasted eruptions (missed) have disproportionate consequences, compared to false alarms, which generate recurring and manageable disruption. Retrospective analyses of the 2019 Whakaari (New Zealand) and 2014 Ontake (Japan) eruptions, along with three additional volcanoes, indicate that losses could have been reduced by 30–90%, despite generating numerous false alarms. Across all case studies, effective forecasting prioritizes reducing missed eruptions over maximizing accuracy. This supports the use of more precautionary warning thresholds, provided that the resulting increase in alert frequency is managed in ways that maintain public compliance and trust.</w:t>
      </w:r>
    </w:p>
    <w:p>
      <w:pPr>
        <w:spacing w:before="120" w:after="120"/>
      </w:pPr>
      <w:r>
        <w:rPr>
          <w:sz w:val="18"/>
        </w:rPr>
        <w:t>——————————————————————————————————————————————————————————————————————</w:t>
      </w:r>
    </w:p>
    <w:p>
      <w:pPr>
        <w:spacing w:before="160" w:after="40" w:line="240" w:lineRule="auto"/>
      </w:pPr>
      <w:r>
        <w:rPr>
          <w:b/>
        </w:rPr>
        <w:t xml:space="preserve">[455] </w:t>
      </w:r>
      <w:hyperlink r:id="rId1347">
        <w:r>
          <w:rPr>
            <w:color w:val="1155CC"/>
            <w:u w:val="single"/>
          </w:rPr>
          <w:t>潮汐断层扫描揭示了火星地壳二分法下的热异常</w:t>
        </w:r>
      </w:hyperlink>
    </w:p>
    <w:p>
      <w:pPr>
        <w:spacing w:before="0" w:after="80"/>
      </w:pPr>
      <w:r>
        <w:rPr>
          <w:i/>
          <w:sz w:val="20"/>
        </w:rPr>
        <w:t>EN: Tidal tomography reveals a thermal anomaly beneath Mars’s crustal dichotomy</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48">
        <w:r>
          <w:rPr>
            <w:color w:val="1155CC"/>
            <w:u w:val="single"/>
          </w:rPr>
          <w:t>10.1038/s41586-026-10893-x</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火星由于其偏心轨道和其自转轴相对于太阳的倾斜而遭受季节性潮汐强迫</w:t>
      </w:r>
      <w:r>
        <w:rPr>
          <w:vertAlign w:val="subscript"/>
        </w:rPr>
        <w:t>1</w:t>
      </w:r>
      <w:r>
        <w:t>。对这种强迫的响应会产生火星重力场的时间变化，并对行星的内部结构敏感</w:t>
      </w:r>
      <w:r>
        <w:t xml:space="preserve"> </w:t>
      </w:r>
      <w:r>
        <w:t>2–4</w:t>
      </w:r>
      <w:r>
        <w:t xml:space="preserve"> </w:t>
      </w:r>
      <w:r>
        <w:t>。使用火星全球勘测者 (MGS)、火星奥德赛 (ODY) 和火星勘测轨道飞行器 (MRO) 航天器的跟踪数据</w:t>
      </w:r>
      <w:r>
        <w:t xml:space="preserve"> </w:t>
      </w:r>
      <w:r>
        <w:t>5–7</w:t>
      </w:r>
      <w:r>
        <w:t xml:space="preserve"> </w:t>
      </w:r>
      <w:r>
        <w:t>，我们证明火星时变重力场的 3 度分量与球对称行星的预测相差高达 300%</w:t>
      </w:r>
      <w:r>
        <w:t xml:space="preserve"> </w:t>
      </w:r>
      <w:r>
        <w:t>8–10</w:t>
      </w:r>
      <w:r>
        <w:t xml:space="preserve"> </w:t>
      </w:r>
      <w:r>
        <w:t>。如果地幔的有效剪切模量在大致南北方向上变化超过 20%，并且与火星地壳二分法的表面表达紧密一致，则可以解释这些偏差</w:t>
      </w:r>
      <w:r>
        <w:rPr>
          <w:vertAlign w:val="subscript"/>
        </w:rPr>
        <w:t>11</w:t>
      </w:r>
      <w:r>
        <w:t>。根据这种相关性，我们推断在火星南部高地下方的当今地幔中保存有 200-400°C 的热异常。这种温度变化可以反映区域地幔对流</w:t>
      </w:r>
      <w:r>
        <w:t xml:space="preserve"> </w:t>
      </w:r>
      <w:r>
        <w:t>12,13</w:t>
      </w:r>
      <w:r>
        <w:t xml:space="preserve"> </w:t>
      </w:r>
      <w:r>
        <w:t>或者是火星南部高地厚厚地壳的绝缘作用，这种地壳已经持续了数十亿年</w:t>
      </w:r>
      <w:r>
        <w:t xml:space="preserve"> </w:t>
      </w:r>
      <w:r>
        <w:t>14,15</w:t>
      </w:r>
      <w:r>
        <w:t xml:space="preserve"> </w:t>
      </w:r>
      <w:r>
        <w:t>。</w:t>
      </w:r>
    </w:p>
    <w:p>
      <w:pPr>
        <w:spacing w:before="0" w:after="200" w:lineRule="auto" w:line="276"/>
      </w:pPr>
      <w:r>
        <w:rPr>
          <w:b/>
        </w:rPr>
        <w:t xml:space="preserve">Abstract (EN): </w:t>
      </w:r>
      <w:r>
        <w:t>Mars undergoes seasonal tidal forcing as a result of its eccentric orbit and the tilt of its rotation axis relative to the Sun</w:t>
      </w:r>
      <w:r>
        <w:rPr>
          <w:vertAlign w:val="subscript"/>
        </w:rPr>
        <w:t>1</w:t>
      </w:r>
      <w:r>
        <w:t>. Response to this forcing produces temporal variations in the Martian gravity field and is sensitive to the internal structure of the planet</w:t>
      </w:r>
      <w:r>
        <w:t xml:space="preserve"> </w:t>
      </w:r>
      <w:r>
        <w:t>2–4</w:t>
      </w:r>
      <w:r>
        <w:t xml:space="preserve"> </w:t>
      </w:r>
      <w:r>
        <w:t>. Using tracking data from the Mars Global Surveyor (MGS), Mars Odyssey (ODY) and Mars Reconnaissance Orbiter (MRO) spacecraft</w:t>
      </w:r>
      <w:r>
        <w:t xml:space="preserve"> </w:t>
      </w:r>
      <w:r>
        <w:t>5–7</w:t>
      </w:r>
      <w:r>
        <w:t xml:space="preserve"> </w:t>
      </w:r>
      <w:r>
        <w:t>, we demonstrate that degree-3 components of the time-variable gravity field of Mars differ by up to 300% from predictions for a spherically symmetric planet</w:t>
      </w:r>
      <w:r>
        <w:t xml:space="preserve"> </w:t>
      </w:r>
      <w:r>
        <w:t>8–10</w:t>
      </w:r>
      <w:r>
        <w:t xml:space="preserve"> </w:t>
      </w:r>
      <w:r>
        <w:t>. These deviations can be explained if the effective shear modulus of the mantle varies by &amp;gt;20% over a roughly north–south pattern that closely aligns with the surface expression of the Martian crustal dichotomy</w:t>
      </w:r>
      <w:r>
        <w:rPr>
          <w:vertAlign w:val="subscript"/>
        </w:rPr>
        <w:t>11</w:t>
      </w:r>
      <w:r>
        <w:t>. On the basis of this correlation, we infer preservation of a 200–400 °C thermal anomaly in the present-day mantle below the southern highlands of Mars. This temperature variation could reflect regional mantle convection</w:t>
      </w:r>
      <w:r>
        <w:t xml:space="preserve"> </w:t>
      </w:r>
      <w:r>
        <w:t>12,13</w:t>
      </w:r>
      <w:r>
        <w:t xml:space="preserve"> </w:t>
      </w:r>
      <w:r>
        <w:t>or insulation by the thick southern highlands crust of Mars that has persisted over several billion years</w:t>
      </w:r>
      <w:r>
        <w:t xml:space="preserve"> </w:t>
      </w:r>
      <w:r>
        <w:t>14,15</w:t>
      </w:r>
      <w:r>
        <w:t xml:space="preserve"> </w:t>
      </w:r>
      <w:r>
        <w:t>.</w:t>
      </w:r>
    </w:p>
    <w:p>
      <w:pPr>
        <w:spacing w:before="120" w:after="120"/>
      </w:pPr>
      <w:r>
        <w:rPr>
          <w:sz w:val="18"/>
        </w:rPr>
        <w:t>——————————————————————————————————————————————————————————————————————</w:t>
      </w:r>
    </w:p>
    <w:p>
      <w:pPr>
        <w:spacing w:before="160" w:after="40" w:line="240" w:lineRule="auto"/>
      </w:pPr>
      <w:r>
        <w:rPr>
          <w:b/>
        </w:rPr>
        <w:t xml:space="preserve">[456] </w:t>
      </w:r>
      <w:hyperlink r:id="rId1349">
        <w:r>
          <w:rPr>
            <w:color w:val="1155CC"/>
            <w:u w:val="single"/>
          </w:rPr>
          <w:t>测量人体组织中的微米和纳米塑料的分析挑战</w:t>
        </w:r>
      </w:hyperlink>
    </w:p>
    <w:p>
      <w:pPr>
        <w:spacing w:before="0" w:after="80"/>
      </w:pPr>
      <w:r>
        <w:rPr>
          <w:i/>
          <w:sz w:val="20"/>
        </w:rPr>
        <w:t>EN: The analytical challenge of measuring micro- and nanoplastics in human tissues</w:t>
      </w:r>
    </w:p>
    <w:p>
      <w:pPr>
        <w:spacing w:before="0" w:after="120"/>
      </w:pPr>
      <w:r>
        <w:rPr>
          <w:b/>
        </w:rPr>
        <w:t xml:space="preserve">Source: </w:t>
      </w:r>
      <w:r>
        <w:t>Nature Nanotechnology</w:t>
      </w:r>
      <w:r>
        <w:t xml:space="preserve">    </w:t>
      </w:r>
      <w:r>
        <w:rPr>
          <w:b/>
        </w:rPr>
        <w:t xml:space="preserve">Pub date: </w:t>
      </w:r>
      <w:r>
        <w:t>2026-08-26 00:00:00+00:00</w:t>
      </w:r>
      <w:r>
        <w:t xml:space="preserve">    </w:t>
      </w:r>
      <w:r>
        <w:rPr>
          <w:b/>
        </w:rPr>
        <w:t xml:space="preserve">DOI: </w:t>
      </w:r>
      <w:hyperlink r:id="rId1350">
        <w:r>
          <w:rPr>
            <w:color w:val="1155CC"/>
            <w:u w:val="single"/>
          </w:rPr>
          <w:t>10.1038/s41565-026-02258-2</w:t>
        </w:r>
      </w:hyperlink>
    </w:p>
    <w:p>
      <w:pPr>
        <w:spacing w:before="0" w:after="120"/>
      </w:pPr>
      <w:r>
        <w:rPr>
          <w:b/>
        </w:rPr>
        <w:t xml:space="preserve">Notes: </w:t>
      </w:r>
      <w:r>
        <w:t>abstract_source=rss_nature</w:t>
      </w:r>
    </w:p>
    <w:p>
      <w:pPr>
        <w:spacing w:before="0" w:after="80" w:lineRule="auto" w:line="276"/>
      </w:pPr>
      <w:r>
        <w:rPr>
          <w:b/>
        </w:rPr>
        <w:t xml:space="preserve">摘要（ZH）: </w:t>
      </w:r>
      <w:r>
        <w:t>随着人体组织中微塑料和纳米塑料的证据不断增加，研究人员正在竞相改进分析方法并建立标准化测量方法，以可靠地量化它们的存在和潜在的健康影响。</w:t>
      </w:r>
    </w:p>
    <w:p>
      <w:pPr>
        <w:spacing w:before="0" w:after="200" w:lineRule="auto" w:line="276"/>
      </w:pPr>
      <w:r>
        <w:rPr>
          <w:b/>
        </w:rPr>
        <w:t xml:space="preserve">Abstract (EN): </w:t>
      </w:r>
      <w:r>
        <w:t>As evidence of micro- and nanoplastics in human tissues continues to grow, researchers are racing to improve analytical methods and establish standardized measurements that can reliably quantify their presence and potential health impacts.</w:t>
      </w:r>
    </w:p>
    <w:p>
      <w:pPr>
        <w:spacing w:before="120" w:after="120"/>
      </w:pPr>
      <w:r>
        <w:rPr>
          <w:sz w:val="18"/>
        </w:rPr>
        <w:t>——————————————————————————————————————————————————————————————————————</w:t>
      </w:r>
    </w:p>
    <w:p>
      <w:pPr>
        <w:spacing w:before="160" w:after="40" w:line="240" w:lineRule="auto"/>
      </w:pPr>
      <w:r>
        <w:rPr>
          <w:b/>
        </w:rPr>
        <w:t xml:space="preserve">[457] </w:t>
      </w:r>
      <w:hyperlink r:id="rId1351">
        <w:r>
          <w:rPr>
            <w:color w:val="1155CC"/>
            <w:u w:val="single"/>
          </w:rPr>
          <w:t>两栖茎昆虫揭示了陆地殖民</w:t>
        </w:r>
      </w:hyperlink>
    </w:p>
    <w:p>
      <w:pPr>
        <w:spacing w:before="0" w:after="80"/>
      </w:pPr>
      <w:r>
        <w:rPr>
          <w:i/>
          <w:sz w:val="20"/>
        </w:rPr>
        <w:t>EN: Amphibious stem-insect sheds light on colonization of land</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52">
        <w:r>
          <w:rPr>
            <w:color w:val="1155CC"/>
            <w:u w:val="single"/>
          </w:rPr>
          <w:t>10.1038/s41586-026-10961-2</w:t>
        </w:r>
      </w:hyperlink>
    </w:p>
    <w:p>
      <w:pPr>
        <w:spacing w:before="0" w:after="120"/>
      </w:pPr>
      <w:r>
        <w:rPr>
          <w:b/>
        </w:rPr>
        <w:t xml:space="preserve">Notes: </w:t>
      </w:r>
      <w:r>
        <w:t>abstract_source=pubmed</w:t>
      </w:r>
    </w:p>
    <w:p>
      <w:pPr>
        <w:spacing w:before="0" w:after="80" w:lineRule="auto" w:line="276"/>
      </w:pPr>
      <w:r>
        <w:rPr>
          <w:b/>
        </w:rPr>
        <w:t xml:space="preserve">摘要（ZH）: </w:t>
      </w:r>
      <w:r>
        <w:t>分子钟分析1-3、痕迹化石4、保存完好的两栖茎多足类动物5和海蝎子6最近挑战了关于动物在陆地上殖民的时间线的经典假设7，表明陆地生态系统可能可以追溯到寒武纪时期。然而，最成功的动物分支昆虫的早期进化史仍然难以捉摸，因为它们的早期多样化时期受到时间分歧估计的限制，属于化石记录中臭名昭著的“六足动物间隙”8。在这里我们描述 Chosha praecursor gen。等十一月产自德克萨斯州的石炭纪（密西西比纪晚期，约 3.24 亿年前）Tesnus 地层。交叉偏振光成像显示，C. praecursor 具有昆虫无性型，包括产卵器和末端丝，但与冠群昆虫不同，最显着的是存在具有桨状修饰的多节腹腿。我们的系统发育重建将 C. praecursor 恢复为六足动物，强烈支持将其定位为早期分化的昆虫。对另外三个神秘的六足动物化石（泥盆纪时期的 Leverhulmia 和来自 Mazon Creek Lagerstätte 的两个未描述的石炭纪化石）的修订表明了古生代无翅昆虫的不同身体组织。总之，这些茎群化石代表了最早的无争议昆虫，并在一定程度上协调了分​​子钟估计与化石记录之间的不一致。不寻常的腹部鳃状附属物</w:t>
      </w:r>
    </w:p>
    <w:p>
      <w:pPr>
        <w:spacing w:before="0" w:after="200" w:lineRule="auto" w:line="276"/>
      </w:pPr>
      <w:r>
        <w:rPr>
          <w:b/>
        </w:rPr>
        <w:t xml:space="preserve">Abstract (EN): </w:t>
      </w:r>
      <w:r>
        <w:t>Molecular clock analyses1-3, trace fossils4, exceptionally preserved amphibious stem-myriapods5 and sea scorpions6 have recently challenged classical assumptions about the timeline of the animal colonization of land7, suggesting that terrestrial ecosystems may date back as far as the Cambrian period. However, the early evolutionary history of the most successful clade of animals, the insects, has remained elusive, as the period of their early diversification constrained by time divergence estimates falls within the notorious 'hexapod gap' in the fossil record8. Here we describe Chosha praecursor gen. et sp. nov. from the Carboniferous period (Late Mississippian epoch, approximately 324 million years ago) Tesnus Formation in Texas. Cross-polarized light imaging reveals that C. praecursor possesses insect apomorphies including an ovipositor and a terminal filament but differs from crown-group insects, most notably with respect to the presence of multisegmented abdominal legs with paddle-like modifications. Our phylogenetic reconstruction recovers C. praecursor as a hexapod, strongly favouring its placement as an early-diverging insect. A revision of three other enigmatic hexapod fossils, the Devonian period Leverhulmia and two undescribed Carboniferous fossils from the Mazon Creek Lagerstätte, demonstrates diverse body organization in Palaeozoic wingless insects. Together, these stem-group fossils represent the earliest uncontested insects and partly reconcile the incongruence between molecular clock estimates and the fossil record. The unusual abdominal gill-like appendages of Chosha suggest a semiaquatic mode of life in at least some stem-insects and revise our understanding of the assembly of insect morphological organization.</w:t>
      </w:r>
    </w:p>
    <w:p>
      <w:pPr>
        <w:spacing w:before="120" w:after="120"/>
      </w:pPr>
      <w:r>
        <w:rPr>
          <w:sz w:val="18"/>
        </w:rPr>
        <w:t>——————————————————————————————————————————————————————————————————————</w:t>
      </w:r>
    </w:p>
    <w:p>
      <w:pPr>
        <w:spacing w:before="160" w:after="40" w:line="240" w:lineRule="auto"/>
      </w:pPr>
      <w:r>
        <w:rPr>
          <w:b/>
        </w:rPr>
        <w:t xml:space="preserve">[458] </w:t>
      </w:r>
      <w:hyperlink r:id="rId1353">
        <w:r>
          <w:rPr>
            <w:color w:val="1155CC"/>
            <w:u w:val="single"/>
          </w:rPr>
          <w:t>细胞类型特异性 eQTL 是复杂性状遗传结构的基础</w:t>
        </w:r>
      </w:hyperlink>
    </w:p>
    <w:p>
      <w:pPr>
        <w:spacing w:before="0" w:after="80"/>
      </w:pPr>
      <w:r>
        <w:rPr>
          <w:i/>
          <w:sz w:val="20"/>
        </w:rPr>
        <w:t>EN: Cell-type-specific eQTLs underlie the genetic architecture of complex traits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54">
        <w:r>
          <w:rPr>
            <w:color w:val="1155CC"/>
            <w:u w:val="single"/>
          </w:rPr>
          <w:t>10.1038/s41586-026-10577-6</w:t>
        </w:r>
      </w:hyperlink>
    </w:p>
    <w:p>
      <w:pPr>
        <w:spacing w:before="0" w:after="120"/>
      </w:pPr>
      <w:r>
        <w:rPr>
          <w:b/>
        </w:rPr>
        <w:t xml:space="preserve">Notes: </w:t>
      </w:r>
      <w:r>
        <w:t>abstract_source=pubmed</w:t>
      </w:r>
    </w:p>
    <w:p>
      <w:pPr>
        <w:spacing w:before="0" w:after="80" w:lineRule="auto" w:line="276"/>
      </w:pPr>
      <w:r>
        <w:rPr>
          <w:b/>
        </w:rPr>
        <w:t xml:space="preserve">摘要（ZH）: </w:t>
      </w:r>
      <w:r>
        <w:t>遗传对复杂性状的影响主要通过调节基因表达来发挥作用；然而，这个过程还没有被很好地理解1。研究遗传对基因表达（表达数量性状位点 (eQTL)）的影响可以了解遗传变异和复杂性状之间的基因调控层2。然而，之前的研究尚未有效捕获细胞类型特异性的 eQTL，而这可能对复杂性状很重要。在这里，我们通过将方差分量模型应用于群体规模的单细胞 RNA 测序 (RNA-seq) 数据，公正地表征了细胞类型特异性的 eQTL。使用来自 OneK1K 队列的外周血单核细胞，我们证明了细胞类型特异性 eQTL 丰富了复杂的性状遗传力，而我们在细胞类型共享的 eQTL 中没有观察到这一点。我们还发现，eQTL 特异性与具有更大选择性约束、增强子复杂性和基因网络连接性的基因相关，这三个特征相对于已知的 eQTL 3、4 而言富含复杂性状。在转录组范围内，反式 eQTL 大多是细胞类型特异性的（60% 特异性），而顺式 eQTL 大部分是共享的（30% 特异性）。我们使用第二个单细胞 RNA-seq 数据集来复制我们的发现，并证明细胞类型共享和细胞类型特异性 eQTL 在不同祖先中是一致的。我们的结果将 eQTL 细胞类型特异性确定为基因调控的关键特征，并部分解释了为什么已知的 eQTL 对复杂性状的基因调控作用减弱。</w:t>
      </w:r>
    </w:p>
    <w:p>
      <w:pPr>
        <w:spacing w:before="0" w:after="200" w:lineRule="auto" w:line="276"/>
      </w:pPr>
      <w:r>
        <w:rPr>
          <w:b/>
        </w:rPr>
        <w:t xml:space="preserve">Abstract (EN): </w:t>
      </w:r>
      <w:r>
        <w:t>Genetic effects on complex traits primarily act by regulating gene expression; however, this process is not well understood1. Studies of genetic effects on gene expression (expression quantitative trait loci (eQTLs)) can inform as to the gene regulatory layer between genetic variants and complex traits2. However, previous studies have not effectively captured cell-type-specific eQTLs, which are likely to be important for complex traits. Here we unbiasedly characterized cell-type-specific eQTLs by applying a variance component model to population-scale single-cell RNA-sequencing (RNA-seq) data. Using peripheral blood mononuclear cells from the OneK1K cohort, we demonstrated that cell-type-specific eQTLs enrich for complex trait heritability, which we did not observe for cell-type-shared eQTLs. We also found that eQTL specificity is associated with genes that have greater selective constraint, enhancer complexity and gene network connectivity, three features enriched in complex traits relative to known eQTLs3,4. Transcriptome-wide, trans eQTLs were mostly cell-type-specific (60% specific) whereas cis eQTLs were mostly shared (30% specific). We used a second single-cell RNA-seq dataset to replicate our findings and demonstrate that cell-type-shared and cell-type-specific eQTLs are consistent across ancestries. Our results establish eQTL cell-type specificity as a key feature of gene regulation and partly explain why known eQTLs are depleted in gene regulatory effects on complex traits.</w:t>
      </w:r>
    </w:p>
    <w:p>
      <w:pPr>
        <w:spacing w:before="120" w:after="120"/>
      </w:pPr>
      <w:r>
        <w:rPr>
          <w:sz w:val="18"/>
        </w:rPr>
        <w:t>——————————————————————————————————————————————————————————————————————</w:t>
      </w:r>
    </w:p>
    <w:p>
      <w:pPr>
        <w:spacing w:before="160" w:after="40" w:line="240" w:lineRule="auto"/>
      </w:pPr>
      <w:r>
        <w:rPr>
          <w:b/>
        </w:rPr>
        <w:t xml:space="preserve">[459] </w:t>
      </w:r>
      <w:hyperlink r:id="rId1355">
        <w:r>
          <w:rPr>
            <w:color w:val="1155CC"/>
            <w:u w:val="single"/>
          </w:rPr>
          <w:t>用酶制造硫代磷酸盐分子的实用回收策略</w:t>
        </w:r>
      </w:hyperlink>
    </w:p>
    <w:p>
      <w:pPr>
        <w:spacing w:before="0" w:after="80"/>
      </w:pPr>
      <w:r>
        <w:rPr>
          <w:i/>
          <w:sz w:val="20"/>
        </w:rPr>
        <w:t>EN: A practical recycling strategy for making thiophosphate molecules with enzymes</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56">
        <w:r>
          <w:rPr>
            <w:color w:val="1155CC"/>
            <w:u w:val="single"/>
          </w:rPr>
          <w:t>10.1038/d41586-026-02482-9</w:t>
        </w:r>
      </w:hyperlink>
    </w:p>
    <w:p>
      <w:pPr>
        <w:spacing w:before="0" w:after="120"/>
      </w:pPr>
      <w:r>
        <w:rPr>
          <w:b/>
        </w:rPr>
        <w:t xml:space="preserve">Notes: </w:t>
      </w:r>
      <w:r>
        <w:t>abstract_source=openalex</w:t>
      </w:r>
    </w:p>
    <w:p>
      <w:pPr>
        <w:spacing w:before="0" w:after="80" w:lineRule="auto" w:line="276"/>
      </w:pPr>
      <w:r>
        <w:rPr>
          <w:b/>
        </w:rPr>
        <w:t xml:space="preserve">摘要（ZH）: </w:t>
      </w:r>
      <w:r>
        <w:t>已经开发出一种无需依赖大量昂贵试剂即可构建硫代磷酸盐分子基序的酶平台。该方法为药物开发中开发酶级联合成含硫代磷酸基序奠定了基础。引入硫代磷酸酯基序的昂贵试剂可以通过可推广到各种分子的方法来补充。</w:t>
      </w:r>
    </w:p>
    <w:p>
      <w:pPr>
        <w:spacing w:before="0" w:after="200" w:lineRule="auto" w:line="276"/>
      </w:pPr>
      <w:r>
        <w:rPr>
          <w:b/>
        </w:rPr>
        <w:t xml:space="preserve">Abstract (EN): </w:t>
      </w:r>
      <w:r>
        <w:t>An enzymatic platform for constructing the thiophosphate molecular motif without relying on large amounts of expensive reagents has been developed. The method lays the foundation for developing enzymatic cascades to synthesize thiophosphate-containing motifs in drug development. An expensive reagent to introduce a thiophosphate motif can be replenished in an approach that can be generalized to various molecules.</w:t>
      </w:r>
    </w:p>
    <w:p>
      <w:pPr>
        <w:spacing w:before="120" w:after="120"/>
      </w:pPr>
      <w:r>
        <w:rPr>
          <w:sz w:val="18"/>
        </w:rPr>
        <w:t>——————————————————————————————————————————————————————————————————————</w:t>
      </w:r>
    </w:p>
    <w:p>
      <w:pPr>
        <w:spacing w:before="160" w:after="40" w:line="240" w:lineRule="auto"/>
      </w:pPr>
      <w:r>
        <w:rPr>
          <w:b/>
        </w:rPr>
        <w:t xml:space="preserve">[460] </w:t>
      </w:r>
      <w:hyperlink r:id="rId1357">
        <w:r>
          <w:rPr>
            <w:color w:val="1155CC"/>
            <w:u w:val="single"/>
          </w:rPr>
          <w:t>每天接触交通中的细颗粒物会增加癌症死亡风险</w:t>
        </w:r>
      </w:hyperlink>
    </w:p>
    <w:p>
      <w:pPr>
        <w:spacing w:before="0" w:after="80"/>
      </w:pPr>
      <w:r>
        <w:rPr>
          <w:i/>
          <w:sz w:val="20"/>
        </w:rPr>
        <w:t>EN: Daily exposure to fine particulate matter from traffic increases cancer mortality risk</w:t>
      </w:r>
    </w:p>
    <w:p>
      <w:pPr>
        <w:spacing w:before="0" w:after="120"/>
      </w:pPr>
      <w:r>
        <w:rPr>
          <w:b/>
        </w:rPr>
        <w:t xml:space="preserve">Source: </w:t>
      </w:r>
      <w:r>
        <w:t>Nature Sustainability</w:t>
      </w:r>
      <w:r>
        <w:t xml:space="preserve">    </w:t>
      </w:r>
      <w:r>
        <w:rPr>
          <w:b/>
        </w:rPr>
        <w:t xml:space="preserve">Pub date: </w:t>
      </w:r>
      <w:r>
        <w:t>2026-08-26 00:00:00+00:00</w:t>
      </w:r>
      <w:r>
        <w:t xml:space="preserve">    </w:t>
      </w:r>
      <w:r>
        <w:rPr>
          <w:b/>
        </w:rPr>
        <w:t xml:space="preserve">DOI: </w:t>
      </w:r>
      <w:hyperlink r:id="rId1358">
        <w:r>
          <w:rPr>
            <w:color w:val="1155CC"/>
            <w:u w:val="single"/>
          </w:rPr>
          <w:t>10.1038/s41893-026-01927-3</w:t>
        </w:r>
      </w:hyperlink>
    </w:p>
    <w:p>
      <w:pPr>
        <w:spacing w:before="0" w:after="120"/>
      </w:pPr>
      <w:r>
        <w:rPr>
          <w:b/>
        </w:rPr>
        <w:t xml:space="preserve">Notes: </w:t>
      </w:r>
      <w:r>
        <w:t>abstract_source=rss_nature</w:t>
      </w:r>
    </w:p>
    <w:p>
      <w:pPr>
        <w:spacing w:before="0" w:after="80" w:lineRule="auto" w:line="276"/>
      </w:pPr>
      <w:r>
        <w:rPr>
          <w:b/>
        </w:rPr>
        <w:t xml:space="preserve">摘要（ZH）: </w:t>
      </w:r>
      <w:r>
        <w:t>对 920 万癌症死亡的多国分析证据表明，交通来源的 PM2.5 对短期 PM2.5 相关癌症死亡负担的影响可能比其在 PM2.5 总浓度中所占比例的预期要大得多。</w:t>
      </w:r>
    </w:p>
    <w:p>
      <w:pPr>
        <w:spacing w:before="0" w:after="200" w:lineRule="auto" w:line="276"/>
      </w:pPr>
      <w:r>
        <w:rPr>
          <w:b/>
        </w:rPr>
        <w:t xml:space="preserve">Abstract (EN): </w:t>
      </w:r>
      <w:r>
        <w:t>Evidence from a multi-country analysis of 9.2 million cancer deaths suggests that traffic-sourced PM2.5 might contribute to the short-term PM2.5-related cancer mortality burden to a much greater extent than would be expected from its share of total PM2.5 concentration.</w:t>
      </w:r>
    </w:p>
    <w:p>
      <w:pPr>
        <w:spacing w:before="120" w:after="120"/>
      </w:pPr>
      <w:r>
        <w:rPr>
          <w:sz w:val="18"/>
        </w:rPr>
        <w:t>——————————————————————————————————————————————————————————————————————</w:t>
      </w:r>
    </w:p>
    <w:p>
      <w:pPr>
        <w:spacing w:before="160" w:after="40" w:line="240" w:lineRule="auto"/>
      </w:pPr>
      <w:r>
        <w:rPr>
          <w:b/>
        </w:rPr>
        <w:t xml:space="preserve">[461] </w:t>
      </w:r>
      <w:hyperlink r:id="rId1359">
        <w:r>
          <w:rPr>
            <w:color w:val="1155CC"/>
            <w:u w:val="single"/>
          </w:rPr>
          <w:t>出版商更正：极端降水事件对 21 个撒哈拉以南非洲国家设施分娩的影响</w:t>
        </w:r>
      </w:hyperlink>
    </w:p>
    <w:p>
      <w:pPr>
        <w:spacing w:before="0" w:after="80"/>
      </w:pPr>
      <w:r>
        <w:rPr>
          <w:i/>
          <w:sz w:val="20"/>
        </w:rPr>
        <w:t>EN: Publisher Correction: Impact of extreme precipitation events on facility-based births in 21 sub-Saharan African countries</w:t>
      </w:r>
    </w:p>
    <w:p>
      <w:pPr>
        <w:spacing w:before="0" w:after="120"/>
      </w:pPr>
      <w:r>
        <w:rPr>
          <w:b/>
        </w:rPr>
        <w:t xml:space="preserve">Source: </w:t>
      </w:r>
      <w:r>
        <w:t>Earth and environmental sciences : Nature Communications subject feeds</w:t>
      </w:r>
      <w:r>
        <w:t xml:space="preserve">    </w:t>
      </w:r>
      <w:r>
        <w:rPr>
          <w:b/>
        </w:rPr>
        <w:t xml:space="preserve">Pub date: </w:t>
      </w:r>
      <w:r>
        <w:t>2026-08-26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[462] </w:t>
      </w:r>
      <w:hyperlink r:id="rId1360">
        <w:r>
          <w:rPr>
            <w:color w:val="1155CC"/>
            <w:u w:val="single"/>
          </w:rPr>
          <w:t>石墨润滑水星的全球收缩</w:t>
        </w:r>
      </w:hyperlink>
    </w:p>
    <w:p>
      <w:pPr>
        <w:spacing w:before="0" w:after="80"/>
      </w:pPr>
      <w:r>
        <w:rPr>
          <w:i/>
          <w:sz w:val="20"/>
        </w:rPr>
        <w:t>EN: Graphite lubricates Mercury’s global contraction</w:t>
      </w:r>
    </w:p>
    <w:p>
      <w:pPr>
        <w:spacing w:before="0" w:after="120"/>
      </w:pPr>
      <w:r>
        <w:rPr>
          <w:b/>
        </w:rPr>
        <w:t xml:space="preserve">Source: </w:t>
      </w:r>
      <w:r>
        <w:t>Earth and environmental sciences : Nature Communications subject feeds</w:t>
      </w:r>
      <w:r>
        <w:t xml:space="preserve">    </w:t>
      </w:r>
      <w:r>
        <w:rPr>
          <w:b/>
        </w:rPr>
        <w:t xml:space="preserve">Pub date: </w:t>
      </w:r>
      <w:r>
        <w:t>2026-08-26 00:00:00+00:00</w:t>
      </w:r>
    </w:p>
    <w:p>
      <w:pPr>
        <w:spacing w:before="0" w:after="120"/>
      </w:pPr>
      <w:r>
        <w:rPr>
          <w:b/>
        </w:rPr>
        <w:t xml:space="preserve">Notes: </w:t>
      </w:r>
      <w:r>
        <w:t>abstract_source=nature_html</w:t>
      </w:r>
    </w:p>
    <w:p>
      <w:pPr>
        <w:spacing w:before="0" w:after="80" w:lineRule="auto" w:line="276"/>
      </w:pPr>
      <w:r>
        <w:rPr>
          <w:b/>
        </w:rPr>
        <w:t xml:space="preserve">摘要（ZH）: </w:t>
      </w:r>
      <w:r>
        <w:t>水星内部的长期冷却驱动了行星收缩，形成了广泛的叶状陡坡，这是逆冲断层和褶皱逆冲带的表面表现。尽管它们对水星的全球构造很重要，但这些特征的力学和流变学仍然知之甚少。使用通过摩擦实验校准的临界锥度分析，我们根据观察到的楔形几何形状估计了最大基底摩擦力（μb），并表明大型褶皱逆冲带的地形与含石墨的弱低角度断层带一致。这一发现间接支持了水星早期分化过程中石墨浮选壳的模型。我们推断，由于早期撞击，该富碳层的残余物在水星地壳内不均匀分布，导致了地壳大部分在后来的收缩过程中弱化，从而使弱的低角度逆冲断层成核。由于与更陡峭、更强的断层相比，缓慢倾斜、摩擦力较弱的逆冲作用需要更大的水平缩短来形成观察到的地形，因此水星的累积径向收缩可能会超过之前更保守的估计。</w:t>
      </w:r>
    </w:p>
    <w:p>
      <w:pPr>
        <w:spacing w:before="0" w:after="200" w:lineRule="auto" w:line="276"/>
      </w:pPr>
      <w:r>
        <w:rPr>
          <w:b/>
        </w:rPr>
        <w:t xml:space="preserve">Abstract (EN): </w:t>
      </w:r>
      <w:r>
        <w:t>Secular cooling of Mercury’s interior drove planetary contraction, forming widespread lobate scarps that are the surface expressions of thrust faults and fold-and-thrust belts. Despite their importance to Mercury’s global tectonics, the mechanics and rheology of these features remain poorly understood. Using Critical Taper analysis calibrated by friction experiments, we estimate the maximum basal friction (µb) from observed wedge geometry and show that the topography of large fold-and-thrust belts is consistent with weak graphite-bearing, low-angle fault zones. This finding indirectly supports models proposing a graphite flotation crust during Mercury’s early differentiation. We infer that remnants of this carbon-rich layer, heterogeneously distributed within Mercury’s crust because of early impacts, caused the weakening of large portions of the crust during later contraction, allowing the nucleation of weak, low-angle thrust faults. Since the gently dipping, frictionally weak thrusts require greater horizontal shortening to build the observed relief than steeper, stronger faults, Mercury’s cumulative radial contraction may exceed previous, more conservative estimates.</w:t>
      </w:r>
    </w:p>
    <w:p>
      <w:pPr>
        <w:spacing w:before="120" w:after="120"/>
      </w:pPr>
      <w:r>
        <w:rPr>
          <w:sz w:val="18"/>
        </w:rPr>
        <w:t>——————————————————————————————————————————————————————————————————————</w:t>
      </w:r>
    </w:p>
    <w:p>
      <w:pPr>
        <w:spacing w:before="160" w:after="40" w:line="240" w:lineRule="auto"/>
      </w:pPr>
      <w:r>
        <w:rPr>
          <w:b/>
        </w:rPr>
        <w:t xml:space="preserve">[463] </w:t>
      </w:r>
      <w:hyperlink r:id="rId1361">
        <w:r>
          <w:rPr>
            <w:color w:val="1155CC"/>
            <w:u w:val="single"/>
          </w:rPr>
          <w:t>用于太阳能水净化的具有空位诱导界面的近红外活性 Nd–BiO2-x/MIL-101(Fe)</w:t>
        </w:r>
      </w:hyperlink>
    </w:p>
    <w:p>
      <w:pPr>
        <w:spacing w:before="0" w:after="80"/>
      </w:pPr>
      <w:r>
        <w:rPr>
          <w:i/>
          <w:sz w:val="20"/>
        </w:rPr>
        <w:t>EN: Near-infrared-active Nd–BiO2-x/MIL-101(Fe) with vacancy-induced interfaces for solar water purification</w:t>
      </w:r>
    </w:p>
    <w:p>
      <w:pPr>
        <w:spacing w:before="0" w:after="120"/>
      </w:pPr>
      <w:r>
        <w:rPr>
          <w:b/>
        </w:rPr>
        <w:t xml:space="preserve">Source: </w:t>
      </w:r>
      <w:r>
        <w:t>Earth and environmental sciences : Nature Communications subject feeds</w:t>
      </w:r>
      <w:r>
        <w:t xml:space="preserve">    </w:t>
      </w:r>
      <w:r>
        <w:rPr>
          <w:b/>
        </w:rPr>
        <w:t xml:space="preserve">Pub date: </w:t>
      </w:r>
      <w:r>
        <w:t>2026-08-26 00:00:00+00:00</w:t>
      </w:r>
    </w:p>
    <w:p>
      <w:pPr>
        <w:spacing w:before="0" w:after="120"/>
      </w:pPr>
      <w:r>
        <w:rPr>
          <w:b/>
        </w:rPr>
        <w:t xml:space="preserve">Notes: </w:t>
      </w:r>
      <w:r>
        <w:t>abstract_source=nature_html</w:t>
      </w:r>
    </w:p>
    <w:p>
      <w:pPr>
        <w:spacing w:before="0" w:after="80" w:lineRule="auto" w:line="276"/>
      </w:pPr>
      <w:r>
        <w:rPr>
          <w:b/>
        </w:rPr>
        <w:t xml:space="preserve">摘要（ZH）: </w:t>
      </w:r>
      <w:r>
        <w:t>半导体-金属-有机骨架异质结构中的工程空位界面为调节太阳辐射下的界面电荷转移提供了一条有前途的途径。在这里，我们构建了一种近红外活性 Nd–BiO2-x/MIL-101(Fe) 异质结构，其中超薄富氧空位 Nd 掺杂 BiO2-x 纳米片（2-5 nm）通过 Bi–O = C 键锚定到多孔 MIL-101(Fe) 上。空位引起的界面建立了固有的内置电场并稳定了直接的 Z 型电荷转移路径。 Nd掺杂产生不对称氧空位，缩小带隙，增强近红外吸收，并加强O2压印吸附。与近红外滤光光相比，该催化剂在全光谱照射下双酚 AF 降解率提高了 1.9 倍，且单线态氧和光生空穴协同作用。在自然阳光下的平板连续流反应器中，该系统可以稳定去除 11 种新出现的污染物，而 Bi3+ 浸出量可以忽略不计。这项工作提出了一种用于内置电场驱动的太阳能微污染物去除的空位界面策略。</w:t>
      </w:r>
    </w:p>
    <w:p>
      <w:pPr>
        <w:spacing w:before="0" w:after="200" w:lineRule="auto" w:line="276"/>
      </w:pPr>
      <w:r>
        <w:rPr>
          <w:b/>
        </w:rPr>
        <w:t xml:space="preserve">Abstract (EN): </w:t>
      </w:r>
      <w:r>
        <w:t>Engineering vacancy interfaces in semiconductor–metal-organic framework heterostructures provides a promising route to regulate interfacial charge transfer under solar irradiation. Here, we construct a near-infrared-active Nd–BiO2-x/MIL-101(Fe) heterostructure, where ultrathin oxygen-vacancy-rich Nd-doped BiO2-x nanosheets (2-5 nm) are anchored onto porous MIL-101(Fe) through Bi–O = C bonds. The vacancy-induced interface establishes an intrinsic built-in electric field and stabilizes a direct Z-scheme charge-transfer pathway. Nd doping generates asymmetric oxygen vacancies that narrow the bandgap, enhance near-infrared absorption, and strengthen O2 imprint adsorption. The catalyst exhibits a 1.9-fold increase in bisphenol AF degradation under full-spectrum irradiation compared with near-infrared-filtered light, with singlet oxygen and photogenerated holes acting synergistically. In a flat-plate continuous-flow reactor under natural sunlight, the system achieves stable removal of eleven emerging contaminants with negligible Bi3+ leaching. This work presents a vacancy-interface strategy for built-in electric field-driven solar micropollutant removal.</w:t>
      </w:r>
    </w:p>
    <w:p>
      <w:pPr>
        <w:spacing w:before="120" w:after="120"/>
      </w:pPr>
      <w:r>
        <w:rPr>
          <w:sz w:val="18"/>
        </w:rPr>
        <w:t>——————————————————————————————————————————————————————————————————————</w:t>
      </w:r>
    </w:p>
    <w:p>
      <w:pPr>
        <w:spacing w:before="160" w:after="40" w:line="240" w:lineRule="auto"/>
      </w:pPr>
      <w:r>
        <w:rPr>
          <w:b/>
        </w:rPr>
        <w:t xml:space="preserve">[464] </w:t>
      </w:r>
      <w:hyperlink r:id="rId1362">
        <w:r>
          <w:rPr>
            <w:color w:val="1155CC"/>
            <w:u w:val="single"/>
          </w:rPr>
          <w:t>自发带电的水滴会引起腐蚀</w:t>
        </w:r>
      </w:hyperlink>
    </w:p>
    <w:p>
      <w:pPr>
        <w:spacing w:before="0" w:after="80"/>
      </w:pPr>
      <w:r>
        <w:rPr>
          <w:i/>
          <w:sz w:val="20"/>
        </w:rPr>
        <w:t>EN: Spontaneously charged water drops induce corrosion</w:t>
      </w:r>
    </w:p>
    <w:p>
      <w:pPr>
        <w:spacing w:before="0" w:after="120"/>
      </w:pPr>
      <w:r>
        <w:rPr>
          <w:b/>
        </w:rPr>
        <w:t xml:space="preserve">Source: </w:t>
      </w:r>
      <w:r>
        <w:t>Nature</w:t>
      </w:r>
      <w:r>
        <w:t xml:space="preserve">    </w:t>
      </w:r>
      <w:r>
        <w:rPr>
          <w:b/>
        </w:rPr>
        <w:t xml:space="preserve">Pub date: </w:t>
      </w:r>
      <w:r>
        <w:t>2026-08-26 00:00:00+00:00</w:t>
      </w:r>
      <w:r>
        <w:t xml:space="preserve">    </w:t>
      </w:r>
      <w:r>
        <w:rPr>
          <w:b/>
        </w:rPr>
        <w:t xml:space="preserve">DOI: </w:t>
      </w:r>
      <w:hyperlink r:id="rId1363">
        <w:r>
          <w:rPr>
            <w:color w:val="1155CC"/>
            <w:u w:val="single"/>
          </w:rPr>
          <w:t>10.1038/s41586-026-10941-6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水滴在植物叶子、昆虫翅膀、建筑墙壁、窗户玻璃和塑料等不同表面上移动时会自发带电</w:t>
      </w:r>
      <w:r>
        <w:t xml:space="preserve"> </w:t>
      </w:r>
      <w:r>
        <w:t>1–9</w:t>
      </w:r>
      <w:r>
        <w:t xml:space="preserve"> </w:t>
      </w:r>
      <w:r>
        <w:t>。这个过程称为接触或滑动起电，类似于固体之间的摩擦起电</w:t>
      </w:r>
      <w:r>
        <w:t xml:space="preserve"> </w:t>
      </w:r>
      <w:r>
        <w:t>10–13</w:t>
      </w:r>
      <w:r>
        <w:t xml:space="preserve"> </w:t>
      </w:r>
      <w:r>
        <w:t>。以这种方式带电的水滴的电势可以超过 1 kV（参考文献 1）。</w:t>
      </w:r>
      <w:r>
        <w:t xml:space="preserve"> </w:t>
      </w:r>
      <w:r>
        <w:t>14–16</w:t>
      </w:r>
      <w:r>
        <w:t xml:space="preserve"> </w:t>
      </w:r>
      <w:r>
        <w:t>）。一个重要但尚未解答的问题是水滴中的电荷是否会导致腐蚀。在这里，我们分析了一系列水滴撞击受非导电涂层保护的金属表面的影响。在撞击涂层金属之前，液滴通过在绝缘表面上滑动而自发地获得电荷。我们证明这些带电液滴会导致涂层电击穿并导致金属腐蚀。由于自发带电的水滴自然形成，这种以前被忽视的腐蚀机制可能会导致文化遗产、建筑物、船舶、汽车和其他金属部件的退化。我们的研究结果可以改进防腐策略，并强调需要能够抵抗水滴引起的电荷损伤的保护材料。</w:t>
      </w:r>
    </w:p>
    <w:p>
      <w:pPr>
        <w:spacing w:before="0" w:after="200" w:lineRule="auto" w:line="276"/>
      </w:pPr>
      <w:r>
        <w:rPr>
          <w:b/>
        </w:rPr>
        <w:t xml:space="preserve">Abstract (EN): </w:t>
      </w:r>
      <w:r>
        <w:t>Water drops spontaneously become electrically charged when moving on different surfaces, such as plant leaves, insect wings, building walls, window glass and plastic</w:t>
      </w:r>
      <w:r>
        <w:t xml:space="preserve"> </w:t>
      </w:r>
      <w:r>
        <w:t>1–9</w:t>
      </w:r>
      <w:r>
        <w:t xml:space="preserve"> </w:t>
      </w:r>
      <w:r>
        <w:t>. This process, known as contact or sliding electrification, is analogous to tribocharging between solids</w:t>
      </w:r>
      <w:r>
        <w:t xml:space="preserve"> </w:t>
      </w:r>
      <w:r>
        <w:t>10–13</w:t>
      </w:r>
      <w:r>
        <w:t xml:space="preserve"> </w:t>
      </w:r>
      <w:r>
        <w:t>. The electric potential of water drops charged in this way can exceed 1 kV (refs.</w:t>
      </w:r>
      <w:r>
        <w:t xml:space="preserve"> </w:t>
      </w:r>
      <w:r>
        <w:t>14–16</w:t>
      </w:r>
      <w:r>
        <w:t xml:space="preserve"> </w:t>
      </w:r>
      <w:r>
        <w:t>). A vital but as yet unanswered question is whether the charge in water drops causes corrosion. Here we analyse the effect of series of water drops hitting metal surfaces, which are protected by a non-conductive coating. Before hitting the coated metal, the drops acquire a charge spontaneously by sliding over an insulating surface. We demonstrated that these charged drops can cause the coating to break down electrically and lead to corrosion of the metal. As spontaneously charged water drops form naturally, this previously overlooked corrosion mechanism may contribute to the degradation of cultural heritage sites, buildings, ships, cars and other metal components. Our findings can improve anticorrosion strategies and emphasize the need for protective materials capable of resisting charge-induced damage from water drops.</w:t>
      </w:r>
    </w:p>
    <w:p>
      <w:pPr>
        <w:spacing w:before="120" w:after="120"/>
      </w:pPr>
      <w:r>
        <w:rPr>
          <w:sz w:val="18"/>
        </w:rPr>
        <w:t>——————————————————————————————————————————————————————————————————————</w:t>
      </w:r>
    </w:p>
    <w:p>
      <w:pPr>
        <w:spacing w:before="160" w:after="40" w:line="240" w:lineRule="auto"/>
      </w:pPr>
      <w:r>
        <w:rPr>
          <w:b/>
        </w:rPr>
        <w:t xml:space="preserve">[465] </w:t>
      </w:r>
      <w:hyperlink r:id="rId1364">
        <w:r>
          <w:rPr>
            <w:color w:val="1155CC"/>
            <w:u w:val="single"/>
          </w:rPr>
          <w:t>减弱的地幔上升流导致水星北部平坦的平原严重变形</w:t>
        </w:r>
      </w:hyperlink>
    </w:p>
    <w:p>
      <w:pPr>
        <w:spacing w:before="0" w:after="80"/>
      </w:pPr>
      <w:r>
        <w:rPr>
          <w:i/>
          <w:sz w:val="20"/>
        </w:rPr>
        <w:t>EN: Waned mantle upwelling contributes to a heavily deformed northern smooth plains on Mercury</w:t>
      </w:r>
    </w:p>
    <w:p>
      <w:pPr>
        <w:spacing w:before="0" w:after="120"/>
      </w:pPr>
      <w:r>
        <w:rPr>
          <w:b/>
        </w:rPr>
        <w:t xml:space="preserve">Source: </w:t>
      </w:r>
      <w:r>
        <w:t>Earth and environmental sciences : Nature Communications subject feeds</w:t>
      </w:r>
      <w:r>
        <w:t xml:space="preserve">    </w:t>
      </w:r>
      <w:r>
        <w:rPr>
          <w:b/>
        </w:rPr>
        <w:t xml:space="preserve">Pub date: </w:t>
      </w:r>
      <w:r>
        <w:t>2026-08-26 00:00:00+00:00</w:t>
      </w:r>
    </w:p>
    <w:p>
      <w:pPr>
        <w:spacing w:before="0" w:after="120"/>
      </w:pPr>
      <w:r>
        <w:rPr>
          <w:b/>
        </w:rPr>
        <w:t xml:space="preserve">Notes: </w:t>
      </w:r>
      <w:r>
        <w:t>abstract_source=nature_html</w:t>
      </w:r>
    </w:p>
    <w:p>
      <w:pPr>
        <w:spacing w:before="0" w:after="80" w:lineRule="auto" w:line="276"/>
      </w:pPr>
      <w:r>
        <w:rPr>
          <w:b/>
        </w:rPr>
        <w:t xml:space="preserve">摘要（ZH）: </w:t>
      </w:r>
      <w:r>
        <w:t>测绘和解释方面的最新进展揭示了水星北部光滑平原（NSP）的众多收缩地貌和构造活动一直持续到地质近代的证据。为了研究这些观察结果背后的机制，我们对整个 NSP 的收缩应变进行了全面评估。我们的分析表明，(1) NSP 比水星上的其他地体表现出更高的应变，(2) 表面变形模式与 NSP 中心的北隆 (NR) 空间相关，这表明存在额外的驱动力。我们认为，这种升高的应变及其分布是由自然保护区下方的深部地幔流引起的地幔上涌减弱造成的。动态地形的持续变化可能加剧了北太平洋地区长期存在的构造作用。这些发现为水星的演化历史提供了补充视角，并可能有助于阐明其他类地行星上的类似过程。</w:t>
      </w:r>
    </w:p>
    <w:p>
      <w:pPr>
        <w:spacing w:before="0" w:after="200" w:lineRule="auto" w:line="276"/>
      </w:pPr>
      <w:r>
        <w:rPr>
          <w:b/>
        </w:rPr>
        <w:t xml:space="preserve">Abstract (EN): </w:t>
      </w:r>
      <w:r>
        <w:t>Recent advancements in mapping and interpretation have revealed both numerous contractional landforms and evidence that tectonic activity has persisted into geologically recent times in Mercury’s northern smooth plains (NSP). To investigate the mechanisms behind these observations, we conduct a comprehensive assessment of contractional strain across the NSP. Our analysis reveals that (1) the NSP exhibits higher strain than other terranes on Mercury, and (2) the surface deformation pattern is spatially correlated with the Northern Rise (NR) at the center of the NSP, suggesting an additional driving force. We propose that this elevated strain and its distribution result from waned mantle upwelling induced by deep mantle flow beneath the NR. Sustained variations in dynamic topography likely fueled the long-standing tectonism in the NSP. These findings provide a complementary perspective on Mercury’s evolutionary history and may help illuminate similar processes on other terrestrial planets.</w:t>
      </w:r>
    </w:p>
    <w:p>
      <w:pPr>
        <w:spacing w:before="120" w:after="120"/>
      </w:pPr>
      <w:r>
        <w:rPr>
          <w:sz w:val="18"/>
        </w:rPr>
        <w:t>——————————————————————————————————————————————————————————————————————</w:t>
      </w:r>
    </w:p>
    <w:p>
      <w:pPr>
        <w:spacing w:before="160" w:after="40" w:line="240" w:lineRule="auto"/>
      </w:pPr>
      <w:r>
        <w:rPr>
          <w:b/>
        </w:rPr>
        <w:t xml:space="preserve">[466] </w:t>
      </w:r>
      <w:hyperlink r:id="rId1365">
        <w:r>
          <w:rPr>
            <w:color w:val="1155CC"/>
            <w:u w:val="single"/>
          </w:rPr>
          <w:t>19 世纪火山活动破坏了太平洋和印度洋变化的耦合</w:t>
        </w:r>
      </w:hyperlink>
    </w:p>
    <w:p>
      <w:pPr>
        <w:spacing w:before="0" w:after="80"/>
      </w:pPr>
      <w:r>
        <w:rPr>
          <w:i/>
          <w:sz w:val="20"/>
        </w:rPr>
        <w:t>EN: Coupling of Pacific and Indian Ocean variability disrupted by 19th century volcanism</w:t>
      </w:r>
    </w:p>
    <w:p>
      <w:pPr>
        <w:spacing w:before="0" w:after="120"/>
      </w:pPr>
      <w:r>
        <w:rPr>
          <w:b/>
        </w:rPr>
        <w:t xml:space="preserve">Source: </w:t>
      </w:r>
      <w:r>
        <w:t>Earth and environmental sciences : Nature Communications subject feeds</w:t>
      </w:r>
      <w:r>
        <w:t xml:space="preserve">    </w:t>
      </w:r>
      <w:r>
        <w:rPr>
          <w:b/>
        </w:rPr>
        <w:t xml:space="preserve">Pub date: </w:t>
      </w:r>
      <w:r>
        <w:t>2026-08-26 00:00:00+00:00</w:t>
      </w:r>
    </w:p>
    <w:p>
      <w:pPr>
        <w:spacing w:before="0" w:after="120"/>
      </w:pPr>
      <w:r>
        <w:rPr>
          <w:b/>
        </w:rPr>
        <w:t xml:space="preserve">Notes: </w:t>
      </w:r>
      <w:r>
        <w:t>abstract_source=nature_html</w:t>
      </w:r>
    </w:p>
    <w:p>
      <w:pPr>
        <w:spacing w:before="0" w:after="80" w:lineRule="auto" w:line="276"/>
      </w:pPr>
      <w:r>
        <w:rPr>
          <w:b/>
        </w:rPr>
        <w:t xml:space="preserve">摘要（ZH）: </w:t>
      </w:r>
      <w:r>
        <w:t>通过热带盆地相互作用，印度洋沃克环流（IWC）和盆地模式（IOBM）与太平洋沃克环流（PWC）在年际-年代际时间尺度上共变。近几十年来，由于温室气体强迫，IOBM 和 PWC 之间的耦合已大大减弱；然而，工具记录太短，无法明确确定这种脱钩是否也可能自然发生。在这里，我们利用古气候记录的汇编重建过去四个世纪的印度-太平洋模式（IOBM、IWC 和 PWC），以了解最近的趋势。我们证明，在整个前工业时代，印度洋模式在很大程度上与太平洋耦合，但这种耦合被 19 世纪初期的一系列火山爆发所破坏。尽管如此，自 20 世纪中叶以来的 PWC-IOBM 关系相对于过去千年的同等长度间隔（包括强烈火山活动时期）显得异常突出。鉴于稳定的流域相互作用是近期可预测性的一个来源，我们的结果对气候风险管理工作具有影响。</w:t>
      </w:r>
    </w:p>
    <w:p>
      <w:pPr>
        <w:spacing w:before="0" w:after="200" w:lineRule="auto" w:line="276"/>
      </w:pPr>
      <w:r>
        <w:rPr>
          <w:b/>
        </w:rPr>
        <w:t xml:space="preserve">Abstract (EN): </w:t>
      </w:r>
      <w:r>
        <w:t>Through tropical basin interactions, the Indian Ocean Walker circulation (IWC) and basin mode (IOBM) covary with the Pacific Walker circulation (PWC) on interannual-decadal timescales. Coupling between IOBM and PWC has degraded considerably in recent decades due to greenhouse gas forcing; however, the instrumental record is too short to unequivocally determine whether such a decoupling could also have arisen naturally. Here we contextualise recent trends by reconstructing Indo-Pacific modes (IOBM, IWC, and PWC) over the past four centuries using a compilation of paleoclimate records. We demonstrate that both Indian Ocean modes were largely coupled to the Pacific throughout the pre-industrial era, but this coupling was disrupted by a series of volcanic eruptions during the early 19th century. Nonetheless, the PWC-IOBM relationship since the mid-20th century appears exceptional relative to equivalent-length intervals of the past millennium, including periods of strong volcanism. Given that stable basin interactions are a source of near-term predictability, our results have implications for climate risk management efforts.</w:t>
      </w:r>
    </w:p>
    <w:p>
      <w:pPr>
        <w:spacing w:before="120" w:after="120"/>
      </w:pPr>
      <w:r>
        <w:rPr>
          <w:sz w:val="18"/>
        </w:rPr>
        <w:t>——————————————————————————————————————————————————————————————————————</w:t>
      </w:r>
    </w:p>
    <w:p>
      <w:pPr>
        <w:spacing w:before="160" w:after="40" w:line="240" w:lineRule="auto"/>
      </w:pPr>
      <w:r>
        <w:rPr>
          <w:b/>
        </w:rPr>
        <w:t xml:space="preserve">[467] </w:t>
      </w:r>
      <w:hyperlink r:id="rId1366">
        <w:r>
          <w:rPr>
            <w:color w:val="1155CC"/>
            <w:u w:val="single"/>
          </w:rPr>
          <w:t>晶格氧-吸附质杂交中的单线态氧驱动甲代烯丙醇高选择性电氧化为异丁烯醛</w:t>
        </w:r>
      </w:hyperlink>
    </w:p>
    <w:p>
      <w:pPr>
        <w:spacing w:before="0" w:after="80"/>
      </w:pPr>
      <w:r>
        <w:rPr>
          <w:i/>
          <w:sz w:val="20"/>
        </w:rPr>
        <w:t>EN: Singlet Oxygen From Lattice Oxygen‐Adsorbate Hybridization Drives Highly Selective Electrooxidation of Methallyl Alcohol to Methacrolein</w:t>
      </w:r>
    </w:p>
    <w:p>
      <w:pPr>
        <w:spacing w:before="0" w:after="120"/>
      </w:pPr>
      <w:r>
        <w:rPr>
          <w:b/>
        </w:rPr>
        <w:t xml:space="preserve">Source: </w:t>
      </w:r>
      <w:r>
        <w:t>Wiley: Angewandte Chemie International Edition: Table of Contents</w:t>
      </w:r>
      <w:r>
        <w:t xml:space="preserve">    </w:t>
      </w:r>
      <w:r>
        <w:rPr>
          <w:b/>
        </w:rPr>
        <w:t xml:space="preserve">Pub date: </w:t>
      </w:r>
      <w:r>
        <w:t>2026-08-26 04:25:41+00:00</w:t>
      </w:r>
      <w:r>
        <w:t xml:space="preserve">    </w:t>
      </w:r>
      <w:r>
        <w:rPr>
          <w:b/>
        </w:rPr>
        <w:t xml:space="preserve">DOI: </w:t>
      </w:r>
      <w:hyperlink r:id="rId1367">
        <w:r>
          <w:rPr>
            <w:color w:val="1155CC"/>
            <w:u w:val="single"/>
          </w:rPr>
          <w:t>10.1002/anie.7784614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甲基烯丙醇 (MAO) 选择性氧化为异丁烯醛 (MAC) 至关重要，但在热化学和自由基介导途径中都受到 C=C 裂解和过度氧化的挑战。在此，我们报道了一种Mn掺杂的NiMoO</w:t>
      </w:r>
      <w:r>
        <w:rPr>
          <w:vertAlign w:val="subscript"/>
        </w:rPr>
        <w:t>4</w:t>
      </w:r>
      <w:r>
        <w:t>锚定在部分氧化铜泡沫上的催化剂（M-NMO/Cu</w:t>
      </w:r>
      <w:r>
        <w:t xml:space="preserve"> </w:t>
      </w:r>
      <w:r>
        <w:t>2+1</w:t>
      </w:r>
      <w:r>
        <w:t xml:space="preserve"> </w:t>
      </w:r>
      <w:r>
        <w:t>O/CF) 实现了 MAO 转化为 MAC 的前所未有的 100% 选择性和法拉第效率，产率为创纪录的 1776 µmol cm</w:t>
      </w:r>
      <w:r>
        <w:t xml:space="preserve"> </w:t>
      </w:r>
      <w:r>
        <w:t>−2</w:t>
      </w:r>
      <w:r>
        <w:t xml:space="preserve"> </w:t>
      </w:r>
      <w:r>
        <w:t>小时</w:t>
      </w:r>
      <w:r>
        <w:t xml:space="preserve"> </w:t>
      </w:r>
      <w:r>
        <w:t>−1</w:t>
      </w:r>
      <w:r>
        <w:t xml:space="preserve"> </w:t>
      </w:r>
      <w:r>
        <w:t>(420 C,1.0 M K</w:t>
      </w:r>
      <w:r>
        <w:rPr>
          <w:vertAlign w:val="subscript"/>
        </w:rPr>
        <w:t>2</w:t>
      </w:r>
      <w:r>
        <w:t>一氧化碳</w:t>
      </w:r>
      <w:r>
        <w:rPr>
          <w:vertAlign w:val="subscript"/>
        </w:rPr>
        <w:t>3</w:t>
      </w:r>
      <w:r>
        <w:t>，1.62 V 与 RHE）。该催化剂协同晶格氧机制（LOM）与吸附质演化机制（AEM）产生单线态氧（</w:t>
      </w:r>
      <w:r>
        <w:rPr>
          <w:vertAlign w:val="subscript"/>
        </w:rPr>
        <w:t>1</w:t>
      </w:r>
      <w:r>
        <w:t>氧</w:t>
      </w:r>
      <w:r>
        <w:rPr>
          <w:vertAlign w:val="subscript"/>
        </w:rPr>
        <w:t>2</w:t>
      </w:r>
      <w:r>
        <w:t>）。这种亲电</w:t>
      </w:r>
      <w:r>
        <w:rPr>
          <w:vertAlign w:val="subscript"/>
        </w:rPr>
        <w:t>1</w:t>
      </w:r>
      <w:r>
        <w:t>氧</w:t>
      </w:r>
      <w:r>
        <w:rPr>
          <w:vertAlign w:val="subscript"/>
        </w:rPr>
        <w:t>2</w:t>
      </w:r>
      <w:r>
        <w:t>主导 MAO 中 Cα-OH 的选择性氧化，通过优先夺取 α-氢而保留其 C=C 键。同位素标记（H</w:t>
      </w:r>
      <w:r>
        <w:rPr>
          <w:vertAlign w:val="subscript"/>
        </w:rPr>
        <w:t>2</w:t>
      </w:r>
      <w:r>
        <w:rPr>
          <w:vertAlign w:val="subscript"/>
        </w:rPr>
        <w:t>18</w:t>
      </w:r>
      <w:r>
        <w:t>O）和操作傅里叶变换红外光谱（FT-IR）表明</w:t>
      </w:r>
      <w:r>
        <w:rPr>
          <w:vertAlign w:val="subscript"/>
        </w:rPr>
        <w:t>1</w:t>
      </w:r>
      <w:r>
        <w:t>氧</w:t>
      </w:r>
      <w:r>
        <w:rPr>
          <w:vertAlign w:val="subscript"/>
        </w:rPr>
        <w:t>2</w:t>
      </w:r>
      <w:r>
        <w:t>主要由晶格氧通过关键的过氧化物类 M-O-O 中间体产生，其次来自吸附水。密度泛函理论</w:t>
      </w:r>
    </w:p>
    <w:p>
      <w:pPr>
        <w:spacing w:before="0" w:after="200" w:lineRule="auto" w:line="276"/>
      </w:pPr>
      <w:r>
        <w:rPr>
          <w:b/>
        </w:rPr>
        <w:t xml:space="preserve">Abstract (EN): </w:t>
      </w:r>
      <w:r>
        <w:t>Selective oxidation of methallyl alcohol (MAO) to methacrolein (MAC) is crucial yet challenged by C═C cleavage and overoxidation in both thermochemical and radical‐mediated routes. Herein, we report a Mn‐doped NiMoO</w:t>
      </w:r>
      <w:r>
        <w:rPr>
          <w:vertAlign w:val="subscript"/>
        </w:rPr>
        <w:t>4</w:t>
      </w:r>
      <w:r>
        <w:t>catalyst anchored on partially oxidized copper‐foam (M‐NMO/Cu</w:t>
      </w:r>
      <w:r>
        <w:t xml:space="preserve"> </w:t>
      </w:r>
      <w:r>
        <w:t>2+1</w:t>
      </w:r>
      <w:r>
        <w:t xml:space="preserve"> </w:t>
      </w:r>
      <w:r>
        <w:t>O/CF) achieves unprecedented 100% selectivity and Faradaic efficiency for MAO to MAC at a record production rate of 1776 µmol cm</w:t>
      </w:r>
      <w:r>
        <w:t xml:space="preserve"> </w:t>
      </w:r>
      <w:r>
        <w:t>−2</w:t>
      </w:r>
      <w:r>
        <w:t xml:space="preserve"> </w:t>
      </w:r>
      <w:r>
        <w:t>h</w:t>
      </w:r>
      <w:r>
        <w:t xml:space="preserve"> </w:t>
      </w:r>
      <w:r>
        <w:t>−1</w:t>
      </w:r>
      <w:r>
        <w:t xml:space="preserve"> </w:t>
      </w:r>
      <w:r>
        <w:t>(420 C,1.0 M K</w:t>
      </w:r>
      <w:r>
        <w:rPr>
          <w:vertAlign w:val="subscript"/>
        </w:rPr>
        <w:t>2</w:t>
      </w:r>
      <w:r>
        <w:t>CO</w:t>
      </w:r>
      <w:r>
        <w:rPr>
          <w:vertAlign w:val="subscript"/>
        </w:rPr>
        <w:t>3</w:t>
      </w:r>
      <w:r>
        <w:t>, 1.62 V vs. RHE). The catalyst synergizes lattice‐oxygen mechanism (LOM) with adsorbate‐evolution mechanism (AEM) to generate singlet oxygen (</w:t>
      </w:r>
      <w:r>
        <w:rPr>
          <w:vertAlign w:val="subscript"/>
        </w:rPr>
        <w:t>1</w:t>
      </w:r>
      <w:r>
        <w:t>O</w:t>
      </w:r>
      <w:r>
        <w:rPr>
          <w:vertAlign w:val="subscript"/>
        </w:rPr>
        <w:t>2</w:t>
      </w:r>
      <w:r>
        <w:t>). This electrophilic</w:t>
      </w:r>
      <w:r>
        <w:rPr>
          <w:vertAlign w:val="subscript"/>
        </w:rPr>
        <w:t>1</w:t>
      </w:r>
      <w:r>
        <w:t>O</w:t>
      </w:r>
      <w:r>
        <w:rPr>
          <w:vertAlign w:val="subscript"/>
        </w:rPr>
        <w:t>2</w:t>
      </w:r>
      <w:r>
        <w:t>dominates the selective oxidation of Cα–OH in MAO, preserving its C═C bond via preferential α‐hydrogen abstraction. Isotope labeling (H</w:t>
      </w:r>
      <w:r>
        <w:rPr>
          <w:vertAlign w:val="subscript"/>
        </w:rPr>
        <w:t>2</w:t>
      </w:r>
      <w:r>
        <w:rPr>
          <w:vertAlign w:val="subscript"/>
        </w:rPr>
        <w:t>18</w:t>
      </w:r>
      <w:r>
        <w:t>O) and operando Fourier‐transform infrared spectroscopy (FT‐IR) reveal that</w:t>
      </w:r>
      <w:r>
        <w:rPr>
          <w:vertAlign w:val="subscript"/>
        </w:rPr>
        <w:t>1</w:t>
      </w:r>
      <w:r>
        <w:t>O</w:t>
      </w:r>
      <w:r>
        <w:rPr>
          <w:vertAlign w:val="subscript"/>
        </w:rPr>
        <w:t>2</w:t>
      </w:r>
      <w:r>
        <w:t>is generated primarily from lattice‐oxygen through critical peroxide‐like M–O–O intermediates, with a secondary contribution from adsorbed water. Density functional theory (DFT) reveals Mn‐induced asymmetric d‐band engineering concurrently lowers the LOM barrier and raises the AEM barrier at Ni centers, establishing a Ni‐governed, LOM‐dominant dual‐pathway for</w:t>
      </w:r>
      <w:r>
        <w:rPr>
          <w:vertAlign w:val="subscript"/>
        </w:rPr>
        <w:t>1</w:t>
      </w:r>
      <w:r>
        <w:t>O</w:t>
      </w:r>
      <w:r>
        <w:rPr>
          <w:vertAlign w:val="subscript"/>
        </w:rPr>
        <w:t>2</w:t>
      </w:r>
      <w:r>
        <w:t>generation. The catalyst further enables general furfuryl and benzyl alcohol oxidation, and scale‐up in a flow electrolyzer achieves 90% MAO conversion. This work establishes an asymmetric electronic modulation strategy for in situ generation of singlet oxygen via peroxide‐like intermediates, enabling highly selective electrooxidation of alcohols.</w:t>
      </w:r>
    </w:p>
    <w:p>
      <w:pPr>
        <w:spacing w:before="120" w:after="120"/>
      </w:pPr>
      <w:r>
        <w:rPr>
          <w:sz w:val="18"/>
        </w:rPr>
        <w:t>——————————————————————————————————————————————————————————————————————</w:t>
      </w:r>
    </w:p>
    <w:p>
      <w:pPr>
        <w:spacing w:before="160" w:after="40" w:line="240" w:lineRule="auto"/>
      </w:pPr>
      <w:r>
        <w:rPr>
          <w:b/>
        </w:rPr>
        <w:t xml:space="preserve">[468] </w:t>
      </w:r>
      <w:hyperlink r:id="rId1368">
        <w:r>
          <w:rPr>
            <w:color w:val="1155CC"/>
            <w:u w:val="single"/>
          </w:rPr>
          <w:t>微滴界面电场触发羟基自由基耦合以实现高效的 H2O2 光合作用</w:t>
        </w:r>
      </w:hyperlink>
    </w:p>
    <w:p>
      <w:pPr>
        <w:spacing w:before="0" w:after="80"/>
      </w:pPr>
      <w:r>
        <w:rPr>
          <w:i/>
          <w:sz w:val="20"/>
        </w:rPr>
        <w:t>EN: Microdroplet Interfacial Electric Field Triggers Hydroxyl Radical Coupling Toward Efficient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2026-08-26 04:37:15+00:00</w:t>
      </w:r>
      <w:r>
        <w:t xml:space="preserve">    </w:t>
      </w:r>
      <w:r>
        <w:rPr>
          <w:b/>
        </w:rPr>
        <w:t xml:space="preserve">DOI: </w:t>
      </w:r>
      <w:hyperlink r:id="rId1369">
        <w:r>
          <w:rPr>
            <w:color w:val="1155CC"/>
            <w:u w:val="single"/>
          </w:rPr>
          <w:t>10.1002/anie.9181115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双电子水氧化反应（2e</w:t>
      </w:r>
      <w:r>
        <w:t xml:space="preserve"> </w:t>
      </w:r>
      <w:r>
        <w:t>-</w:t>
      </w:r>
      <w:r>
        <w:t>WOR）通过·OH偶联为H提供了直接途径</w:t>
      </w:r>
      <w:r>
        <w:rPr>
          <w:vertAlign w:val="subscript"/>
        </w:rPr>
        <w:t>2</w:t>
      </w:r>
      <w:r>
        <w:t>氧</w:t>
      </w:r>
      <w:r>
        <w:rPr>
          <w:vertAlign w:val="subscript"/>
        </w:rPr>
        <w:t>2</w:t>
      </w:r>
      <w:r>
        <w:t>光合作用，但传统的本体系统仍然受到高热力学势垒、短寿命·OH 和无序氢键网络的严格限制。受反应微环境驱动热力学不利途径的潜力的启发，我们开发了一种使用亲水性富氮COF（Tp-DAPd和Tp-DAPm）的微滴光催化平台，实现了H</w:t>
      </w:r>
      <w:r>
        <w:rPr>
          <w:vertAlign w:val="subscript"/>
        </w:rPr>
        <w:t>2</w:t>
      </w:r>
      <w:r>
        <w:t>氧</w:t>
      </w:r>
      <w:r>
        <w:rPr>
          <w:vertAlign w:val="subscript"/>
        </w:rPr>
        <w:t>2</w:t>
      </w:r>
      <w:r>
        <w:t>光合作用速率分别为11.12和12.15 mmol·L</w:t>
      </w:r>
      <w:r>
        <w:t xml:space="preserve"> </w:t>
      </w:r>
      <w:r>
        <w:t>−1</w:t>
      </w:r>
      <w:r>
        <w:t xml:space="preserve"> </w:t>
      </w:r>
      <w:r>
        <w:t>·g</w:t>
      </w:r>
      <w:r>
        <w:t xml:space="preserve"> </w:t>
      </w:r>
      <w:r>
        <w:t>−1</w:t>
      </w:r>
      <w:r>
        <w:t xml:space="preserve"> </w:t>
      </w:r>
      <w:r>
        <w:t>，分别比散装同类产品增强了 11.6 倍和 7.9 倍。单微滴尺度的产品标记荧光成像显微镜（PLFIM）可视化了界面反应区的尺寸依赖性加速和向内扩张。多尺度机理研究表明，固有微滴界面电场主动调节 2e</w:t>
      </w:r>
      <w:r>
        <w:t xml:space="preserve"> </w:t>
      </w:r>
      <w:r>
        <w:t>-</w:t>
      </w:r>
      <w:r>
        <w:t>WOR 过程通过将氢键网络重组为低熵状态，稳定部分溶剂化的·OH，并诱导有利的反式高斯构型。这些效应共同作用，创造了一个独特的微环境，促进水的解离和·OH 偶联，从而</w:t>
      </w:r>
    </w:p>
    <w:p>
      <w:pPr>
        <w:spacing w:before="0" w:after="200" w:lineRule="auto" w:line="276"/>
      </w:pPr>
      <w:r>
        <w:rPr>
          <w:b/>
        </w:rPr>
        <w:t xml:space="preserve">Abstract (EN): </w:t>
      </w:r>
      <w:r>
        <w:t>The two‐electron water oxidation reaction (2e</w:t>
      </w:r>
      <w:r>
        <w:t xml:space="preserve"> </w:t>
      </w:r>
      <w:r>
        <w:t>−</w:t>
      </w:r>
      <w:r>
        <w:t>WOR) via ·OH coupling offers a direct route for H</w:t>
      </w:r>
      <w:r>
        <w:rPr>
          <w:vertAlign w:val="subscript"/>
        </w:rPr>
        <w:t>2</w:t>
      </w:r>
      <w:r>
        <w:t>O</w:t>
      </w:r>
      <w:r>
        <w:rPr>
          <w:vertAlign w:val="subscript"/>
        </w:rPr>
        <w:t>2</w:t>
      </w:r>
      <w:r>
        <w:t>photosynthesis, but conventional bulk systems remain rigidly limited by high thermodynamic barriers, short‐lived ·OH, and disordered H‐bond networks. Inspired by the potential of reaction microenvironments to drive thermodynamically unfavorable pathways, we developed a microdroplet photocatalytic platform using hydrophilic nitrogen‐rich COFs (Tp‐DAPd and Tp‐DAPm), achieving H</w:t>
      </w:r>
      <w:r>
        <w:rPr>
          <w:vertAlign w:val="subscript"/>
        </w:rPr>
        <w:t>2</w:t>
      </w:r>
      <w:r>
        <w:t>O</w:t>
      </w:r>
      <w:r>
        <w:rPr>
          <w:vertAlign w:val="subscript"/>
        </w:rPr>
        <w:t>2</w:t>
      </w:r>
      <w:r>
        <w:t>photosynthesis rates of 11.12 and 12.15 mmol·L</w:t>
      </w:r>
      <w:r>
        <w:t xml:space="preserve"> </w:t>
      </w:r>
      <w:r>
        <w:t>−1</w:t>
      </w:r>
      <w:r>
        <w:t xml:space="preserve"> </w:t>
      </w:r>
      <w:r>
        <w:t>·g</w:t>
      </w:r>
      <w:r>
        <w:t xml:space="preserve"> </w:t>
      </w:r>
      <w:r>
        <w:t>−1</w:t>
      </w:r>
      <w:r>
        <w:t xml:space="preserve"> </w:t>
      </w:r>
      <w:r>
        <w:t>, with 11.6‐ and 7.9‐fold enhancements over their bulk counterparts, respectively. Product‐labeling fluorescence imaging microscopy (PLFIM) at the single‐microdroplet scale visualized size‐dependent acceleration and inward expansion of the interfacial reactive zone. Multiscale mechanistic investigations reveal that the intrinsic microdroplet interfacial electric field actively regulates the 2e</w:t>
      </w:r>
      <w:r>
        <w:t xml:space="preserve"> </w:t>
      </w:r>
      <w:r>
        <w:t>−</w:t>
      </w:r>
      <w:r>
        <w:t>WOR process by restructuring the H‐bond network into a low‐entropy state, stabilizing partially solvated ·OH, and inducing a favorable trans‐gauche configuration. These effects work together to create a unique microenvironment that promotes water dissociation and ·OH coupling, thereby lowering the thermodynamic barrier for 2e</w:t>
      </w:r>
      <w:r>
        <w:t xml:space="preserve"> </w:t>
      </w:r>
      <w:r>
        <w:t>−</w:t>
      </w:r>
      <w:r>
        <w:t>WOR under operational conditions. This work represents a microenvironment‐oriented strategy to overcome intrinsic thermodynamic limitations and inspires new strategies for the rational design of microdroplet‐assisted photosynthetic systems.</w:t>
      </w:r>
    </w:p>
    <w:p>
      <w:pPr>
        <w:spacing w:before="120" w:after="120"/>
      </w:pPr>
      <w:r>
        <w:rPr>
          <w:sz w:val="18"/>
        </w:rPr>
        <w:t>——————————————————————————————————————————————————————————————————————</w:t>
      </w:r>
    </w:p>
    <w:p>
      <w:pPr>
        <w:spacing w:before="160" w:after="40" w:line="240" w:lineRule="auto"/>
      </w:pPr>
      <w:r>
        <w:rPr>
          <w:b/>
        </w:rPr>
        <w:t xml:space="preserve">[469] </w:t>
      </w:r>
      <w:hyperlink r:id="rId1370">
        <w:r>
          <w:rPr>
            <w:color w:val="1155CC"/>
            <w:u w:val="single"/>
          </w:rPr>
          <w:t>缺陷工程诱导的无蠕变超弹性凝胶</w:t>
        </w:r>
      </w:hyperlink>
    </w:p>
    <w:p>
      <w:pPr>
        <w:spacing w:before="0" w:after="80"/>
      </w:pPr>
      <w:r>
        <w:rPr>
          <w:i/>
          <w:sz w:val="20"/>
        </w:rPr>
        <w:t>EN: Defect Engineering‐Induced Creep‐Free Hyperelastic Gels</w:t>
      </w:r>
    </w:p>
    <w:p>
      <w:pPr>
        <w:spacing w:before="0" w:after="120"/>
      </w:pPr>
      <w:r>
        <w:rPr>
          <w:b/>
        </w:rPr>
        <w:t xml:space="preserve">Source: </w:t>
      </w:r>
      <w:r>
        <w:t>Wiley: Angewandte Chemie International Edition: Table of Contents</w:t>
      </w:r>
      <w:r>
        <w:t xml:space="preserve">    </w:t>
      </w:r>
      <w:r>
        <w:rPr>
          <w:b/>
        </w:rPr>
        <w:t xml:space="preserve">Pub date: </w:t>
      </w:r>
      <w:r>
        <w:t>2026-08-26 04:37:50+00:00</w:t>
      </w:r>
      <w:r>
        <w:t xml:space="preserve">    </w:t>
      </w:r>
      <w:r>
        <w:rPr>
          <w:b/>
        </w:rPr>
        <w:t xml:space="preserve">DOI: </w:t>
      </w:r>
      <w:hyperlink r:id="rId1371">
        <w:r>
          <w:rPr>
            <w:color w:val="1155CC"/>
            <w:u w:val="single"/>
          </w:rPr>
          <w:t>10.1002/anie.7176757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弹性体中的粘弹性蠕变从根本上源于由弱分子间相互作用和不完美交联控制的聚合物链的分子尺度滑移和解缠结。因此，长期机械载荷产生的残余应变严重限制了凝胶材料的机械稳定性。在这项研究中，我们提出了一种亚单元尺度缺陷工程诱导增韧策略，用于制造无蠕变超弹性水凝胶。在金属有机框架 (MOF) 中的连接基和簇缺陷产生的纳米空间内，原位聚合聚合物和 MOF 晶体之间的强约束相互作用能够实现快速的自我增强和显着的抗蠕变性。所制备的水凝胶表现出低滞后性，在 99% 压缩应变下完全恢复，蠕变可忽略不计，并且在 25000 个负载循环后具有出色的抗疲劳性。这些特性使我们的水凝胶成为无漂移离子电子传感器的有前途的候选者，可以在空气、水下和其他复杂环境中进行长期稳定的监测。</w:t>
      </w:r>
    </w:p>
    <w:p>
      <w:pPr>
        <w:spacing w:before="0" w:after="200" w:lineRule="auto" w:line="276"/>
      </w:pPr>
      <w:r>
        <w:rPr>
          <w:b/>
        </w:rPr>
        <w:t xml:space="preserve">Abstract (EN): </w:t>
      </w:r>
      <w:r>
        <w:t>Viscoelastic creep in elastomer originates fundamentally from the molecular‐scale slippage and disentanglement of polymer chains governed by weak intermolecular interactions and imperfect crosslinking. Consequently, residual strain generated by long‐term mechanical loading severely limits the mechanical stability of gel materials. In this study, we proposed a sub‐unit‐cell‐scale defect engineering induced toughening strategy for fabricating creep‐free hyperelastic hydrogels. Within the nanospaces created by linker and cluster defects in metal–organic frameworks (MOFs), strong confined interaction between in situ polymerized polymers and MOF crystals enables rapid self‐reinforcement and remarkable creep resistance. The as‐prepared hydrogels exhibited low hysteresis with full recovery under 99% compressive strain, negligible creep, and outstanding fatigue resistance over 25 000 loading cycles. These features render our hydrogels a promising candidate for drift‐free iontronic sensors, allowing long‐term stable monitoring in air, underwater, and other complex environments.</w:t>
      </w:r>
    </w:p>
    <w:p>
      <w:pPr>
        <w:spacing w:before="120" w:after="120"/>
      </w:pPr>
      <w:r>
        <w:rPr>
          <w:sz w:val="18"/>
        </w:rPr>
        <w:t>——————————————————————————————————————————————————————————————————————</w:t>
      </w:r>
    </w:p>
    <w:p>
      <w:pPr>
        <w:spacing w:before="160" w:after="40" w:line="240" w:lineRule="auto"/>
      </w:pPr>
      <w:r>
        <w:rPr>
          <w:b/>
        </w:rPr>
        <w:t xml:space="preserve">[470] </w:t>
      </w:r>
      <w:hyperlink r:id="rId1372">
        <w:r>
          <w:rPr>
            <w:color w:val="1155CC"/>
            <w:u w:val="single"/>
          </w:rPr>
          <w:t>提高亚胺连接共价有机骨架化学稳定性的策略</w:t>
        </w:r>
      </w:hyperlink>
    </w:p>
    <w:p>
      <w:pPr>
        <w:spacing w:before="0" w:after="80"/>
      </w:pPr>
      <w:r>
        <w:rPr>
          <w:i/>
          <w:sz w:val="20"/>
        </w:rPr>
        <w:t>EN: The Strategies of Improving Chemical Stability of Imine‐Linked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2026-08-26 04:43:06+00:00</w:t>
      </w:r>
      <w:r>
        <w:t xml:space="preserve">    </w:t>
      </w:r>
      <w:r>
        <w:rPr>
          <w:b/>
        </w:rPr>
        <w:t xml:space="preserve">DOI: </w:t>
      </w:r>
      <w:hyperlink r:id="rId1373">
        <w:r>
          <w:rPr>
            <w:color w:val="1155CC"/>
            <w:u w:val="single"/>
          </w:rPr>
          <w:t>10.1002/anie.8846972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亚胺连接的共价有机骨架（COF）因其良好的结晶度、永久孔隙率和可调的孔结构等独特优势，在分子分离、气体储存、光催化、电催化、储能和光电器件等领域有着广泛的应用。然而，由于亚胺连接的COF在酸性或碱性条件下化学稳定性降低，其在化学催化和气体分离中的实际应用可能会受到阻碍。最近，人们开发了各种有效的策略来提高亚胺连接的COF的化学稳定性。在这篇综述中，我们从设计策略的角度总结了提高亚胺连接COF稳定性的重要进展，包括给电子基团取代、空间调节、氟取代、氧化还原转化、六元环化、五元环化等。此外，还描述了促进稳定亚胺连接COF的实现的挑战和前景，这将满足这些材料在实际应用中的要求。</w:t>
      </w:r>
    </w:p>
    <w:p>
      <w:pPr>
        <w:spacing w:before="0" w:after="200" w:lineRule="auto" w:line="276"/>
      </w:pPr>
      <w:r>
        <w:rPr>
          <w:b/>
        </w:rPr>
        <w:t xml:space="preserve">Abstract (EN): </w:t>
      </w:r>
      <w:r>
        <w:t>Imine‐linked covalent organic frameworks (COFs) have wide applications in molecular separation, gas storage, photocatalysis, electrocatalysis, energy storage, and optoelectronic devices because of their unique advantages such as good crystallinity, permanent porosity, and tunable pore structure. However, the practical applications of imine‐linked COFs in chemical catalysis and gas separation may be hindered due to their reduced chemical stability in acidic or basic conditions. Recently, various effective strategies have been developed to improve chemical stability of imine‐linked COFs. In this review, we summarize the important advances in improving the stability of imine‐linked COFs from the viewpoint of design strategies, including electron‐donating group substitution, steric tuning, fluorine substitution, redox conversion, six‐membered cyclization, five‐membered cyclization, and so on. Moreover, the challenges and perspectives are also described to promote the realization of stable imine‐linked COFs, which will meet the requirements of these materials in practical applications.</w:t>
      </w:r>
    </w:p>
    <w:p>
      <w:pPr>
        <w:spacing w:before="120" w:after="120"/>
      </w:pPr>
      <w:r>
        <w:rPr>
          <w:sz w:val="18"/>
        </w:rPr>
        <w:t>——————————————————————————————————————————————————————————————————————</w:t>
      </w:r>
    </w:p>
    <w:p>
      <w:pPr>
        <w:spacing w:before="160" w:after="40" w:line="240" w:lineRule="auto"/>
      </w:pPr>
      <w:r>
        <w:rPr>
          <w:b/>
        </w:rPr>
        <w:t xml:space="preserve">[471] </w:t>
      </w:r>
      <w:hyperlink r:id="rId1374">
        <w:r>
          <w:rPr>
            <w:color w:val="1155CC"/>
            <w:u w:val="single"/>
          </w:rPr>
          <w:t>具有八面体间氢键的零维手性杂化金属卤化物的高发光不对称性</w:t>
        </w:r>
      </w:hyperlink>
    </w:p>
    <w:p>
      <w:pPr>
        <w:spacing w:before="0" w:after="80"/>
      </w:pPr>
      <w:r>
        <w:rPr>
          <w:i/>
          <w:sz w:val="20"/>
        </w:rPr>
        <w:t>EN: High Luminescence Dissymmetry in Zero‐Dimensional Chiral Hybrid Metal Halide With Inter‐Octahedral Hydrogen Bonding</w:t>
      </w:r>
    </w:p>
    <w:p>
      <w:pPr>
        <w:spacing w:before="0" w:after="120"/>
      </w:pPr>
      <w:r>
        <w:rPr>
          <w:b/>
        </w:rPr>
        <w:t xml:space="preserve">Source: </w:t>
      </w:r>
      <w:r>
        <w:t>Wiley: Angewandte Chemie International Edition: Table of Contents</w:t>
      </w:r>
      <w:r>
        <w:t xml:space="preserve">    </w:t>
      </w:r>
      <w:r>
        <w:rPr>
          <w:b/>
        </w:rPr>
        <w:t xml:space="preserve">Pub date: </w:t>
      </w:r>
      <w:r>
        <w:t>2026-08-26 04:44:24+00:00</w:t>
      </w:r>
      <w:r>
        <w:t xml:space="preserve">    </w:t>
      </w:r>
      <w:r>
        <w:rPr>
          <w:b/>
        </w:rPr>
        <w:t xml:space="preserve">DOI: </w:t>
      </w:r>
      <w:hyperlink r:id="rId1375">
        <w:r>
          <w:rPr>
            <w:color w:val="1155CC"/>
            <w:u w:val="single"/>
          </w:rPr>
          <w:t>10.1002/anie.2292773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手性有机和无机组分之间的氢键相互作用已被广泛用于诱导和调节手性杂化金属卤化物（CHMH）中的圆偏振发光（CPL）。除了这些既定策略之外，结合八面体间（无机-无机）氢键为通过长程手性转移放大 CPL 提供了显着但尚未充分开发的潜力。在这里，我们报告了（</w:t>
      </w:r>
      <w:r>
        <w:t xml:space="preserve"> </w:t>
      </w:r>
      <w:r>
        <w:t>S</w:t>
      </w:r>
      <w:r>
        <w:t xml:space="preserve"> </w:t>
      </w:r>
      <w:r>
        <w:t>/</w:t>
      </w:r>
      <w:r>
        <w:t>右</w:t>
      </w:r>
      <w:r>
        <w:t xml:space="preserve"> </w:t>
      </w:r>
      <w:r>
        <w:t>‐C</w:t>
      </w:r>
      <w:r>
        <w:rPr>
          <w:vertAlign w:val="subscript"/>
        </w:rPr>
        <w:t>9</w:t>
      </w:r>
      <w:r>
        <w:t>H</w:t>
      </w:r>
      <w:r>
        <w:rPr>
          <w:vertAlign w:val="subscript"/>
        </w:rPr>
        <w:t>20</w:t>
      </w:r>
      <w:r>
        <w:t>开</w:t>
      </w:r>
      <w:r>
        <w:rPr>
          <w:vertAlign w:val="subscript"/>
        </w:rPr>
        <w:t>2</w:t>
      </w:r>
      <w:r>
        <w:t>）在</w:t>
      </w:r>
      <w:r>
        <w:t xml:space="preserve"> </w:t>
      </w:r>
      <w:r>
        <w:t>0.93</w:t>
      </w:r>
      <w:r>
        <w:t xml:space="preserve"> </w:t>
      </w:r>
      <w:r>
        <w:t>锑</w:t>
      </w:r>
      <w:r>
        <w:t xml:space="preserve"> </w:t>
      </w:r>
      <w:r>
        <w:t>0.07</w:t>
      </w:r>
      <w:r>
        <w:t xml:space="preserve"> </w:t>
      </w:r>
      <w:r>
        <w:t>氯</w:t>
      </w:r>
      <w:r>
        <w:rPr>
          <w:vertAlign w:val="subscript"/>
        </w:rPr>
        <w:t>5</w:t>
      </w:r>
      <w:r>
        <w:t>·H</w:t>
      </w:r>
      <w:r>
        <w:rPr>
          <w:vertAlign w:val="subscript"/>
        </w:rPr>
        <w:t>2</w:t>
      </w:r>
      <w:r>
        <w:t>欧（</w:t>
      </w:r>
      <w:r>
        <w:t xml:space="preserve"> </w:t>
      </w:r>
      <w:r>
        <w:t>S</w:t>
      </w:r>
      <w:r>
        <w:t xml:space="preserve"> </w:t>
      </w:r>
      <w:r>
        <w:t>/</w:t>
      </w:r>
      <w:r>
        <w:t>右</w:t>
      </w:r>
      <w:r>
        <w:t xml:space="preserve"> </w:t>
      </w:r>
      <w:r>
        <w:t>‐InSbCl</w:t>
      </w:r>
      <w:r>
        <w:rPr>
          <w:vertAlign w:val="subscript"/>
        </w:rPr>
        <w:t>5</w:t>
      </w:r>
      <w:r>
        <w:t>·H</w:t>
      </w:r>
      <w:r>
        <w:rPr>
          <w:vertAlign w:val="subscript"/>
        </w:rPr>
        <w:t>2</w:t>
      </w:r>
      <w:r>
        <w:t>O），其中三种类型的有机-无机、八面体间和有机间（有机-有机）氢键相互作用在零维 CHMH 框架内协同集成。这些材料不仅具有接近一致的光致发光量子产率，更重要的是，表现出显着的0.1的发光不对称因子。结构和光物理分析表明八面体间氢键显着增强了八面体的距离</w:t>
      </w:r>
    </w:p>
    <w:p>
      <w:pPr>
        <w:spacing w:before="0" w:after="200" w:lineRule="auto" w:line="276"/>
      </w:pPr>
      <w:r>
        <w:rPr>
          <w:b/>
        </w:rPr>
        <w:t xml:space="preserve">Abstract (EN): </w:t>
      </w:r>
      <w:r>
        <w:t>Hydrogen‐bonding interactions between chiral organic and inorganic components have been widely utilized to induce and modulate circularly polarized luminescence (CPL) in chiral hybrid metal halides (CHMHs). Beyond these established strategies, incorporating inter‐octahedral (inorganic‐inorganic) hydrogen bonding offers significant yet underexplored potential for amplifying CPL through long‐range chirality transfer. Here, we report the design and synthesis of (</w:t>
      </w:r>
      <w:r>
        <w:t xml:space="preserve"> </w:t>
      </w:r>
      <w:r>
        <w:t>S</w:t>
      </w:r>
      <w:r>
        <w:t xml:space="preserve"> </w:t>
      </w:r>
      <w:r>
        <w:t>/</w:t>
      </w:r>
      <w:r>
        <w:t>R</w:t>
      </w:r>
      <w:r>
        <w:t xml:space="preserve"> </w:t>
      </w:r>
      <w:r>
        <w:t>‐C</w:t>
      </w:r>
      <w:r>
        <w:rPr>
          <w:vertAlign w:val="subscript"/>
        </w:rPr>
        <w:t>9</w:t>
      </w:r>
      <w:r>
        <w:t>H</w:t>
      </w:r>
      <w:r>
        <w:rPr>
          <w:vertAlign w:val="subscript"/>
        </w:rPr>
        <w:t>20</w:t>
      </w:r>
      <w:r>
        <w:t>ON</w:t>
      </w:r>
      <w:r>
        <w:rPr>
          <w:vertAlign w:val="subscript"/>
        </w:rPr>
        <w:t>2</w:t>
      </w:r>
      <w:r>
        <w:t>)In</w:t>
      </w:r>
      <w:r>
        <w:t xml:space="preserve"> </w:t>
      </w:r>
      <w:r>
        <w:t>0.93</w:t>
      </w:r>
      <w:r>
        <w:t xml:space="preserve"> </w:t>
      </w:r>
      <w:r>
        <w:t>Sb</w:t>
      </w:r>
      <w:r>
        <w:t xml:space="preserve"> </w:t>
      </w:r>
      <w:r>
        <w:t>0.07</w:t>
      </w:r>
      <w:r>
        <w:t xml:space="preserve"> </w:t>
      </w:r>
      <w:r>
        <w:t>Cl</w:t>
      </w:r>
      <w:r>
        <w:rPr>
          <w:vertAlign w:val="subscript"/>
        </w:rPr>
        <w:t>5</w:t>
      </w:r>
      <w:r>
        <w:t>·H</w:t>
      </w:r>
      <w:r>
        <w:rPr>
          <w:vertAlign w:val="subscript"/>
        </w:rPr>
        <w:t>2</w:t>
      </w:r>
      <w:r>
        <w:t>O (</w:t>
      </w:r>
      <w:r>
        <w:t xml:space="preserve"> </w:t>
      </w:r>
      <w:r>
        <w:t>S</w:t>
      </w:r>
      <w:r>
        <w:t xml:space="preserve"> </w:t>
      </w:r>
      <w:r>
        <w:t>/</w:t>
      </w:r>
      <w:r>
        <w:t>R</w:t>
      </w:r>
      <w:r>
        <w:t xml:space="preserve"> </w:t>
      </w:r>
      <w:r>
        <w:t>‐InSbCl</w:t>
      </w:r>
      <w:r>
        <w:rPr>
          <w:vertAlign w:val="subscript"/>
        </w:rPr>
        <w:t>5</w:t>
      </w:r>
      <w:r>
        <w:t>·H</w:t>
      </w:r>
      <w:r>
        <w:rPr>
          <w:vertAlign w:val="subscript"/>
        </w:rPr>
        <w:t>2</w:t>
      </w:r>
      <w:r>
        <w:t>O), in which three types of organic‐inorganic, inter‐octahedral, and inter‐organic (organic‐organic) hydrogen‐bonding interactions are synergistically integrated within a zero‐dimensional CHMH framework. These materials not only feature a near‐unity photoluminescence quantum yield, but also, more importantly, exhibit a remarkable luminescence dissymmetry factor of 0.1. Structural and photophysical analyses reveal that inter‐octahedral hydrogen bonding significantly enhances octahedral distortion and the coherence of chirality transfer across the lattice through inter‐octahedral interactions, thereby significantly amplifying CPL activity. Combined crystallographic analyses and theoretical calculations further demonstrate that these interactions are governed by the electrostatic potential distribution of coordinated molecules and the inter‐octahedral distance. This work highlights inter‐octahedral hydrogen bonding as a novel key structural parameter for CPL amplification and provides a general strategy for designing high‐performance chiral luminescent materials.</w:t>
      </w:r>
    </w:p>
    <w:p>
      <w:pPr>
        <w:spacing w:before="120" w:after="120"/>
      </w:pPr>
      <w:r>
        <w:rPr>
          <w:sz w:val="18"/>
        </w:rPr>
        <w:t>——————————————————————————————————————————————————————————————————————</w:t>
      </w:r>
    </w:p>
    <w:p>
      <w:pPr>
        <w:spacing w:before="160" w:after="40" w:line="240" w:lineRule="auto"/>
      </w:pPr>
      <w:r>
        <w:rPr>
          <w:b/>
        </w:rPr>
        <w:t xml:space="preserve">[472] </w:t>
      </w:r>
      <w:hyperlink r:id="rId1376">
        <w:r>
          <w:rPr>
            <w:color w:val="1155CC"/>
            <w:u w:val="single"/>
          </w:rPr>
          <w:t>晶格氧和分子氧之间结晶度调节的相互作用使得尖晶石催化剂中能够选择性地生成超氧化物</w:t>
        </w:r>
      </w:hyperlink>
    </w:p>
    <w:p>
      <w:pPr>
        <w:spacing w:before="0" w:after="80"/>
      </w:pPr>
      <w:r>
        <w:rPr>
          <w:i/>
          <w:sz w:val="20"/>
        </w:rPr>
        <w:t>EN: Crystallinity‐Regulated Interplay Between Lattice Oxygen and Molecular Oxygen Enables Selective Superoxide Generation in Spinel Catalysts</w:t>
      </w:r>
    </w:p>
    <w:p>
      <w:pPr>
        <w:spacing w:before="0" w:after="120"/>
      </w:pPr>
      <w:r>
        <w:rPr>
          <w:b/>
        </w:rPr>
        <w:t xml:space="preserve">Source: </w:t>
      </w:r>
      <w:r>
        <w:t>Wiley: Angewandte Chemie International Edition: Table of Contents</w:t>
      </w:r>
      <w:r>
        <w:t xml:space="preserve">    </w:t>
      </w:r>
      <w:r>
        <w:rPr>
          <w:b/>
        </w:rPr>
        <w:t xml:space="preserve">Pub date: </w:t>
      </w:r>
      <w:r>
        <w:t>2026-08-26 04:50:32+00:00</w:t>
      </w:r>
      <w:r>
        <w:t xml:space="preserve">    </w:t>
      </w:r>
      <w:r>
        <w:rPr>
          <w:b/>
        </w:rPr>
        <w:t xml:space="preserve">DOI: </w:t>
      </w:r>
      <w:hyperlink r:id="rId1377">
        <w:r>
          <w:rPr>
            <w:color w:val="1155CC"/>
            <w:u w:val="single"/>
          </w:rPr>
          <w:t>10.1002/anie.6752244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由晶格氧和分子氧途径介导的催化氧化是实现可持续化学的一条有吸引力的途径，但通过催化剂结构设计控制活性氧（ROS）来实现选择性反应结果仍然是一个基本挑战。在此类系统中，ROS 可以源自晶格氧和分子氧，它们的相对贡献决定了 ROS 特性和反应选择性。其中，镍锰</w:t>
      </w:r>
      <w:r>
        <w:rPr>
          <w:vertAlign w:val="subscript"/>
        </w:rPr>
        <w:t>2</w:t>
      </w:r>
      <w:r>
        <w:t>氧</w:t>
      </w:r>
      <w:r>
        <w:rPr>
          <w:vertAlign w:val="subscript"/>
        </w:rPr>
        <w:t>4</w:t>
      </w:r>
      <w:r>
        <w:t>具有可调结晶度的尖晶石氧化物用于阐明结构排序如何调节晶格氧反应性和 ROS 演化。使用磺胺嘧啶氧化作为有机氧化反应模型，催化活性表现出对结晶度的火山型依赖性。中间结晶度体系以共存的结晶域和非晶域为特征，有利于晶格氧途径和分子氧途径的平衡参与。这种结构配置有利于ROS向超氧化物（·O</w:t>
      </w:r>
      <w:r>
        <w:rPr>
          <w:vertAlign w:val="subscript"/>
        </w:rPr>
        <w:t>2</w:t>
      </w:r>
      <w:r>
        <w:t>-</w:t>
      </w:r>
      <w:r>
        <w:t>）的产生，同时抑制羟基自由基（·OH）。相反，过度的无序会破坏电荷传输，而高结晶度会对晶格氧的参与施加动力学限制。结合原位光谱、气氛切换实验和密度泛函理论（DFT）揭示结晶度控制金属-氧相互作用、氧空位形成、</w:t>
      </w:r>
    </w:p>
    <w:p>
      <w:pPr>
        <w:spacing w:before="0" w:after="200" w:lineRule="auto" w:line="276"/>
      </w:pPr>
      <w:r>
        <w:rPr>
          <w:b/>
        </w:rPr>
        <w:t xml:space="preserve">Abstract (EN): </w:t>
      </w:r>
      <w:r>
        <w:t>Catalytic oxidation mediated by lattice oxygen and molecular oxygen pathways represents an appealing route toward sustainable chemistry, yet achieving selective reaction outcomes by controlling reactive oxygen species (ROS) through catalyst structural design remains a fundamental challenge. In such systems, ROS can originate from both lattice oxygen and molecular oxygen, and their relative contributions determine ROS identity and reaction selectivity. Herein, NiMn</w:t>
      </w:r>
      <w:r>
        <w:rPr>
          <w:vertAlign w:val="subscript"/>
        </w:rPr>
        <w:t>2</w:t>
      </w:r>
      <w:r>
        <w:t>O</w:t>
      </w:r>
      <w:r>
        <w:rPr>
          <w:vertAlign w:val="subscript"/>
        </w:rPr>
        <w:t>4</w:t>
      </w:r>
      <w:r>
        <w:t>spinel oxides with tunable crystallinity are employed to elucidate how structural ordering regulates lattice oxygen reactivity and ROS evolution. Using sulfamerazine oxidation as a model organic oxidation reaction, the catalytic activity exhibits a volcano‐type dependence on crystallinity. An intermediate‐crystallinity regime, featuring coexisting crystalline and amorphous domains, facilitates balanced involvement of lattice‐ and molecular‐oxygen pathways. This structural configuration favors ROS evolution toward superoxide (•O</w:t>
      </w:r>
      <w:r>
        <w:rPr>
          <w:vertAlign w:val="subscript"/>
        </w:rPr>
        <w:t>2</w:t>
      </w:r>
      <w:r>
        <w:t>−</w:t>
      </w:r>
      <w:r>
        <w:t>) generation while suppressing hydroxyl radicals (•OH). Conversely, excessive disorder disrupts charge transport, whereas high crystallinity imposes kinetic constraints on the participation of lattice oxygen. Combined in situ spectroscopy, atmosphere‐switching experiments, and density functional theory (DFT) reveal that crystallinity governs metal–oxygen interactions, oxygen vacancy formation, and lattice oxygen dynamics. These findings establish crystallinity as a pivotal parameter for regulating lattice‐ and molecular‐oxygen pathways and for designing spinel catalysts with controlled ROS selectivity.</w:t>
      </w:r>
    </w:p>
    <w:p>
      <w:pPr>
        <w:spacing w:before="120" w:after="120"/>
      </w:pPr>
      <w:r>
        <w:rPr>
          <w:sz w:val="18"/>
        </w:rPr>
        <w:t>——————————————————————————————————————————————————————————————————————</w:t>
      </w:r>
    </w:p>
    <w:p>
      <w:pPr>
        <w:spacing w:before="160" w:after="40" w:line="240" w:lineRule="auto"/>
      </w:pPr>
      <w:r>
        <w:rPr>
          <w:b/>
        </w:rPr>
        <w:t xml:space="preserve">[473] </w:t>
      </w:r>
      <w:hyperlink r:id="rId1378">
        <w:r>
          <w:rPr>
            <w:color w:val="1155CC"/>
            <w:u w:val="single"/>
          </w:rPr>
          <w:t>自组装 Pt(II) 复合物可促进干细胞增殖并加速生物体的变态</w:t>
        </w:r>
      </w:hyperlink>
    </w:p>
    <w:p>
      <w:pPr>
        <w:spacing w:before="0" w:after="80"/>
      </w:pPr>
      <w:r>
        <w:rPr>
          <w:i/>
          <w:sz w:val="20"/>
        </w:rPr>
        <w:t>EN: Self‐Assembled Pt(II) Complexes Boost Up Stem Cell Proliferation and Accelerate Metamorphosis in Living Organisms</w:t>
      </w:r>
    </w:p>
    <w:p>
      <w:pPr>
        <w:spacing w:before="0" w:after="120"/>
      </w:pPr>
      <w:r>
        <w:rPr>
          <w:b/>
        </w:rPr>
        <w:t xml:space="preserve">Source: </w:t>
      </w:r>
      <w:r>
        <w:t>Wiley: Angewandte Chemie International Edition: Table of Contents</w:t>
      </w:r>
      <w:r>
        <w:t xml:space="preserve">    </w:t>
      </w:r>
      <w:r>
        <w:rPr>
          <w:b/>
        </w:rPr>
        <w:t xml:space="preserve">Pub date: </w:t>
      </w:r>
      <w:r>
        <w:t>2026-08-26 04:57:35+00:00</w:t>
      </w:r>
      <w:r>
        <w:t xml:space="preserve">    </w:t>
      </w:r>
      <w:r>
        <w:rPr>
          <w:b/>
        </w:rPr>
        <w:t xml:space="preserve">DOI: </w:t>
      </w:r>
      <w:hyperlink r:id="rId1379">
        <w:r>
          <w:rPr>
            <w:color w:val="1155CC"/>
            <w:u w:val="single"/>
          </w:rPr>
          <w:t>10.1002/anie.7957354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是自然界中众所周知的现象，发生在从小分子到复杂生物分子的所有尺度上，它是形成分层生物结构的基础。关键是通过超分子相互作用进行精确组织的要求，这通常会引发反应性、光谱特征和功能结果的巨大变化。在这里，我们证明 Pt(II) 配合物的自组装不仅产生了优异的成像探针，而且还出现了氧化还原活性特征。一旦进入体内，自组装的 Pt(II) 复合物令人惊讶地充当干细胞增殖的有效促进剂和关键生理功能的调节剂。组装的发光复合物可微调透明淡水息肉中的活性氧（ROS）响应</w:t>
      </w:r>
      <w:r>
        <w:t xml:space="preserve"> </w:t>
      </w:r>
      <w:r>
        <w:t>普通九头蛇</w:t>
      </w:r>
      <w:r>
        <w:t xml:space="preserve"> </w:t>
      </w:r>
      <w:r>
        <w:t>，增强总抗氧化能力并调节参与抗氧化防御和细胞周期进程的关键基因的表达。此外，海葵中</w:t>
      </w:r>
      <w:r>
        <w:t xml:space="preserve"> </w:t>
      </w:r>
      <w:r>
        <w:t>维氏线虫</w:t>
      </w:r>
      <w:r>
        <w:t xml:space="preserve"> </w:t>
      </w:r>
      <w:r>
        <w:t>组装的复合物加速了幼虫到成虫的变态过程，进一步强调了其在不同生物系统中的多方面作用和物种特异性作用，并最终为创新治疗诊断策略铺平了道路。</w:t>
      </w:r>
    </w:p>
    <w:p>
      <w:pPr>
        <w:spacing w:before="0" w:after="200" w:lineRule="auto" w:line="276"/>
      </w:pPr>
      <w:r>
        <w:rPr>
          <w:b/>
        </w:rPr>
        <w:t xml:space="preserve">Abstract (EN): </w:t>
      </w:r>
      <w:r>
        <w:t>Self‐assembly is a well‐known phenomenon in nature, occurring at all scales, from small molecules to complex biomolecules, and it is the foundation for the formation of hierarchical biological structures. Pivotal is the requirement for precise organization through supramolecular interactions, which often trigger dramatic changes in reactivity, spectroscopic features and functional outcomes. Here, we demonstrate that the self‐assembly of a Pt(II) complex not only gives rise to a superior imaging probe, but also to the emergence of redox‐active features. Once in vivo, the self‐assembled Pt(II) complex surprisingly acts as a potent promoter of stem cell proliferation and a modulator of key physiological functions. The assembled luminescent complexes finely tune reactive oxygen species (ROS) response in the transparent freshwater polyp</w:t>
      </w:r>
      <w:r>
        <w:t xml:space="preserve"> </w:t>
      </w:r>
      <w:r>
        <w:t>Hydra vulgaris</w:t>
      </w:r>
      <w:r>
        <w:t xml:space="preserve"> </w:t>
      </w:r>
      <w:r>
        <w:t>, enhancing the total antioxidant capacity and modulating the expression of key genes involved in antioxidant defenses and cell cycle progression. In addition, in the sea anemone</w:t>
      </w:r>
      <w:r>
        <w:t xml:space="preserve"> </w:t>
      </w:r>
      <w:r>
        <w:t>Nematostella vectensis</w:t>
      </w:r>
      <w:r>
        <w:t xml:space="preserve"> </w:t>
      </w:r>
      <w:r>
        <w:t>, the assembled complex accelerates the larvae‐to‐adult metamorphosis process, further underscoring its multifaceted role and species‐specific action in diverse biological systems and ultimately paving the way for innovative theranostic strategies.</w:t>
      </w:r>
    </w:p>
    <w:p>
      <w:pPr>
        <w:spacing w:before="120" w:after="120"/>
      </w:pPr>
      <w:r>
        <w:rPr>
          <w:sz w:val="18"/>
        </w:rPr>
        <w:t>——————————————————————————————————————————————————————————————————————</w:t>
      </w:r>
    </w:p>
    <w:p>
      <w:pPr>
        <w:spacing w:before="160" w:after="40" w:line="240" w:lineRule="auto"/>
      </w:pPr>
      <w:r>
        <w:rPr>
          <w:b/>
        </w:rPr>
        <w:t xml:space="preserve">[474] </w:t>
      </w:r>
      <w:hyperlink r:id="rId1380">
        <w:r>
          <w:rPr>
            <w:color w:val="1155CC"/>
            <w:u w:val="single"/>
          </w:rPr>
          <w:t>通过高保真纳米压印制备可见光超透镜的透明、高折射率和阿贝数聚合物</w:t>
        </w:r>
      </w:hyperlink>
    </w:p>
    <w:p>
      <w:pPr>
        <w:spacing w:before="0" w:after="80"/>
      </w:pPr>
      <w:r>
        <w:rPr>
          <w:i/>
          <w:sz w:val="20"/>
        </w:rPr>
        <w:t>EN: A Transparent, High Refractive Index and Abbe Number Polymer for Visible Metalens by High Fidelity Nanoimprinting</w:t>
      </w:r>
    </w:p>
    <w:p>
      <w:pPr>
        <w:spacing w:before="0" w:after="120"/>
      </w:pPr>
      <w:r>
        <w:rPr>
          <w:b/>
        </w:rPr>
        <w:t xml:space="preserve">Source: </w:t>
      </w:r>
      <w:r>
        <w:t>Wiley: Advanced Materials: Table of Contents</w:t>
      </w:r>
      <w:r>
        <w:t xml:space="preserve">    </w:t>
      </w:r>
      <w:r>
        <w:rPr>
          <w:b/>
        </w:rPr>
        <w:t xml:space="preserve">Pub date: </w:t>
      </w:r>
      <w:r>
        <w:t>2026-08-26 06:27:27+00:00</w:t>
      </w:r>
      <w:r>
        <w:t xml:space="preserve">    </w:t>
      </w:r>
      <w:r>
        <w:rPr>
          <w:b/>
        </w:rPr>
        <w:t xml:space="preserve">DOI: </w:t>
      </w:r>
      <w:hyperlink r:id="rId1381">
        <w:r>
          <w:rPr>
            <w:color w:val="1155CC"/>
            <w:u w:val="single"/>
          </w:rPr>
          <w:t>10.1002/adma.74791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同时实现高可见光透明度、高折射率（</w:t>
      </w:r>
      <w:r>
        <w:t xml:space="preserve"> </w:t>
      </w:r>
      <w:r>
        <w:t>n</w:t>
      </w:r>
      <w:r>
        <w:t xml:space="preserve"> </w:t>
      </w:r>
      <w:r>
        <w:t>）和一个大阿贝数（</w:t>
      </w:r>
      <w:r>
        <w:t xml:space="preserve"> </w:t>
      </w:r>
      <w:r>
        <w:t>ν</w:t>
      </w:r>
      <w:r>
        <w:t xml:space="preserve"> </w:t>
      </w:r>
      <w:r>
        <w:t>D</w:t>
      </w:r>
      <w:r>
        <w:t xml:space="preserve"> </w:t>
      </w:r>
      <w:r>
        <w:t>）在有机聚合物中仍然是一个根本性的挑战。在这里，报道了一种简便有效的双硫介导的迈克尔加成策略，可以合成具有大分子尺寸的透明高折射率聚合物（HRIP）。</w:t>
      </w:r>
      <w:r>
        <w:t xml:space="preserve"> </w:t>
      </w:r>
      <w:r>
        <w:t>ν</w:t>
      </w:r>
      <w:r>
        <w:t xml:space="preserve"> </w:t>
      </w:r>
      <w:r>
        <w:t>D</w:t>
      </w:r>
      <w:r>
        <w:t xml:space="preserve"> </w:t>
      </w:r>
      <w:r>
        <w:t>。通过将主链解共轭以保持可见的透明度与合理的侧链工程相结合</w:t>
      </w:r>
      <w:r>
        <w:t xml:space="preserve"> </w:t>
      </w:r>
      <w:r>
        <w:t>n</w:t>
      </w:r>
      <w:r>
        <w:t xml:space="preserve"> </w:t>
      </w:r>
      <w:r>
        <w:t>‐调整，最佳聚合物（H4）实现了超高</w:t>
      </w:r>
      <w:r>
        <w:t xml:space="preserve"> </w:t>
      </w:r>
      <w:r>
        <w:t>n</w:t>
      </w:r>
      <w:r>
        <w:t xml:space="preserve"> </w:t>
      </w:r>
      <w:r>
        <w:t>1.86 在 589 nm 旁边还有一个大</w:t>
      </w:r>
      <w:r>
        <w:t xml:space="preserve"> </w:t>
      </w:r>
      <w:r>
        <w:t>ν</w:t>
      </w:r>
      <w:r>
        <w:t xml:space="preserve"> </w:t>
      </w:r>
      <w:r>
        <w:t>D</w:t>
      </w:r>
      <w:r>
        <w:t xml:space="preserve"> </w:t>
      </w:r>
      <w:r>
        <w:t>34.93 和强大的稳定性。此外，聚合物 H4 在纳米压印光刻方面表现出卓越的性能，可复制低至 75 nm 的特征，纵横比高达 8.5，体积收缩率低至 3.23%。值得注意的是，由 H4 制成的纳米压印超透镜原型在 550 nm（NA = 0.5）处的相对聚焦效率为 49.8%，接近理论设计值 (52.94%)。因此，高折射率聚合物 H4 连接了分子设计和可制造的元光学，通过将侧链偏振度工程转化为实际的波前控制，在可扩展、灵活的下一代光子平台中显示出巨大的潜力。</w:t>
      </w:r>
    </w:p>
    <w:p>
      <w:pPr>
        <w:spacing w:before="0" w:after="200" w:lineRule="auto" w:line="276"/>
      </w:pPr>
      <w:r>
        <w:rPr>
          <w:b/>
        </w:rPr>
        <w:t xml:space="preserve">Abstract (EN): </w:t>
      </w:r>
      <w:r>
        <w:t>Simultaneously achieving high visible transparency, high refractive index (</w:t>
      </w:r>
      <w:r>
        <w:t xml:space="preserve"> </w:t>
      </w:r>
      <w:r>
        <w:t>n</w:t>
      </w:r>
      <w:r>
        <w:t xml:space="preserve"> </w:t>
      </w:r>
      <w:r>
        <w:t>), and a large Abbe number (</w:t>
      </w:r>
      <w:r>
        <w:t xml:space="preserve"> </w:t>
      </w:r>
      <w:r>
        <w:t>υ</w:t>
      </w:r>
      <w:r>
        <w:t xml:space="preserve"> </w:t>
      </w:r>
      <w:r>
        <w:t>D</w:t>
      </w:r>
      <w:r>
        <w:t xml:space="preserve"> </w:t>
      </w:r>
      <w:r>
        <w:t>) in organic polymers remains a fundamental challenge. Here, a facile and efficient dual sulfur‐mediated Michael addition strategy is reported to synthesize transparent high refractive index polymers (HRIPs) with large</w:t>
      </w:r>
      <w:r>
        <w:t xml:space="preserve"> </w:t>
      </w:r>
      <w:r>
        <w:t>υ</w:t>
      </w:r>
      <w:r>
        <w:t xml:space="preserve"> </w:t>
      </w:r>
      <w:r>
        <w:t>D</w:t>
      </w:r>
      <w:r>
        <w:t xml:space="preserve"> </w:t>
      </w:r>
      <w:r>
        <w:t>. By combining main backbone de‐conjugation to preserve visible transparency with rational side‐chain engineering for</w:t>
      </w:r>
      <w:r>
        <w:t xml:space="preserve"> </w:t>
      </w:r>
      <w:r>
        <w:t>n</w:t>
      </w:r>
      <w:r>
        <w:t xml:space="preserve"> </w:t>
      </w:r>
      <w:r>
        <w:t>‐tuning, the optimal polymer (H4) achieves an ultrahigh</w:t>
      </w:r>
      <w:r>
        <w:t xml:space="preserve"> </w:t>
      </w:r>
      <w:r>
        <w:t>n</w:t>
      </w:r>
      <w:r>
        <w:t xml:space="preserve"> </w:t>
      </w:r>
      <w:r>
        <w:t>of 1.86 at 589 nm alongside a large</w:t>
      </w:r>
      <w:r>
        <w:t xml:space="preserve"> </w:t>
      </w:r>
      <w:r>
        <w:t>υ</w:t>
      </w:r>
      <w:r>
        <w:t xml:space="preserve"> </w:t>
      </w:r>
      <w:r>
        <w:t>D</w:t>
      </w:r>
      <w:r>
        <w:t xml:space="preserve"> </w:t>
      </w:r>
      <w:r>
        <w:t>of 34.93 and robust stability. Moreover, polymer H4 exhibits remarkable performance in nanoimprint lithography, replicating features down to 75 nm with aspect ratios up to 8.5 and a low volumetric shrinkage of only 3.23%. Notably, a nanoimprinted metalens prototype fabricated from H4 delivers a relative focusing efficiency of 49.8% at 550 nm (NA = 0.5), approaching the theoretical design value (52.94%). Therefore, the high refractive index polymer H4 bridges molecular design and manufacturable meta‐optics, showing tremendous potential in scalable, flexible, next‐generation photonic platforms by translating side‐chain polarizability engineering into practical wavefront control.</w:t>
      </w:r>
    </w:p>
    <w:p>
      <w:pPr>
        <w:spacing w:before="120" w:after="120"/>
      </w:pPr>
      <w:r>
        <w:rPr>
          <w:sz w:val="18"/>
        </w:rPr>
        <w:t>——————————————————————————————————————————————————————————————————————</w:t>
      </w:r>
    </w:p>
    <w:p>
      <w:pPr>
        <w:spacing w:before="160" w:after="40" w:line="240" w:lineRule="auto"/>
      </w:pPr>
      <w:r>
        <w:rPr>
          <w:b/>
        </w:rPr>
        <w:t xml:space="preserve">[475] </w:t>
      </w:r>
      <w:hyperlink r:id="rId1382">
        <w:r>
          <w:rPr>
            <w:color w:val="1155CC"/>
            <w:u w:val="single"/>
          </w:rPr>
          <w:t>西班牙先进材料</w:t>
        </w:r>
      </w:hyperlink>
    </w:p>
    <w:p>
      <w:pPr>
        <w:spacing w:before="0" w:after="80"/>
      </w:pPr>
      <w:r>
        <w:rPr>
          <w:i/>
          <w:sz w:val="20"/>
        </w:rPr>
        <w:t>EN: Advanced Materials in Spain</w:t>
      </w:r>
    </w:p>
    <w:p>
      <w:pPr>
        <w:spacing w:before="0" w:after="120"/>
      </w:pPr>
      <w:r>
        <w:rPr>
          <w:b/>
        </w:rPr>
        <w:t xml:space="preserve">Source: </w:t>
      </w:r>
      <w:r>
        <w:t>Wiley: Advanced Materials: Table of Contents</w:t>
      </w:r>
      <w:r>
        <w:t xml:space="preserve">    </w:t>
      </w:r>
      <w:r>
        <w:rPr>
          <w:b/>
        </w:rPr>
        <w:t xml:space="preserve">Pub date: </w:t>
      </w:r>
      <w:r>
        <w:t>2026-08-26 06:27:46+00:00</w:t>
      </w:r>
      <w:r>
        <w:t xml:space="preserve">    </w:t>
      </w:r>
      <w:r>
        <w:rPr>
          <w:b/>
        </w:rPr>
        <w:t xml:space="preserve">DOI: </w:t>
      </w:r>
      <w:hyperlink r:id="rId1383">
        <w:r>
          <w:rPr>
            <w:color w:val="1155CC"/>
            <w:u w:val="single"/>
          </w:rPr>
          <w:t>10.1002/adma.74753</w:t>
        </w:r>
      </w:hyperlink>
    </w:p>
    <w:p>
      <w:pPr>
        <w:spacing w:before="0" w:after="120"/>
      </w:pPr>
      <w:r>
        <w:rPr>
          <w:b/>
        </w:rPr>
        <w:t xml:space="preserve">Notes: </w:t>
      </w:r>
      <w:r>
        <w:t>abstract_source=openalex</w:t>
      </w:r>
    </w:p>
    <w:p>
      <w:pPr>
        <w:spacing w:before="0" w:after="80" w:lineRule="auto" w:line="276"/>
      </w:pPr>
      <w:r>
        <w:rPr>
          <w:b/>
        </w:rPr>
        <w:t xml:space="preserve">摘要（ZH）: </w:t>
      </w:r>
      <w:r>
        <w:t>先进材料——从半导体和量子材料到生物材料和高性能纳米复合材料，为能源、医疗保健和信息通信技术等领域的关键技术提供了活跃的功能。通过实现原子级工程，将实现基础材料的突破，这将为更高效的设备、更少资源密集的工业流程以及对环境影响更低的产品铺平道路。</w:t>
      </w:r>
    </w:p>
    <w:p>
      <w:pPr>
        <w:spacing w:before="0" w:after="200" w:lineRule="auto" w:line="276"/>
      </w:pPr>
      <w:r>
        <w:rPr>
          <w:b/>
        </w:rPr>
        <w:t xml:space="preserve">Abstract (EN): </w:t>
      </w:r>
      <w:r>
        <w:t>Advanced materials-ranging from semiconductors and quantum materials to biomaterials and high-performance nanocomposites provide active functionalities for critical technologies in sectors such as energy, healthcare and ICT.By enabling atomiclevel engineering, fundamental materials breakthroughs will be achieved, that will pave the way for more efficient devices, less resource-intensive industrial processes, and products with a lower environmental impact.</w:t>
      </w:r>
    </w:p>
    <w:p>
      <w:pPr>
        <w:spacing w:before="120" w:after="120"/>
      </w:pPr>
      <w:r>
        <w:rPr>
          <w:sz w:val="18"/>
        </w:rPr>
        <w:t>——————————————————————————————————————————————————————————————————————</w:t>
      </w:r>
    </w:p>
    <w:p>
      <w:pPr>
        <w:spacing w:before="160" w:after="40" w:line="240" w:lineRule="auto"/>
      </w:pPr>
      <w:r>
        <w:rPr>
          <w:b/>
        </w:rPr>
        <w:t xml:space="preserve">[476] </w:t>
      </w:r>
      <w:hyperlink r:id="rId1384">
        <w:r>
          <w:rPr>
            <w:color w:val="1155CC"/>
            <w:u w:val="single"/>
          </w:rPr>
          <w:t>高电流密度 H2O2 合成用于乙二醇配对电解升级</w:t>
        </w:r>
      </w:hyperlink>
    </w:p>
    <w:p>
      <w:pPr>
        <w:spacing w:before="0" w:after="80"/>
      </w:pPr>
      <w:r>
        <w:rPr>
          <w:i/>
          <w:sz w:val="20"/>
        </w:rPr>
        <w:t>EN: High‐Current‐Density H2O2 Synthesis Toward Paired Electrolytic Upgrading of Ethylene Glycol</w:t>
      </w:r>
    </w:p>
    <w:p>
      <w:pPr>
        <w:spacing w:before="0" w:after="120"/>
      </w:pPr>
      <w:r>
        <w:rPr>
          <w:b/>
        </w:rPr>
        <w:t xml:space="preserve">Source: </w:t>
      </w:r>
      <w:r>
        <w:t>Wiley: Angewandte Chemie International Edition: Table of Contents</w:t>
      </w:r>
      <w:r>
        <w:t xml:space="preserve">    </w:t>
      </w:r>
      <w:r>
        <w:rPr>
          <w:b/>
        </w:rPr>
        <w:t xml:space="preserve">Pub date: </w:t>
      </w:r>
      <w:r>
        <w:t>2026-08-26 06:54:10+00:00</w:t>
      </w:r>
      <w:r>
        <w:t xml:space="preserve">    </w:t>
      </w:r>
      <w:r>
        <w:rPr>
          <w:b/>
        </w:rPr>
        <w:t xml:space="preserve">DOI: </w:t>
      </w:r>
      <w:hyperlink r:id="rId1385">
        <w:r>
          <w:rPr>
            <w:color w:val="1155CC"/>
            <w:u w:val="single"/>
          </w:rPr>
          <w:t>10.1002/anie.8683609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高效电合成过氧化氢（H</w:t>
      </w:r>
      <w:r>
        <w:rPr>
          <w:vertAlign w:val="subscript"/>
        </w:rPr>
        <w:t>2</w:t>
      </w:r>
      <w:r>
        <w:t>氧</w:t>
      </w:r>
      <w:r>
        <w:rPr>
          <w:vertAlign w:val="subscript"/>
        </w:rPr>
        <w:t>2</w:t>
      </w:r>
      <w:r>
        <w:t>）通过双电子氧还原反应（2e</w:t>
      </w:r>
      <w:r>
        <w:t xml:space="preserve"> </w:t>
      </w:r>
      <w:r>
        <w:t>-</w:t>
      </w:r>
      <w:r>
        <w:t>ORR）代表了传统蒽醌工艺的一种有前景的替代方案。然而，实现H的高选择性、工业级稳定性和现场利用</w:t>
      </w:r>
      <w:r>
        <w:rPr>
          <w:vertAlign w:val="subscript"/>
        </w:rPr>
        <w:t>2</w:t>
      </w:r>
      <w:r>
        <w:t>氧</w:t>
      </w:r>
      <w:r>
        <w:rPr>
          <w:vertAlign w:val="subscript"/>
        </w:rPr>
        <w:t>2</w:t>
      </w:r>
      <w:r>
        <w:t>仍然是一个重大挑战。在这里，我们设计了一种单原子催化剂CoNPC，具有Co-N/P共配位结构，专为高电流密度H2而设计。</w:t>
      </w:r>
      <w:r>
        <w:rPr>
          <w:vertAlign w:val="subscript"/>
        </w:rPr>
        <w:t>2</w:t>
      </w:r>
      <w:r>
        <w:t>氧</w:t>
      </w:r>
      <w:r>
        <w:rPr>
          <w:vertAlign w:val="subscript"/>
        </w:rPr>
        <w:t>2</w:t>
      </w:r>
      <w:r>
        <w:t>乙二醇的电合成和相关配对增值。 P调制优化了Co中心的电子结构，从而提高了选择性（&gt; 90%）和稳定的H</w:t>
      </w:r>
      <w:r>
        <w:rPr>
          <w:vertAlign w:val="subscript"/>
        </w:rPr>
        <w:t>2</w:t>
      </w:r>
      <w:r>
        <w:t>氧</w:t>
      </w:r>
      <w:r>
        <w:rPr>
          <w:vertAlign w:val="subscript"/>
        </w:rPr>
        <w:t>2</w:t>
      </w:r>
      <w:r>
        <w:t>在−200 mA cm的高电流密度下生产超过140小时</w:t>
      </w:r>
      <w:r>
        <w:t xml:space="preserve"> </w:t>
      </w:r>
      <w:r>
        <w:t>−2</w:t>
      </w:r>
      <w:r>
        <w:t xml:space="preserve"> </w:t>
      </w:r>
      <w:r>
        <w:t>。原位光谱研究和理论计算表明，P杂原子在优化*OOH结合能方面发挥着关键作用，从而促进2e</w:t>
      </w:r>
      <w:r>
        <w:t xml:space="preserve"> </w:t>
      </w:r>
      <w:r>
        <w:t>-</w:t>
      </w:r>
      <w:r>
        <w:t>ORR 过程。电解产生的H</w:t>
      </w:r>
      <w:r>
        <w:rPr>
          <w:vertAlign w:val="subscript"/>
        </w:rPr>
        <w:t>2</w:t>
      </w:r>
      <w:r>
        <w:t>氧</w:t>
      </w:r>
      <w:r>
        <w:rPr>
          <w:vertAlign w:val="subscript"/>
        </w:rPr>
        <w:t>2</w:t>
      </w:r>
      <w:r>
        <w:t>进一步用于类芬顿过程中氧化乙二醇</w:t>
      </w:r>
    </w:p>
    <w:p>
      <w:pPr>
        <w:spacing w:before="0" w:after="200" w:lineRule="auto" w:line="276"/>
      </w:pPr>
      <w:r>
        <w:rPr>
          <w:b/>
        </w:rPr>
        <w:t xml:space="preserve">Abstract (EN): </w:t>
      </w:r>
      <w:r>
        <w:t>The high‐efficiency electrosynthesis of hydrogen peroxide (H</w:t>
      </w:r>
      <w:r>
        <w:rPr>
          <w:vertAlign w:val="subscript"/>
        </w:rPr>
        <w:t>2</w:t>
      </w:r>
      <w:r>
        <w:t>O</w:t>
      </w:r>
      <w:r>
        <w:rPr>
          <w:vertAlign w:val="subscript"/>
        </w:rPr>
        <w:t>2</w:t>
      </w:r>
      <w:r>
        <w:t>) via two‐electron oxygen reduction reaction (2e</w:t>
      </w:r>
      <w:r>
        <w:t xml:space="preserve"> </w:t>
      </w:r>
      <w:r>
        <w:t>−</w:t>
      </w:r>
      <w:r>
        <w:t>ORR) represents a promising alternative to the traditional anthraquinone process. However, achieving high selectivity, industrial‐grade stability, and on‐site utilization of H</w:t>
      </w:r>
      <w:r>
        <w:rPr>
          <w:vertAlign w:val="subscript"/>
        </w:rPr>
        <w:t>2</w:t>
      </w:r>
      <w:r>
        <w:t>O</w:t>
      </w:r>
      <w:r>
        <w:rPr>
          <w:vertAlign w:val="subscript"/>
        </w:rPr>
        <w:t>2</w:t>
      </w:r>
      <w:r>
        <w:t>remains a significant challenge. Here, we designed a single‐atom catalyst, CoNPC, featuring a Co–N/P co‐coordination structure, tailored for high‐current‐density H</w:t>
      </w:r>
      <w:r>
        <w:rPr>
          <w:vertAlign w:val="subscript"/>
        </w:rPr>
        <w:t>2</w:t>
      </w:r>
      <w:r>
        <w:t>O</w:t>
      </w:r>
      <w:r>
        <w:rPr>
          <w:vertAlign w:val="subscript"/>
        </w:rPr>
        <w:t>2</w:t>
      </w:r>
      <w:r>
        <w:t>electrosynthesis and relevant paired valorization of ethylene glycol. The P modulation optimized the electronic structure of Co centers, leading to enhanced selectivity (&amp;gt; 90%) and stable H</w:t>
      </w:r>
      <w:r>
        <w:rPr>
          <w:vertAlign w:val="subscript"/>
        </w:rPr>
        <w:t>2</w:t>
      </w:r>
      <w:r>
        <w:t>O</w:t>
      </w:r>
      <w:r>
        <w:rPr>
          <w:vertAlign w:val="subscript"/>
        </w:rPr>
        <w:t>2</w:t>
      </w:r>
      <w:r>
        <w:t>production for over 140 h at a high current density of −200 mA cm</w:t>
      </w:r>
      <w:r>
        <w:t xml:space="preserve"> </w:t>
      </w:r>
      <w:r>
        <w:t>−2</w:t>
      </w:r>
      <w:r>
        <w:t xml:space="preserve"> </w:t>
      </w:r>
      <w:r>
        <w:t>. In situ spectroscopic studies and theoretical calculations revealed that the P heteroatom plays a critical role in optimizing *OOH binding energy, thereby facilitating the 2e</w:t>
      </w:r>
      <w:r>
        <w:t xml:space="preserve"> </w:t>
      </w:r>
      <w:r>
        <w:t>−</w:t>
      </w:r>
      <w:r>
        <w:t>ORR process. The electrogenerated H</w:t>
      </w:r>
      <w:r>
        <w:rPr>
          <w:vertAlign w:val="subscript"/>
        </w:rPr>
        <w:t>2</w:t>
      </w:r>
      <w:r>
        <w:t>O</w:t>
      </w:r>
      <w:r>
        <w:rPr>
          <w:vertAlign w:val="subscript"/>
        </w:rPr>
        <w:t>2</w:t>
      </w:r>
      <w:r>
        <w:t>was further utilized in a Fenton‐like process to oxidize ethylene glycol to formic acid. By coupling this cathodic reaction with anodic EG electrooxidation, we demonstrated a paired electrolysis system that enables simultaneous value‐added products at both sides. This work not only offers a robust strategy for the design of single‐atom catalysts on industrial H</w:t>
      </w:r>
      <w:r>
        <w:rPr>
          <w:vertAlign w:val="subscript"/>
        </w:rPr>
        <w:t>2</w:t>
      </w:r>
      <w:r>
        <w:t>O</w:t>
      </w:r>
      <w:r>
        <w:rPr>
          <w:vertAlign w:val="subscript"/>
        </w:rPr>
        <w:t>2</w:t>
      </w:r>
      <w:r>
        <w:t>electrosynthesis but also pioneers an energy‐efficient paired electrolysis system for waste utilization.</w:t>
      </w:r>
    </w:p>
    <w:p>
      <w:pPr>
        <w:spacing w:before="120" w:after="120"/>
      </w:pPr>
      <w:r>
        <w:rPr>
          <w:sz w:val="18"/>
        </w:rPr>
        <w:t>——————————————————————————————————————————————————————————————————————</w:t>
      </w:r>
    </w:p>
    <w:p>
      <w:pPr>
        <w:spacing w:before="160" w:after="40" w:line="240" w:lineRule="auto"/>
      </w:pPr>
      <w:r>
        <w:rPr>
          <w:b/>
        </w:rPr>
        <w:t xml:space="preserve">[477] </w:t>
      </w:r>
      <w:hyperlink r:id="rId1386">
        <w:r>
          <w:rPr>
            <w:color w:val="1155CC"/>
            <w:u w:val="single"/>
          </w:rPr>
          <w:t>识别芝加哥成年人急诊科就诊中与高温相关的诊断：一项高温关联研究</w:t>
        </w:r>
      </w:hyperlink>
    </w:p>
    <w:p>
      <w:pPr>
        <w:spacing w:before="0" w:after="80"/>
      </w:pPr>
      <w:r>
        <w:rPr>
          <w:i/>
          <w:sz w:val="20"/>
        </w:rPr>
        <w:t>EN: Identifying heat-related diagnoses in emergency department visits among adults in Chicago: A heat-wide association study</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387">
        <w:r>
          <w:rPr>
            <w:color w:val="1155CC"/>
            <w:u w:val="single"/>
          </w:rPr>
          <w:t>10.1126/sciadv.aed3977</w:t>
        </w:r>
      </w:hyperlink>
    </w:p>
    <w:p>
      <w:pPr>
        <w:spacing w:before="0" w:after="120"/>
      </w:pPr>
      <w:r>
        <w:rPr>
          <w:b/>
        </w:rPr>
        <w:t xml:space="preserve">Notes: </w:t>
      </w:r>
      <w:r>
        <w:t>abstract_source=crossref</w:t>
      </w:r>
    </w:p>
    <w:p>
      <w:pPr>
        <w:spacing w:before="0" w:after="80" w:lineRule="auto" w:line="276"/>
      </w:pPr>
      <w:r>
        <w:rPr>
          <w:b/>
        </w:rPr>
        <w:t xml:space="preserve">摘要（ZH）: </w:t>
      </w:r>
      <w:r>
        <w:t>酷热是一个不断升级的公共卫生问题。尽管之前的研究已经检验了高温与健康的关联，但它们对有限诊断和诊断类别的依赖可能会遗漏或错误分类与高温相关的疾病。在这里，我们进行了一项全高温关联研究，以评估与伊利诺伊州芝加哥市极端高温相关的急性护理诊断。我们利用 2011 年至 2023 年间四个医疗保健系统的 372,140 名成年人中的 916,904 次急性护理就诊（包括急诊科和紧急护理就诊），应用了两阶段分析方法：准泊松回归来筛选与热相关的诊断代码，然后采用时间分层病例交叉设计中的分布式滞后非线性模型来表征暴露反应和滞后模式。第一阶段保留了 44 个诊断代码，第二阶段后保留了 33 个临床可报告的诊断。我们观察到多种诊断的累积赔率高于滞后 0 至 3，包括体液平衡和肾脏疾病、皮肤病和压力相关疾病、多发性硬化症、大麻素相关精神和行为障碍、下肢静脉曲张以及多种损伤和外部原因。通过分析急症护理服务的完整诊断范围，本研究改善了急症护理环境中热相关发病率的临床特征。</w:t>
      </w:r>
    </w:p>
    <w:p>
      <w:pPr>
        <w:spacing w:before="0" w:after="200" w:lineRule="auto" w:line="276"/>
      </w:pPr>
      <w:r>
        <w:rPr>
          <w:b/>
        </w:rPr>
        <w:t xml:space="preserve">Abstract (EN): </w:t>
      </w:r>
      <w:r>
        <w:t>Extreme heat is an escalating public health concern. Although prior studies have examined heat-health associations, their reliance on restricted diagnoses and diagnostic categories may miss or misclassify heat-related illness. Here, we conducted a heat-wide association study to evaluate acute-care diagnoses associated with extreme heat in Chicago, Illinois. Using 916,904 acute-care visits—including emergency department and urgent care encounters—among 372,140 adults across four health care systems from 2011 to 2023, we applied a two-stage analytic approach: quasi-Poisson regression to screen diagnosis codes associated with heat, followed by distributed lag nonlinear models in a time-stratified case-crossover design to characterize exposure-response and lag patterns. Stage 1 retained 44 diagnosis codes, and 33 clinically reportable diagnoses were retained after stage 2. We observed elevated cumulative odds over lags 0 to 3 for multiple diagnoses, including fluid-balance and renal disorders, dermatologic and pressure-related conditions, multiple sclerosis, a cannabinoid-related mental and behavioral disorder, varicose veins of the lower extremities, and multiple injuries and external causes. By analyzing the full diagnostic spectrum of acute-care services, this study improves the clinical characterization of heat-associated morbidity in acute-care settings.</w:t>
      </w:r>
    </w:p>
    <w:p>
      <w:pPr>
        <w:spacing w:before="120" w:after="120"/>
      </w:pPr>
      <w:r>
        <w:rPr>
          <w:sz w:val="18"/>
        </w:rPr>
        <w:t>——————————————————————————————————————————————————————————————————————</w:t>
      </w:r>
    </w:p>
    <w:p>
      <w:pPr>
        <w:spacing w:before="160" w:after="40" w:line="240" w:lineRule="auto"/>
      </w:pPr>
      <w:r>
        <w:rPr>
          <w:b/>
        </w:rPr>
        <w:t xml:space="preserve">[478] </w:t>
      </w:r>
      <w:hyperlink r:id="rId1388">
        <w:r>
          <w:rPr>
            <w:color w:val="1155CC"/>
            <w:u w:val="single"/>
          </w:rPr>
          <w:t>非晶化模板纳米晶化赋予 TiNi 合金超高强度和可编程超弹性</w:t>
        </w:r>
      </w:hyperlink>
    </w:p>
    <w:p>
      <w:pPr>
        <w:spacing w:before="0" w:after="80"/>
      </w:pPr>
      <w:r>
        <w:rPr>
          <w:i/>
          <w:sz w:val="20"/>
        </w:rPr>
        <w:t>EN: Amorphization-templated nanocrystallization endows TiNi alloys with ultrahigh strength and programmable superelasticity</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389">
        <w:r>
          <w:rPr>
            <w:color w:val="1155CC"/>
            <w:u w:val="single"/>
          </w:rPr>
          <w:t>10.1126/sciadv.aee6666</w:t>
        </w:r>
      </w:hyperlink>
    </w:p>
    <w:p>
      <w:pPr>
        <w:spacing w:before="0" w:after="120"/>
      </w:pPr>
      <w:r>
        <w:rPr>
          <w:b/>
        </w:rPr>
        <w:t xml:space="preserve">Notes: </w:t>
      </w:r>
      <w:r>
        <w:t>abstract_source=crossref</w:t>
      </w:r>
    </w:p>
    <w:p>
      <w:pPr>
        <w:spacing w:before="0" w:after="80" w:lineRule="auto" w:line="276"/>
      </w:pPr>
      <w:r>
        <w:rPr>
          <w:b/>
        </w:rPr>
        <w:t xml:space="preserve">摘要（ZH）: </w:t>
      </w:r>
      <w:r>
        <w:t>同时实现金属的高强度、延展性和超弹性仍然是一个巨大的挑战。传统的TiNi合金虽然具有超弹性，但强度低且超弹性适中。在这里，我们报告了一种体纳米结构策略，它不仅克服了这些限制，而且还实现了可编程机械响应。通过将适度的低温变形与脉冲电流驱动的纳米结晶相结合来创建块状非晶前驱体，我们生产了钛</w:t>
      </w:r>
      <w:r>
        <w:rPr>
          <w:vertAlign w:val="subscript"/>
        </w:rPr>
        <w:t>49</w:t>
      </w:r>
      <w:r>
        <w:t>镍</w:t>
      </w:r>
      <w:r>
        <w:rPr>
          <w:vertAlign w:val="subscript"/>
        </w:rPr>
        <w:t>51</w:t>
      </w:r>
      <w:r>
        <w:t>该合金具有卓越的性能组合：抗拉强度超过 2 吉帕斯卡 (GPa)、延展性高达 12% 以及 9% 的巨大可恢复应变。增强的功能源于纳米级马氏体转变，该转变在不同尺寸的纳米晶粒中顺序进行，而不是像粗晶材料中那样同时进行。该机制允许超弹性响应可调，提供定制的应力-应变曲线，具有可调节的变换应力和形状，范围从平台状到线性。我们的非晶化模板纳米结晶方法具有潜在的可扩展性，并弥合了超强结构材料和先进功能应用之间的差距。</w:t>
      </w:r>
    </w:p>
    <w:p>
      <w:pPr>
        <w:spacing w:before="0" w:after="200" w:lineRule="auto" w:line="276"/>
      </w:pPr>
      <w:r>
        <w:rPr>
          <w:b/>
        </w:rPr>
        <w:t xml:space="preserve">Abstract (EN): </w:t>
      </w:r>
      <w:r>
        <w:t>The concurrent achievement of high strength, ductility, and superelasticity in metals remains a grand challenge. Conventional TiNi alloys, although superelastic, suffer from low strength and modest superelasticity. Here, we report a bulk nanostructuring strategy that not only overcomes these limitations but also enables programmable mechanical response. By combining moderate cryogenic deformation to create a bulk amorphous precursor with pulsed electric current–driven nanocrystallization, we produce a Ti</w:t>
      </w:r>
      <w:r>
        <w:rPr>
          <w:vertAlign w:val="subscript"/>
        </w:rPr>
        <w:t>49</w:t>
      </w:r>
      <w:r>
        <w:t>Ni</w:t>
      </w:r>
      <w:r>
        <w:rPr>
          <w:vertAlign w:val="subscript"/>
        </w:rPr>
        <w:t>51</w:t>
      </w:r>
      <w:r>
        <w:t>alloy that exhibits an exceptional combination of properties: a tensile strength over 2 gigapascals (GPa), ductility up to 12%, and a giant recoverable strain of 9%. The enhanced functionality stems from a nanoscale martensitic transformation that proceeds sequentially across nanograins of varying sizes, rather than simultaneously as in coarse-grained materials. This mechanism allows the superelastic response to be tunable, offering tailored stress-strain curves with adjustable transformation stresses and shapes ranging from plateau-like to linear. Our amorphization-templated nanocrystallization method is potentially scalable and bridges the gap between ultrastrong structural materials and advanced functional applications.</w:t>
      </w:r>
    </w:p>
    <w:p>
      <w:pPr>
        <w:spacing w:before="120" w:after="120"/>
      </w:pPr>
      <w:r>
        <w:rPr>
          <w:sz w:val="18"/>
        </w:rPr>
        <w:t>——————————————————————————————————————————————————————————————————————</w:t>
      </w:r>
    </w:p>
    <w:p>
      <w:pPr>
        <w:spacing w:before="160" w:after="40" w:line="240" w:lineRule="auto"/>
      </w:pPr>
      <w:r>
        <w:rPr>
          <w:b/>
        </w:rPr>
        <w:t xml:space="preserve">[479] </w:t>
      </w:r>
      <w:hyperlink r:id="rId1390">
        <w:r>
          <w:rPr>
            <w:color w:val="1155CC"/>
            <w:u w:val="single"/>
          </w:rPr>
          <w:t>肌营养不良症相关核纤层蛋白变异通过核仁-核糖体轴破坏细胞组织</w:t>
        </w:r>
      </w:hyperlink>
    </w:p>
    <w:p>
      <w:pPr>
        <w:spacing w:before="0" w:after="80"/>
      </w:pPr>
      <w:r>
        <w:rPr>
          <w:i/>
          <w:sz w:val="20"/>
        </w:rPr>
        <w:t>EN: Muscular dystrophy–associated lamin variants disrupt cellular organization through a nucleolar-ribosomal axis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391">
        <w:r>
          <w:rPr>
            <w:color w:val="1155CC"/>
            <w:u w:val="single"/>
          </w:rPr>
          <w:t>10.1126/sciadv.aec9028</w:t>
        </w:r>
      </w:hyperlink>
    </w:p>
    <w:p>
      <w:pPr>
        <w:spacing w:before="0" w:after="120"/>
      </w:pPr>
      <w:r>
        <w:rPr>
          <w:b/>
        </w:rPr>
        <w:t xml:space="preserve">Notes: </w:t>
      </w:r>
      <w:r>
        <w:t>abstract_source=crossref</w:t>
      </w:r>
    </w:p>
    <w:p>
      <w:pPr>
        <w:spacing w:before="0" w:after="80" w:lineRule="auto" w:line="276"/>
      </w:pPr>
      <w:r>
        <w:rPr>
          <w:b/>
        </w:rPr>
        <w:t xml:space="preserve">摘要（ZH）: </w:t>
      </w:r>
      <w:r>
        <w:t>Emery-Dreifuss 肌营养不良症 (EDMD) 是由核纤层蛋白或艾默蛋白突变引起的。目前的病理模型强调有缺陷的核力学和转录调控，但这些机制无法解释核纤层缺陷如何在细胞中传播以产生核纤层病的复杂病理学。在这里，我们揭示了一种将核层功能障碍与细胞质重组联系起来的新兴途径。使用</w:t>
      </w:r>
      <w:r>
        <w:t xml:space="preserve"> </w:t>
      </w:r>
      <w:r>
        <w:t>秀丽隐杆线虫</w:t>
      </w:r>
      <w:r>
        <w:t xml:space="preserve"> </w:t>
      </w:r>
      <w:r>
        <w:t>在 EDMD 模型中，我们发现与疾病相关的核纤层蛋白变异减少了细胞质中尺度拥挤，增加了分子扩散性，并破坏了核定位和内质网结构，这反映了核糖体耗竭引起的表型。核纤层蛋白功能障碍还会降低核仁原纤维蛋白水平和核糖体丰度，揭示核仁-核糖体轴将核缺陷传递到细胞质。冗余 LEM 结构域蛋白的丢失</w:t>
      </w:r>
      <w:r>
        <w:t xml:space="preserve"> </w:t>
      </w:r>
      <w:r>
        <w:t>EMR-1</w:t>
      </w:r>
      <w:r>
        <w:t xml:space="preserve"> </w:t>
      </w:r>
      <w:r>
        <w:t>和</w:t>
      </w:r>
      <w:r>
        <w:t xml:space="preserve"> </w:t>
      </w:r>
      <w:r>
        <w:t>莱姆-2</w:t>
      </w:r>
      <w:r>
        <w:t xml:space="preserve"> </w:t>
      </w:r>
      <w:r>
        <w:t>表型复制核纤层蛋白突变体，表明细胞质紊乱是 EDMD 的共同特征。这些发现将核结构与全细胞生物物理学联系起来，并提出了旨在恢复核糖体功能的治疗策略。</w:t>
      </w:r>
    </w:p>
    <w:p>
      <w:pPr>
        <w:spacing w:before="0" w:after="200" w:lineRule="auto" w:line="276"/>
      </w:pPr>
      <w:r>
        <w:rPr>
          <w:b/>
        </w:rPr>
        <w:t xml:space="preserve">Abstract (EN): </w:t>
      </w:r>
      <w:r>
        <w:t>Emery-Dreifuss muscular dystrophy (EDMD) arises from mutations in nuclear lamins or emerin. Current pathological models emphasize defective nuclear mechanics and transcriptional regulation, yet these mechanisms cannot explain how lamina defects propagate across the cell to produce the complex pathology of laminopathies. Here, we reveal an emerging pathway linking nuclear lamina dysfunction to cytoplasmic reorganization. Using</w:t>
      </w:r>
      <w:r>
        <w:t xml:space="preserve"> </w:t>
      </w:r>
      <w:r>
        <w:t>Caenorhabditis elegans</w:t>
      </w:r>
      <w:r>
        <w:t xml:space="preserve"> </w:t>
      </w:r>
      <w:r>
        <w:t>EDMD models, we show that disease-linked lamin variants reduce cytoplasmic mesoscale crowding, increase molecular diffusivity, and disrupt nuclear positioning and endoplasmic reticulum architecture, which mirror phenotypes caused by ribosome depletion. Lamin dysfunction also lowers nucleolar fibrillarin levels and ribosome abundance, revealing a nucleolar-ribosomal axis that transmits nuclear defects to the cytoplasm. Loss of the redundant LEM-domain proteins</w:t>
      </w:r>
      <w:r>
        <w:t xml:space="preserve"> </w:t>
      </w:r>
      <w:r>
        <w:t>emr-1</w:t>
      </w:r>
      <w:r>
        <w:t xml:space="preserve"> </w:t>
      </w:r>
      <w:r>
        <w:t>and</w:t>
      </w:r>
      <w:r>
        <w:t xml:space="preserve"> </w:t>
      </w:r>
      <w:r>
        <w:t>lem-2</w:t>
      </w:r>
      <w:r>
        <w:t xml:space="preserve"> </w:t>
      </w:r>
      <w:r>
        <w:t>phenocopied lamin mutants, indicating that cytoplasmic disorganization is a shared hallmark of EDMD. These findings connect nuclear architecture to whole-cell biophysics and suggest therapeutic strategies aimed at restoring ribosome function.</w:t>
      </w:r>
    </w:p>
    <w:p>
      <w:pPr>
        <w:spacing w:before="120" w:after="120"/>
      </w:pPr>
      <w:r>
        <w:rPr>
          <w:sz w:val="18"/>
        </w:rPr>
        <w:t>——————————————————————————————————————————————————————————————————————</w:t>
      </w:r>
    </w:p>
    <w:p>
      <w:pPr>
        <w:spacing w:before="160" w:after="40" w:line="240" w:lineRule="auto"/>
      </w:pPr>
      <w:r>
        <w:rPr>
          <w:b/>
        </w:rPr>
        <w:t xml:space="preserve">[480] </w:t>
      </w:r>
      <w:hyperlink r:id="rId1392">
        <w:r>
          <w:rPr>
            <w:color w:val="1155CC"/>
            <w:u w:val="single"/>
          </w:rPr>
          <w:t>通过供体-受体共价有机框架的还原猝灭实现木质素降解脱氢光催化</w:t>
        </w:r>
      </w:hyperlink>
    </w:p>
    <w:p>
      <w:pPr>
        <w:spacing w:before="0" w:after="80"/>
      </w:pPr>
      <w:r>
        <w:rPr>
          <w:i/>
          <w:sz w:val="20"/>
        </w:rPr>
        <w:t>EN: Lignin-degrading-inspired dehydrogenative photocatalysis via reductive quenching of donor-acceptor covalent organic framework</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393">
        <w:r>
          <w:rPr>
            <w:color w:val="1155CC"/>
            <w:u w:val="single"/>
          </w:rPr>
          <w:t>10.1126/sciadv.aef6109</w:t>
        </w:r>
      </w:hyperlink>
    </w:p>
    <w:p>
      <w:pPr>
        <w:spacing w:before="0" w:after="120"/>
      </w:pPr>
      <w:r>
        <w:rPr>
          <w:b/>
        </w:rPr>
        <w:t xml:space="preserve">Notes: </w:t>
      </w:r>
      <w:r>
        <w:t>abstract_source=crossref</w:t>
      </w:r>
    </w:p>
    <w:p>
      <w:pPr>
        <w:spacing w:before="0" w:after="80" w:lineRule="auto" w:line="276"/>
      </w:pPr>
      <w:r>
        <w:rPr>
          <w:b/>
        </w:rPr>
        <w:t xml:space="preserve">摘要（ZH）: </w:t>
      </w:r>
      <w:r>
        <w:t>实现光催化还原猝灭循环，使光催化剂自由基阴离子能够被 H(I) 物质直接氧化，而不需要化学计量的氧化剂或助催化剂，这仍然是人工光氧化还原催化中长期存在的挑战。在这里，我们报告了一种基于木质素降解介导的质子耦合电子转移（PCET）过程的仿生方法，通过具有精确设计的供体-受体特征的基于苝的共价有机框架（NPy-Per-COF）来实现。这种多相光催化剂维持还原猝灭循环，其中受控自由基生成、催化剂再生和析氢本质上是耦合的。该系统能够在木质素启发的前体和结构多样的不饱和伙伴之间发生脱氢自由基级联反应，从而提供广泛的官能化芳香族结构。进一步的合成修饰和计算机分析证实了合成支架的生物学相关性和药用潜力。除了模型底物之外，光催化系统还可以扩展到木质素衍生的基序，突出其与复杂的生物质相关化学空间的潜在相关性。机理研究支持这样的观点：COF 内的供体-受体极化促进有效的电荷分离、稳定光催化剂自由基阴离子并促进 PCET 引发的还原猝灭循环。通过将酶氧化还原控制的关键要素抽象并转化为完全人工的、异质的光催化f</w:t>
      </w:r>
    </w:p>
    <w:p>
      <w:pPr>
        <w:spacing w:before="0" w:after="200" w:lineRule="auto" w:line="276"/>
      </w:pPr>
      <w:r>
        <w:rPr>
          <w:b/>
        </w:rPr>
        <w:t xml:space="preserve">Abstract (EN): </w:t>
      </w:r>
      <w:r>
        <w:t>Achieving a photocatalytic reductive quenching cycle that enables direct oxidation of the photocatalyst radical anion by H(I) species, without requiring stoichiometric oxidants or cocatalysts, remains a long-standing challenge in artificial photoredox catalysis. Here we report a bioinspired approach based on the lignin-degrading-mediated proton-coupled electron transfer (PCET) process, implemented through a perylene-based covalent organic framework (NPy-Per-COF) with precisely engineered donor-acceptor characteristics. This heterogeneous photocatalyst sustains a reductive quenching cycle in which controlled radical generation, catalyst regeneration and hydrogen evolution are intrinsically coupled. The system enables dehydrogenative radical cascade reactions between lignin-inspired precursors and structurally diverse unsaturated partners, providing access to a broad range of functionalized aromatic architectures. Further synthetic modifications and in silico analyses confirm the biological relevance and medicinal potential of the synthesized scaffolds. Beyond model substrates, the photocatalytic system can be extended to lignin-derived motifs, highlighting its potential relevance to complex biomass-related chemical space. Mechanistic investigations support the view that donor-acceptor polarization within the COF promotes efficient charge separation, stabilizes the photocatalyst radical anion and facilitates a PCET-initiated reductive quenching cycle. By abstracting and translating key elements of enzymatic redox control into a fully artificial, heterogeneous photocatalytic framework, this work establishes mechanistically informed design guideline for photocatalytic reductive quenching cycle and advances the development of bioinspired systems for controlled dehydrogenative transformations.</w:t>
      </w:r>
    </w:p>
    <w:p>
      <w:pPr>
        <w:spacing w:before="120" w:after="120"/>
      </w:pPr>
      <w:r>
        <w:rPr>
          <w:sz w:val="18"/>
        </w:rPr>
        <w:t>——————————————————————————————————————————————————————————————————————</w:t>
      </w:r>
    </w:p>
    <w:p>
      <w:pPr>
        <w:spacing w:before="160" w:after="40" w:line="240" w:lineRule="auto"/>
      </w:pPr>
      <w:r>
        <w:rPr>
          <w:b/>
        </w:rPr>
        <w:t xml:space="preserve">[481] </w:t>
      </w:r>
      <w:hyperlink r:id="rId1394">
        <w:r>
          <w:rPr>
            <w:color w:val="1155CC"/>
            <w:u w:val="single"/>
          </w:rPr>
          <w:t>镍和钼耦合同位素量化了晚白垩世以来海洋系统的演化</w:t>
        </w:r>
      </w:hyperlink>
    </w:p>
    <w:p>
      <w:pPr>
        <w:spacing w:before="0" w:after="80"/>
      </w:pPr>
      <w:r>
        <w:rPr>
          <w:i/>
          <w:sz w:val="20"/>
        </w:rPr>
        <w:t>EN: Coupled nickel and molybdenum isotopes quantify the evolution of the ocean system since the Late Cretaceous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395">
        <w:r>
          <w:rPr>
            <w:color w:val="1155CC"/>
            <w:u w:val="single"/>
          </w:rPr>
          <w:t>10.1126/sciadv.aeg0341</w:t>
        </w:r>
      </w:hyperlink>
    </w:p>
    <w:p>
      <w:pPr>
        <w:spacing w:before="0" w:after="120"/>
      </w:pPr>
      <w:r>
        <w:rPr>
          <w:b/>
        </w:rPr>
        <w:t xml:space="preserve">Notes: </w:t>
      </w:r>
      <w:r>
        <w:t>abstract_source=crossref</w:t>
      </w:r>
    </w:p>
    <w:p>
      <w:pPr>
        <w:spacing w:before="0" w:after="80" w:lineRule="auto" w:line="276"/>
      </w:pPr>
      <w:r>
        <w:rPr>
          <w:b/>
        </w:rPr>
        <w:t xml:space="preserve">摘要（ZH）: </w:t>
      </w:r>
      <w:r>
        <w:t>镍同位素 (δ</w:t>
      </w:r>
      <w:r>
        <w:rPr>
          <w:vertAlign w:val="subscript"/>
        </w:rPr>
        <w:t>60</w:t>
      </w:r>
      <w:r>
        <w:t>鉴于现代 Ni 预算约束的改善，Ni）是了解海洋生物地球化学演化的新兴工具。在这里，我们提供了对来自塔尔法亚盆地核心 SN°4 富含有机物沉积物的过去海洋镍同位素组成的限制。数据限制了晚白垩世海洋δ</w:t>
      </w:r>
      <w:r>
        <w:rPr>
          <w:vertAlign w:val="subscript"/>
        </w:rPr>
        <w:t>60</w:t>
      </w:r>
      <w:r>
        <w:t>Ni 为 ~+0.8 至 +1.0 每密耳 (‰)，低于现代值 +1.34‰。质量平衡模型提出了这种差异的两个驱动因素：新生代期间河流输入同位素组成的变化和晚白垩世海洋的减少。由于镍和钼同位素对海洋输入和氧化还原敏感汇的变化的反应不同，耦合镍钼模型有助于消除这两个过程的相对重要性。结果表明，在OAE2（海洋缺氧事件2）期间，常生汇的面积比例高于今天，达到约2%，并且在新生代期间，深海有氧汇相对于常生汇的重要性有所增加，这可能是由生物泵和海洋环流的变化驱动的。</w:t>
      </w:r>
    </w:p>
    <w:p>
      <w:pPr>
        <w:spacing w:before="0" w:after="200" w:lineRule="auto" w:line="276"/>
      </w:pPr>
      <w:r>
        <w:rPr>
          <w:b/>
        </w:rPr>
        <w:t xml:space="preserve">Abstract (EN): </w:t>
      </w:r>
      <w:r>
        <w:t>Nickel isotopes (δ</w:t>
      </w:r>
      <w:r>
        <w:rPr>
          <w:vertAlign w:val="subscript"/>
        </w:rPr>
        <w:t>60</w:t>
      </w:r>
      <w:r>
        <w:t>Ni) are an emerging tool for understanding ocean biogeochemical evolution, given improved modern Ni budget constraints. Here, we provide constraints on past ocean Ni isotope compositions from organic-rich sediments from Tarfaya Basin core SN°4. The data constrain Late Cretaceous ocean δ</w:t>
      </w:r>
      <w:r>
        <w:rPr>
          <w:vertAlign w:val="subscript"/>
        </w:rPr>
        <w:t>60</w:t>
      </w:r>
      <w:r>
        <w:t>Ni to ∼+0.8 to +1.0 per mil (‰), lower than the modern value of +1.34‰. Mass balance modeling suggests two drivers of this difference: changes in riverine input isotope composition during the Cenozoic and a more reducing Late Cretaceous ocean. Because Ni and Mo isotopes respond differently to changes in ocean inputs and redox-sensitive sinks, coupled Ni-Mo models help to deconvolve the relative importance of the two processes. The results show that the areal fraction of the euxinic sink was higher than today, reaching ∼2% during OAE2 (Oceanic Anoxic Event 2), and that the importance of the deep ocean oxic sink relative to the euxinic sink increased during the Cenozoic, potentially driven by changes in the biological pump and ocean circulation.</w:t>
      </w:r>
    </w:p>
    <w:p>
      <w:pPr>
        <w:spacing w:before="120" w:after="120"/>
      </w:pPr>
      <w:r>
        <w:rPr>
          <w:sz w:val="18"/>
        </w:rPr>
        <w:t>——————————————————————————————————————————————————————————————————————</w:t>
      </w:r>
    </w:p>
    <w:p>
      <w:pPr>
        <w:spacing w:before="160" w:after="40" w:line="240" w:lineRule="auto"/>
      </w:pPr>
      <w:r>
        <w:rPr>
          <w:b/>
        </w:rPr>
        <w:t xml:space="preserve">[482] </w:t>
      </w:r>
      <w:hyperlink r:id="rId1396">
        <w:r>
          <w:rPr>
            <w:color w:val="1155CC"/>
            <w:u w:val="single"/>
          </w:rPr>
          <w:t>超越动物胶：古埃及油漆粘合剂和粘合剂的古蛋白质组学分析</w:t>
        </w:r>
      </w:hyperlink>
    </w:p>
    <w:p>
      <w:pPr>
        <w:spacing w:before="0" w:after="80"/>
      </w:pPr>
      <w:r>
        <w:rPr>
          <w:i/>
          <w:sz w:val="20"/>
        </w:rPr>
        <w:t>EN: Beyond animal glue: Paleoproteomic analysis of paint binders and adhesives in ancient Egypt</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397">
        <w:r>
          <w:rPr>
            <w:color w:val="1155CC"/>
            <w:u w:val="single"/>
          </w:rPr>
          <w:t>10.1126/sciadv.ady3618</w:t>
        </w:r>
      </w:hyperlink>
    </w:p>
    <w:p>
      <w:pPr>
        <w:spacing w:before="0" w:after="120"/>
      </w:pPr>
      <w:r>
        <w:rPr>
          <w:b/>
        </w:rPr>
        <w:t xml:space="preserve">Notes: </w:t>
      </w:r>
      <w:r>
        <w:t>abstract_source=crossref</w:t>
      </w:r>
    </w:p>
    <w:p>
      <w:pPr>
        <w:spacing w:before="0" w:after="80" w:lineRule="auto" w:line="276"/>
      </w:pPr>
      <w:r>
        <w:rPr>
          <w:b/>
        </w:rPr>
        <w:t xml:space="preserve">摘要（ZH）: </w:t>
      </w:r>
      <w:r>
        <w:t>尽管世界各地收藏了大量来自古埃及的艺术品，但对油漆和粘合剂中使用的有机介质的分析研究数量却很有限，特别是因为通常需要微量样品。在这项研究中，我们使用基于质谱的蛋白质组学来自信地鉴定了公元前 1425 年至公元 400 年的多个古埃及彩绘文物中蛋白质材料的来源物种和组织。蛋白质组学证实了使用了由多种动物的胶原蛋白制备的胶水，并揭示了植物蛋白的存在，包括芝麻和辣木产品，这在古埃及艺术品中以前没有记录。这引发了关于这些材料的起源、它们与神灵相关的象征和宗教意义，以及它们在古埃及艺术、文化和经济背景下的价值的更多讨论。我们的研究表明，将古蛋白质组学结果与其他分析方法、考古证据和文本来源相结合，有助于了解古埃及绘画艺术品中预期的和更非常规的有机材料。</w:t>
      </w:r>
    </w:p>
    <w:p>
      <w:pPr>
        <w:spacing w:before="0" w:after="200" w:lineRule="auto" w:line="276"/>
      </w:pPr>
      <w:r>
        <w:rPr>
          <w:b/>
        </w:rPr>
        <w:t xml:space="preserve">Abstract (EN): </w:t>
      </w:r>
      <w:r>
        <w:t>Despite the wealth of artworks from ancient Egypt in collections worldwide, the number of analytical studies on the organic media used in paints and adhesives is limited, especially because microsamples are often required. In this study, we used mass spectrometry–based proteomics to confidently identify the species and tissues of origin of proteinaceous materials in painted ancient Egyptian artifacts from several collections dating 1425 BCE to 400 CE. Proteomics confirmed the use of glue prepared from the collagen of multiple animals and revealed the presence of plant proteins, including sesame and moringa products, previously undocumented in ancient Egyptian artworks. This prompts additional discussions about the origins of these materials, their symbolic and religious meaning in connection with deities, and their value within the artistic, cultural, and economic contexts of ancient Egypt. Our study demonstrates that combining paleoproteomics results with other analytical methods, archaeological evidence, and textual sources sheds light on expected and more unconventional organic materials in painted artworks from ancient Egypt.</w:t>
      </w:r>
    </w:p>
    <w:p>
      <w:pPr>
        <w:spacing w:before="120" w:after="120"/>
      </w:pPr>
      <w:r>
        <w:rPr>
          <w:sz w:val="18"/>
        </w:rPr>
        <w:t>——————————————————————————————————————————————————————————————————————</w:t>
      </w:r>
    </w:p>
    <w:p>
      <w:pPr>
        <w:spacing w:before="160" w:after="40" w:line="240" w:lineRule="auto"/>
      </w:pPr>
      <w:r>
        <w:rPr>
          <w:b/>
        </w:rPr>
        <w:t xml:space="preserve">[483] </w:t>
      </w:r>
      <w:hyperlink r:id="rId1398">
        <w:r>
          <w:rPr>
            <w:color w:val="1155CC"/>
            <w:u w:val="single"/>
          </w:rPr>
          <w:t>通过单细胞分析快速、可靠地诊断血流感染</w:t>
        </w:r>
      </w:hyperlink>
    </w:p>
    <w:p>
      <w:pPr>
        <w:spacing w:before="0" w:after="80"/>
      </w:pPr>
      <w:r>
        <w:rPr>
          <w:i/>
          <w:sz w:val="20"/>
        </w:rPr>
        <w:t>EN: Rapid and robust diagnosis of bloodstream infections by single-cell analysis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399">
        <w:r>
          <w:rPr>
            <w:color w:val="1155CC"/>
            <w:u w:val="single"/>
          </w:rPr>
          <w:t>10.1126/sciadv.aeh3580</w:t>
        </w:r>
      </w:hyperlink>
    </w:p>
    <w:p>
      <w:pPr>
        <w:spacing w:before="0" w:after="120"/>
      </w:pPr>
      <w:r>
        <w:rPr>
          <w:b/>
        </w:rPr>
        <w:t xml:space="preserve">Notes: </w:t>
      </w:r>
      <w:r>
        <w:t>abstract_source=crossref</w:t>
      </w:r>
    </w:p>
    <w:p>
      <w:pPr>
        <w:spacing w:before="0" w:after="80" w:lineRule="auto" w:line="276"/>
      </w:pPr>
      <w:r>
        <w:rPr>
          <w:b/>
        </w:rPr>
        <w:t xml:space="preserve">摘要（ZH）: </w:t>
      </w:r>
      <w:r>
        <w:t>脓毒症是血流感染 (BSI) 的常见后果，是全球死亡率和发病率的主要原因。由于病原体载量极低并且依赖于耗时的血培养，诊断具有挑战性且缓慢，需要经验性治疗，这会恶化结果和抗菌素耐药性。在这里，我们引入了用于分析和监测的沉降辅助串联摇摆和富集 (STREAM)，这是一个直接从全血中有效分离和富集接近自然倍增时间的病原体的平台。通过将 STREAM 与单细胞分析相结合，我们实现了对全血样本 BSI 的快速、可靠诊断。采用分子条形码序贯荧光原位杂交技术，对104份阳性血培养样本进行病原鉴定，结果与临床实验室结果的一致性达96.15%。基于凝胶的单细胞抗菌药物敏感性测试在 219 种药物剂量组合中获得了 97.96% 的基本一致性和 93.9% 的绝对一致性。该平台能够直接从全血中进行全面的 BSI 诊断，检测限低至 0.1 至 1 CFU/ml，并在 6.75 至 17 小时内提供完整的诊断结果。</w:t>
      </w:r>
    </w:p>
    <w:p>
      <w:pPr>
        <w:spacing w:before="0" w:after="200" w:lineRule="auto" w:line="276"/>
      </w:pPr>
      <w:r>
        <w:rPr>
          <w:b/>
        </w:rPr>
        <w:t xml:space="preserve">Abstract (EN): </w:t>
      </w:r>
      <w:r>
        <w:t>Sepsis, a common consequence of bloodstream infection (BSI), is a leading cause of global mortality and morbidity. Diagnosis is challenging and slow due to extremely low pathogen loads and reliance on time-consuming blood culture, necessitating empiric therapy that worsens outcomes and antimicrobial resistance. Here, we introduce sedimentation-assisted tandem rocking and enrichment for analysis and monitoring (STREAM), a platform that efficiently isolates and enriches pathogens near their natural doubling times directly from whole blood. By integrating STREAM with single-cell analysis, we achieved rapid and robust diagnosis of BSI from whole-blood samples. Using molecularly barcoded sequential fluorescence in situ hybridization, pathogen identification in 104 positive blood culture samples showed 96.15% concordance with clinical laboratory results. Gel-based single-cell antimicrobial susceptibility testing yields 97.96% essential agreement and 93.9% categorical agreement across 219 drug-dose combinations. The platform enabled comprehensive BSI diagnosis directly from whole blood, achieving a detection limit as low as 0.1 to 1 CFU/ml and delivering full diagnostic results within 6.75 to 17 hours.</w:t>
      </w:r>
    </w:p>
    <w:p>
      <w:pPr>
        <w:spacing w:before="120" w:after="120"/>
      </w:pPr>
      <w:r>
        <w:rPr>
          <w:sz w:val="18"/>
        </w:rPr>
        <w:t>——————————————————————————————————————————————————————————————————————</w:t>
      </w:r>
    </w:p>
    <w:p>
      <w:pPr>
        <w:spacing w:before="160" w:after="40" w:line="240" w:lineRule="auto"/>
      </w:pPr>
      <w:r>
        <w:rPr>
          <w:b/>
        </w:rPr>
        <w:t xml:space="preserve">[484] </w:t>
      </w:r>
      <w:hyperlink r:id="rId1400">
        <w:r>
          <w:rPr>
            <w:color w:val="1155CC"/>
            <w:u w:val="single"/>
          </w:rPr>
          <w:t>大规模脑网络恢复支持识别记忆</w:t>
        </w:r>
      </w:hyperlink>
    </w:p>
    <w:p>
      <w:pPr>
        <w:spacing w:before="0" w:after="80"/>
      </w:pPr>
      <w:r>
        <w:rPr>
          <w:i/>
          <w:sz w:val="20"/>
        </w:rPr>
        <w:t>EN: Large-scale brain network reinstatement supports recognition memory</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01">
        <w:r>
          <w:rPr>
            <w:color w:val="1155CC"/>
            <w:u w:val="single"/>
          </w:rPr>
          <w:t>10.1073/pnas.2603685123</w:t>
        </w:r>
      </w:hyperlink>
    </w:p>
    <w:p>
      <w:pPr>
        <w:spacing w:before="0" w:after="120"/>
      </w:pPr>
      <w:r>
        <w:rPr>
          <w:b/>
        </w:rPr>
        <w:t xml:space="preserve">Notes: </w:t>
      </w:r>
      <w:r>
        <w:t>abstract_source=crossref</w:t>
      </w:r>
    </w:p>
    <w:p>
      <w:pPr>
        <w:spacing w:before="0" w:after="80" w:lineRule="auto" w:line="276"/>
      </w:pPr>
      <w:r>
        <w:rPr>
          <w:b/>
        </w:rPr>
        <w:t xml:space="preserve">摘要（ZH）: </w:t>
      </w:r>
      <w:r>
        <w:t>记住过去的经历需要恢复神经活动模式，但这一过程是否以及如何在大规模大脑网络中展开仍不清楚。在这里，我们开发了一种从自然场景数据集中的试验激活图构建动态大规模大脑网络的方法。我们在全脑、子系统和区域尺度上确定了稳健的网络级项目特定表示。网络级恢复，特别是涉及高阶视觉和背部注意系统的连接，与条件级识别性能和预测的项目级识别准确性相关。从生物学上讲，区域网络表征模式与神经调节受体分布和线粒体生物能梯度一致。此外，网络级表示与基于局部激活的表示相关联，并调节它们与识别准确性的关系。然而，这两种表征形式表现出不同的空间拓扑，独立地有助于识别，并且锚定在不同的神经生物学结构中。总之，这些发现揭示了一种以前未被认识的网络级表征机制，该机制支持识别记忆，完善了人脑中分布式信息编码的当前模型。</w:t>
      </w:r>
    </w:p>
    <w:p>
      <w:pPr>
        <w:spacing w:before="0" w:after="200" w:lineRule="auto" w:line="276"/>
      </w:pPr>
      <w:r>
        <w:rPr>
          <w:b/>
        </w:rPr>
        <w:t xml:space="preserve">Abstract (EN): </w:t>
      </w:r>
      <w:r>
        <w:t>Remembering past experiences requires the reinstatement of neural activity patterns, yet whether and how this process unfolds across large-scale brain networks remains unclear. Here, we developed an approach to construct dynamic large-scale brain networks from trial-wise activation maps in the Natural Scenes Dataset. We identified robust network-level item-specific representations at whole-brain, subsystem, and regional scales. Network-level reinstatement, particularly for connections involving higher-order visual and dorsal attention systems, was associated with condition-level recognition performance and predicted item-level recognition accuracy. Biologically, regional network representational patterns aligned with neuromodulatory receptor distributions and mitochondrial bioenergetic gradients. Moreover, network-level representations were associated with local activation-based representations and mediated their relationship with recognition accuracy. Nevertheless, the two representational forms exhibited distinct spatial topographies, contributed independently to recognition, and were anchored in different neurobiological architectures. Together, these findings uncover a previously unrecognized network-level representational mechanism that supports recognition memory, refining current models of distributed information coding in the human brain.</w:t>
      </w:r>
    </w:p>
    <w:p>
      <w:pPr>
        <w:spacing w:before="120" w:after="120"/>
      </w:pPr>
      <w:r>
        <w:rPr>
          <w:sz w:val="18"/>
        </w:rPr>
        <w:t>——————————————————————————————————————————————————————————————————————</w:t>
      </w:r>
    </w:p>
    <w:p>
      <w:pPr>
        <w:spacing w:before="160" w:after="40" w:line="240" w:lineRule="auto"/>
      </w:pPr>
      <w:r>
        <w:rPr>
          <w:b/>
        </w:rPr>
        <w:t xml:space="preserve">[485] </w:t>
      </w:r>
      <w:hyperlink r:id="rId1402">
        <w:r>
          <w:rPr>
            <w:color w:val="1155CC"/>
            <w:u w:val="single"/>
          </w:rPr>
          <w:t>胰腺 β 细胞中 G12 型 G 蛋白的激活可防止葡萄糖稳态受损</w:t>
        </w:r>
      </w:hyperlink>
    </w:p>
    <w:p>
      <w:pPr>
        <w:spacing w:before="0" w:after="80"/>
      </w:pPr>
      <w:r>
        <w:rPr>
          <w:i/>
          <w:sz w:val="20"/>
        </w:rPr>
        <w:t>EN: Activation of G12-type G proteins in pancreatic β cells protects against impaired glucose homeostasis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03">
        <w:r>
          <w:rPr>
            <w:color w:val="1155CC"/>
            <w:u w:val="single"/>
          </w:rPr>
          <w:t>10.1126/sciadv.aeh5504</w:t>
        </w:r>
      </w:hyperlink>
    </w:p>
    <w:p>
      <w:pPr>
        <w:spacing w:before="0" w:after="120"/>
      </w:pPr>
      <w:r>
        <w:rPr>
          <w:b/>
        </w:rPr>
        <w:t xml:space="preserve">Notes: </w:t>
      </w:r>
      <w:r>
        <w:t>abstract_source=crossref</w:t>
      </w:r>
    </w:p>
    <w:p>
      <w:pPr>
        <w:spacing w:before="0" w:after="80" w:lineRule="auto" w:line="276"/>
      </w:pPr>
      <w:r>
        <w:rPr>
          <w:b/>
        </w:rPr>
        <w:t xml:space="preserve">摘要（ZH）: </w:t>
      </w:r>
      <w:r>
        <w:t>胰岛素分泌受损是 2 型糖尿病 (T2D) 的一个关键特征，是全球主要的健康负担。胰腺 β 细胞的胰岛素释放受到与不同功能类别的 G 蛋白相关的 G 蛋白偶联受体的调节。 β细胞G的潜在代谢作用</w:t>
      </w:r>
      <w:r>
        <w:t xml:space="preserve"> </w:t>
      </w:r>
      <w:r>
        <w:t>12/13</w:t>
      </w:r>
      <w:r>
        <w:t xml:space="preserve"> </w:t>
      </w:r>
      <w:r>
        <w:t>（G</w:t>
      </w:r>
      <w:r>
        <w:rPr>
          <w:vertAlign w:val="subscript"/>
        </w:rPr>
        <w:t>12</w:t>
      </w:r>
      <w:r>
        <w:t>下文）信号传导仍未被探索。因此，我们研究了 β 细胞 G 的潜在代谢结果</w:t>
      </w:r>
      <w:r>
        <w:rPr>
          <w:vertAlign w:val="subscript"/>
        </w:rPr>
        <w:t>12</w:t>
      </w:r>
      <w:r>
        <w:t>通过结合使用小鼠基因敲除技术和 β 细胞特异性化学遗传学方法来激活。我们发现选择性激活β细胞G</w:t>
      </w:r>
      <w:r>
        <w:rPr>
          <w:vertAlign w:val="subscript"/>
        </w:rPr>
        <w:t>12</w:t>
      </w:r>
      <w:r>
        <w:t>信号传导强烈促进胰岛素分泌，从而保护小鼠免受与肥胖相关的代谢缺陷的影响，并改善 T2D 小鼠模型的血糖控制。对灌注小鼠胰岛的机制研究确定 ROCK 是 G 的关键下游效应子</w:t>
      </w:r>
      <w:r>
        <w:rPr>
          <w:vertAlign w:val="subscript"/>
        </w:rPr>
        <w:t>12</w:t>
      </w:r>
      <w:r>
        <w:t>信号传导和胰岛素分泌的有效触发。总的来说，这些发现表明 G 蛋白偶联受体与 G</w:t>
      </w:r>
      <w:r>
        <w:rPr>
          <w:vertAlign w:val="subscript"/>
        </w:rPr>
        <w:t>12</w:t>
      </w:r>
      <w:r>
        <w:t>β细胞中的β细胞代表了抗糖尿病药物的潜在靶点。</w:t>
      </w:r>
    </w:p>
    <w:p>
      <w:pPr>
        <w:spacing w:before="0" w:after="200" w:lineRule="auto" w:line="276"/>
      </w:pPr>
      <w:r>
        <w:rPr>
          <w:b/>
        </w:rPr>
        <w:t xml:space="preserve">Abstract (EN): </w:t>
      </w:r>
      <w:r>
        <w:t>Impaired insulin secretion represents a key feature of type 2 diabetes (T2D), a major global health burden. Insulin release from pancreatic β cells is regulated by G protein–coupled receptors linked to different functional classes of G proteins. The potential metabolic role of β cell G</w:t>
      </w:r>
      <w:r>
        <w:t xml:space="preserve"> </w:t>
      </w:r>
      <w:r>
        <w:t>12/13</w:t>
      </w:r>
      <w:r>
        <w:t xml:space="preserve"> </w:t>
      </w:r>
      <w:r>
        <w:t>(G</w:t>
      </w:r>
      <w:r>
        <w:rPr>
          <w:vertAlign w:val="subscript"/>
        </w:rPr>
        <w:t>12</w:t>
      </w:r>
      <w:r>
        <w:t>hereafter) signaling remains unexplored. Thus, we studied the potential metabolic outcomes of β cell G</w:t>
      </w:r>
      <w:r>
        <w:rPr>
          <w:vertAlign w:val="subscript"/>
        </w:rPr>
        <w:t>12</w:t>
      </w:r>
      <w:r>
        <w:t>activation by using a combination of mouse gene knockout technology and β cell–specific chemogenetic approaches. We found that selective activation of β cell G</w:t>
      </w:r>
      <w:r>
        <w:rPr>
          <w:vertAlign w:val="subscript"/>
        </w:rPr>
        <w:t>12</w:t>
      </w:r>
      <w:r>
        <w:t>signaling strongly promoted insulin secretion, thus protecting mice against obesity-associated metabolic deficits and improving glycemic control in a mouse model of T2D. Mechanistic studies with perifused pancreatic mouse islets identified ROCK as a key downstream effector of G</w:t>
      </w:r>
      <w:r>
        <w:rPr>
          <w:vertAlign w:val="subscript"/>
        </w:rPr>
        <w:t>12</w:t>
      </w:r>
      <w:r>
        <w:t>signaling and potent trigger of insulin secretion. Collectively, these findings suggest that G protein–coupled receptors linked to G</w:t>
      </w:r>
      <w:r>
        <w:rPr>
          <w:vertAlign w:val="subscript"/>
        </w:rPr>
        <w:t>12</w:t>
      </w:r>
      <w:r>
        <w:t>in β cells represent potential targets for antidiabetic drugs.</w:t>
      </w:r>
    </w:p>
    <w:p>
      <w:pPr>
        <w:spacing w:before="120" w:after="120"/>
      </w:pPr>
      <w:r>
        <w:rPr>
          <w:sz w:val="18"/>
        </w:rPr>
        <w:t>——————————————————————————————————————————————————————————————————————</w:t>
      </w:r>
    </w:p>
    <w:p>
      <w:pPr>
        <w:spacing w:before="160" w:after="40" w:line="240" w:lineRule="auto"/>
      </w:pPr>
      <w:r>
        <w:rPr>
          <w:b/>
        </w:rPr>
        <w:t xml:space="preserve">[486] </w:t>
      </w:r>
      <w:hyperlink r:id="rId1404">
        <w:r>
          <w:rPr>
            <w:color w:val="1155CC"/>
            <w:u w:val="single"/>
          </w:rPr>
          <w:t>动脉粥样硬化中平滑肌细胞表型转换的代谢控制</w:t>
        </w:r>
      </w:hyperlink>
    </w:p>
    <w:p>
      <w:pPr>
        <w:spacing w:before="0" w:after="80"/>
      </w:pPr>
      <w:r>
        <w:rPr>
          <w:i/>
          <w:sz w:val="20"/>
        </w:rPr>
        <w:t>EN: Metabolic control of smooth muscle cell phenotype switching in atherosclerosis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05">
        <w:r>
          <w:rPr>
            <w:color w:val="1155CC"/>
            <w:u w:val="single"/>
          </w:rPr>
          <w:t>10.1126/sciadv.aef6065</w:t>
        </w:r>
      </w:hyperlink>
    </w:p>
    <w:p>
      <w:pPr>
        <w:spacing w:before="0" w:after="120"/>
      </w:pPr>
      <w:r>
        <w:rPr>
          <w:b/>
        </w:rPr>
        <w:t xml:space="preserve">Notes: </w:t>
      </w:r>
      <w:r>
        <w:t>abstract_source=crossref</w:t>
      </w:r>
    </w:p>
    <w:p>
      <w:pPr>
        <w:spacing w:before="0" w:after="80" w:lineRule="auto" w:line="276"/>
      </w:pPr>
      <w:r>
        <w:rPr>
          <w:b/>
        </w:rPr>
        <w:t xml:space="preserve">摘要（ZH）: </w:t>
      </w:r>
      <w:r>
        <w:t>平滑肌细胞（SMC）收缩表型的丧失会导致包括动脉粥样硬化在内的多种疾病。然而，其代谢基础尚未完全阐明。由于转化生长因子β (TGFβ) 信号是 SMC 收缩性的主要调节因子之一，因此我们在体外研究了 SMC 以及动脉粥样硬化小鼠模型和人类病变中 TGFβ 信号的代谢调节。我们发现 TGFβ 通过抑制丙酮酸脱氢酶激酶 4 (PDK4) 来诱导 Ac-CoA 合成酶 2 (ACSS2) 依赖性 Ac-CoA 产生。这稳定了 R-SMAD 和 TGFβ 受体 1，保留了 SMC 收缩表型。 SMC 特异性 PDK4 敲除在代谢和表型上模拟了 TGFβ 信号传导的作用，增加了葡萄糖衍生的 Ac-CoA 合成和 SMC 收缩表型。 SMC专用</w:t>
      </w:r>
      <w:r>
        <w:t xml:space="preserve"> </w:t>
      </w:r>
      <w:r>
        <w:t>磷酸二氢钾4</w:t>
      </w:r>
      <w:r>
        <w:t xml:space="preserve"> </w:t>
      </w:r>
      <w:r>
        <w:t>淘汰赛</w:t>
      </w:r>
      <w:r>
        <w:t xml:space="preserve"> </w:t>
      </w:r>
      <w:r>
        <w:t>载脂蛋白E</w:t>
      </w:r>
      <w:r>
        <w:t xml:space="preserve"> </w:t>
      </w:r>
      <w:r>
        <w:t>基因敲除小鼠减少了动脉粥样硬化。此外，人体样本显示 PDK4 水平与动脉粥样硬化严重程度之间存在很强的相关性。这些发现表明，连续的 SMC TGFβ 信号传导对维持正常的 SMC 收缩状态至关重要，并受到 PDK4 和碳水化合物代谢的调节。</w:t>
      </w:r>
    </w:p>
    <w:p>
      <w:pPr>
        <w:spacing w:before="0" w:after="200" w:lineRule="auto" w:line="276"/>
      </w:pPr>
      <w:r>
        <w:rPr>
          <w:b/>
        </w:rPr>
        <w:t xml:space="preserve">Abstract (EN): </w:t>
      </w:r>
      <w:r>
        <w:t>The loss of smooth muscle cell (SMC) contractile phenotype contributes to various diseases including atherosclerosis. However, its metabolic basis is not entirely elucidated. Since the transforming growth factor beta (TGFβ) signaling is among principal regulators of SMC contractility, we studied metabolic regulation of TGFβ signaling in SMCs in vitro and atherosclerotic mouse models and human lesions. We found that TGFβ induced Ac-CoA synthetase 2 (ACSS2)-dependent Ac-CoA production, by suppressing pyruvate dehydrogenase kinase 4 (PDK4). This stabilized R-SMADs and TGFβ receptor 1, preserving SMC contractile phenotype. SMC-specific PDK4 knockout mimicked the effect of TGFβ signaling both metabolically and phenotypically, increasing glucose-derived synthesis of Ac-CoA and SMC contractile phenotype. SMC-specific</w:t>
      </w:r>
      <w:r>
        <w:t xml:space="preserve"> </w:t>
      </w:r>
      <w:r>
        <w:t>Pdk4</w:t>
      </w:r>
      <w:r>
        <w:t xml:space="preserve"> </w:t>
      </w:r>
      <w:r>
        <w:t>knockout in</w:t>
      </w:r>
      <w:r>
        <w:t xml:space="preserve"> </w:t>
      </w:r>
      <w:r>
        <w:t>ApoE</w:t>
      </w:r>
      <w:r>
        <w:t xml:space="preserve"> </w:t>
      </w:r>
      <w:r>
        <w:t>knockout mice reduced atherosclerosis. Furthermore, human specimens demonstrated a strong correlation between PDK4 level and atherosclerosis severity. These findings indicate that continuous SMC TGFβ signaling, critical to the maintenance of the normal SMC contractile state, is regulated by PDK4 and carbohydrate metabolism.</w:t>
      </w:r>
    </w:p>
    <w:p>
      <w:pPr>
        <w:spacing w:before="120" w:after="120"/>
      </w:pPr>
      <w:r>
        <w:rPr>
          <w:sz w:val="18"/>
        </w:rPr>
        <w:t>——————————————————————————————————————————————————————————————————————</w:t>
      </w:r>
    </w:p>
    <w:p>
      <w:pPr>
        <w:spacing w:before="160" w:after="40" w:line="240" w:lineRule="auto"/>
      </w:pPr>
      <w:r>
        <w:rPr>
          <w:b/>
        </w:rPr>
        <w:t xml:space="preserve">[487] </w:t>
      </w:r>
      <w:hyperlink r:id="rId1406">
        <w:r>
          <w:rPr>
            <w:color w:val="1155CC"/>
            <w:u w:val="single"/>
          </w:rPr>
          <w:t>用于感知分类的皮层输出通道</w:t>
        </w:r>
      </w:hyperlink>
    </w:p>
    <w:p>
      <w:pPr>
        <w:spacing w:before="0" w:after="80"/>
      </w:pPr>
      <w:r>
        <w:rPr>
          <w:i/>
          <w:sz w:val="20"/>
        </w:rPr>
        <w:t>EN: A cortical output channel for perceptual categorization</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07">
        <w:r>
          <w:rPr>
            <w:color w:val="1155CC"/>
            <w:u w:val="single"/>
          </w:rPr>
          <w:t>10.1126/sciadv.aef3715</w:t>
        </w:r>
      </w:hyperlink>
    </w:p>
    <w:p>
      <w:pPr>
        <w:spacing w:before="0" w:after="120"/>
      </w:pPr>
      <w:r>
        <w:rPr>
          <w:b/>
        </w:rPr>
        <w:t xml:space="preserve">Notes: </w:t>
      </w:r>
      <w:r>
        <w:t>abstract_source=crossref</w:t>
      </w:r>
    </w:p>
    <w:p>
      <w:pPr>
        <w:spacing w:before="0" w:after="80" w:lineRule="auto" w:line="276"/>
      </w:pPr>
      <w:r>
        <w:rPr>
          <w:b/>
        </w:rPr>
        <w:t xml:space="preserve">摘要（ZH）: </w:t>
      </w:r>
      <w:r>
        <w:t>感知分类将分级的感官输入转换为支持决策的离散表示。虽然听觉皮层对于这一过程至关重要，但连续物理输入转化为离散决策变量的特定电路位置仍然未知。在这里，我们通过对学习分类任务的小鼠的第 5 层 (L5) 端脑外 (ET) 神经元以及 L2/3 和 L5 端脑内 (IT) 群体进行纵向双光子成像来解决这个问题。通过学习，L5 ET 神经元经历了明显的调谐变化并产生了强大的分类反应，而 L2/3 和 L5 IT 神经元却没有。这种转变不仅是细胞类型的固有特征，而且受到任务参与的动态控制，仅在主动决策过程中出现。使用广义线性模型，我们证实 L5 ET 神经元的分类选择性反映了真正的感觉编码，而不是选择驱动活动的副产品。这些发现将 L5 ET 神经元确定为皮质输出通道，将刺激分类为决策变量以指导行动。</w:t>
      </w:r>
    </w:p>
    <w:p>
      <w:pPr>
        <w:spacing w:before="0" w:after="200" w:lineRule="auto" w:line="276"/>
      </w:pPr>
      <w:r>
        <w:rPr>
          <w:b/>
        </w:rPr>
        <w:t xml:space="preserve">Abstract (EN): </w:t>
      </w:r>
      <w:r>
        <w:t>Perceptual categorization transforms graded sensory inputs into discrete representations that support decision-making. While the auditory cortex is causally important for this process, a specific circuit location where continuous physical inputs are transformed into discrete decision variables remains unknown. Here, we address this by performing longitudinal two-photon imaging of layer 5 (L5) extratelencephalic (ET) neurons alongside L2/3 and L5 intratelencephalic (IT) populations in mice learning a categorization task. With learning, L5 ET neurons underwent pronounced tuning shifts and developed robust categorical responses, whereas L2/3 and L5 IT neurons did not. This transformation is not merely an intrinsic feature of the cell type but is dynamically controlled by task engagement, emerging only during active decision-making. Using a generalized linear model, we confirmed that categorical selectivity in L5 ET neurons reflects genuine sensory encoding rather than being a by-product of choice-driven activity. These findings identify L5 ET neurons as a cortical output channel to categorize stimuli into a decision variable to guide actions.</w:t>
      </w:r>
    </w:p>
    <w:p>
      <w:pPr>
        <w:spacing w:before="120" w:after="120"/>
      </w:pPr>
      <w:r>
        <w:rPr>
          <w:sz w:val="18"/>
        </w:rPr>
        <w:t>——————————————————————————————————————————————————————————————————————</w:t>
      </w:r>
    </w:p>
    <w:p>
      <w:pPr>
        <w:spacing w:before="160" w:after="40" w:line="240" w:lineRule="auto"/>
      </w:pPr>
      <w:r>
        <w:rPr>
          <w:b/>
        </w:rPr>
        <w:t xml:space="preserve">[488] </w:t>
      </w:r>
      <w:hyperlink r:id="rId1408">
        <w:r>
          <w:rPr>
            <w:color w:val="1155CC"/>
            <w:u w:val="single"/>
          </w:rPr>
          <w:t>前折叠蛋白功能将减数分裂染色体分离与细胞重塑联系起来，并揭示减数分裂纺锤体的微管蛋白敏感性</w:t>
        </w:r>
      </w:hyperlink>
    </w:p>
    <w:p>
      <w:pPr>
        <w:spacing w:before="0" w:after="80"/>
      </w:pPr>
      <w:r>
        <w:rPr>
          <w:i/>
          <w:sz w:val="20"/>
        </w:rPr>
        <w:t>EN: Prefoldin function links meiotic chromosome segregation with cellular remodeling and reveals tubulin sensitivity of the meiotic spindle</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09">
        <w:r>
          <w:rPr>
            <w:color w:val="1155CC"/>
            <w:u w:val="single"/>
          </w:rPr>
          <w:t>10.1126/sciadv.aef5385</w:t>
        </w:r>
      </w:hyperlink>
    </w:p>
    <w:p>
      <w:pPr>
        <w:spacing w:before="0" w:after="120"/>
      </w:pPr>
      <w:r>
        <w:rPr>
          <w:b/>
        </w:rPr>
        <w:t xml:space="preserve">Notes: </w:t>
      </w:r>
      <w:r>
        <w:t>abstract_source=crossref</w:t>
      </w:r>
    </w:p>
    <w:p>
      <w:pPr>
        <w:spacing w:before="0" w:after="80" w:lineRule="auto" w:line="276"/>
      </w:pPr>
      <w:r>
        <w:rPr>
          <w:b/>
        </w:rPr>
        <w:t xml:space="preserve">摘要（ZH）: </w:t>
      </w:r>
      <w:r>
        <w:t>忠实的染色体分离对于减数分裂期间产生可行的配子至关重要，减数分裂是一种与有丝分裂相关的特殊细胞分裂类型。在这里，我们鉴定出 Gim3（普遍表达且保守的前折叠蛋白复合物的一个亚基）作为芽殖酵母中减数分裂而非有丝分裂染色体分离的关键调节因子。 Gim3 的缺失会导致微管蛋白水平降低，导致染色体分离和配子活力严重缺陷，这也与纺锤体长度缩短有关。在有丝分裂中，</w:t>
      </w:r>
      <w:r>
        <w:t xml:space="preserve"> </w:t>
      </w:r>
      <w:r>
        <w:t>GIM3</w:t>
      </w:r>
      <w:r>
        <w:t xml:space="preserve"> </w:t>
      </w:r>
      <w:r>
        <w:t>尽管在两种情况下微管蛋白水平同样降低，但缺失对纺锤体长度和染色体分离的影响微乎其微，这突显了减数分裂和有丝分裂纺锤体对微管蛋白丰度的敏感性之间的有趣差异。除了染色体分离缺陷之外，</w:t>
      </w:r>
      <w:r>
        <w:t xml:space="preserve"> </w:t>
      </w:r>
      <w:r>
        <w:t>吉姆3</w:t>
      </w:r>
      <w:r>
        <w:t xml:space="preserve"> </w:t>
      </w:r>
      <w:r>
        <w:t>Δ细胞表现出异常的减数分裂细胞重塑，包括从新形成的配子中排除与年龄相关的蛋白质聚集体的缺陷。独立诱导的减数分裂染色体错误分离同样会扰乱细胞重塑，表明配子产生的这些方面之间存在根本耦合。总之，我们的研究结果确定 Gim3 是维持减数分裂染色体分离完整性所需的关键因素，并揭示了染色体分离和减数分裂细胞重塑之间令人兴奋且之前未被认识的联系。</w:t>
      </w:r>
    </w:p>
    <w:p>
      <w:pPr>
        <w:spacing w:before="0" w:after="200" w:lineRule="auto" w:line="276"/>
      </w:pPr>
      <w:r>
        <w:rPr>
          <w:b/>
        </w:rPr>
        <w:t xml:space="preserve">Abstract (EN): </w:t>
      </w:r>
      <w:r>
        <w:t>Faithful chromosome segregation is essential for producing viable gametes during meiosis, a specialized type of cell division relative to mitosis. Here we identify Gim3, a subunit of the ubiquitously expressed and conserved prefoldin complex, as a critical regulator of meiotic but not mitotic chromosome segregation in budding yeast. Loss of Gim3 causes profound defects in chromosome segregation and gamete viability through reduced tubulin protein levels, which are also associated with reduced spindle length. In mitosis,</w:t>
      </w:r>
      <w:r>
        <w:t xml:space="preserve"> </w:t>
      </w:r>
      <w:r>
        <w:t>GIM3</w:t>
      </w:r>
      <w:r>
        <w:t xml:space="preserve"> </w:t>
      </w:r>
      <w:r>
        <w:t>deletion minimally affects spindle length and chromosome segregation, despite similarly reduced tubulin levels in both contexts, highlighting an intriguing difference between the sensitivity of meiotic and mitotic spindles to tubulin abundance. Beyond chromosome segregation defects,</w:t>
      </w:r>
      <w:r>
        <w:t xml:space="preserve"> </w:t>
      </w:r>
      <w:r>
        <w:t>gim3</w:t>
      </w:r>
      <w:r>
        <w:t xml:space="preserve"> </w:t>
      </w:r>
      <w:r>
        <w:t>∆ cells exhibit aberrant meiotic cellular remodeling, including defects in exclusion of age-associated protein aggregates from newly forming gametes. Independently induced meiotic chromosome missegregation similarly disturbs cellular remodeling, pointing to a fundamental coupling between these aspects of gamete production. Together, our findings identify Gim3 as a key factor required for maintaining meiotic chromosome segregation integrity, and reveal an exciting and previously unrecognized link between chromosome segregation and meiotic cellular remodeling.</w:t>
      </w:r>
    </w:p>
    <w:p>
      <w:pPr>
        <w:spacing w:before="120" w:after="120"/>
      </w:pPr>
      <w:r>
        <w:rPr>
          <w:sz w:val="18"/>
        </w:rPr>
        <w:t>——————————————————————————————————————————————————————————————————————</w:t>
      </w:r>
    </w:p>
    <w:p>
      <w:pPr>
        <w:spacing w:before="160" w:after="40" w:line="240" w:lineRule="auto"/>
      </w:pPr>
      <w:r>
        <w:rPr>
          <w:b/>
        </w:rPr>
        <w:t xml:space="preserve">[489] </w:t>
      </w:r>
      <w:hyperlink r:id="rId1410">
        <w:r>
          <w:rPr>
            <w:color w:val="1155CC"/>
            <w:u w:val="single"/>
          </w:rPr>
          <w:t>90 天阴道环在猪尾猕猴中输送 islatravir 的剂量范围药代动力学、安全性和有效性</w:t>
        </w:r>
      </w:hyperlink>
    </w:p>
    <w:p>
      <w:pPr>
        <w:spacing w:before="0" w:after="80"/>
      </w:pPr>
      <w:r>
        <w:rPr>
          <w:i/>
          <w:sz w:val="20"/>
        </w:rPr>
        <w:t>EN: Dose-ranging pharmacokinetics, safety, and efficacy of a 90-day intravaginal ring delivering islatravir in pigtail macaques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11">
        <w:r>
          <w:rPr>
            <w:color w:val="1155CC"/>
            <w:u w:val="single"/>
          </w:rPr>
          <w:t>10.1126/sciadv.aef3514</w:t>
        </w:r>
      </w:hyperlink>
    </w:p>
    <w:p>
      <w:pPr>
        <w:spacing w:before="0" w:after="120"/>
      </w:pPr>
      <w:r>
        <w:rPr>
          <w:b/>
        </w:rPr>
        <w:t xml:space="preserve">Notes: </w:t>
      </w:r>
      <w:r>
        <w:t>abstract_source=crossref</w:t>
      </w:r>
    </w:p>
    <w:p>
      <w:pPr>
        <w:spacing w:before="0" w:after="80" w:lineRule="auto" w:line="276"/>
      </w:pPr>
      <w:r>
        <w:rPr>
          <w:b/>
        </w:rPr>
        <w:t xml:space="preserve">摘要（ZH）: </w:t>
      </w:r>
      <w:r>
        <w:t>阴道环（IVR）是一种有吸引力的用户控制的递送系统，可以实现化合物持续释放数周。我们在猕猴中建立了三维 (3D) 打印的 IVR 模型，该 IVR 提供了研究中的核苷逆转录酶易位蛋白抑制剂 islatravir (ISL)。在 30 天的药代动力学和安全性研究中使用了三种含有 15、30 或 60 毫克 ISL 的 IVR，随后进行了 90 天的研究，以确定将活性细胞内代谢物三磷酸异拉曲韦 (ISL-TP) 浓度维持在保护基准之上的剂量。 IVR 是安全的，并且以剂量依赖性方式提供 ISL。在一项涉及 12 周低剂量阴道暴露于 SHIV162p3 的挑战研究中，六只猕猴接受 60 毫克 ISL IVR 治疗 90 天，仍保持血清阴性和 SHIV RNA 阴性，而两只未经治疗的对照则被感染。这些数据提供了初步的临床前证据，表明 90 天缓释 ISL IVR 是安全的，并在严格的挑战模型中提供完整的保护，值得进一步的临床研究。</w:t>
      </w:r>
    </w:p>
    <w:p>
      <w:pPr>
        <w:spacing w:before="0" w:after="200" w:lineRule="auto" w:line="276"/>
      </w:pPr>
      <w:r>
        <w:rPr>
          <w:b/>
        </w:rPr>
        <w:t xml:space="preserve">Abstract (EN): </w:t>
      </w:r>
      <w:r>
        <w:t>Intravaginal rings (IVRs) are attractive user-controlled delivery systems that can achieve sustained release of compounds for several weeks. We modeled in macaques a three-dimensional (3D)–printed IVR delivering the investigational nucleoside reverse transcriptase translocator inhibitor islatravir (ISL). Three IVRs with 15, 30, or 60 milligrams of ISL were used in 30-day pharmacokinetic and safety studies followed by 90-day studies to identify a dose that maintains the concentration of the active intracellular metabolite islatravir triphosphate (ISL-TP) above protective benchmarks. IVRs were safe and delivered ISL in a dose-dependent manner. In a challenge study involving 12 weekly low-dose vaginal exposures to SHIV162p3, six macaques treated with 60-milligram ISL IVRs for 90 days remained seronegative and SHIV RNA negative, while two untreated controls were infected. These data provide initial preclinical evidence that a 90-day extended-release ISL IVR is safe and offers complete protection in a stringent challenge model, warranting further clinical investigation.</w:t>
      </w:r>
    </w:p>
    <w:p>
      <w:pPr>
        <w:spacing w:before="120" w:after="120"/>
      </w:pPr>
      <w:r>
        <w:rPr>
          <w:sz w:val="18"/>
        </w:rPr>
        <w:t>——————————————————————————————————————————————————————————————————————</w:t>
      </w:r>
    </w:p>
    <w:p>
      <w:pPr>
        <w:spacing w:before="160" w:after="40" w:line="240" w:lineRule="auto"/>
      </w:pPr>
      <w:r>
        <w:rPr>
          <w:b/>
        </w:rPr>
        <w:t xml:space="preserve">[490] </w:t>
      </w:r>
      <w:hyperlink r:id="rId1412">
        <w:r>
          <w:rPr>
            <w:color w:val="1155CC"/>
            <w:u w:val="single"/>
          </w:rPr>
          <w:t>相关物质波干涉中振幅塌陷的参数估计</w:t>
        </w:r>
      </w:hyperlink>
    </w:p>
    <w:p>
      <w:pPr>
        <w:spacing w:before="0" w:after="80"/>
      </w:pPr>
      <w:r>
        <w:rPr>
          <w:i/>
          <w:sz w:val="20"/>
        </w:rPr>
        <w:t>EN: Parameter estimation from amplitude collapse in correlated matter-wave interference</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13">
        <w:r>
          <w:rPr>
            <w:color w:val="1155CC"/>
            <w:u w:val="single"/>
          </w:rPr>
          <w:t>10.1126/sciadv.aeg5334</w:t>
        </w:r>
      </w:hyperlink>
    </w:p>
    <w:p>
      <w:pPr>
        <w:spacing w:before="0" w:after="120"/>
      </w:pPr>
      <w:r>
        <w:rPr>
          <w:b/>
        </w:rPr>
        <w:t xml:space="preserve">Notes: </w:t>
      </w:r>
      <w:r>
        <w:t>abstract_source=crossref</w:t>
      </w:r>
    </w:p>
    <w:p>
      <w:pPr>
        <w:spacing w:before="0" w:after="80" w:lineRule="auto" w:line="276"/>
      </w:pPr>
      <w:r>
        <w:rPr>
          <w:b/>
        </w:rPr>
        <w:t xml:space="preserve">摘要（ZH）: </w:t>
      </w:r>
      <w:r>
        <w:t>将物质波干涉仪用作基础物理的量子探测器或具有前所未有的精度的惯性传感器依赖于噪声抑制，通常通过关联多个传感器来实现。它们可以在空间上分离（梯度测量或引力波检测）或由不同的内部状态（磁力测量或量子时钟干涉测量）组成，并以信号幅度调制作为微分相位的特征。在这项工作中，我们通过对原子干涉仪的不同磁敏感子状态应用统计推断技术，引入了振幅塌陷（PEAC）参数估计。我们证明，PEAC 提供了更高的真实度，与完美相关信号的标准方法相比，偏差大大减少，同时在接近消失幅度（但不是消失幅度）时实现了有竞争力的精度。这表明消失信号并不构成与量子时钟干涉测量相关的高精度传感的最有利工作点。 PEAC 为没有相位稳定性的相关干涉仪提供了一种普遍适用的补充评估方法，提高了整体精度并实现了原子干涉测量之外的应用。</w:t>
      </w:r>
    </w:p>
    <w:p>
      <w:pPr>
        <w:spacing w:before="0" w:after="200" w:lineRule="auto" w:line="276"/>
      </w:pPr>
      <w:r>
        <w:rPr>
          <w:b/>
        </w:rPr>
        <w:t xml:space="preserve">Abstract (EN): </w:t>
      </w:r>
      <w:r>
        <w:t>Operating matter-wave interferometers as quantum detectors for fundamental physics or inertial sensors with unprecedented accuracies relies on noise rejection, often implemented by correlating multiple sensors. They can be spatially separated (gradiometry or gravitational-wave detection) or consist of different internal states (magnetometry or quantum clock interferometry), with a signal-amplitude modulation serving as a signature of a differential phase. In this work, we introduce parameter estimation from amplitude collapse (PEAC) by applying statistical inference techniques for different magnetically sensitive substates of an atom interferometer. We demonstrate that PEAC provides higher trueness, resulting in a substantially reduced bias compared to standard methods for perfectly correlated signals, while achieving competitive precision near, but not at, vanishing amplitudes. This indicates that vanishing signals do not constitute the most favorable working point for high-accuracy sensing, relevant to quantum clock interferometry. PEAC presents a generally applicable complementary evaluation method for correlated interferometers without phase stability, increasing the overall accuracy and enabling applications beyond atom-based interferometry.</w:t>
      </w:r>
    </w:p>
    <w:p>
      <w:pPr>
        <w:spacing w:before="120" w:after="120"/>
      </w:pPr>
      <w:r>
        <w:rPr>
          <w:sz w:val="18"/>
        </w:rPr>
        <w:t>——————————————————————————————————————————————————————————————————————</w:t>
      </w:r>
    </w:p>
    <w:p>
      <w:pPr>
        <w:spacing w:before="160" w:after="40" w:line="240" w:lineRule="auto"/>
      </w:pPr>
      <w:r>
        <w:rPr>
          <w:b/>
        </w:rPr>
        <w:t xml:space="preserve">[491] </w:t>
      </w:r>
      <w:hyperlink r:id="rId1414">
        <w:r>
          <w:rPr>
            <w:color w:val="1155CC"/>
            <w:u w:val="single"/>
          </w:rPr>
          <w:t>非共线单晶反铁磁薄膜中贝里曲率诱导的输运和磁畴行为的直接成像</w:t>
        </w:r>
      </w:hyperlink>
    </w:p>
    <w:p>
      <w:pPr>
        <w:spacing w:before="0" w:after="80"/>
      </w:pPr>
      <w:r>
        <w:rPr>
          <w:i/>
          <w:sz w:val="20"/>
        </w:rPr>
        <w:t>EN: Direct imaging Berry curvature–induced transport and domain behavior in noncollinear single-crystal antiferromagnetic thin films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15">
        <w:r>
          <w:rPr>
            <w:color w:val="1155CC"/>
            <w:u w:val="single"/>
          </w:rPr>
          <w:t>10.1126/sciadv.aeb6478</w:t>
        </w:r>
      </w:hyperlink>
    </w:p>
    <w:p>
      <w:pPr>
        <w:spacing w:before="0" w:after="120"/>
      </w:pPr>
      <w:r>
        <w:rPr>
          <w:b/>
        </w:rPr>
        <w:t xml:space="preserve">Notes: </w:t>
      </w:r>
      <w:r>
        <w:t>abstract_source=crossref</w:t>
      </w:r>
    </w:p>
    <w:p>
      <w:pPr>
        <w:spacing w:before="0" w:after="80" w:lineRule="auto" w:line="276"/>
      </w:pPr>
      <w:r>
        <w:rPr>
          <w:b/>
        </w:rPr>
        <w:t xml:space="preserve">摘要（ZH）: </w:t>
      </w:r>
      <w:r>
        <w:t>非共线反铁磁体中固有的异常霍尔效应（AHE）的发现为反铁磁器件带来了大量有前景的机会。限制其全部潜力的关键挑战是（i）高质量外延薄膜生长和（ii）对贝里曲率和反铁磁畴物理的理解。在这里，我们重点关注非共线反钙钛矿反铁磁体 Mn</w:t>
      </w:r>
      <w:r>
        <w:rPr>
          <w:vertAlign w:val="subscript"/>
        </w:rPr>
        <w:t>3</w:t>
      </w:r>
      <w:r>
        <w:t>NiN作为模型系统，成功生长为单晶外延薄膜。结合理论计算支持的多个实验，我们探讨了与反铁磁 Γ 相关的贝里曲率</w:t>
      </w:r>
      <w:r>
        <w:t xml:space="preserve"> </w:t>
      </w:r>
      <w:r>
        <w:t>4克</w:t>
      </w:r>
      <w:r>
        <w:t xml:space="preserve"> </w:t>
      </w:r>
      <w:r>
        <w:t>Mn 域</w:t>
      </w:r>
      <w:r>
        <w:rPr>
          <w:vertAlign w:val="subscript"/>
        </w:rPr>
        <w:t>3</w:t>
      </w:r>
      <w:r>
        <w:t>NiN 及其与 AHE 的紧密联系。我们使用高分辨率 Sagnac MOKE（磁光克尔效应）显微镜直接对驱动固有贝里曲率的反铁磁畴进行成像，通过改变温度和施加的磁场来控制空间分布和动力学。我们的研究结果为非共线反铁磁体中贝里曲率的基本理解和广泛可调性提供了关键进展，这对于潜在自旋电子应用的实现非常重要。</w:t>
      </w:r>
    </w:p>
    <w:p>
      <w:pPr>
        <w:spacing w:before="0" w:after="200" w:lineRule="auto" w:line="276"/>
      </w:pPr>
      <w:r>
        <w:rPr>
          <w:b/>
        </w:rPr>
        <w:t xml:space="preserve">Abstract (EN): </w:t>
      </w:r>
      <w:r>
        <w:t>The discovery of the intrinsic anomalous Hall effect (AHE) in noncollinear antiferromagnets has opened a plethora of promising opportunities in antiferromagnetic devices. The key challenges limiting their full potential are (i) high-quality epitaxial thin-film growth and (ii) the understanding of Berry curvature and antiferromagnetic domain physics. Here, we focus on a noncollinear antiperovskite antiferromagnet Mn</w:t>
      </w:r>
      <w:r>
        <w:rPr>
          <w:vertAlign w:val="subscript"/>
        </w:rPr>
        <w:t>3</w:t>
      </w:r>
      <w:r>
        <w:t>NiN as a model system, successfully grown as a single-crystal epitaxial thin film. Combining multiple experiments supported by theoretical calculations, we probe the Berry curvature associated with antiferromagnetic Γ</w:t>
      </w:r>
      <w:r>
        <w:t xml:space="preserve"> </w:t>
      </w:r>
      <w:r>
        <w:t>4g</w:t>
      </w:r>
      <w:r>
        <w:t xml:space="preserve"> </w:t>
      </w:r>
      <w:r>
        <w:t>domains in Mn</w:t>
      </w:r>
      <w:r>
        <w:rPr>
          <w:vertAlign w:val="subscript"/>
        </w:rPr>
        <w:t>3</w:t>
      </w:r>
      <w:r>
        <w:t>NiN and its strong connection to an AHE. We directly image the antiferromagnetic domains driving the intrinsic Berry curvature with high-resolution Sagnac MOKE (magneto-optical Kerr-effect) microscopy, controlling spatial distribution and dynamics by varying temperature and applied magnetic fields. Our findings provide critical advancement of the fundamental understanding and wide tunability of Berry curvature in noncollinear antiferromagnets important for realization in potential spintronic applications.</w:t>
      </w:r>
    </w:p>
    <w:p>
      <w:pPr>
        <w:spacing w:before="120" w:after="120"/>
      </w:pPr>
      <w:r>
        <w:rPr>
          <w:sz w:val="18"/>
        </w:rPr>
        <w:t>——————————————————————————————————————————————————————————————————————</w:t>
      </w:r>
    </w:p>
    <w:p>
      <w:pPr>
        <w:spacing w:before="160" w:after="40" w:line="240" w:lineRule="auto"/>
      </w:pPr>
      <w:r>
        <w:rPr>
          <w:b/>
        </w:rPr>
        <w:t xml:space="preserve">[492] </w:t>
      </w:r>
      <w:hyperlink r:id="rId1416">
        <w:r>
          <w:rPr>
            <w:color w:val="1155CC"/>
            <w:u w:val="single"/>
          </w:rPr>
          <w:t>LarC 的结构和功能分析，LarC 是镍钳核苷酸辅因子生物合成所需的 CTP 依赖性环金属酶</w:t>
        </w:r>
      </w:hyperlink>
    </w:p>
    <w:p>
      <w:pPr>
        <w:spacing w:before="0" w:after="80"/>
      </w:pPr>
      <w:r>
        <w:rPr>
          <w:i/>
          <w:sz w:val="20"/>
        </w:rPr>
        <w:t>EN: Structural and functional analysis of LarC, a CTP-dependent cyclometallase required for nickel-pincer nucleotide cofactor biosynthesis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17">
        <w:r>
          <w:rPr>
            <w:color w:val="1155CC"/>
            <w:u w:val="single"/>
          </w:rPr>
          <w:t>10.1126/sciadv.aeh6867</w:t>
        </w:r>
      </w:hyperlink>
    </w:p>
    <w:p>
      <w:pPr>
        <w:spacing w:before="0" w:after="120"/>
      </w:pPr>
      <w:r>
        <w:rPr>
          <w:b/>
        </w:rPr>
        <w:t xml:space="preserve">Notes: </w:t>
      </w:r>
      <w:r>
        <w:t>abstract_source=crossref</w:t>
      </w:r>
    </w:p>
    <w:p>
      <w:pPr>
        <w:spacing w:before="0" w:after="80" w:lineRule="auto" w:line="276"/>
      </w:pPr>
      <w:r>
        <w:rPr>
          <w:b/>
        </w:rPr>
        <w:t xml:space="preserve">摘要（ZH）: </w:t>
      </w:r>
      <w:r>
        <w:t>镍钳单核苷酸金属辅因子的生物合成需要由 LarC 催化的 CTP 依赖性镍插入反应，但其 C-Ni 键形成机制尚不完全清楚。在这里，我们报告了第一个全长 LarC 的冷冻电子显微镜结构</w:t>
      </w:r>
      <w:r>
        <w:t xml:space="preserve"> </w:t>
      </w:r>
      <w:r>
        <w:t>热乙酸穆尔氏菌</w:t>
      </w:r>
      <w:r>
        <w:t xml:space="preserve"> </w:t>
      </w:r>
      <w:r>
        <w:t>有或没有 CMPylated 反应中间体的模拟物。 LarC 组装为六聚体，包括中心 LarC2 结构域核心和外围 LarC1 结构域三聚体，通过长而灵活的结构域间连接子连接。 LarC1 结构域包含一个用于镍结合的保守的富含组氨酸的区域和一个相邻的保守的酸性口袋，这两个区域对于活性都是必需的。结构模型表明，中间体结合在与假定的镍结合位点相邻的酸性口袋内，而中间类似物的冷冻电镜密度将 LarC2 CTP 结合位点附近的域间裂缝识别为可能的转移位点。基于这些发现，我们建议中间体通过域间裂隙从 LarC2（它在其中被 CMPylated）转移到 LarC1 以进行镍插入。</w:t>
      </w:r>
    </w:p>
    <w:p>
      <w:pPr>
        <w:spacing w:before="0" w:after="200" w:lineRule="auto" w:line="276"/>
      </w:pPr>
      <w:r>
        <w:rPr>
          <w:b/>
        </w:rPr>
        <w:t xml:space="preserve">Abstract (EN): </w:t>
      </w:r>
      <w:r>
        <w:t>Biosynthesis of the nickel-pincer mononucleotide metallocofactor requires a CTP-dependent nickel insertion reaction catalyzed by LarC, whose mechanism of C-Ni bond formation is not fully understood. Here, we report the first cryo–electron microscopy structures of full-length LarC from</w:t>
      </w:r>
      <w:r>
        <w:t xml:space="preserve"> </w:t>
      </w:r>
      <w:r>
        <w:t>Moorella thermoacetica</w:t>
      </w:r>
      <w:r>
        <w:t xml:space="preserve"> </w:t>
      </w:r>
      <w:r>
        <w:t>with and without a mimic of the CMPylated reaction intermediate. LarC assembles as a hexamer comprising a central LarC2 domain core and peripheral LarC1 domain trimers connected by long, flexible interdomain linkers. The LarC1 domains contain a conserved histidine-rich region for nickel binding and an adjacent conserved acidic pocket, both essential for activity. Structural modeling suggests that the intermediate binds within the acidic pocket adjacent to the putative nickel-binding site, while cryo-EM density for an intermediate analog identifies an interdomain cleft near the LarC2 CTP-binding site as a likely transfer site. Based on these findings, we propose that the intermediate is transferred through the interdomain cleft from LarC2, where it is CMPylated, to LarC1 for nickel insertion.</w:t>
      </w:r>
    </w:p>
    <w:p>
      <w:pPr>
        <w:spacing w:before="120" w:after="120"/>
      </w:pPr>
      <w:r>
        <w:rPr>
          <w:sz w:val="18"/>
        </w:rPr>
        <w:t>——————————————————————————————————————————————————————————————————————</w:t>
      </w:r>
    </w:p>
    <w:p>
      <w:pPr>
        <w:spacing w:before="160" w:after="40" w:line="240" w:lineRule="auto"/>
      </w:pPr>
      <w:r>
        <w:rPr>
          <w:b/>
        </w:rPr>
        <w:t xml:space="preserve">[493] </w:t>
      </w:r>
      <w:hyperlink r:id="rId1418">
        <w:r>
          <w:rPr>
            <w:color w:val="1155CC"/>
            <w:u w:val="single"/>
          </w:rPr>
          <w:t>人类的伤害感受敏化和疼痛感知是可分离的</w:t>
        </w:r>
      </w:hyperlink>
    </w:p>
    <w:p>
      <w:pPr>
        <w:spacing w:before="0" w:after="80"/>
      </w:pPr>
      <w:r>
        <w:rPr>
          <w:i/>
          <w:sz w:val="20"/>
        </w:rPr>
        <w:t>EN: Nociceptive sensitization and pain perception are dissociable in humans</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19">
        <w:r>
          <w:rPr>
            <w:color w:val="1155CC"/>
            <w:u w:val="single"/>
          </w:rPr>
          <w:t>10.1073/pnas.2603667123</w:t>
        </w:r>
      </w:hyperlink>
    </w:p>
    <w:p>
      <w:pPr>
        <w:spacing w:before="0" w:after="120"/>
      </w:pPr>
      <w:r>
        <w:rPr>
          <w:b/>
        </w:rPr>
        <w:t xml:space="preserve">Notes: </w:t>
      </w:r>
      <w:r>
        <w:t>abstract_source=crossref</w:t>
      </w:r>
    </w:p>
    <w:p>
      <w:pPr>
        <w:spacing w:before="0" w:after="80" w:lineRule="auto" w:line="276"/>
      </w:pPr>
      <w:r>
        <w:rPr>
          <w:b/>
        </w:rPr>
        <w:t xml:space="preserve">摘要（ZH）: </w:t>
      </w:r>
      <w:r>
        <w:t>尽管疼痛和伤害感受在概念上是不同的，但伤害感受敏化是否可以在没有疼痛的情况下发生仍然未知。在这里，我们表明，会聚的无害热刺激会引起原发性机械和继发性痛觉过敏，而不会产生疼痛感。在一项预先注册的研究中，我们通过量化热烧烤刺激后的原发性机械和继发性痛觉过敏，比较了热烧烤错觉 (TGI) 反应者 (n = 96) 和无反应者 (n = 64)。在响应者中，我们进一步将热烤架引起的敏化与其无害的部件温度、有害的热刺激和期望匹配的控制所引起的敏化进行了比较。热烧烤刺激引起原发性机械和继发性痛觉过敏。原发性机械痛觉过敏在反应者和无反应者之间没有差异，而无反应者表现出更大的继发性痛觉过敏。在有反应者和无反应者中，敏化程度都超过了无刺激对照组的预期阈值，表明效果超出了在没有热刺激的情况下观察到的效果。热烧烤引起的痛觉过敏与有害刺激引起的痛觉过敏相当，并且超过其无害成分温度引起的痛觉过敏。筛选样本 (N = 251) 的计算模型显示，疼痛感知而非敏化程度是由感觉、环境、实验者相关和心理因素预测的 (AUC = 0.81)。这些发现表明，与伤害性敏化一致的行为证据可以独立发生</w:t>
      </w:r>
    </w:p>
    <w:p>
      <w:pPr>
        <w:spacing w:before="0" w:after="200" w:lineRule="auto" w:line="276"/>
      </w:pPr>
      <w:r>
        <w:rPr>
          <w:b/>
        </w:rPr>
        <w:t xml:space="preserve">Abstract (EN): </w:t>
      </w:r>
      <w:r>
        <w:t>Although pain and nociception are conceptually distinct, whether nociceptive sensitization can occur without pain remains unknown. Here, we show that convergent innocuous thermal stimulation elicits primary mechanical and secondary hyperalgesia without pain perception. In a preregistered study, we compared thermal grill illusion (TGI) responders (n = 96) and nonresponders (n = 64) by quantifying primary mechanical and secondary hyperalgesia following thermal grill stimulation. In responders, we further compared thermal grill-induced sensitization with that evoked by its innocuous component temperatures, noxious thermal stimuli, and expectation-matched controls. Thermal grill stimulation elicited primary mechanical and secondary hyperalgesia. Primary mechanical hyperalgesia did not differ between responders and nonresponders, whereas nonresponders exhibited greater secondary hyperalgesia. In both responders and nonresponders, sensitization exceeded an expectation threshold derived from the no-stimulation control group, indicating effects beyond those observed in the absence of thermal stimulation. Thermal grill-induced hyperalgesia was comparable to that evoked by noxious stimulation and exceeded that evoked by its innocuous component temperatures. Computational modeling in a screened sample (N = 251) revealed that pain perception, but not sensitization magnitude, was predicted by sensory, environmental, experimenter-related, and psychological factors (AUC = 0.81). These findings demonstrate that behavioral evidence consistent with nociceptive sensitization can occur independently of pain perception. This dissociation indicates that TGI responsiveness reflects a perceptual phenotype rather than sensitization itself, challenging its proposed clinical use. More broadly, these findings suggest that secondary hyperalgesia, commonly interpreted as evidence of central sensitization, can develop in the absence of pain experience, with implications for chronic pain vulnerability.</w:t>
      </w:r>
    </w:p>
    <w:p>
      <w:pPr>
        <w:spacing w:before="120" w:after="120"/>
      </w:pPr>
      <w:r>
        <w:rPr>
          <w:sz w:val="18"/>
        </w:rPr>
        <w:t>——————————————————————————————————————————————————————————————————————</w:t>
      </w:r>
    </w:p>
    <w:p>
      <w:pPr>
        <w:spacing w:before="160" w:after="40" w:line="240" w:lineRule="auto"/>
      </w:pPr>
      <w:r>
        <w:rPr>
          <w:b/>
        </w:rPr>
        <w:t xml:space="preserve">[494] </w:t>
      </w:r>
      <w:hyperlink r:id="rId1420">
        <w:r>
          <w:rPr>
            <w:color w:val="1155CC"/>
            <w:u w:val="single"/>
          </w:rPr>
          <w:t>维生素 B3 驱动的根部细菌代谢物可启动拟南芥的系统免疫</w:t>
        </w:r>
      </w:hyperlink>
    </w:p>
    <w:p>
      <w:pPr>
        <w:spacing w:before="0" w:after="80"/>
      </w:pPr>
      <w:r>
        <w:rPr>
          <w:i/>
          <w:sz w:val="20"/>
        </w:rPr>
        <w:t>EN: A vitamin B3–driven root bacterial metabolite primes systemic immunity in Arabidopsis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21">
        <w:r>
          <w:rPr>
            <w:color w:val="1155CC"/>
            <w:u w:val="single"/>
          </w:rPr>
          <w:t>10.1126/sciadv.aef8959</w:t>
        </w:r>
      </w:hyperlink>
    </w:p>
    <w:p>
      <w:pPr>
        <w:spacing w:before="0" w:after="120"/>
      </w:pPr>
      <w:r>
        <w:rPr>
          <w:b/>
        </w:rPr>
        <w:t xml:space="preserve">Notes: </w:t>
      </w:r>
      <w:r>
        <w:t>abstract_source=crossref</w:t>
      </w:r>
    </w:p>
    <w:p>
      <w:pPr>
        <w:spacing w:before="0" w:after="80" w:lineRule="auto" w:line="276"/>
      </w:pPr>
      <w:r>
        <w:rPr>
          <w:b/>
        </w:rPr>
        <w:t xml:space="preserve">摘要（ZH）: </w:t>
      </w:r>
      <w:r>
        <w:t>微生物群因其通过产生生物活性小分子来调节宿主生理机能的能力而受到越来越多的认可。然而，宿主来源的营养物质如何被根部相关微生物代谢转化以影响植物免疫力仍知之甚少。在这里，我们展示了维生素 B</w:t>
      </w:r>
      <w:r>
        <w:rPr>
          <w:vertAlign w:val="subscript"/>
        </w:rPr>
        <w:t>3</w:t>
      </w:r>
      <w:r>
        <w:t>（VB</w:t>
      </w:r>
      <w:r>
        <w:rPr>
          <w:vertAlign w:val="subscript"/>
        </w:rPr>
        <w:t>3</w:t>
      </w:r>
      <w:r>
        <w:t>;植物根部分泌的烟酸（烟酸）塑造了功能专门的根部微生物群的组装，进而代谢 VB</w:t>
      </w:r>
      <w:r>
        <w:rPr>
          <w:vertAlign w:val="subscript"/>
        </w:rPr>
        <w:t>3</w:t>
      </w:r>
      <w:r>
        <w:t>转化为增强植物抗病性的免疫活性信号。 VB</w:t>
      </w:r>
      <w:r>
        <w:rPr>
          <w:vertAlign w:val="subscript"/>
        </w:rPr>
        <w:t>3</w:t>
      </w:r>
      <w:r>
        <w:t>分泌选择性地增加了具有保守基因的根相关细菌的丰度</w:t>
      </w:r>
      <w:r>
        <w:t xml:space="preserve"> </w:t>
      </w:r>
      <w:r>
        <w:t>网卡</w:t>
      </w:r>
      <w:r>
        <w:t xml:space="preserve"> </w:t>
      </w:r>
      <w:r>
        <w:t>生物合成基因簇 (BGC)，可将 VB 转化为</w:t>
      </w:r>
      <w:r>
        <w:rPr>
          <w:vertAlign w:val="subscript"/>
        </w:rPr>
        <w:t>3</w:t>
      </w:r>
      <w:r>
        <w:t>转化为 6-羟基烟酸酯 (6-OHNA)，这是一种先前未表征的参与植物-微生物相互作用的微生物代谢物。微生物产生的 6-OHNA 从根部转运至芽部，以水杨酸依赖性方式引发全身免疫反应。破坏微生物</w:t>
      </w:r>
      <w:r>
        <w:t xml:space="preserve"> </w:t>
      </w:r>
      <w:r>
        <w:t>网卡</w:t>
      </w:r>
      <w:r>
        <w:t xml:space="preserve"> </w:t>
      </w:r>
      <w:r>
        <w:t>BGC 消除免疫启动，而增加 VB</w:t>
      </w:r>
      <w:r>
        <w:rPr>
          <w:vertAlign w:val="subscript"/>
        </w:rPr>
        <w:t>3</w:t>
      </w:r>
      <w:r>
        <w:t>植物根部的分泌物增强抗病能力。总之，这些发现揭示了植物宿主与其微生物群之间代谢介导的对话，该对话将宿主营养分泌与微生物功能联系起来。</w:t>
      </w:r>
    </w:p>
    <w:p>
      <w:pPr>
        <w:spacing w:before="0" w:after="200" w:lineRule="auto" w:line="276"/>
      </w:pPr>
      <w:r>
        <w:rPr>
          <w:b/>
        </w:rPr>
        <w:t xml:space="preserve">Abstract (EN): </w:t>
      </w:r>
      <w:r>
        <w:t>The microbiota is being increasingly recognized for its ability to regulate host physiology through the production of small bioactive molecules. However, how host-derived nutrients are metabolically transformed by root-associated microbes to influence plant immunity remains poorly understood. Here, we show that vitamin B</w:t>
      </w:r>
      <w:r>
        <w:rPr>
          <w:vertAlign w:val="subscript"/>
        </w:rPr>
        <w:t>3</w:t>
      </w:r>
      <w:r>
        <w:t>(VB</w:t>
      </w:r>
      <w:r>
        <w:rPr>
          <w:vertAlign w:val="subscript"/>
        </w:rPr>
        <w:t>3</w:t>
      </w:r>
      <w:r>
        <w:t>; niacin) secreted by plant roots shapes the assembly of a functionally specialized root microbiota, which, in turn, metabolizes VB</w:t>
      </w:r>
      <w:r>
        <w:rPr>
          <w:vertAlign w:val="subscript"/>
        </w:rPr>
        <w:t>3</w:t>
      </w:r>
      <w:r>
        <w:t>into an immune-active signal that enhances plant disease resistance. VB</w:t>
      </w:r>
      <w:r>
        <w:rPr>
          <w:vertAlign w:val="subscript"/>
        </w:rPr>
        <w:t>3</w:t>
      </w:r>
      <w:r>
        <w:t>secretion selectively increases the abundance of root-associated bacteria harboring a conserved</w:t>
      </w:r>
      <w:r>
        <w:t xml:space="preserve"> </w:t>
      </w:r>
      <w:r>
        <w:t>nic</w:t>
      </w:r>
      <w:r>
        <w:t xml:space="preserve"> </w:t>
      </w:r>
      <w:r>
        <w:t>biosynthetic gene cluster (BGC), which enables the conversion of VB</w:t>
      </w:r>
      <w:r>
        <w:rPr>
          <w:vertAlign w:val="subscript"/>
        </w:rPr>
        <w:t>3</w:t>
      </w:r>
      <w:r>
        <w:t>into 6-hydroxynicotinate (6-OHNA), a previously uncharacterized microbial metabolite involved in plant-microbe interactions. Microbially produced 6-OHNA is transported from roots to shoots, where it primes systemic immune responses in a salicylic acid–dependent manner. Disruption of the microbial</w:t>
      </w:r>
      <w:r>
        <w:t xml:space="preserve"> </w:t>
      </w:r>
      <w:r>
        <w:t>nic</w:t>
      </w:r>
      <w:r>
        <w:t xml:space="preserve"> </w:t>
      </w:r>
      <w:r>
        <w:t>BGC abolishes immune priming, whereas increased VB</w:t>
      </w:r>
      <w:r>
        <w:rPr>
          <w:vertAlign w:val="subscript"/>
        </w:rPr>
        <w:t>3</w:t>
      </w:r>
      <w:r>
        <w:t>exudation from plant roots enhances disease resistance. Together, these findings reveal a metabolically mediated dialog between plant hosts and their microbiota that links host nutrient secretion to microbial functional specialization and the activation of systemic plant immunity.</w:t>
      </w:r>
    </w:p>
    <w:p>
      <w:pPr>
        <w:spacing w:before="120" w:after="120"/>
      </w:pPr>
      <w:r>
        <w:rPr>
          <w:sz w:val="18"/>
        </w:rPr>
        <w:t>——————————————————————————————————————————————————————————————————————</w:t>
      </w:r>
    </w:p>
    <w:p>
      <w:pPr>
        <w:spacing w:before="160" w:after="40" w:line="240" w:lineRule="auto"/>
      </w:pPr>
      <w:r>
        <w:rPr>
          <w:b/>
        </w:rPr>
        <w:t xml:space="preserve">[495] </w:t>
      </w:r>
      <w:hyperlink r:id="rId1422">
        <w:r>
          <w:rPr>
            <w:color w:val="1155CC"/>
            <w:u w:val="single"/>
          </w:rPr>
          <w:t>开花开始时腋生分生组织快速启动的遗传程序</w:t>
        </w:r>
      </w:hyperlink>
    </w:p>
    <w:p>
      <w:pPr>
        <w:spacing w:before="0" w:after="80"/>
      </w:pPr>
      <w:r>
        <w:rPr>
          <w:i/>
          <w:sz w:val="20"/>
        </w:rPr>
        <w:t>EN: A genetic program for rapid initiation of axillary meristems at the onset of flowering</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23">
        <w:r>
          <w:rPr>
            <w:color w:val="1155CC"/>
            <w:u w:val="single"/>
          </w:rPr>
          <w:t>10.1073/pnas.2605727123</w:t>
        </w:r>
      </w:hyperlink>
    </w:p>
    <w:p>
      <w:pPr>
        <w:spacing w:before="0" w:after="120"/>
      </w:pPr>
      <w:r>
        <w:rPr>
          <w:b/>
        </w:rPr>
        <w:t xml:space="preserve">Notes: </w:t>
      </w:r>
      <w:r>
        <w:t>abstract_source=crossref</w:t>
      </w:r>
    </w:p>
    <w:p>
      <w:pPr>
        <w:spacing w:before="0" w:after="80" w:lineRule="auto" w:line="276"/>
      </w:pPr>
      <w:r>
        <w:rPr>
          <w:b/>
        </w:rPr>
        <w:t xml:space="preserve">摘要（ZH）: </w:t>
      </w:r>
      <w:r>
        <w:t>芽分枝模式及其多样性源于腋生分生组织（AM）的可变活动。开花植物的一个共同特征是在营养期AM起始和生长延迟，然后在生殖期顶端AM起始突然快速加速。人们对这种明显的发育转变背后的机制知之甚少。在番茄花转变期间，初生枝分生组织 (PSM) 在产生两个空间相邻的 AM 后终止于花中：一个将产生花，另一个将产生营养侧枝。在缺乏通用的促花移动蛋白成花素的植物中，这些过程是解耦的：营养AM起始被延迟，尽管PSM终止成花基本上不受影响。为了确定响应开花诱导信号促进 AM 启动的因素，我们分析了野生型和成花素缺陷植物的高时间密度单分生组织转录组谱。我们的分析揭示了两个基因，</w:t>
      </w:r>
      <w:r>
        <w:t xml:space="preserve"> </w:t>
      </w:r>
      <w:r>
        <w:t>普奇</w:t>
      </w:r>
      <w:r>
        <w:t xml:space="preserve"> </w:t>
      </w:r>
      <w:r>
        <w:t>和</w:t>
      </w:r>
      <w:r>
        <w:t xml:space="preserve"> </w:t>
      </w:r>
      <w:r>
        <w:t>LOB30</w:t>
      </w:r>
      <w:r>
        <w:t xml:space="preserve"> </w:t>
      </w:r>
      <w:r>
        <w:t>，由早期 AM 中的成花素诱导。这些基因促进营养和生殖 AM 的快速启动，后者促进多花花序的形成。与直觉相反的是，这些基因与限制生殖 AM 产生的 PSM 成熟程序同时发挥作用。总之，我们的发现揭示了成花素诱导的调节机制，该机制控制 AM 起始的生殖特异性时间</w:t>
      </w:r>
    </w:p>
    <w:p>
      <w:pPr>
        <w:spacing w:before="0" w:after="200" w:lineRule="auto" w:line="276"/>
      </w:pPr>
      <w:r>
        <w:rPr>
          <w:b/>
        </w:rPr>
        <w:t xml:space="preserve">Abstract (EN): </w:t>
      </w:r>
      <w:r>
        <w:t>Shoot branching patterns and their diversity arise from variable activities of axillary meristems (AMs). A common feature of flowering plants is delayed AM initiation and growth during the vegetative phase, followed by a sudden and rapid acceleration of apical AM initiation during the reproductive phase. The mechanisms underlying this pronounced developmental shift are poorly understood. During tomato floral transition, the primary shoot meristem (PSM) terminates in a flower after producing two spatially adjacent AMs: one that will generate a flower and the other a vegetative side shoot. In plants lacking the universal floral-promoting mobile protein florigen, these processes are uncoupled: The vegetative AM initiation is delayed, even though termination of the PSM into a flower is largely unaffected. To identify factors that promote AM initiation in response to flowering induction signals, we analyzed a high-temporal-density single-meristem transcriptome profile from wild-type and florigen-defective plants. Our analysis revealed two genes,</w:t>
      </w:r>
      <w:r>
        <w:t xml:space="preserve"> </w:t>
      </w:r>
      <w:r>
        <w:t>PUCHI</w:t>
      </w:r>
      <w:r>
        <w:t xml:space="preserve"> </w:t>
      </w:r>
      <w:r>
        <w:t>and</w:t>
      </w:r>
      <w:r>
        <w:t xml:space="preserve"> </w:t>
      </w:r>
      <w:r>
        <w:t>LOB30</w:t>
      </w:r>
      <w:r>
        <w:t xml:space="preserve"> </w:t>
      </w:r>
      <w:r>
        <w:t>, induced by florigen in incipient AMs. These genes promote rapid initiation of both the vegetative and reproductive AMs, with the latter facilitating formation of a multi-flower inflorescence. Counterintuitively, these genes act in parallel with a PSM maturation program that limits production of reproductive AMs. Together, our findings uncover a florigen-induced regulatory mechanism that controls the reproductive-specific timing of AM initiation and provides a framework for understanding plasticity and diversification of shoot branching patterns.</w:t>
      </w:r>
    </w:p>
    <w:p>
      <w:pPr>
        <w:spacing w:before="120" w:after="120"/>
      </w:pPr>
      <w:r>
        <w:rPr>
          <w:sz w:val="18"/>
        </w:rPr>
        <w:t>——————————————————————————————————————————————————————————————————————</w:t>
      </w:r>
    </w:p>
    <w:p>
      <w:pPr>
        <w:spacing w:before="160" w:after="40" w:line="240" w:lineRule="auto"/>
      </w:pPr>
      <w:r>
        <w:rPr>
          <w:b/>
        </w:rPr>
        <w:t xml:space="preserve">[496] </w:t>
      </w:r>
      <w:hyperlink r:id="rId1424">
        <w:r>
          <w:rPr>
            <w:color w:val="1155CC"/>
            <w:u w:val="single"/>
          </w:rPr>
          <w:t>衰老限制了小鼠视网膜神经胶质细胞的神经元再生</w:t>
        </w:r>
      </w:hyperlink>
    </w:p>
    <w:p>
      <w:pPr>
        <w:spacing w:before="0" w:after="80"/>
      </w:pPr>
      <w:r>
        <w:rPr>
          <w:i/>
          <w:sz w:val="20"/>
        </w:rPr>
        <w:t>EN: Aging limits neuronal regeneration from glia in the mouse retina</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25">
        <w:r>
          <w:rPr>
            <w:color w:val="1155CC"/>
            <w:u w:val="single"/>
          </w:rPr>
          <w:t>10.1073/pnas.2612369123</w:t>
        </w:r>
      </w:hyperlink>
    </w:p>
    <w:p>
      <w:pPr>
        <w:spacing w:before="0" w:after="120"/>
      </w:pPr>
      <w:r>
        <w:rPr>
          <w:b/>
        </w:rPr>
        <w:t xml:space="preserve">Notes: </w:t>
      </w:r>
      <w:r>
        <w:t>abstract_source=crossref</w:t>
      </w:r>
    </w:p>
    <w:p>
      <w:pPr>
        <w:spacing w:before="0" w:after="80" w:lineRule="auto" w:line="276"/>
      </w:pPr>
      <w:r>
        <w:rPr>
          <w:b/>
        </w:rPr>
        <w:t xml:space="preserve">摘要（ZH）: </w:t>
      </w:r>
      <w:r>
        <w:t>将常驻神经胶质细胞重新编程为神经元对于治疗中枢神经系统的神经退行性疾病具有巨大的前景，但这些策略主要是在幼年动物中开发的。由于衰老是神经退行性变的主要危险因素，因此胶质细胞到神经元的重编程是否在衰老组织中仍然有效是一个尚未解答的关键问题。在这里，我们利用视网膜作为中枢神经系统的可触及部分，证明衰老是体内胶质细胞到神经元重编程的主要障碍。在三种基于转录因子的策略中，衰老的穆勒神经胶质细胞表现出神经发生持续减少。单细胞转录组学揭示，衰老的神经胶质细胞无法激活祖细胞程序，而是采取反应性和炎症状态。同时，老化的视网膜对损伤的神经免疫反应加剧。地塞米松的免疫调节部分恢复神经发生。因此，衰老给神经元再生带来了神经胶质内在障碍和微环境障碍，这些障碍可以通过免疫调节部分克服。</w:t>
      </w:r>
    </w:p>
    <w:p>
      <w:pPr>
        <w:spacing w:before="0" w:after="200" w:lineRule="auto" w:line="276"/>
      </w:pPr>
      <w:r>
        <w:rPr>
          <w:b/>
        </w:rPr>
        <w:t xml:space="preserve">Abstract (EN): </w:t>
      </w:r>
      <w:r>
        <w:t>Reprogramming resident glia into neurons holds great therapeutic promise for neurodegenerative diseases across the central nervous system, yet these strategies have been developed largely in young animals. Because aging is the primary risk factor for neurodegeneration, whether glia-to-neuron reprogramming remains effective in aged tissue is a critical unanswered question. Here, using the retina as an accessible part of the central nervous system, we show that aging is a major barrier to glia-to-neuron reprogramming in vivo. Across three transcription factor-based strategies, aged Müller glia exhibit consistently reduced neurogenesis. Single-cell transcriptomics reveal that aged glia fail to activate progenitor programs and instead adopt reactive and inflammatory states. Concurrently, the aged retina mounts an exacerbated neuroimmune response to injury. Immunomodulation with dexamethasone partially restores neurogenesis. Thus, aging imposes both glial-intrinsic and microenvironmental barriers to neuronal regeneration that can be partially overcome by immunomodulation.</w:t>
      </w:r>
    </w:p>
    <w:p>
      <w:pPr>
        <w:spacing w:before="120" w:after="120"/>
      </w:pPr>
      <w:r>
        <w:rPr>
          <w:sz w:val="18"/>
        </w:rPr>
        <w:t>——————————————————————————————————————————————————————————————————————</w:t>
      </w:r>
    </w:p>
    <w:p>
      <w:pPr>
        <w:spacing w:before="160" w:after="40" w:line="240" w:lineRule="auto"/>
      </w:pPr>
      <w:r>
        <w:rPr>
          <w:b/>
        </w:rPr>
        <w:t xml:space="preserve">[497] </w:t>
      </w:r>
      <w:hyperlink r:id="rId1426">
        <w:r>
          <w:rPr>
            <w:color w:val="1155CC"/>
            <w:u w:val="single"/>
          </w:rPr>
          <w:t>溶血磷脂-TRPV1 相互作用在化疗引起的神经病变中的作用</w:t>
        </w:r>
      </w:hyperlink>
    </w:p>
    <w:p>
      <w:pPr>
        <w:spacing w:before="0" w:after="80"/>
      </w:pPr>
      <w:r>
        <w:rPr>
          <w:i/>
          <w:sz w:val="20"/>
        </w:rPr>
        <w:t>EN: Lysophospholipid–TRPV1 interactions in chemotherapy-induced neuropathy</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27">
        <w:r>
          <w:rPr>
            <w:color w:val="1155CC"/>
            <w:u w:val="single"/>
          </w:rPr>
          <w:t>10.1073/pnas.2613615123</w:t>
        </w:r>
      </w:hyperlink>
    </w:p>
    <w:p>
      <w:pPr>
        <w:spacing w:before="0" w:after="120"/>
      </w:pPr>
      <w:r>
        <w:rPr>
          <w:b/>
        </w:rPr>
        <w:t xml:space="preserve">Notes: </w:t>
      </w:r>
      <w:r>
        <w:t>abstract_source=crossref</w:t>
      </w:r>
    </w:p>
    <w:p>
      <w:pPr>
        <w:spacing w:before="0" w:after="80" w:lineRule="auto" w:line="276"/>
      </w:pPr>
      <w:r>
        <w:rPr>
          <w:b/>
        </w:rPr>
        <w:t xml:space="preserve">摘要（ZH）: </w:t>
      </w:r>
      <w:r>
        <w:t>化疗引起的周围神经病变（CIPN）是紫杉醇等一线化疗药物常见的剂量限制性副作用，目前尚无有效的治疗方法。我们发现紫杉醇给药后 24 小时收集的血浆增强了感觉神经元的激活。为了确定这种效应的潜在调节因素，我们应用了基于 LC-HRMS 的广泛脂质组学方法来量化乳腺癌患者治疗前和治疗后 24 小时的血浆脂质。我们观察到紫杉醇治疗后，具有 18:1 脂肪酸链的溶血磷脂显着升高，尤其是溶血磷脂酰胆碱 (LPC) 和溶血磷脂酰甘油 (LPG)。评估它们对感觉神经元的活性表明，这些不饱和溶血磷脂（而不是饱和溶血磷脂）激活了瞬时受体电位香草酸 1 (TRPV1) 通道，这是伤害感受的关键介质。为了研究 TRPV1-LPL 相互作用，我们将分子动力学模拟与靶向诱变结合起来。 LPC 因其胆碱头基而呈两性离子，与 LPC 不同，LPG 带有负电荷并含有甘油头基。由于其头部缺乏正反电荷，LPG 在香草酸结合袋 (VBP) 内采用更倾斜的方向，并与残基 S510 和 S512 形成更强的相互作用。总体而言，激动剂的效力似乎取决于它与 Y511 的相互作用和接近程度，这一点通过使用突变 hTRPV1 通道的电生理记录和钙成像得到了证实。这些发现揭示了嘴唇</w:t>
      </w:r>
    </w:p>
    <w:p>
      <w:pPr>
        <w:spacing w:before="0" w:after="200" w:lineRule="auto" w:line="276"/>
      </w:pPr>
      <w:r>
        <w:rPr>
          <w:b/>
        </w:rPr>
        <w:t xml:space="preserve">Abstract (EN): </w:t>
      </w:r>
      <w:r>
        <w:t>Chemotherapy-induced peripheral neuropathy (CIPN) is a common and dose-limiting side effect of first-line chemotherapeutics such as paclitaxel, for which effective treatments are currently unavailable. We found that plasma collected 24 h after paclitaxel administration enhanced sensory neuron activation. To identify potential mediators of this effect, we applied a broad LC-HRMS-based lipidomics approach to quantify plasma lipids in breast cancer patients before and 24 h after treatment. We observed significant elevations in lysophospholipids with 18:1 fatty acid chain, especially lysophosphatidylcholine (LPC) and lysophosphatidylglycerol (LPG) after paclitaxel treatment. Assessing their activity on sensory neurons revealed that these unsaturated lysophospholipids, but not their saturated counterparts, activated the transient receptor potential vanilloid 1 (TRPV1) channel, a key mediator of nociception. To investigate TRPV1–LPL interactions, we combined molecular dynamics simulations with targeted mutagenesis. Unlike LPC, which is zwitterionic due to its choline headgroup, LPG carries a negative charge and contains a glycerol headgroup instead. As a result of lacking a positive countercharge in its headgroup, LPG adopts a more tilted orientation within the vanilloid binding pocket (VBP) and forms stronger interactions with residues S510 and S512. Overall, the agonist’s potency appears to depend on its interaction with and proximity to Y511, which was confirmed through electrophysiological recordings and calcium imaging using mutated hTRPV1 channels. These findings reveal lipid–channel interactions and provide mechanistic insight into endogenous lipid modulation of pain signaling in the context of paclitaxel-induced CIPN.</w:t>
      </w:r>
    </w:p>
    <w:p>
      <w:pPr>
        <w:spacing w:before="120" w:after="120"/>
      </w:pPr>
      <w:r>
        <w:rPr>
          <w:sz w:val="18"/>
        </w:rPr>
        <w:t>——————————————————————————————————————————————————————————————————————</w:t>
      </w:r>
    </w:p>
    <w:p>
      <w:pPr>
        <w:spacing w:before="160" w:after="40" w:line="240" w:lineRule="auto"/>
      </w:pPr>
      <w:r>
        <w:rPr>
          <w:b/>
        </w:rPr>
        <w:t xml:space="preserve">[498] </w:t>
      </w:r>
      <w:hyperlink r:id="rId1428">
        <w:r>
          <w:rPr>
            <w:color w:val="1155CC"/>
            <w:u w:val="single"/>
          </w:rPr>
          <w:t>通过长读长 DNA 测序检测“隐藏”有丝分裂交叉</w:t>
        </w:r>
      </w:hyperlink>
    </w:p>
    <w:p>
      <w:pPr>
        <w:spacing w:before="0" w:after="80"/>
      </w:pPr>
      <w:r>
        <w:rPr>
          <w:i/>
          <w:sz w:val="20"/>
        </w:rPr>
        <w:t>EN: Detection of “hidden” mitotic crossovers by long-read DNA sequencing</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29">
        <w:r>
          <w:rPr>
            <w:color w:val="1155CC"/>
            <w:u w:val="single"/>
          </w:rPr>
          <w:t>10.1073/pnas.2615875123</w:t>
        </w:r>
      </w:hyperlink>
    </w:p>
    <w:p>
      <w:pPr>
        <w:spacing w:before="0" w:after="120"/>
      </w:pPr>
      <w:r>
        <w:rPr>
          <w:b/>
        </w:rPr>
        <w:t xml:space="preserve">Notes: </w:t>
      </w:r>
      <w:r>
        <w:t>abstract_source=crossref</w:t>
      </w:r>
    </w:p>
    <w:p>
      <w:pPr>
        <w:spacing w:before="0" w:after="80" w:lineRule="auto" w:line="276"/>
      </w:pPr>
      <w:r>
        <w:rPr>
          <w:b/>
        </w:rPr>
        <w:t xml:space="preserve">摘要（ZH）: </w:t>
      </w:r>
      <w:r>
        <w:t>二倍体生物中的有丝分裂交叉通常通过寻找标记的杂合性丢失（LOH）来检测。假设交叉发生在两个重复的染色单体之间，单个相互交叉将产生两个重组染色单体和两个非重组染色单体。仅当重组染色单体与非重组染色单体共分离时才会观察到 LOH。含有两条重组染色体的细胞不会导致 LOH。下面，我们使用长程 DNA 测序来检测不产生 LOH（“隐藏”交叉）的交叉。在野生型二倍体中</w:t>
      </w:r>
      <w:r>
        <w:t xml:space="preserve"> </w:t>
      </w:r>
      <w:r>
        <w:t>酿酒酵母</w:t>
      </w:r>
      <w:r>
        <w:t xml:space="preserve"> </w:t>
      </w:r>
      <w:r>
        <w:t>，这些交叉发生的频率约为 4 × 10</w:t>
      </w:r>
      <w:r>
        <w:t xml:space="preserve"> </w:t>
      </w:r>
      <w:r>
        <w:t>−4</w:t>
      </w:r>
      <w:r>
        <w:t xml:space="preserve"> </w:t>
      </w:r>
      <w:r>
        <w:t>/细胞分裂。长程测序还可以检测与单细胞样本中的交叉相关的基因转换。最后，我们表明，过氧化氢处理 G1 期停滞的细胞不仅会诱导频繁的重组，而且还会诱导高比例的双链突变事件，其中两条 DNA 链在复制前在同一位置发生突变。</w:t>
      </w:r>
    </w:p>
    <w:p>
      <w:pPr>
        <w:spacing w:before="0" w:after="200" w:lineRule="auto" w:line="276"/>
      </w:pPr>
      <w:r>
        <w:rPr>
          <w:b/>
        </w:rPr>
        <w:t xml:space="preserve">Abstract (EN): </w:t>
      </w:r>
      <w:r>
        <w:t>Mitotic crossovers in diploid organisms are usually detected by looking for loss of heterozygosity (LOH) for a marker. Assuming the crossover occurs between two duplicated chromatids, a single reciprocal crossover will result in two recombinant chromatids and two nonrecombinant chromatids. LOH will only be observed when a recombinant chromatid cosegregates with a nonrecombinant chromatid. Cells containing both recombinant chromosomes will not result in LOH. Below, we use long-range DNA sequencing to detect crossovers that do not produce LOH, the “hidden” crossovers. In wild-type diploids of</w:t>
      </w:r>
      <w:r>
        <w:t xml:space="preserve"> </w:t>
      </w:r>
      <w:r>
        <w:t>Saccharomyces cerevisiae</w:t>
      </w:r>
      <w:r>
        <w:t xml:space="preserve"> </w:t>
      </w:r>
      <w:r>
        <w:t>, these crossovers occur at a rate of about 4 × 10</w:t>
      </w:r>
      <w:r>
        <w:t xml:space="preserve"> </w:t>
      </w:r>
      <w:r>
        <w:t>−4</w:t>
      </w:r>
      <w:r>
        <w:t xml:space="preserve"> </w:t>
      </w:r>
      <w:r>
        <w:t>/cell division. Long-range sequencing also allows the detection of gene conversions associated with crossovers in samples derived from a single cell. Last, we showed that hydrogen peroxide treatment of G1-arrested cells not only induces frequent recombination, but also a high proportion of two-strand mutation events in which both DNA strands are mutated at the same position prior to replication.</w:t>
      </w:r>
    </w:p>
    <w:p>
      <w:pPr>
        <w:spacing w:before="120" w:after="120"/>
      </w:pPr>
      <w:r>
        <w:rPr>
          <w:sz w:val="18"/>
        </w:rPr>
        <w:t>——————————————————————————————————————————————————————————————————————</w:t>
      </w:r>
    </w:p>
    <w:p>
      <w:pPr>
        <w:spacing w:before="160" w:after="40" w:line="240" w:lineRule="auto"/>
      </w:pPr>
      <w:r>
        <w:rPr>
          <w:b/>
        </w:rPr>
        <w:t xml:space="preserve">[499] </w:t>
      </w:r>
      <w:hyperlink r:id="rId1430">
        <w:r>
          <w:rPr>
            <w:color w:val="1155CC"/>
            <w:u w:val="single"/>
          </w:rPr>
          <w:t>亲天然的产品设计策略提供了基于酯的绿色杀菌剂候选物</w:t>
        </w:r>
      </w:hyperlink>
    </w:p>
    <w:p>
      <w:pPr>
        <w:spacing w:before="0" w:after="80"/>
      </w:pPr>
      <w:r>
        <w:rPr>
          <w:i/>
          <w:sz w:val="20"/>
        </w:rPr>
        <w:t>EN: A pro-natural product design strategy affords ester-based green fungicide candidates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31">
        <w:r>
          <w:rPr>
            <w:color w:val="1155CC"/>
            <w:u w:val="single"/>
          </w:rPr>
          <w:t>10.1126/sciadv.aej0610</w:t>
        </w:r>
      </w:hyperlink>
    </w:p>
    <w:p>
      <w:pPr>
        <w:spacing w:before="0" w:after="120"/>
      </w:pPr>
      <w:r>
        <w:rPr>
          <w:b/>
        </w:rPr>
        <w:t xml:space="preserve">Notes: </w:t>
      </w:r>
      <w:r>
        <w:t>abstract_source=crossref</w:t>
      </w:r>
    </w:p>
    <w:p>
      <w:pPr>
        <w:spacing w:before="0" w:after="80" w:lineRule="auto" w:line="276"/>
      </w:pPr>
      <w:r>
        <w:rPr>
          <w:b/>
        </w:rPr>
        <w:t xml:space="preserve">摘要（ZH）: </w:t>
      </w:r>
      <w:r>
        <w:t>天然产物 (NP) 既是发现生物活性化合物的灵感又是资源。然而，它们在绿色农用化学品发现中的应用面临着活性低、药效持续时间短、结构修饰带来的潜在毒性和残留问题以及探索化学和生物空间的限制等局限性。在这里，我们提出了亲天然产品（PrNP）的概念和设计原则，它有效地解决了这些局限性，并为生物活性化合物的发现开辟了广阔的途径。 PrNP 是一种功能性化合物，旨在在应用条件下降解为 NP。利用这一策略，我们通过结合天然酸和醇，设计并合成了具有 170 个成员的结构多样化的基于酯的 PrNP 集合，并发现了一种有前途的绿色杀菌剂候选物 PrNP</w:t>
      </w:r>
      <w:r>
        <w:t xml:space="preserve"> </w:t>
      </w:r>
      <w:r>
        <w:t>6E</w:t>
      </w:r>
      <w:r>
        <w:t xml:space="preserve"> </w:t>
      </w:r>
      <w:r>
        <w:t>，对油菜等主要植物病害具有优良的防治效果</w:t>
      </w:r>
      <w:r>
        <w:t xml:space="preserve"> </w:t>
      </w:r>
      <w:r>
        <w:t>核盘菌属</w:t>
      </w:r>
      <w:r>
        <w:t xml:space="preserve"> </w:t>
      </w:r>
      <w:r>
        <w:t>茎腐病、水稻纹枯病、苹果病</w:t>
      </w:r>
      <w:r>
        <w:t xml:space="preserve"> </w:t>
      </w:r>
      <w:r>
        <w:t>瓦尔萨</w:t>
      </w:r>
      <w:r>
        <w:t xml:space="preserve"> </w:t>
      </w:r>
      <w:r>
        <w:t>溃疡病。化学信息学分析、抗真菌活性、降解行为和安全性评估表明</w:t>
      </w:r>
      <w:r>
        <w:t xml:space="preserve"> </w:t>
      </w:r>
      <w:r>
        <w:t>6E</w:t>
      </w:r>
      <w:r>
        <w:t xml:space="preserve"> </w:t>
      </w:r>
      <w:r>
        <w:t>结合了纳米颗粒和农用化学品的优点，具有合适的药效持续时间、在发挥其功能后可控降解为纳米颗粒、广泛的安全性和环境相容性。 PrNP策略在提高新化学发现绿色农用化学品的效率方面显示出巨大潜力</w:t>
      </w:r>
    </w:p>
    <w:p>
      <w:pPr>
        <w:spacing w:before="0" w:after="200" w:lineRule="auto" w:line="276"/>
      </w:pPr>
      <w:r>
        <w:rPr>
          <w:b/>
        </w:rPr>
        <w:t xml:space="preserve">Abstract (EN): </w:t>
      </w:r>
      <w:r>
        <w:t>Natural products (NPs) serve as both inspirations and resources for the discovery of bioactive compounds. However, their application in green agrochemical discovery faces limitations such as low activity, short duration of efficacy, potential toxicity and residue issues from structural modifications, and constraints in exploring chemical and biological space. Here, we propose the concept and design principles of pro-natural products (PrNPs), which effectively address these limitations and open a broad avenue for bioactive compound discovery. PrNPs are functional compounds designed to degrade into NPs under application conditions. Using this strategy, we designed and synthesized a structurally diverse ester-based PrNP collection with 170 members by combining natural acids and alcohols and found a promising green fungicide candidate, PrNP</w:t>
      </w:r>
      <w:r>
        <w:t xml:space="preserve"> </w:t>
      </w:r>
      <w:r>
        <w:t>6E</w:t>
      </w:r>
      <w:r>
        <w:t xml:space="preserve"> </w:t>
      </w:r>
      <w:r>
        <w:t>, with excellent control efficacy against major plant diseases such as rapeseed</w:t>
      </w:r>
      <w:r>
        <w:t xml:space="preserve"> </w:t>
      </w:r>
      <w:r>
        <w:t>Sclerotinia</w:t>
      </w:r>
      <w:r>
        <w:t xml:space="preserve"> </w:t>
      </w:r>
      <w:r>
        <w:t>stem rot, rice sheath blight, and apple</w:t>
      </w:r>
      <w:r>
        <w:t xml:space="preserve"> </w:t>
      </w:r>
      <w:r>
        <w:t>Valsa</w:t>
      </w:r>
      <w:r>
        <w:t xml:space="preserve"> </w:t>
      </w:r>
      <w:r>
        <w:t>canker. Cheminformatic analysis, antifungal activity, degradation behavior, and safety assessment reveal that</w:t>
      </w:r>
      <w:r>
        <w:t xml:space="preserve"> </w:t>
      </w:r>
      <w:r>
        <w:t>6E</w:t>
      </w:r>
      <w:r>
        <w:t xml:space="preserve"> </w:t>
      </w:r>
      <w:r>
        <w:t>combines the advantageous properties of both NPs and agrochemicals and exhibits suitable duration of efficacy, controllable degradation into NPs after fulfilling its function, broad safety, and environmental compatibility. The PrNP strategy shows great potential in enhancing the efficiency of finding green agrochemicals with novel chemotypes and mechanisms of action and in promoting sustainable development of agriculture.</w:t>
      </w:r>
    </w:p>
    <w:p>
      <w:pPr>
        <w:spacing w:before="120" w:after="120"/>
      </w:pPr>
      <w:r>
        <w:rPr>
          <w:sz w:val="18"/>
        </w:rPr>
        <w:t>——————————————————————————————————————————————————————————————————————</w:t>
      </w:r>
    </w:p>
    <w:p>
      <w:pPr>
        <w:spacing w:before="160" w:after="40" w:line="240" w:lineRule="auto"/>
      </w:pPr>
      <w:r>
        <w:rPr>
          <w:b/>
        </w:rPr>
        <w:t xml:space="preserve">[500] </w:t>
      </w:r>
      <w:hyperlink r:id="rId1432">
        <w:r>
          <w:rPr>
            <w:color w:val="1155CC"/>
            <w:u w:val="single"/>
          </w:rPr>
          <w:t>亲本生态位构建缓冲了微生物和竞争挑战，并导致后代依赖埋藏甲虫</w:t>
        </w:r>
      </w:hyperlink>
    </w:p>
    <w:p>
      <w:pPr>
        <w:spacing w:before="0" w:after="80"/>
      </w:pPr>
      <w:r>
        <w:rPr>
          <w:i/>
          <w:sz w:val="20"/>
        </w:rPr>
        <w:t>EN: Parental niche construction buffers microbial and competitive challenges and drives offspring dependence in burying beetles</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33">
        <w:r>
          <w:rPr>
            <w:color w:val="1155CC"/>
            <w:u w:val="single"/>
          </w:rPr>
          <w:t>10.1073/pnas.2617749123</w:t>
        </w:r>
      </w:hyperlink>
    </w:p>
    <w:p>
      <w:pPr>
        <w:spacing w:before="0" w:after="120"/>
      </w:pPr>
      <w:r>
        <w:rPr>
          <w:b/>
        </w:rPr>
        <w:t xml:space="preserve">Notes: </w:t>
      </w:r>
      <w:r>
        <w:t>abstract_source=crossref</w:t>
      </w:r>
    </w:p>
    <w:p>
      <w:pPr>
        <w:spacing w:before="0" w:after="80" w:lineRule="auto" w:line="276"/>
      </w:pPr>
      <w:r>
        <w:rPr>
          <w:b/>
        </w:rPr>
        <w:t xml:space="preserve">摘要（ZH）: </w:t>
      </w:r>
      <w:r>
        <w:t>不同类群的父母改变了其后代的生物或非生物环境。这种修饰可能构成生态遗传，并且是发育生态位构建的核心，生物体借此塑造下一代经历的发育条件和选择压力。尽管其理论上很重要，但亲本生态位构建通常是在简化的条件下或通过关注单一组成部分来研究，这限制了我们对多种亲本修饰如何在生态相关背景下相互作用、它们是否缓冲环境异质性以及这如何塑造后代发育和进化轨迹的理解。使用埋葬甲虫</w:t>
      </w:r>
      <w:r>
        <w:t xml:space="preserve"> </w:t>
      </w:r>
      <w:r>
        <w:t>黄藻</w:t>
      </w:r>
      <w:r>
        <w:t xml:space="preserve"> </w:t>
      </w:r>
      <w:r>
        <w:t>，我们研究了父母如何共同改变脊椎动物尸体的化学和微生物特性，脊椎动物尸体是后代发育的高度竞争的资源。我们表明，在自然微生物和竞争条件下，孵化前护理可提高幼体的存活和生长，改变尸体挥发性排放，并降低尸体对竞争对手的吸引力。虽然土壤类型塑造了与尸体相关的微生物群落，但父母的照顾可以缓冲这些环境影响，创造更一致的微生物组并降低环境引起的幼虫死亡率。相关物种的幼虫</w:t>
      </w:r>
      <w:r>
        <w:t xml:space="preserve"> </w:t>
      </w:r>
      <w:r>
        <w:t>桑蛸</w:t>
      </w:r>
      <w:r>
        <w:t xml:space="preserve"> </w:t>
      </w:r>
      <w:r>
        <w:t>缺乏孵化前胴体准备，在准备好的和未修饰的胴体上同样存活得很好，而</w:t>
      </w:r>
      <w:r>
        <w:t xml:space="preserve"> </w:t>
      </w:r>
      <w:r>
        <w:t>黄毛猪笼草</w:t>
      </w:r>
    </w:p>
    <w:p>
      <w:pPr>
        <w:spacing w:before="0" w:after="200" w:lineRule="auto" w:line="276"/>
      </w:pPr>
      <w:r>
        <w:rPr>
          <w:b/>
        </w:rPr>
        <w:t xml:space="preserve">Abstract (EN): </w:t>
      </w:r>
      <w:r>
        <w:t>Parents across diverse taxa modify the biotic or abiotic environments of their offspring. Such modifications may constitute ecological inheritance and are central to developmental niche construction, whereby organisms shape developmental conditions and selective pressures experienced by the next generation. Despite its theoretical importance, parental niche construction is often studied under simplified conditions or by focusing on single components of care, limiting our understanding of how multiple parental modifications interact in ecologically relevant contexts, whether they buffer environmental heterogeneity, and how this shapes offspring development and evolutionary trajectories. Using the burying beetle</w:t>
      </w:r>
      <w:r>
        <w:t xml:space="preserve"> </w:t>
      </w:r>
      <w:r>
        <w:t>Nicrophorus vespilloides</w:t>
      </w:r>
      <w:r>
        <w:t xml:space="preserve"> </w:t>
      </w:r>
      <w:r>
        <w:t>, we investigated how parents jointly modify chemical and microbial properties of vertebrate carcasses, a highly contested resource on which offspring develop. We show that under natural microbial and competitive conditions, prehatch care enhances larval survival and growth, alters cadaveric volatile emissions, and reduces carcass attractiveness to competitors. While soil type shapes carcass-associated microbial communities, parental care buffers these environmental effects, creating a more consistent microbiome and reducing environmentally induced larval mortality. Larvae of the related species</w:t>
      </w:r>
      <w:r>
        <w:t xml:space="preserve"> </w:t>
      </w:r>
      <w:r>
        <w:t>Ptomascopus morio</w:t>
      </w:r>
      <w:r>
        <w:t xml:space="preserve"> </w:t>
      </w:r>
      <w:r>
        <w:t>, which lacks prehatch carcass preparation, survived equally well on prepared and unmodified carcasses, whereas</w:t>
      </w:r>
      <w:r>
        <w:t xml:space="preserve"> </w:t>
      </w:r>
      <w:r>
        <w:t>N. vespilloides</w:t>
      </w:r>
      <w:r>
        <w:t xml:space="preserve"> </w:t>
      </w:r>
      <w:r>
        <w:t>larvae showed reduced survival on unmodified carcasses. This contrast is consistent with the hypothesis that</w:t>
      </w:r>
      <w:r>
        <w:t xml:space="preserve"> </w:t>
      </w:r>
      <w:r>
        <w:t>N. vespilloides</w:t>
      </w:r>
      <w:r>
        <w:t xml:space="preserve"> </w:t>
      </w:r>
      <w:r>
        <w:t>larvae have evolved a reliance on a parentally constructed developmental environment. Together, these findings show that parental care can constitute an integrated form of niche construction that reshapes developmental environments, enhances offspring performance, and may promote evolutionary feedback leading to increased offspring dependence on parental care.</w:t>
      </w:r>
    </w:p>
    <w:p>
      <w:pPr>
        <w:spacing w:before="120" w:after="120"/>
      </w:pPr>
      <w:r>
        <w:rPr>
          <w:sz w:val="18"/>
        </w:rPr>
        <w:t>——————————————————————————————————————————————————————————————————————</w:t>
      </w:r>
    </w:p>
    <w:p>
      <w:pPr>
        <w:spacing w:before="160" w:after="40" w:line="240" w:lineRule="auto"/>
      </w:pPr>
      <w:r>
        <w:rPr>
          <w:b/>
        </w:rPr>
        <w:t xml:space="preserve">[501] </w:t>
      </w:r>
      <w:hyperlink r:id="rId1434">
        <w:r>
          <w:rPr>
            <w:color w:val="1155CC"/>
            <w:u w:val="single"/>
          </w:rPr>
          <w:t>David Botstein：一位先驱遗传学家和教育家，1942 年至 2026 年</w:t>
        </w:r>
      </w:hyperlink>
    </w:p>
    <w:p>
      <w:pPr>
        <w:spacing w:before="0" w:after="80"/>
      </w:pPr>
      <w:r>
        <w:rPr>
          <w:i/>
          <w:sz w:val="20"/>
        </w:rPr>
        <w:t>EN: David Botstein: A pioneering geneticist and educator 1942–2026</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35">
        <w:r>
          <w:rPr>
            <w:color w:val="1155CC"/>
            <w:u w:val="single"/>
          </w:rPr>
          <w:t>10.1073/pnas.2625941123</w:t>
        </w:r>
      </w:hyperlink>
    </w:p>
    <w:p>
      <w:pPr>
        <w:spacing w:before="0" w:after="120"/>
      </w:pPr>
      <w:r>
        <w:rPr>
          <w:b/>
        </w:rPr>
        <w:t xml:space="preserve">Notes: </w:t>
      </w:r>
      <w:r>
        <w:t>abstract_source=crossref</w:t>
      </w:r>
    </w:p>
    <w:p>
      <w:pPr>
        <w:spacing w:before="0" w:after="80" w:lineRule="auto" w:line="276"/>
      </w:pPr>
      <w:r>
        <w:rPr>
          <w:b/>
        </w:rPr>
        <w:t xml:space="preserve">摘要（ZH）: </w:t>
      </w:r>
      <w:r>
        <w:t>大卫·博特斯坦 (David Botstein) 于 2026 年 2 月 27 日去世，是现代分子遗传学领域的杰出人物。他的研究生涯主要集中在开发更好地理解生物系统的方法，从他早期对沙门氏菌噬菌体 P22 和酵母的研究开始，他利用条件致死突变作为抑制因子来识别具有共同功能的基因，并将它们排列在一条通路中。他因开发限制性片段长度多态性 (RFLP) 作为人类基因组中基因位置的遗传地标而被人们所铭记，这一见解为分离与疾病相关的基因铺平了道路，而遗传图谱则是人类基因组测序的关键前奏。他共同开发了 DNA 微阵列，以及从中获得洞察所需的算法。博斯坦是一位充满热情的教育家，在他的整个职业生涯中，他开发了新颖的课程，为学生未来的科学职业做好严格的准备。与他一起工作的人记得他是一个非常热情的人，非常关心他的同事和学生。他对科学和生活充满感染力的热情在他所做的一切中都显而易见。</w:t>
      </w:r>
    </w:p>
    <w:p>
      <w:pPr>
        <w:spacing w:before="0" w:after="200" w:lineRule="auto" w:line="276"/>
      </w:pPr>
      <w:r>
        <w:rPr>
          <w:b/>
        </w:rPr>
        <w:t xml:space="preserve">Abstract (EN): </w:t>
      </w:r>
      <w:r>
        <w:t>David Botstein, who died on February 27, 2026, was a towering figure in the field of modern molecular genetics. His research career was largely focused on the development of methods to better understand biological systems, beginning with his early work on Salmonella phage P22 and yeast, where he exploited the use of conditional lethal mutations as suppressors to identify genes with common functions and to order them in a pathway. He is best remembered for developing restriction fragment length polymorphisms (RFLPs) as genetic landmarks for the locations of genes in the human genome, an insight that paved the way for the isolation of genes associated with disease, and the genetic mapping that was a key prelude to the sequencing of the human genome. He codeveloped DNA microarrays, as well as the algorithms necessary to gain insight from them. Botstein was a passionate educator, and throughout his career he developed novel curricula to rigorously prepare students for future careers in science. He is remembered by those who worked with him as a man of great warmth, who cared deeply for his colleagues and students. His contagious enthusiasm for science, and life in general, was evident in everything he undertook.</w:t>
      </w:r>
    </w:p>
    <w:p>
      <w:pPr>
        <w:spacing w:before="120" w:after="120"/>
      </w:pPr>
      <w:r>
        <w:rPr>
          <w:sz w:val="18"/>
        </w:rPr>
        <w:t>——————————————————————————————————————————————————————————————————————</w:t>
      </w:r>
    </w:p>
    <w:p>
      <w:pPr>
        <w:spacing w:before="160" w:after="40" w:line="240" w:lineRule="auto"/>
      </w:pPr>
      <w:r>
        <w:rPr>
          <w:b/>
        </w:rPr>
        <w:t xml:space="preserve">[502] </w:t>
      </w:r>
      <w:hyperlink r:id="rId1436">
        <w:r>
          <w:rPr>
            <w:color w:val="1155CC"/>
            <w:u w:val="single"/>
          </w:rPr>
          <w:t>科学与民主的完美性：学习机构</w:t>
        </w:r>
      </w:hyperlink>
    </w:p>
    <w:p>
      <w:pPr>
        <w:spacing w:before="0" w:after="80"/>
      </w:pPr>
      <w:r>
        <w:rPr>
          <w:i/>
          <w:sz w:val="20"/>
        </w:rPr>
        <w:t>EN: Perfectibility in science and democracy: Institutions that learn</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37">
        <w:r>
          <w:rPr>
            <w:color w:val="1155CC"/>
            <w:u w:val="single"/>
          </w:rPr>
          <w:t>10.1073/pnas.2626408123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[503] </w:t>
      </w:r>
      <w:hyperlink r:id="rId1438">
        <w:r>
          <w:rPr>
            <w:color w:val="1155CC"/>
            <w:u w:val="single"/>
          </w:rPr>
          <w:t>更正 Closson 等人的 HIF 异二聚体的上下文依赖性变异影响与大分子和小分子伙伴的相互作用</w:t>
        </w:r>
      </w:hyperlink>
    </w:p>
    <w:p>
      <w:pPr>
        <w:spacing w:before="0" w:after="80"/>
      </w:pPr>
      <w:r>
        <w:rPr>
          <w:i/>
          <w:sz w:val="20"/>
        </w:rPr>
        <w:t>EN: Correction for Closson et al., Context-dependent variability of HIF heterodimers influences interactions with macromolecular and small molecule partners</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39">
        <w:r>
          <w:rPr>
            <w:color w:val="1155CC"/>
            <w:u w:val="single"/>
          </w:rPr>
          <w:t>10.1073/pnas.2627985123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[504] </w:t>
      </w:r>
      <w:hyperlink r:id="rId1440">
        <w:r>
          <w:rPr>
            <w:color w:val="1155CC"/>
            <w:u w:val="single"/>
          </w:rPr>
          <w:t>动态拓扑激子极化子可实现超快逻辑运算</w:t>
        </w:r>
      </w:hyperlink>
    </w:p>
    <w:p>
      <w:pPr>
        <w:spacing w:before="0" w:after="80"/>
      </w:pPr>
      <w:r>
        <w:rPr>
          <w:i/>
          <w:sz w:val="20"/>
        </w:rPr>
        <w:t>EN: Dynamic topological exciton-polaritons enabling ultrafast logic operations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41">
        <w:r>
          <w:rPr>
            <w:color w:val="1155CC"/>
            <w:u w:val="single"/>
          </w:rPr>
          <w:t>10.1126/sciadv.aeh8149</w:t>
        </w:r>
      </w:hyperlink>
    </w:p>
    <w:p>
      <w:pPr>
        <w:spacing w:before="0" w:after="120"/>
      </w:pPr>
      <w:r>
        <w:rPr>
          <w:b/>
        </w:rPr>
        <w:t xml:space="preserve">Notes: </w:t>
      </w:r>
      <w:r>
        <w:t>abstract_source=crossref</w:t>
      </w:r>
    </w:p>
    <w:p>
      <w:pPr>
        <w:spacing w:before="0" w:after="80" w:lineRule="auto" w:line="276"/>
      </w:pPr>
      <w:r>
        <w:rPr>
          <w:b/>
        </w:rPr>
        <w:t xml:space="preserve">摘要（ZH）: </w:t>
      </w:r>
      <w:r>
        <w:t>拓扑活性材料已成为一种强大的范式，将物质奇异拓扑相的发现与功能拓扑器件的发展联系起来。最近，这些材料系统扩展到动态状态，可以在超快的时间尺度上主动操纵拓扑特性，这有望对拓扑状态及其功能进行前所未有的控制。然而，将静态拓扑激光信号转换为高性能逻辑功能仍然极具挑战性，这对材料属性提出了更为严格的要求。在这里，利用嵌入狄拉克涡旋微腔中的钙钛矿激子极化子的强非线性和明显的光谱隔离，我们通过实验证明了动态拓扑类马约拉纳态极化子凝聚及其在室温下的超快逻辑运算，实现了创纪录的消光比（∼20 dB）、极低的控制注量（∼0.2 nJ/cm）</w:t>
      </w:r>
      <w:r>
        <w:rPr>
          <w:vertAlign w:val="subscript"/>
        </w:rPr>
        <w:t>2</w:t>
      </w:r>
      <w:r>
        <w:t>）和亚皮秒响应时间（∼500 fs）。我们的研究成果拓展了动态拓扑的前沿，并建立了一条通往稳健、超快和可重构片上极化子逻辑电路的创新途径。</w:t>
      </w:r>
    </w:p>
    <w:p>
      <w:pPr>
        <w:spacing w:before="0" w:after="200" w:lineRule="auto" w:line="276"/>
      </w:pPr>
      <w:r>
        <w:rPr>
          <w:b/>
        </w:rPr>
        <w:t xml:space="preserve">Abstract (EN): </w:t>
      </w:r>
      <w:r>
        <w:t>Topological active materials have emerged as a powerful paradigm bridging the discovery of exotic topological phases of matter with the development of functional topological devices. The recent extension of these material systems into dynamic regime, where topological properties can be actively manipulated at ultrafast timescales, promises unprecedented control over topological states and their functionalities. However, translating the static topological lasing signals into high-performance logic functions remain highly challenging, which imposes a far more stringent set of materials attributes. Here, leveraging the strong nonlinearity and pronounced spectral isolation of perovskite exciton-polaritons embedded in a Dirac vortex microcavity, we experimentally demonstrate the dynamic topological Majorana-like state polariton condensation with its ultrafast logic operations at room temperature, achieving record extinction ratio (∼20 dB), extremely low control fluence (∼0.2 nJ/cm</w:t>
      </w:r>
      <w:r>
        <w:rPr>
          <w:vertAlign w:val="subscript"/>
        </w:rPr>
        <w:t>2</w:t>
      </w:r>
      <w:r>
        <w:t>) and sub-picosecond response time (∼500 fs). Our results expand the frontier of dynamic topology and establish an innovative pathway towards robust, ultrafast, and reconfigurable on-chip polaritonic logic circuits.</w:t>
      </w:r>
    </w:p>
    <w:p>
      <w:pPr>
        <w:spacing w:before="120" w:after="120"/>
      </w:pPr>
      <w:r>
        <w:rPr>
          <w:sz w:val="18"/>
        </w:rPr>
        <w:t>——————————————————————————————————————————————————————————————————————</w:t>
      </w:r>
    </w:p>
    <w:p>
      <w:pPr>
        <w:spacing w:before="160" w:after="40" w:line="240" w:lineRule="auto"/>
      </w:pPr>
      <w:r>
        <w:rPr>
          <w:b/>
        </w:rPr>
        <w:t xml:space="preserve">[505] </w:t>
      </w:r>
      <w:hyperlink r:id="rId1442">
        <w:r>
          <w:rPr>
            <w:color w:val="1155CC"/>
            <w:u w:val="single"/>
          </w:rPr>
          <w:t>RIBOTAC 介导的 hsa-microRNA-301a-3p 降解抑制 TNBC 骨转移</w:t>
        </w:r>
      </w:hyperlink>
    </w:p>
    <w:p>
      <w:pPr>
        <w:spacing w:before="0" w:after="80"/>
      </w:pPr>
      <w:r>
        <w:rPr>
          <w:i/>
          <w:sz w:val="20"/>
        </w:rPr>
        <w:t>EN: RIBOTAC-mediated degradation of hsa-microRNA-301a-3p suppresses TNBC bone metastasis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43">
        <w:r>
          <w:rPr>
            <w:color w:val="1155CC"/>
            <w:u w:val="single"/>
          </w:rPr>
          <w:t>10.1126/sciadv.aeh7999</w:t>
        </w:r>
      </w:hyperlink>
    </w:p>
    <w:p>
      <w:pPr>
        <w:spacing w:before="0" w:after="120"/>
      </w:pPr>
      <w:r>
        <w:rPr>
          <w:b/>
        </w:rPr>
        <w:t xml:space="preserve">Notes: </w:t>
      </w:r>
      <w:r>
        <w:t>abstract_source=crossref</w:t>
      </w:r>
    </w:p>
    <w:p>
      <w:pPr>
        <w:spacing w:before="0" w:after="80" w:lineRule="auto" w:line="276"/>
      </w:pPr>
      <w:r>
        <w:rPr>
          <w:b/>
        </w:rPr>
        <w:t xml:space="preserve">摘要（ZH）: </w:t>
      </w:r>
      <w:r>
        <w:t>三阴性乳腺癌（TNBC）是一种侵袭性亚型，骨转移倾向高，治疗选择有限。尽管许多蛋白质驱动转移，但由于缺乏合适的结合位点，大多数蛋白质仍然无法被传统小分子药物接近，这引发了人们对上游 RNA 调节剂的兴趣。利用综合生物信息学和机器学习，我们确定 hsa-microRNA-301a-3p 是 TNBC 骨转移的中心调节因子。然而，当前基于核酸的疗法受到不稳定和低效递送的限制。为了克服这些挑战，我们设计了一种核糖核酸酶靶向嵌合体 (RIBOTAC)，它招募内源性 RNase L 来降解初级转录本 pri-microRNA-301a。由此产生的 RIBOTAC 有效降低 hsa-microRNA-301a-3p 水平，恢复 NEDD4L 表达，并促进致癌蛋白 YAP 降解，从而抑制 TNBC 骨转移。这些发现将 hsa-microRNA-301a-3p 确定为关键驱动因素，并证明 RNA 靶向降解可作为 TNBC 骨转移的治疗策略。</w:t>
      </w:r>
    </w:p>
    <w:p>
      <w:pPr>
        <w:spacing w:before="0" w:after="200" w:lineRule="auto" w:line="276"/>
      </w:pPr>
      <w:r>
        <w:rPr>
          <w:b/>
        </w:rPr>
        <w:t xml:space="preserve">Abstract (EN): </w:t>
      </w:r>
      <w:r>
        <w:t>Triple-negative breast cancer (TNBC) is an aggressive subtype with a high propensity for bone metastasis and limited treatment options. Although many proteins drive metastasis, most remain inaccessible to conventional small-molecule drugs due to lack of suitable binding sites, prompting interest in upstream RNA regulators. Using integrative bioinformatics and machine learning, we identified hsa-microRNA-301a-3p as a central regulator of TNBC bone metastasis. However, current nucleic acid–based therapies are limited by instability and inefficient delivery. To overcome these challenges, we designed a ribonuclease-targeting chimera (RIBOTAC) that recruits endogenous RNase L to degrade the primary transcript pri-microRNA-301a. The resulting RIBOTAC efficiently reduced hsa-microRNA-301a-3p levels, restored NEDD4L expression, and promoted degradation of the oncogenic protein YAP, thereby suppressing TNBC bone metastasis. These findings identify hsa-microRNA-301a-3p as a key driver and demonstrate RNA-targeted degradation as a therapeutic strategy in TNBC bone metastasis.</w:t>
      </w:r>
    </w:p>
    <w:p>
      <w:pPr>
        <w:spacing w:before="120" w:after="120"/>
      </w:pPr>
      <w:r>
        <w:rPr>
          <w:sz w:val="18"/>
        </w:rPr>
        <w:t>——————————————————————————————————————————————————————————————————————</w:t>
      </w:r>
    </w:p>
    <w:p>
      <w:pPr>
        <w:spacing w:before="160" w:after="40" w:line="240" w:lineRule="auto"/>
      </w:pPr>
      <w:r>
        <w:rPr>
          <w:b/>
        </w:rPr>
        <w:t xml:space="preserve">[506] </w:t>
      </w:r>
      <w:hyperlink r:id="rId1444">
        <w:r>
          <w:rPr>
            <w:color w:val="1155CC"/>
            <w:u w:val="single"/>
          </w:rPr>
          <w:t>SESN1 是 MAVS 的负调节因子，在 RNA 病毒感染期间动态表达</w:t>
        </w:r>
      </w:hyperlink>
    </w:p>
    <w:p>
      <w:pPr>
        <w:spacing w:before="0" w:after="80"/>
      </w:pPr>
      <w:r>
        <w:rPr>
          <w:i/>
          <w:sz w:val="20"/>
        </w:rPr>
        <w:t>EN: SESN1 is a negative regulator of MAVS and dynamically expressed during RNA viral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45">
        <w:r>
          <w:rPr>
            <w:color w:val="1155CC"/>
            <w:u w:val="single"/>
          </w:rPr>
          <w:t>10.1073/pnas.2621443123</w:t>
        </w:r>
      </w:hyperlink>
    </w:p>
    <w:p>
      <w:pPr>
        <w:spacing w:before="0" w:after="120"/>
      </w:pPr>
      <w:r>
        <w:rPr>
          <w:b/>
        </w:rPr>
        <w:t xml:space="preserve">Notes: </w:t>
      </w:r>
      <w:r>
        <w:t>abstract_source=crossref</w:t>
      </w:r>
    </w:p>
    <w:p>
      <w:pPr>
        <w:spacing w:before="0" w:after="80" w:lineRule="auto" w:line="276"/>
      </w:pPr>
      <w:r>
        <w:rPr>
          <w:b/>
        </w:rPr>
        <w:t xml:space="preserve">摘要（ZH）: </w:t>
      </w:r>
      <w:r>
        <w:t>RNA病毒是人类和动物的主要病原体，是许多炎症性疾病的原因。通常，由于宿主免疫稳态，轻度 RNA 病毒感染不会引发炎症性疾病。然而，严重的RNA病毒感染会破坏免疫稳态并引起过度炎症。详细机制仍不清楚。在这里，我们报道SESN1作为线粒体抗病毒信号蛋白（MAVS）的关键负调节因子，MAVS是RNA触发的先天免疫反应的中心蛋白，通过增强MAVS自噬降解来抑制先天免疫反应。低剂量RNA病毒感染后，SESN1水平在感染早期下降，在感染后期反弹，从而在早期抑制SESN1介导的MAVS降解以清除病毒，并在后期增强MAVS降解以防止细胞因子过度产生。然而，高剂量RNA病毒感染后，SESN1水平持续受损，导致细胞因子大量产生。值得注意的是，我们观察到重症流感患者SESN1的表达显着下调，且与细胞因子水平呈负相关。补充SESN1可有效抑制感染甲型流感病毒PR8的人原代支气管/气管上皮细胞和重症流感患者外周血单核细胞的细胞因子产生。从机制上讲，SESN1 与 MAVS 相互作用，并通过 SQSTM1 增强 MAVS 自噬降解。总之，这些发现表明 SESN1 是调节宿主先天免疫的重要因素</w:t>
      </w:r>
    </w:p>
    <w:p>
      <w:pPr>
        <w:spacing w:before="0" w:after="200" w:lineRule="auto" w:line="276"/>
      </w:pPr>
      <w:r>
        <w:rPr>
          <w:b/>
        </w:rPr>
        <w:t xml:space="preserve">Abstract (EN): </w:t>
      </w:r>
      <w:r>
        <w:t>RNA viruses, major pathogens of humans and animals, are responsible for numerous inflammatory diseases. Commonly, mild RNA virus infection fails to trigger inflammatory diseases due to host immune homeostasis. However, severe RNA virus infection destroys immune homeostasis and causes hyperinflammation. The detail mechanism is still unclear. Here, we reported that SESN1 acts as a critical negative regulator of mitochondrial antiviral signaling protein (MAVS), a central hub protein in RNA-triggered innate immune response, by potentiating MAVS autophagic degradation to repress innate immune response. Upon low dose RNA virus infection, SESN1 level was decreased at infection early stage and was rebounded at late stage, which restrained SESN1-mediated MAVS degradation to clear virus at early stage and enhanced MAVS degradation to prevent excessive cytokines production at late stage. Whereas, SESN1 level was continuously impaired after high dose RNA virus infection, which caused robust cytokines production. Notably, we observed that the expression of SESN1 was markedly downregulated and negatively correlated with cytokine levels in patients with severe influenza. Replenishment of SESN1 effectively inhibited cytokines production in the Human Primary Bronchial/Tracheal Epithelial Cells infected with Influenza A virus PR8 and peripheral blood mononuclear cells of patients with severe influenza. Mechanistically, SESN1 interacted with MAVS and enhanced MAVS autophagic degradation via SQSTM1. Together, these findings revealed SESN1 was an important factor to regulate host innate immune response.</w:t>
      </w:r>
    </w:p>
    <w:p>
      <w:pPr>
        <w:spacing w:before="120" w:after="120"/>
      </w:pPr>
      <w:r>
        <w:rPr>
          <w:sz w:val="18"/>
        </w:rPr>
        <w:t>——————————————————————————————————————————————————————————————————————</w:t>
      </w:r>
    </w:p>
    <w:p>
      <w:pPr>
        <w:spacing w:before="160" w:after="40" w:line="240" w:lineRule="auto"/>
      </w:pPr>
      <w:r>
        <w:rPr>
          <w:b/>
        </w:rPr>
        <w:t xml:space="preserve">[507] </w:t>
      </w:r>
      <w:hyperlink r:id="rId1446">
        <w:r>
          <w:rPr>
            <w:color w:val="1155CC"/>
            <w:u w:val="single"/>
          </w:rPr>
          <w:t>儿童癌症幸存者和匹配的无癌症个体在低辐射剂量后修复 DNA 双链断裂</w:t>
        </w:r>
      </w:hyperlink>
    </w:p>
    <w:p>
      <w:pPr>
        <w:spacing w:before="0" w:after="80"/>
      </w:pPr>
      <w:r>
        <w:rPr>
          <w:i/>
          <w:sz w:val="20"/>
        </w:rPr>
        <w:t>EN: Repair of DNA double-strand breaks after low radiation doses in childhood cancer survivors and matched cancer-free individuals</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47">
        <w:r>
          <w:rPr>
            <w:color w:val="1155CC"/>
            <w:u w:val="single"/>
          </w:rPr>
          <w:t>10.1073/pnas.2603379123</w:t>
        </w:r>
      </w:hyperlink>
    </w:p>
    <w:p>
      <w:pPr>
        <w:spacing w:before="0" w:after="120"/>
      </w:pPr>
      <w:r>
        <w:rPr>
          <w:b/>
        </w:rPr>
        <w:t xml:space="preserve">Notes: </w:t>
      </w:r>
      <w:r>
        <w:t>abstract_source=crossref</w:t>
      </w:r>
    </w:p>
    <w:p>
      <w:pPr>
        <w:spacing w:before="0" w:after="80" w:lineRule="auto" w:line="276"/>
      </w:pPr>
      <w:r>
        <w:rPr>
          <w:b/>
        </w:rPr>
        <w:t xml:space="preserve">摘要（ZH）: </w:t>
      </w:r>
      <w:r>
        <w:t>G1 或 G0 期正常人类细胞中出现的 DNA 双链断裂 (DSB) 可通过非同源末端连接 (NHEJ) 进行修复，这是一种对细胞存活很重要的途径，但可能会导致断裂位点发生突变。 NHEJ 的 DSB 修复在每个细胞 1 个或更多 DSB 的高损伤水平下非常有效，在较低损伤水平下效率低得多，如果每个细胞仅诱导约 0.05 个 DSB，则几乎不存在。在这里，我们分析了 136 名儿童癌症幸存者的原代成纤维细胞中高水平和低水平的辐射诱导的 DSB 的修复，其中一半在以后的生活中出现了第二个独立的肿瘤，并将其与 68 名单独匹配的无癌症个体的原代成纤维细胞的反应进行了比较。我们通过在剂量为 2.5、5、10 和 100 mGy 的照射后 24 小时用自动评分系统量化残留的 γH2AX 焦点来测量 DSB 修复效率，这分别诱导每个细胞约 0.0625、0.125、0.25 和 2.5 个 DSB。尽管儿童癌症幸存者和无癌症个体在 10 和 100 mGy 后修复 DSB 的效率相同，但他们对较低剂量的反应却截然不同。虽然无癌症个体在 2.5 mG​​y 后的修复效率较低，但儿童癌症幸存者在此剂量后修复 DSB 的效率与更高剂量后的修复效率相同。这些结果表明，本文分析的大多数儿童癌症幸存者可能存在基因改变，影响他们对低水平 DSB 的反应。我们认为这种改变可能是遗传性的，也可能是由之前的肿瘤治疗引起的。</w:t>
      </w:r>
    </w:p>
    <w:p>
      <w:pPr>
        <w:spacing w:before="0" w:after="200" w:lineRule="auto" w:line="276"/>
      </w:pPr>
      <w:r>
        <w:rPr>
          <w:b/>
        </w:rPr>
        <w:t xml:space="preserve">Abstract (EN): </w:t>
      </w:r>
      <w:r>
        <w:t>DNA double-strand breaks (DSBs) which arise in G1- or G0-phase normal human cells are repaired by nonhomologous end-joining (NHEJ), a pathway which is important for cell survival but can cause mutations at the break sites. DSB repair by NHEJ is very efficient at high damage levels of 1 or more DSBs per cell, much less efficient at lower damage levels and almost absent if only ~0.05 DSBs per cell are induced. Here, we have analyzed the repair of high and low levels of radiation-induced DSBs in primary fibroblasts from 136 childhood cancer survivors, half of whom developed a second independent tumor later in life, and compared it to the response of primary fibroblasts from 68 individually matched cancer-free individuals. We measured the DSB repair efficiency by quantifying residual γH2AX foci with an automated scoring system at 24 h after irradiation with doses of 2.5, 5, 10, and 100 mGy, which induce about 0.0625, 0.125, 0.25, and 2.5 DSBs per cell, respectively. Although childhood cancer survivors and cancer-free individuals repaired DSBs after 10 and 100 mGy equally efficiently, their response to lower doses differed drastically. While repair in cancer-free individuals was inefficient after 2.5 mGy, childhood cancer survivors repaired DSBs after this dose as efficiently as after higher doses. These results indicate that most of the childhood cancer survivors analyzed here may harbor a genetic alteration that affects their response to low levels of DSBs. We suggest that such alterations may be either inherited or caused by previous tumor treatments.</w:t>
      </w:r>
    </w:p>
    <w:p>
      <w:pPr>
        <w:spacing w:before="120" w:after="120"/>
      </w:pPr>
      <w:r>
        <w:rPr>
          <w:sz w:val="18"/>
        </w:rPr>
        <w:t>——————————————————————————————————————————————————————————————————————</w:t>
      </w:r>
    </w:p>
    <w:p>
      <w:pPr>
        <w:spacing w:before="160" w:after="40" w:line="240" w:lineRule="auto"/>
      </w:pPr>
      <w:r>
        <w:rPr>
          <w:b/>
        </w:rPr>
        <w:t xml:space="preserve">[508] </w:t>
      </w:r>
      <w:hyperlink r:id="rId1448">
        <w:r>
          <w:rPr>
            <w:color w:val="1155CC"/>
            <w:u w:val="single"/>
          </w:rPr>
          <w:t>独角鲸记录了东格陵兰岛的大西洋化</w:t>
        </w:r>
      </w:hyperlink>
    </w:p>
    <w:p>
      <w:pPr>
        <w:spacing w:before="0" w:after="80"/>
      </w:pPr>
      <w:r>
        <w:rPr>
          <w:i/>
          <w:sz w:val="20"/>
        </w:rPr>
        <w:t>EN: Narwhals document atlantification of East Greenland</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49">
        <w:r>
          <w:rPr>
            <w:color w:val="1155CC"/>
            <w:u w:val="single"/>
          </w:rPr>
          <w:t>10.1126/sciadv.adr1424</w:t>
        </w:r>
      </w:hyperlink>
    </w:p>
    <w:p>
      <w:pPr>
        <w:spacing w:before="0" w:after="120"/>
      </w:pPr>
      <w:r>
        <w:rPr>
          <w:b/>
        </w:rPr>
        <w:t xml:space="preserve">Notes: </w:t>
      </w:r>
      <w:r>
        <w:t>abstract_source=crossref</w:t>
      </w:r>
    </w:p>
    <w:p>
      <w:pPr>
        <w:spacing w:before="0" w:after="80" w:lineRule="auto" w:line="276"/>
      </w:pPr>
      <w:r>
        <w:rPr>
          <w:b/>
        </w:rPr>
        <w:t xml:space="preserve">摘要（ZH）: </w:t>
      </w:r>
      <w:r>
        <w:t>为了解决格陵兰岛东部偏远沿海水域（包括深层冰川前盆地）的温度和盐度变化问题，我们装备了独角鲸（</w:t>
      </w:r>
      <w:r>
        <w:t xml:space="preserve"> </w:t>
      </w:r>
      <w:r>
        <w:t>斑节鲨</w:t>
      </w:r>
      <w:r>
        <w:t xml:space="preserve"> </w:t>
      </w:r>
      <w:r>
        <w:t>）与电导率-温度-深度档案仪器。这些数据与世界海洋数据库相结合，揭示了渗透东格陵兰沿海系统的大西洋中层水（AIW）的长期变暖。在 Blosseville 盆地，AIW 在约 250 米以下占主导地位，极地水影响很小。 1960年至2021年，500米以上气温每年上升0.047℃。格陵兰海的大西洋化现已到达海洋终止冰川前的深盆地，最远内陆 300 公里。斯科斯比湾和康克鲁斯瓦克的冰川比沿较浅的布洛斯维尔海岸的冰川暴露在明显温暖且含盐量更高的水域中。夏季冰山流量增加与 200 米以下的较高温度和盐度同时发生，表明 AIW 影响加剧。这些观测结果表明，变暖的 AIW 直接向冰川前沿输送热量，促进海底融化并加速冰川质量损失。</w:t>
      </w:r>
    </w:p>
    <w:p>
      <w:pPr>
        <w:spacing w:before="0" w:after="200" w:lineRule="auto" w:line="276"/>
      </w:pPr>
      <w:r>
        <w:rPr>
          <w:b/>
        </w:rPr>
        <w:t xml:space="preserve">Abstract (EN): </w:t>
      </w:r>
      <w:r>
        <w:t>To resolve temperature and salinity changes in remote East Greenland coastal waters, including deep glacier-front basins, we equipped narwhals (</w:t>
      </w:r>
      <w:r>
        <w:t xml:space="preserve"> </w:t>
      </w:r>
      <w:r>
        <w:t>Monodon monoceros</w:t>
      </w:r>
      <w:r>
        <w:t xml:space="preserve"> </w:t>
      </w:r>
      <w:r>
        <w:t>) with conductivity-temperature-depth archival instruments. These data, combined with the World Ocean Database, reveal long-term warming of Atlantic Intermediate Water (AIW) penetrating East Greenland’s coastal system. In the Blosseville Basin, AIW dominates below ∼250 meters with little Polar Water influence. From 1960 to 2021, temperatures above 500 meters increased by 0.047°C per year. Atlantification of the Greenland Sea now reaches deep basins in front of marine-terminating glaciers up to 300 kilometers inland. Glaciers in Scoresby Sound and Kangerlussuaq are exposed to significantly warmer and more saline waters than those along the shallower Blosseville Coast. Elevated summer iceberg discharge coincides with higher temperatures and salinities below 200 meters, indicating an intensified AIW influence. These observations show that warming AIW delivers heat directly to glacier fronts, promoting submarine melt and accelerating glacier mass loss.</w:t>
      </w:r>
    </w:p>
    <w:p>
      <w:pPr>
        <w:spacing w:before="120" w:after="120"/>
      </w:pPr>
      <w:r>
        <w:rPr>
          <w:sz w:val="18"/>
        </w:rPr>
        <w:t>——————————————————————————————————————————————————————————————————————</w:t>
      </w:r>
    </w:p>
    <w:p>
      <w:pPr>
        <w:spacing w:before="160" w:after="40" w:line="240" w:lineRule="auto"/>
      </w:pPr>
      <w:r>
        <w:rPr>
          <w:b/>
        </w:rPr>
        <w:t xml:space="preserve">[509] </w:t>
      </w:r>
      <w:hyperlink r:id="rId1450">
        <w:r>
          <w:rPr>
            <w:color w:val="1155CC"/>
            <w:u w:val="single"/>
          </w:rPr>
          <w:t>MIC10复合物形成线粒体嵴的分子基础</w:t>
        </w:r>
      </w:hyperlink>
    </w:p>
    <w:p>
      <w:pPr>
        <w:spacing w:before="0" w:after="80"/>
      </w:pPr>
      <w:r>
        <w:rPr>
          <w:i/>
          <w:sz w:val="20"/>
        </w:rPr>
        <w:t>EN: The molecular basis of mitochondrial crista formation by the MIC10 complex</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51">
        <w:r>
          <w:rPr>
            <w:color w:val="1155CC"/>
            <w:u w:val="single"/>
          </w:rPr>
          <w:t>10.1126/sciadv.aee8657</w:t>
        </w:r>
      </w:hyperlink>
    </w:p>
    <w:p>
      <w:pPr>
        <w:spacing w:before="0" w:after="120"/>
      </w:pPr>
      <w:r>
        <w:rPr>
          <w:b/>
        </w:rPr>
        <w:t xml:space="preserve">Notes: </w:t>
      </w:r>
      <w:r>
        <w:t>abstract_source=crossref</w:t>
      </w:r>
    </w:p>
    <w:p>
      <w:pPr>
        <w:spacing w:before="0" w:after="80" w:lineRule="auto" w:line="276"/>
      </w:pPr>
      <w:r>
        <w:rPr>
          <w:b/>
        </w:rPr>
        <w:t xml:space="preserve">摘要（ZH）: </w:t>
      </w:r>
      <w:r>
        <w:t>线粒体嵴对于呼吸至关重要，但如何维持这些膜折叠的高曲率的分子基础仍不清楚。使用结构预测工具和多尺度模拟，我们研究了线粒体接触位点和嵴组织系统 (MICOS) 的 MIC10 子复合体的作用。我们发现 MIC10 蛋白 Mic10、Mic26 和 Mic27 在保守的正环基序处强烈募集心磷脂，驱动这些亚基的寡聚化并导致模型膜曲率的稳定。在真实的嵴连接设置中重建完整的 MIC10 复合体显示了其维持膜弯曲的能力，而本质上无序的区域可能在嵴和膜间隙之间形成渗透性屏障。这些发现提供了嵴曲率形成的机制模型，并表明 MICOS 成分如何与心磷脂配合维持线粒体结构。</w:t>
      </w:r>
    </w:p>
    <w:p>
      <w:pPr>
        <w:spacing w:before="0" w:after="200" w:lineRule="auto" w:line="276"/>
      </w:pPr>
      <w:r>
        <w:rPr>
          <w:b/>
        </w:rPr>
        <w:t xml:space="preserve">Abstract (EN): </w:t>
      </w:r>
      <w:r>
        <w:t>Mitochondrial cristae are essential for respiration, yet the molecular basis of how the high curvature of these membrane folds is maintained remains unclear. Using structure prediction tools and multiscale simulations, we examined the role of the MIC10 subcomplex of the mitochondrial contact site and cristae organizing system (MICOS). We found that the MIC10 proteins Mic10, Mic26, and Mic27 strongly recruit cardiolipin at conserved positive loop motifs, driving oligomerization of these subunits and resulting in the stabilization of curvature in model membranes. Reconstruction of the full MIC10 complex in a realistic crista junction setup shows its capability to maintain membrane bending, while intrinsically disordered regions may form a permeability barrier between cristae and the intermembrane space. These findings provide a mechanistic model for cristae curvature formation and suggest how MICOS components cooperate with cardiolipins to maintain mitochondrial architecture.</w:t>
      </w:r>
    </w:p>
    <w:p>
      <w:pPr>
        <w:spacing w:before="120" w:after="120"/>
      </w:pPr>
      <w:r>
        <w:rPr>
          <w:sz w:val="18"/>
        </w:rPr>
        <w:t>——————————————————————————————————————————————————————————————————————</w:t>
      </w:r>
    </w:p>
    <w:p>
      <w:pPr>
        <w:spacing w:before="160" w:after="40" w:line="240" w:lineRule="auto"/>
      </w:pPr>
      <w:r>
        <w:rPr>
          <w:b/>
        </w:rPr>
        <w:t xml:space="preserve">[510] </w:t>
      </w:r>
      <w:hyperlink r:id="rId1452">
        <w:r>
          <w:rPr>
            <w:color w:val="1155CC"/>
            <w:u w:val="single"/>
          </w:rPr>
          <w:t>Ninjurin-1介导肝脏缺血再灌注损伤</w:t>
        </w:r>
      </w:hyperlink>
    </w:p>
    <w:p>
      <w:pPr>
        <w:spacing w:before="0" w:after="80"/>
      </w:pPr>
      <w:r>
        <w:rPr>
          <w:i/>
          <w:sz w:val="20"/>
        </w:rPr>
        <w:t>EN: Ninjurin-1 mediates hepatic ischemia-reperfusion injury</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53">
        <w:r>
          <w:rPr>
            <w:color w:val="1155CC"/>
            <w:u w:val="single"/>
          </w:rPr>
          <w:t>10.1126/sciadv.aeg9496</w:t>
        </w:r>
      </w:hyperlink>
    </w:p>
    <w:p>
      <w:pPr>
        <w:spacing w:before="0" w:after="120"/>
      </w:pPr>
      <w:r>
        <w:rPr>
          <w:b/>
        </w:rPr>
        <w:t xml:space="preserve">Notes: </w:t>
      </w:r>
      <w:r>
        <w:t>abstract_source=crossref</w:t>
      </w:r>
    </w:p>
    <w:p>
      <w:pPr>
        <w:spacing w:before="0" w:after="80" w:lineRule="auto" w:line="276"/>
      </w:pPr>
      <w:r>
        <w:rPr>
          <w:b/>
        </w:rPr>
        <w:t xml:space="preserve">摘要（ZH）: </w:t>
      </w:r>
      <w:r>
        <w:t>裂解细胞死亡途径导致肝脏缺血再灌注损伤（IRI）。跨膜蛋白 ninjurin-1 (NINJ1) 在质膜中聚集，在与肝脏 IRI 相关的多种细胞死亡途径中使细胞透化。我们假设 NINJ1 介导肝脏 IRI，抑制它可以减轻损伤。我们发现 NINJ1 在人类肝组织中高表达，其上调和激活与肝移植患者早期同种异体移植功能障碍相关。使用小鼠和大鼠的节段性肝 IRI 模型，</w:t>
      </w:r>
      <w:r>
        <w:t xml:space="preserve"> </w:t>
      </w:r>
      <w:r>
        <w:t>忍者1</w:t>
      </w:r>
      <w:r>
        <w:t xml:space="preserve"> </w:t>
      </w:r>
      <w:r>
        <w:t>基因缺失或药物抑制可减少急性损伤。具有肝细胞或巨噬细胞特异性的小鼠</w:t>
      </w:r>
      <w:r>
        <w:t xml:space="preserve"> </w:t>
      </w:r>
      <w:r>
        <w:t>忍者1</w:t>
      </w:r>
      <w:r>
        <w:t xml:space="preserve"> </w:t>
      </w:r>
      <w:r>
        <w:t>基因敲除减少了 IRI 后的肝细胞损伤，表明两个群体中的 NINJ1 均导致了由此产生的肝损伤。从机制上讲，我们发现肝细胞和库普弗细胞容易受到缺氧诱导的 NINJ1 介导的质膜破裂的影响，而这种破裂可以通过药物来预防。因此，我们将 NINJ1 定位为限制肝脏 IRI 的潜在新治疗靶点，对肝移植具有重要意义。</w:t>
      </w:r>
    </w:p>
    <w:p>
      <w:pPr>
        <w:spacing w:before="0" w:after="200" w:lineRule="auto" w:line="276"/>
      </w:pPr>
      <w:r>
        <w:rPr>
          <w:b/>
        </w:rPr>
        <w:t xml:space="preserve">Abstract (EN): </w:t>
      </w:r>
      <w:r>
        <w:t>Lytic cell death pathways drive hepatic ischemia-reperfusion injury (IRI). The transmembrane protein ninjurin-1 (NINJ1) aggregates in the plasma membrane to permeabilize the cell during multiple cell death pathways implicated in hepatic IRI. We hypothesized that NINJ1 mediates liver IRI and that its inhibition would mitigate injury. We found that NINJ1 is highly expressed in human liver tissue and that its up-regulation and activation correlate with early allograft dysfunction in liver transplant patients. Using a segmental hepatic IRI model in mice and rats,</w:t>
      </w:r>
      <w:r>
        <w:t xml:space="preserve"> </w:t>
      </w:r>
      <w:r>
        <w:t>Ninj1</w:t>
      </w:r>
      <w:r>
        <w:t xml:space="preserve"> </w:t>
      </w:r>
      <w:r>
        <w:t>genetic deletion or pharmacologic inhibition diminished acute injury. Mice with hepatocyte- or macrophage-specific</w:t>
      </w:r>
      <w:r>
        <w:t xml:space="preserve"> </w:t>
      </w:r>
      <w:r>
        <w:t>Ninj1</w:t>
      </w:r>
      <w:r>
        <w:t xml:space="preserve"> </w:t>
      </w:r>
      <w:r>
        <w:t>knockout had reduced hepatocellular injury following IRI, suggesting that NINJ1 within both populations contributes to the resulting liver injury. Mechanistically, we found that hepatocytes and Kupffer cells are susceptible to hypoxia-induced NINJ1-mediated plasma membrane rupture, which can be pharmacologically prevented. We therefore position NINJ1 as a potential new therapeutic target to limit hepatic IRI, with important implications for liver transplantation.</w:t>
      </w:r>
    </w:p>
    <w:p>
      <w:pPr>
        <w:spacing w:before="120" w:after="120"/>
      </w:pPr>
      <w:r>
        <w:rPr>
          <w:sz w:val="18"/>
        </w:rPr>
        <w:t>——————————————————————————————————————————————————————————————————————</w:t>
      </w:r>
    </w:p>
    <w:p>
      <w:pPr>
        <w:spacing w:before="160" w:after="40" w:line="240" w:lineRule="auto"/>
      </w:pPr>
      <w:r>
        <w:rPr>
          <w:b/>
        </w:rPr>
        <w:t xml:space="preserve">[511] </w:t>
      </w:r>
      <w:hyperlink r:id="rId1454">
        <w:r>
          <w:rPr>
            <w:color w:val="1155CC"/>
            <w:u w:val="single"/>
          </w:rPr>
          <w:t>单光子费曼路径积分假设的直接实验测试</w:t>
        </w:r>
      </w:hyperlink>
    </w:p>
    <w:p>
      <w:pPr>
        <w:spacing w:before="0" w:after="80"/>
      </w:pPr>
      <w:r>
        <w:rPr>
          <w:i/>
          <w:sz w:val="20"/>
        </w:rPr>
        <w:t>EN: Direct experimental test of Feynman’s path integral postulates with single photons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55">
        <w:r>
          <w:rPr>
            <w:color w:val="1155CC"/>
            <w:u w:val="single"/>
          </w:rPr>
          <w:t>10.1126/sciadv.aeh1011</w:t>
        </w:r>
      </w:hyperlink>
    </w:p>
    <w:p>
      <w:pPr>
        <w:spacing w:before="0" w:after="120"/>
      </w:pPr>
      <w:r>
        <w:rPr>
          <w:b/>
        </w:rPr>
        <w:t xml:space="preserve">Notes: </w:t>
      </w:r>
      <w:r>
        <w:t>abstract_source=crossref</w:t>
      </w:r>
    </w:p>
    <w:p>
      <w:pPr>
        <w:spacing w:before="0" w:after="80" w:lineRule="auto" w:line="276"/>
      </w:pPr>
      <w:r>
        <w:rPr>
          <w:b/>
        </w:rPr>
        <w:t xml:space="preserve">摘要（ZH）: </w:t>
      </w:r>
      <w:r>
        <w:t>量子力学基础思想实验的实验验证，深刻推进了量子科学技术的发展，加深了我们对量子力学的理解。然而，作为量子物理基石的路径积分公式的实验研究仍然很少，特别是费曼在 1948 年提出的两个基本假设都没有经过直接检验。在这里，我们提出了对费曼假设进行直接实验测试的理论建议，这是通过开发严格的基于传播器的方法来实现的。此外，我们对超过 140 万个（17</w:t>
      </w:r>
      <w:r>
        <w:rPr>
          <w:vertAlign w:val="subscript"/>
        </w:rPr>
        <w:t>5</w:t>
      </w:r>
      <w:r>
        <w:t>）路径，实现传播器测量的高保真度，并实现路径概率幅度的完整重建。结果证实了这两个假设：（i）量子概率来自所有可能路径的相干叠加，以及（ii）所有可能路径具有相等幅度的幅度，而每个路径的相位由经典作用决定（以</w:t>
      </w:r>
      <w:r>
        <w:t xml:space="preserve"> </w:t>
      </w:r>
      <w:r>
        <w:t>Ч</w:t>
      </w:r>
      <w:r>
        <w:t xml:space="preserve"> </w:t>
      </w:r>
      <w:r>
        <w:t>）。这项工作不仅解决了长期存在的基础差距，而且还建立了研究当代量子系统中路径积分的通用实验框架。</w:t>
      </w:r>
    </w:p>
    <w:p>
      <w:pPr>
        <w:spacing w:before="0" w:after="200" w:lineRule="auto" w:line="276"/>
      </w:pPr>
      <w:r>
        <w:rPr>
          <w:b/>
        </w:rPr>
        <w:t xml:space="preserve">Abstract (EN): </w:t>
      </w:r>
      <w:r>
        <w:t>The experimental validation of fundamental thought experiments in quantum mechanics has profoundly advanced quantum science and technology while deepening our understanding of quantum mechanics. However, experimental studies of the path integral formulation, a cornerstone of quantum physics, remain scarce, especially regarding the two fundamental postulates proposed by Feynman in 1948, neither of which has been directly tested. Here, we present a theoretical proposal for the direct experimental test of Feynman’s postulates, achieved through the development of a rigorous propagator-based approach. Furthermore, we perform comprehensive measurements of single photon’s probability amplitudes for more than 1.4 million (17</w:t>
      </w:r>
      <w:r>
        <w:rPr>
          <w:vertAlign w:val="subscript"/>
        </w:rPr>
        <w:t>5</w:t>
      </w:r>
      <w:r>
        <w:t>) paths, achieving high fidelity in propagator measurements and enabling complete reconstruction of the path probability amplitudes. The results confirm both postulates: (i) that quantum probabilities emerge from the coherent superposition of all possible paths and (ii) that all possible paths have equal-magnitude amplitudes, whereas each path’s phase is determined by the classical action (in units of</w:t>
      </w:r>
      <w:r>
        <w:t xml:space="preserve"> </w:t>
      </w:r>
      <w:r>
        <w:t>ħ</w:t>
      </w:r>
      <w:r>
        <w:t xml:space="preserve"> </w:t>
      </w:r>
      <w:r>
        <w:t>). This work not only resolves a longstanding foundational gap but also establishes a general experimental framework for investigating path integrals in contemporary quantum systems.</w:t>
      </w:r>
    </w:p>
    <w:p>
      <w:pPr>
        <w:spacing w:before="120" w:after="120"/>
      </w:pPr>
      <w:r>
        <w:rPr>
          <w:sz w:val="18"/>
        </w:rPr>
        <w:t>——————————————————————————————————————————————————————————————————————</w:t>
      </w:r>
    </w:p>
    <w:p>
      <w:pPr>
        <w:spacing w:before="160" w:after="40" w:line="240" w:lineRule="auto"/>
      </w:pPr>
      <w:r>
        <w:rPr>
          <w:b/>
        </w:rPr>
        <w:t xml:space="preserve">[512] </w:t>
      </w:r>
      <w:hyperlink r:id="rId1456">
        <w:r>
          <w:rPr>
            <w:color w:val="1155CC"/>
            <w:u w:val="single"/>
          </w:rPr>
          <w:t>DigiPalp：使用配备智能传感器的手套量化组织硬度和表面几何形状的触诊</w:t>
        </w:r>
      </w:hyperlink>
    </w:p>
    <w:p>
      <w:pPr>
        <w:spacing w:before="0" w:after="80"/>
      </w:pPr>
      <w:r>
        <w:rPr>
          <w:i/>
          <w:sz w:val="20"/>
        </w:rPr>
        <w:t>EN: DigiPalp: Quantifying palpation of tissue hardness and surface geometry with a smart sensor-equipped glove</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57">
        <w:r>
          <w:rPr>
            <w:color w:val="1155CC"/>
            <w:u w:val="single"/>
          </w:rPr>
          <w:t>10.1126/sciadv.aeh1033</w:t>
        </w:r>
      </w:hyperlink>
    </w:p>
    <w:p>
      <w:pPr>
        <w:spacing w:before="0" w:after="120"/>
      </w:pPr>
      <w:r>
        <w:rPr>
          <w:b/>
        </w:rPr>
        <w:t xml:space="preserve">Notes: </w:t>
      </w:r>
      <w:r>
        <w:t>abstract_source=crossref</w:t>
      </w:r>
    </w:p>
    <w:p>
      <w:pPr>
        <w:spacing w:before="0" w:after="80" w:lineRule="auto" w:line="276"/>
      </w:pPr>
      <w:r>
        <w:rPr>
          <w:b/>
        </w:rPr>
        <w:t xml:space="preserve">摘要（ZH）: </w:t>
      </w:r>
      <w:r>
        <w:t>手动触诊是医学评估的基石，但其主观性质限制了其提供组织硬度等特征定量数据的能力。在这里，我们介绍 DigiPalp，这是一款可穿戴智能手套，旨在实现实时 4D 触觉扫描，将 3D 表面映射与每个点的组织硬度测量相结合。这种快速（通常&lt;0.5秒）和无创测量是通过将定制压阻压力传感器和嵌入手套指尖的磁性位置传感器融合来实现的。通过采用硅胶封装的可拉伸接线，可以保持手的自然运动范围，以支持传统触诊等工作流程。我们证明，该系统可以可靠地区分整个软组织范围内的六个硬度级别，识别嵌入硅胶模型中的小而硬的结节（半径小至 5 毫米），模拟肿瘤检测，并通过对活人躯干的完整 4D 扫描来展示系统在复杂组织上的能力。</w:t>
      </w:r>
    </w:p>
    <w:p>
      <w:pPr>
        <w:spacing w:before="0" w:after="200" w:lineRule="auto" w:line="276"/>
      </w:pPr>
      <w:r>
        <w:rPr>
          <w:b/>
        </w:rPr>
        <w:t xml:space="preserve">Abstract (EN): </w:t>
      </w:r>
      <w:r>
        <w:t>Manual palpation is a cornerstone of medical assessment, yet its subjective nature limits its ability to provide quantitative data of characteristics like tissue hardness. Here, we introduce DigiPalp, a wearable smart glove designed to enable real-time 4D tactile scanning, combining 3D surface mapping with a tissue hardness measurement at each point. This quick (typically &amp;lt;0.5 seconds) and noninvasive measurement is achieved through a fusion of custom piezoresistive pressure sensors and magnetic position sensors embedded into the glove’s fingertips. By featuring silicone-encapsulated stretchable wiring, the hand’s natural range of motion is maintained to support a workflow like conventional palpation. We show that the system can reliably differentiate six hardness levels across the soft tissue range, identify small, harder nodules (down to 5-millimeter radius) embedded in silicone phantoms, mimicking tumor detection, and demonstrate the system’s capability on complex tissue through a full 4D scan of the torso of a living person.</w:t>
      </w:r>
    </w:p>
    <w:p>
      <w:pPr>
        <w:spacing w:before="120" w:after="120"/>
      </w:pPr>
      <w:r>
        <w:rPr>
          <w:sz w:val="18"/>
        </w:rPr>
        <w:t>——————————————————————————————————————————————————————————————————————</w:t>
      </w:r>
    </w:p>
    <w:p>
      <w:pPr>
        <w:spacing w:before="160" w:after="40" w:line="240" w:lineRule="auto"/>
      </w:pPr>
      <w:r>
        <w:rPr>
          <w:b/>
        </w:rPr>
        <w:t xml:space="preserve">[513] </w:t>
      </w:r>
      <w:hyperlink r:id="rId1458">
        <w:r>
          <w:rPr>
            <w:color w:val="1155CC"/>
            <w:u w:val="single"/>
          </w:rPr>
          <w:t>超导电路中微波耗散的普遍界限</w:t>
        </w:r>
      </w:hyperlink>
    </w:p>
    <w:p>
      <w:pPr>
        <w:spacing w:before="0" w:after="80"/>
      </w:pPr>
      <w:r>
        <w:rPr>
          <w:i/>
          <w:sz w:val="20"/>
        </w:rPr>
        <w:t>EN: Universal bound on microwave dissipation in superconducting circuits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59">
        <w:r>
          <w:rPr>
            <w:color w:val="1155CC"/>
            <w:u w:val="single"/>
          </w:rPr>
          <w:t>10.1126/sciadv.aed3922</w:t>
        </w:r>
      </w:hyperlink>
    </w:p>
    <w:p>
      <w:pPr>
        <w:spacing w:before="0" w:after="120"/>
      </w:pPr>
      <w:r>
        <w:rPr>
          <w:b/>
        </w:rPr>
        <w:t xml:space="preserve">Notes: </w:t>
      </w:r>
      <w:r>
        <w:t>abstract_source=crossref</w:t>
      </w:r>
    </w:p>
    <w:p>
      <w:pPr>
        <w:spacing w:before="0" w:after="80" w:lineRule="auto" w:line="276"/>
      </w:pPr>
      <w:r>
        <w:rPr>
          <w:b/>
        </w:rPr>
        <w:t xml:space="preserve">摘要（ZH）: </w:t>
      </w:r>
      <w:r>
        <w:t>提高超导量子位的相干性对于推进量子技术至关重要。虽然超导体理论上是完美的导体，但它们在微波电流驱动时始终表现出残余能量耗散，从而限制了相干时间。在这里，我们报告了微波耗散和超流体密度之间的经验比例关系，超流体密度是与载流子密度和无序相关的超导体的体特性。我们的分析涵盖广泛的超导材料和器件几何形状，从高度无序的非晶薄膜到具有创纪录的高质量因子的超净系统，包括谐振器、三维腔和传输量子位。这种缩放揭示了一个固有的体耗散通道，与表面介电损耗无关，我们将其归因于被困在超导间隙的无序引起的空间变化中的非平衡准粒子，其密度由通用材料参数设定。我们的研究结果确定了与内在材料特性相关的经验相干极限，并为未来超导量子电路的材料选择提供了数据驱动的基础。</w:t>
      </w:r>
    </w:p>
    <w:p>
      <w:pPr>
        <w:spacing w:before="0" w:after="200" w:lineRule="auto" w:line="276"/>
      </w:pPr>
      <w:r>
        <w:rPr>
          <w:b/>
        </w:rPr>
        <w:t xml:space="preserve">Abstract (EN): </w:t>
      </w:r>
      <w:r>
        <w:t>Improving the coherence of superconducting qubits is essential for advancing quantum technologies. While superconductors are theoretically perfect conductors, they consistently exhibit residual energy dissipation when driven by microwave currents, limiting coherence times. Here, we report an empirical scaling relation between microwave dissipation and the superfluid density, a bulk property of superconductors related to charge carrier density and disorder. Our analysis spans a wide range of superconducting materials and device geometries, from highly disordered amorphous films to ultraclean systems with record–high quality factors, including resonators, three-dimensional cavities, and transmon qubits. This scaling reveals an intrinsic bulk dissipation channel, independent of surface dielectric losses, which we attribute to nonequilibrium quasiparticles trapped within disorder-induced spatial variations of the superconducting gap, with a density set by a universal material parameter. Our findings identify an empirical coherence limit associated with intrinsic material properties and provide a data-driven basis for materials selection in future superconducting quantum circuits.</w:t>
      </w:r>
    </w:p>
    <w:p>
      <w:pPr>
        <w:spacing w:before="120" w:after="120"/>
      </w:pPr>
      <w:r>
        <w:rPr>
          <w:sz w:val="18"/>
        </w:rPr>
        <w:t>——————————————————————————————————————————————————————————————————————</w:t>
      </w:r>
    </w:p>
    <w:p>
      <w:pPr>
        <w:spacing w:before="160" w:after="40" w:line="240" w:lineRule="auto"/>
      </w:pPr>
      <w:r>
        <w:rPr>
          <w:b/>
        </w:rPr>
        <w:t xml:space="preserve">[514] </w:t>
      </w:r>
      <w:hyperlink r:id="rId1460">
        <w:r>
          <w:rPr>
            <w:color w:val="1155CC"/>
            <w:u w:val="single"/>
          </w:rPr>
          <w:t>铜绿假单胞菌感染期间噬菌体 PAK_P3 基因组结构和动态揭示了特定的相互作用模式</w:t>
        </w:r>
      </w:hyperlink>
    </w:p>
    <w:p>
      <w:pPr>
        <w:spacing w:before="0" w:after="80"/>
      </w:pPr>
      <w:r>
        <w:rPr>
          <w:i/>
          <w:sz w:val="20"/>
        </w:rPr>
        <w:t>EN: Bacteriophage PAK_P3 genome structuration and dynamics during infection of Pseudomonas aeruginosa reveal specific interaction patterns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61">
        <w:r>
          <w:rPr>
            <w:color w:val="1155CC"/>
            <w:u w:val="single"/>
          </w:rPr>
          <w:t>10.1126/sciadv.aef2512</w:t>
        </w:r>
      </w:hyperlink>
    </w:p>
    <w:p>
      <w:pPr>
        <w:spacing w:before="0" w:after="120"/>
      </w:pPr>
      <w:r>
        <w:rPr>
          <w:b/>
        </w:rPr>
        <w:t xml:space="preserve">Notes: </w:t>
      </w:r>
      <w:r>
        <w:t>abstract_source=crossref</w:t>
      </w:r>
    </w:p>
    <w:p>
      <w:pPr>
        <w:spacing w:before="0" w:after="80" w:lineRule="auto" w:line="276"/>
      </w:pPr>
      <w:r>
        <w:rPr>
          <w:b/>
        </w:rPr>
        <w:t xml:space="preserve">摘要（ZH）: </w:t>
      </w:r>
      <w:r>
        <w:t>虽然细胞生物体基因组组织的动态变化已经得到很好的描述，但噬菌体基因组在宿主感染过程中的三维 (3D) 折叠极其有限。了解噬菌体基因组如何折叠、侵入和重新排列宿主基因组以在功能上组织其基因的最佳表达仍然未知。在这里，我们探索了有毒双链 DNA 噬菌体 PAK_P3 在感染宿主期间的空间动力学</w:t>
      </w:r>
      <w:r>
        <w:t xml:space="preserve"> </w:t>
      </w:r>
      <w:r>
        <w:t>铜绿假单胞菌</w:t>
      </w:r>
      <w:r>
        <w:t xml:space="preserve"> </w:t>
      </w:r>
      <w:r>
        <w:t>并揭示其基因组如何快速解压缩以采用反映其转录程序的特定 3D 组织。与此同时，随着基因表达减弱和转录诱导域消失，宿主基因组解压缩。我们还发现了噬菌体基因组与宿主染色体的特定接触，展示了噬菌体基因组如何利用宿主的空间基因组结构来成功完成其感染周期。我们的数据强调了病毒感染期间基因组折叠和基因表达调控达到了前所未有的水平。</w:t>
      </w:r>
    </w:p>
    <w:p>
      <w:pPr>
        <w:spacing w:before="0" w:after="200" w:lineRule="auto" w:line="276"/>
      </w:pPr>
      <w:r>
        <w:rPr>
          <w:b/>
        </w:rPr>
        <w:t xml:space="preserve">Abstract (EN): </w:t>
      </w:r>
      <w:r>
        <w:t>While the dynamic changes in genome organization in cellular organisms have been well described, the three-dimensional (3D) folding of phage genomes during the infection of their host is extremely limited. Understanding how phage genomes fold, invade, and rearrange the genome of their host to functionally organize the optimal expression of their genes remains unknown. Here, we explore the spatial dynamics of the virulent double-stranded DNA phage PAK_P3 during infection of its host</w:t>
      </w:r>
      <w:r>
        <w:t xml:space="preserve"> </w:t>
      </w:r>
      <w:r>
        <w:t>Pseudomonas aeruginosa</w:t>
      </w:r>
      <w:r>
        <w:t xml:space="preserve"> </w:t>
      </w:r>
      <w:r>
        <w:t>and reveal how its genome rapidly decondenses to adopt a specific 3D organization that reflects its transcriptional program. Concomitantly, the host genome decondenses as gene expression wanes and transcription-induced domains vanish. We also uncover specific contacts of the phage genome with host chromosome, showing how the phage genome exploits the spatial genome architecture of its host to succeed in its infection cycle. Our data highlight an unprecedented level of genome folding and gene expression regulation during a viral infection.</w:t>
      </w:r>
    </w:p>
    <w:p>
      <w:pPr>
        <w:spacing w:before="120" w:after="120"/>
      </w:pPr>
      <w:r>
        <w:rPr>
          <w:sz w:val="18"/>
        </w:rPr>
        <w:t>——————————————————————————————————————————————————————————————————————</w:t>
      </w:r>
    </w:p>
    <w:p>
      <w:pPr>
        <w:spacing w:before="160" w:after="40" w:line="240" w:lineRule="auto"/>
      </w:pPr>
      <w:r>
        <w:rPr>
          <w:b/>
        </w:rPr>
        <w:t xml:space="preserve">[515] </w:t>
      </w:r>
      <w:hyperlink r:id="rId1462">
        <w:r>
          <w:rPr>
            <w:color w:val="1155CC"/>
            <w:u w:val="single"/>
          </w:rPr>
          <w:t>半球蒸散量的不对称揭示了陆地水通量的重新分配</w:t>
        </w:r>
      </w:hyperlink>
    </w:p>
    <w:p>
      <w:pPr>
        <w:spacing w:before="0" w:after="80"/>
      </w:pPr>
      <w:r>
        <w:rPr>
          <w:i/>
          <w:sz w:val="20"/>
        </w:rPr>
        <w:t>EN: Hemispheric asymmetry in evapotranspiration reveals terrestrial water-flux redistribution</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63">
        <w:r>
          <w:rPr>
            <w:color w:val="1155CC"/>
            <w:u w:val="single"/>
          </w:rPr>
          <w:t>10.1126/sciadv.aeg1633</w:t>
        </w:r>
      </w:hyperlink>
    </w:p>
    <w:p>
      <w:pPr>
        <w:spacing w:before="0" w:after="120"/>
      </w:pPr>
      <w:r>
        <w:rPr>
          <w:b/>
        </w:rPr>
        <w:t xml:space="preserve">Notes: </w:t>
      </w:r>
      <w:r>
        <w:t>abstract_source=crossref</w:t>
      </w:r>
    </w:p>
    <w:p>
      <w:pPr>
        <w:spacing w:before="0" w:after="80" w:lineRule="auto" w:line="276"/>
      </w:pPr>
      <w:r>
        <w:rPr>
          <w:b/>
        </w:rPr>
        <w:t xml:space="preserve">摘要（ZH）: </w:t>
      </w:r>
      <w:r>
        <w:t>人们普遍预计全球变暖将加剧水文循环。然而，加速蒸散（ET）这一陆地水循环和能量平衡的关键组成部分的观测证据仍然不明确。在这里，我们使用覆盖全球 47% 土地的流域规模蒸散估计来限制不同的数据集，以揭示隐藏的不对称性。我们发现 ET 的全球变化很小 [−0.06 ± 0.44 毫米年</w:t>
      </w:r>
      <w:r>
        <w:t xml:space="preserve"> </w:t>
      </w:r>
      <w:r>
        <w:t>−2</w:t>
      </w:r>
      <w:r>
        <w:t xml:space="preserve"> </w:t>
      </w:r>
      <w:r>
        <w:t>（毫米每年平方），</w:t>
      </w:r>
      <w:r>
        <w:t xml:space="preserve"> </w:t>
      </w:r>
      <w:r>
        <w:t>磷</w:t>
      </w:r>
      <w:r>
        <w:t xml:space="preserve"> </w:t>
      </w:r>
      <w:r>
        <w:t>&gt; 0.10] 从 2000 年到 2022 年，这是由于强烈相反的半球趋势造成的。北半球的蒸散量明显增加（0.91 ± 0.46 毫米年）</w:t>
      </w:r>
      <w:r>
        <w:t xml:space="preserve"> </w:t>
      </w:r>
      <w:r>
        <w:t>−2</w:t>
      </w:r>
      <w:r>
        <w:t xml:space="preserve"> </w:t>
      </w:r>
      <w:r>
        <w:t>,</w:t>
      </w:r>
      <w:r>
        <w:t xml:space="preserve"> </w:t>
      </w:r>
      <w:r>
        <w:t>磷</w:t>
      </w:r>
      <w:r>
        <w:t xml:space="preserve"> </w:t>
      </w:r>
      <w:r>
        <w:t>&lt; 0.05），主要由植被绿化驱动，而南半球则表现出强烈的下降（-2.63 ± 0.46 毫米年）</w:t>
      </w:r>
      <w:r>
        <w:t xml:space="preserve"> </w:t>
      </w:r>
      <w:r>
        <w:t>−2</w:t>
      </w:r>
      <w:r>
        <w:t xml:space="preserve"> </w:t>
      </w:r>
      <w:r>
        <w:t>,</w:t>
      </w:r>
      <w:r>
        <w:t xml:space="preserve"> </w:t>
      </w:r>
      <w:r>
        <w:t>磷</w:t>
      </w:r>
      <w:r>
        <w:t xml:space="preserve"> </w:t>
      </w:r>
      <w:r>
        <w:t>&lt; 0.05）由于降水不足。我们的观测受限预测表明，这种不对称可能会持续到 2050 年。全球蒸散的小趋势掩盖了北方绿化和南方干燥之间的显着补偿，这表明当前模型可能高估了均质水循环强化。我们的研究对全球粮食安全、碳固存、干旱风险和区域气候适应产生了深远的影响。</w:t>
      </w:r>
    </w:p>
    <w:p>
      <w:pPr>
        <w:spacing w:before="0" w:after="200" w:lineRule="auto" w:line="276"/>
      </w:pPr>
      <w:r>
        <w:rPr>
          <w:b/>
        </w:rPr>
        <w:t xml:space="preserve">Abstract (EN): </w:t>
      </w:r>
      <w:r>
        <w:t>Global warming is widely expected to intensify the hydrological cycle. However, observational evidence for accelerated evapotranspiration (ET), a key terrestrial water cycle and energy balance component, remains ambiguous. Here, we constrained diverse datasets using basin-scale ET estimates covering 47% of global land to reveal a hidden asymmetry. We found a small global change in ET [−0.06 ± 0.44 mm year</w:t>
      </w:r>
      <w:r>
        <w:t xml:space="preserve"> </w:t>
      </w:r>
      <w:r>
        <w:t>−2</w:t>
      </w:r>
      <w:r>
        <w:t xml:space="preserve"> </w:t>
      </w:r>
      <w:r>
        <w:t>(millimeters per year squared),</w:t>
      </w:r>
      <w:r>
        <w:t xml:space="preserve"> </w:t>
      </w:r>
      <w:r>
        <w:t>P</w:t>
      </w:r>
      <w:r>
        <w:t xml:space="preserve"> </w:t>
      </w:r>
      <w:r>
        <w:t>&amp;gt; 0.10] from 2000 to 2022, resulting from strongly opposing hemispheric trends. The Northern Hemisphere shows noticeable ET increases (0.91 ± 0.46 mm year</w:t>
      </w:r>
      <w:r>
        <w:t xml:space="preserve"> </w:t>
      </w:r>
      <w:r>
        <w:t>−2</w:t>
      </w:r>
      <w:r>
        <w:t xml:space="preserve"> </w:t>
      </w:r>
      <w:r>
        <w:t>,</w:t>
      </w:r>
      <w:r>
        <w:t xml:space="preserve"> </w:t>
      </w:r>
      <w:r>
        <w:t>P</w:t>
      </w:r>
      <w:r>
        <w:t xml:space="preserve"> </w:t>
      </w:r>
      <w:r>
        <w:t>&amp;lt; 0.05), primarily driven by vegetation greening, whereas the Southern Hemisphere exhibits strong declines (−2.63 ± 0.46 mm year</w:t>
      </w:r>
      <w:r>
        <w:t xml:space="preserve"> </w:t>
      </w:r>
      <w:r>
        <w:t>−2</w:t>
      </w:r>
      <w:r>
        <w:t xml:space="preserve"> </w:t>
      </w:r>
      <w:r>
        <w:t>,</w:t>
      </w:r>
      <w:r>
        <w:t xml:space="preserve"> </w:t>
      </w:r>
      <w:r>
        <w:t>P</w:t>
      </w:r>
      <w:r>
        <w:t xml:space="preserve"> </w:t>
      </w:r>
      <w:r>
        <w:t>&amp;lt; 0.05) due to precipitation deficits. Our observation-constrained projections indicate that this asymmetry is likely to persist through 2050. The small global ET trend masks a marked compensation between northern greening and southern drying, suggesting that current models may overestimate homogenized water cycle intensification. Our study provides profound implications for global food security, carbon sequestration, drought risks, and regional climate adaptation.</w:t>
      </w:r>
    </w:p>
    <w:p>
      <w:pPr>
        <w:spacing w:before="120" w:after="120"/>
      </w:pPr>
      <w:r>
        <w:rPr>
          <w:sz w:val="18"/>
        </w:rPr>
        <w:t>——————————————————————————————————————————————————————————————————————</w:t>
      </w:r>
    </w:p>
    <w:p>
      <w:pPr>
        <w:spacing w:before="160" w:after="40" w:line="240" w:lineRule="auto"/>
      </w:pPr>
      <w:r>
        <w:rPr>
          <w:b/>
        </w:rPr>
        <w:t xml:space="preserve">[516] </w:t>
      </w:r>
      <w:hyperlink r:id="rId1464">
        <w:r>
          <w:rPr>
            <w:color w:val="1155CC"/>
            <w:u w:val="single"/>
          </w:rPr>
          <w:t>线粒体 SAM 转运蛋白的缺失揭示了出生后心脏中脂酰化依赖性代谢脆弱性</w:t>
        </w:r>
      </w:hyperlink>
    </w:p>
    <w:p>
      <w:pPr>
        <w:spacing w:before="0" w:after="80"/>
      </w:pPr>
      <w:r>
        <w:rPr>
          <w:i/>
          <w:sz w:val="20"/>
        </w:rPr>
        <w:t>EN: Loss of the mitochondrial SAM transporter reveals a lipoylation-dependent metabolic vulnerability in the postnatal heart</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65">
        <w:r>
          <w:rPr>
            <w:color w:val="1155CC"/>
            <w:u w:val="single"/>
          </w:rPr>
          <w:t>10.1126/sciadv.aeg8792</w:t>
        </w:r>
      </w:hyperlink>
    </w:p>
    <w:p>
      <w:pPr>
        <w:spacing w:before="0" w:after="120"/>
      </w:pPr>
      <w:r>
        <w:rPr>
          <w:b/>
        </w:rPr>
        <w:t xml:space="preserve">Notes: </w:t>
      </w:r>
      <w:r>
        <w:t>abstract_source=crossref</w:t>
      </w:r>
    </w:p>
    <w:p>
      <w:pPr>
        <w:spacing w:before="0" w:after="80" w:lineRule="auto" w:line="276"/>
      </w:pPr>
      <w:r>
        <w:rPr>
          <w:b/>
        </w:rPr>
        <w:t xml:space="preserve">摘要（ZH）: </w:t>
      </w:r>
      <w:r>
        <w:t>新生儿心脏在出生后会经历快速的代谢生长，以满足不断增长的能量和生物合成需求。线粒体辅因子的可用性如何限制这种转变仍不清楚。在这里，我们证明线粒体</w:t>
      </w:r>
      <w:r>
        <w:t xml:space="preserve"> </w:t>
      </w:r>
      <w:r>
        <w:t>S</w:t>
      </w:r>
      <w:r>
        <w:t xml:space="preserve"> </w:t>
      </w:r>
      <w:r>
        <w:t>尽管其他依赖于 mitoSAM 的过程部分保留，但通过 SLC25A26 的腺苷甲硫氨酸 (mitoSAM) 输入在出生后不久就会受到限制，并特别限制蛋白质脂酰化。损失</w:t>
      </w:r>
      <w:r>
        <w:t xml:space="preserve"> </w:t>
      </w:r>
      <w:r>
        <w:t>SLC25A26</w:t>
      </w:r>
      <w:r>
        <w:t xml:space="preserve"> </w:t>
      </w:r>
      <w:r>
        <w:t>通过丙酮酸和α-酮戊二酸脱氢酶的脂酰化依赖性通量受损，限制三羧酸循环碳进入并耗尽天冬氨酸和核苷酸池。相反，线粒体基因表达保持完整，呼吸链酶活性显示部分受损，表明脂酰化是出生后心脏适应过程中对 mitoSAM 最敏感的途径。这些代谢限制与持续的心肌细胞周期活动、结构成熟延迟和早期心肌病有关。在哺乳到断奶的过渡期间补充中链甘油三酯可以部分稳定新陈代谢并延长存活率。总体而言，我们的研究结果确定了出生后心脏中特定阶段的代谢脆弱性，其特征是线粒体内分层的 mitoSAM 利用。</w:t>
      </w:r>
    </w:p>
    <w:p>
      <w:pPr>
        <w:spacing w:before="0" w:after="200" w:lineRule="auto" w:line="276"/>
      </w:pPr>
      <w:r>
        <w:rPr>
          <w:b/>
        </w:rPr>
        <w:t xml:space="preserve">Abstract (EN): </w:t>
      </w:r>
      <w:r>
        <w:t>The neonatal heart experiences rapid metabolic growth after birth to meet increasing energetic and biosynthetic demands. How mitochondrial cofactor availability limits this transition remains unclear. Here, we demonstrate that mitochondrial</w:t>
      </w:r>
      <w:r>
        <w:t xml:space="preserve"> </w:t>
      </w:r>
      <w:r>
        <w:t>S</w:t>
      </w:r>
      <w:r>
        <w:t xml:space="preserve"> </w:t>
      </w:r>
      <w:r>
        <w:t>-adenosylmethionine (mitoSAM) import through SLC25A26 becomes limiting shortly after birth and specifically restricts protein lipoylation, although other mitoSAM-dependent processes are partially preserved. Loss of</w:t>
      </w:r>
      <w:r>
        <w:t xml:space="preserve"> </w:t>
      </w:r>
      <w:r>
        <w:t>Slc25a26</w:t>
      </w:r>
      <w:r>
        <w:t xml:space="preserve"> </w:t>
      </w:r>
      <w:r>
        <w:t>impaired lipoylation-dependent flux through pyruvate and α-ketoglutarate dehydrogenases, restricting tricarboxylic acid cycle carbon entry and depleting aspartate and nucleotide pools. Conversely, mitochondrial gene expression remained intact, and respiratory chain enzyme activities showed partial impairment, indicating that lipoylation is the most mitoSAM-sensitive pathway during postnatal heart adaptation. These metabolic limitations were linked to sustained cardiomyocyte cell–cycle activity, delayed structural maturation, and early cardiomyopathy. Supplementing with medium-chain triglycerides during the suckling-to-weaning transition partially stabilized metabolism and prolonged survival. Overall, our findings identify a stage-specific metabolic vulnerability in the postnatal heart characterized by hierarchical mitoSAM utilization within the mitochondria.</w:t>
      </w:r>
    </w:p>
    <w:p>
      <w:pPr>
        <w:spacing w:before="120" w:after="120"/>
      </w:pPr>
      <w:r>
        <w:rPr>
          <w:sz w:val="18"/>
        </w:rPr>
        <w:t>——————————————————————————————————————————————————————————————————————</w:t>
      </w:r>
    </w:p>
    <w:p>
      <w:pPr>
        <w:spacing w:before="160" w:after="40" w:line="240" w:lineRule="auto"/>
      </w:pPr>
      <w:r>
        <w:rPr>
          <w:b/>
        </w:rPr>
        <w:t xml:space="preserve">[517] </w:t>
      </w:r>
      <w:hyperlink r:id="rId1466">
        <w:r>
          <w:rPr>
            <w:color w:val="1155CC"/>
            <w:u w:val="single"/>
          </w:rPr>
          <w:t>撤回</w:t>
        </w:r>
      </w:hyperlink>
    </w:p>
    <w:p>
      <w:pPr>
        <w:spacing w:before="0" w:after="80"/>
      </w:pPr>
      <w:r>
        <w:rPr>
          <w:i/>
          <w:sz w:val="20"/>
        </w:rPr>
        <w:t>EN: Retraction</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67">
        <w:r>
          <w:rPr>
            <w:color w:val="1155CC"/>
            <w:u w:val="single"/>
          </w:rPr>
          <w:t>10.1126/sciadv.ael6996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[518] </w:t>
      </w:r>
      <w:hyperlink r:id="rId1468">
        <w:r>
          <w:rPr>
            <w:color w:val="1155CC"/>
            <w:u w:val="single"/>
          </w:rPr>
          <w:t>通过在单个 mRNA 免疫原内配对不同的 RBD 来设计针对 SARS-CoV-2 的抗原广度</w:t>
        </w:r>
      </w:hyperlink>
    </w:p>
    <w:p>
      <w:pPr>
        <w:spacing w:before="0" w:after="80"/>
      </w:pPr>
      <w:r>
        <w:rPr>
          <w:i/>
          <w:sz w:val="20"/>
        </w:rPr>
        <w:t>EN: Engineering antigenic breadth against SARS-CoV-2 by pairing divergent RBDs within a single mRNA immunogen</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69">
        <w:r>
          <w:rPr>
            <w:color w:val="1155CC"/>
            <w:u w:val="single"/>
          </w:rPr>
          <w:t>10.1073/pnas.2602574123</w:t>
        </w:r>
      </w:hyperlink>
    </w:p>
    <w:p>
      <w:pPr>
        <w:spacing w:before="0" w:after="120"/>
      </w:pPr>
      <w:r>
        <w:rPr>
          <w:b/>
        </w:rPr>
        <w:t xml:space="preserve">Notes: </w:t>
      </w:r>
      <w:r>
        <w:t>abstract_source=crossref</w:t>
      </w:r>
    </w:p>
    <w:p>
      <w:pPr>
        <w:spacing w:before="0" w:after="80" w:lineRule="auto" w:line="276"/>
      </w:pPr>
      <w:r>
        <w:rPr>
          <w:b/>
        </w:rPr>
        <w:t xml:space="preserve">摘要（ZH）: </w:t>
      </w:r>
      <w:r>
        <w:t>能够引发广泛中和抗体（bnAb）的疫苗是预防大流行病的主要目标。疫苗领域面临的一个挑战是如何有意招募罕见的 B 细胞克隆来识别不同病毒变体共享的保守表位。已知 BnAb 在亲和力成熟过程中经常通过广泛的体细胞超突变出现，在这里我们描述了 bnAb 选择的替代机制。我们设计了一种 mRNA 疫苗，其中两个抗原性不同的（严重急性呼吸综合征冠状病毒 2）SARS-CoV-2 变体（Omicron 和 Delta；O-Δ）受体结合域 (RBD) 在物理上融合在单个多肽上。预计这种设计有利于 B 细胞抗原受体，能够以增强的亲和力与两个 RBD 上的保守表位结合。匹配的非发散串联 RBD（Delta-Delta；Δ-Δ）作为对照。在小鼠中，免疫接种引发了有效的抗体反应，并增加了交叉反应 B 细胞的频率，识别 Delta、Omicron 和 2002 年大流行毒株 SARS-CoV RBD。使用多色 RBD 四聚体和单细胞 B 细胞受体测序，我们表明宽度是通过两种不同的途径产生的。不同的疫苗优先富集具有低水平体细胞超突变的克隆独特的交叉反应性 B 细胞（不存在于非交叉反应性 B 细胞池中），这与种系偏倚前体的选择一致。相反，匹配的对照疫苗主要在现有克隆谱系内产生交叉反应性（交叉反应性和非交叉反应性之间的克隆重叠）</w:t>
      </w:r>
    </w:p>
    <w:p>
      <w:pPr>
        <w:spacing w:before="0" w:after="200" w:lineRule="auto" w:line="276"/>
      </w:pPr>
      <w:r>
        <w:rPr>
          <w:b/>
        </w:rPr>
        <w:t xml:space="preserve">Abstract (EN): </w:t>
      </w:r>
      <w:r>
        <w:t>Vaccines capable of eliciting broadly neutralizing antibodies (bnAbs) are a major goal for pandemic preparedness. A challenge across vaccine fields is how to deliberately recruit the rare B cell clones that recognize conserved epitopes shared across diverse viral variants. BnAbs have been known to frequently emerge through extensive somatic hypermutation during affinity maturation, here we describe an alternative mechanism for bnAb selection. We designed an mRNA vaccine in which two antigenically distinct (severe acute respiratory syndrome coronavirus 2) SARS-CoV-2 variant’s (Omicron and Delta; O-Δ) receptor binding domains (RBDs) are physically fused on a single polypeptide. This design is predicted to favor B cell antigen receptors capable of engaging conserved epitopes on both RBDs with enhanced avidity. A matched nondivergent tandem RBD (Delta-Delta; Δ-Δ) served as a control. In mice, immunization elicited potent antibody responses and increased the frequency of cross-reactive B cells, recognizing Delta, Omicron, and the 2002 pandemic strain SARS-CoV RBDs. Using multicolor RBD tetramers and single-cell B cell receptor sequencing, we show that breadth arises via two distinct pathways. The divergent vaccine preferentially enriches clonally distinct cross-reactive B cells (not present within non-cross-reactive B cell pools) with low levels of somatic hypermutation, consistent with selection of germline-biased precursors. In contrast, the matched control vaccine yields cross-reactivity primarily within existing clonal lineages (clonal overlap between cross-reactive and non-cross-reactive cells) and at higher mutational burdens, consistent with affinity-maturation-driven acquisition of breadth. This work establishes a simple, modular antigen-design principle in which juxtaposing appropriately divergent antigens on a single scaffold promotes the enrichment of bnAb-prone B cells.</w:t>
      </w:r>
    </w:p>
    <w:p>
      <w:pPr>
        <w:spacing w:before="120" w:after="120"/>
      </w:pPr>
      <w:r>
        <w:rPr>
          <w:sz w:val="18"/>
        </w:rPr>
        <w:t>——————————————————————————————————————————————————————————————————————</w:t>
      </w:r>
    </w:p>
    <w:p>
      <w:pPr>
        <w:spacing w:before="160" w:after="40" w:line="240" w:lineRule="auto"/>
      </w:pPr>
      <w:r>
        <w:rPr>
          <w:b/>
        </w:rPr>
        <w:t xml:space="preserve">[519] </w:t>
      </w:r>
      <w:hyperlink r:id="rId1470">
        <w:r>
          <w:rPr>
            <w:color w:val="1155CC"/>
            <w:u w:val="single"/>
          </w:rPr>
          <w:t>CORVET/HOPS 的氨基酸稳态：T 细胞的代谢和应激恢复检查点</w:t>
        </w:r>
      </w:hyperlink>
    </w:p>
    <w:p>
      <w:pPr>
        <w:spacing w:before="0" w:after="80"/>
      </w:pPr>
      <w:r>
        <w:rPr>
          <w:i/>
          <w:sz w:val="20"/>
        </w:rPr>
        <w:t>EN: Amino acid homeostasis by CORVET/HOPS: A metabolic and stress resilience checkpoint for T cells</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71">
        <w:r>
          <w:rPr>
            <w:color w:val="1155CC"/>
            <w:u w:val="single"/>
          </w:rPr>
          <w:t>10.1073/pnas.2601318123</w:t>
        </w:r>
      </w:hyperlink>
    </w:p>
    <w:p>
      <w:pPr>
        <w:spacing w:before="0" w:after="120"/>
      </w:pPr>
      <w:r>
        <w:rPr>
          <w:b/>
        </w:rPr>
        <w:t xml:space="preserve">Notes: </w:t>
      </w:r>
      <w:r>
        <w:t>abstract_source=crossref</w:t>
      </w:r>
    </w:p>
    <w:p>
      <w:pPr>
        <w:spacing w:before="0" w:after="80" w:lineRule="auto" w:line="276"/>
      </w:pPr>
      <w:r>
        <w:rPr>
          <w:b/>
        </w:rPr>
        <w:t xml:space="preserve">摘要（ZH）: </w:t>
      </w:r>
      <w:r>
        <w:t>氨基酸充足对于 T 细胞代谢重编程至关重要，但 T 细胞如何维持氨基酸稳态仍不清楚。在这里，我们将 CORVET 和 HOPS (CORVET/HOPS) 束缚复合物确定为重要的上游调节剂。在活化的 T 细胞中，它们通过促进巨胞饮作用以获得细胞外营养来维持细胞内氨基酸水平。该功能可实现双重信号传导结果：抑制综合应激反应 (ISR) 和激活 mTORC1，两者共同许可代谢可塑性和效应器功能。 CORVET/HOPS 核心亚基（VPS18 或 VPS11）的基因消融会导致严重的氨基酸缺乏，触发病理性 ISR 激活，并损害 mTORC1 信号传导，导致外周 T 细胞数量减少并消除体内炎症和保护性免疫。这些缺陷在机制上是相关的：BIM 缺失或强制 mTORC1 活性分别挽救了 CORVET/HOPS 缺陷的 T 细胞的生存和增殖失败。我们的工作将 CORVET/HOPS 确立为将营养获取与免疫信号传导联系起来的基本偶联剂，揭示了免疫代谢治疗的可靶向节点。</w:t>
      </w:r>
    </w:p>
    <w:p>
      <w:pPr>
        <w:spacing w:before="0" w:after="200" w:lineRule="auto" w:line="276"/>
      </w:pPr>
      <w:r>
        <w:rPr>
          <w:b/>
        </w:rPr>
        <w:t xml:space="preserve">Abstract (EN): </w:t>
      </w:r>
      <w:r>
        <w:t>Amino acid sufficiency is critical for T cell metabolic reprogramming, yet how T cells maintain amino acid homeostasis remains poorly defined. Here, we identify the CORVET and HOPS (CORVET/HOPS) tethering complexes as essential upstream regulators. In activated T cells, they sustain intracellular amino acid levels by promoting macropinocytosis to acquire extracellular nutrients. This function enables dual signaling outcomes: suppression of the integrated stress response (ISR) and activation of mTORC1, which together license metabolic plasticity and effector function. Genetic ablation of core subunits (VPS18 or VPS11) of CORVET/HOPS induces severe amino acid scarcity, triggers pathological ISR activation, and impairs mTORC1 signaling, leading to reduced peripheral T cell numbers and abrogating both inflammatory and protective immunity in vivo. These defects are mechanistically linked: BIM deletion or enforced mTORC1 activity rescues the survival and proliferative failures, respectively, of CORVET/HOPS-deficient T cells. Our work establishes CORVET/HOPS as fundamental couplers linking nutrient acquisition to immune signaling, revealing a targetable node for immuno-metabolic therapy.</w:t>
      </w:r>
    </w:p>
    <w:p>
      <w:pPr>
        <w:spacing w:before="120" w:after="120"/>
      </w:pPr>
      <w:r>
        <w:rPr>
          <w:sz w:val="18"/>
        </w:rPr>
        <w:t>——————————————————————————————————————————————————————————————————————</w:t>
      </w:r>
    </w:p>
    <w:p>
      <w:pPr>
        <w:spacing w:before="160" w:after="40" w:line="240" w:lineRule="auto"/>
      </w:pPr>
      <w:r>
        <w:rPr>
          <w:b/>
        </w:rPr>
        <w:t xml:space="preserve">[520] </w:t>
      </w:r>
      <w:hyperlink r:id="rId1472">
        <w:r>
          <w:rPr>
            <w:color w:val="1155CC"/>
            <w:u w:val="single"/>
          </w:rPr>
          <w:t>感官环境改善了人类和法学硕士的语言预测</w:t>
        </w:r>
      </w:hyperlink>
    </w:p>
    <w:p>
      <w:pPr>
        <w:spacing w:before="0" w:after="80"/>
      </w:pPr>
      <w:r>
        <w:rPr>
          <w:i/>
          <w:sz w:val="20"/>
        </w:rPr>
        <w:t>EN: Sensory context improves language prediction in humans and LLMs</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73">
        <w:r>
          <w:rPr>
            <w:color w:val="1155CC"/>
            <w:u w:val="single"/>
          </w:rPr>
          <w:t>10.1073/pnas.2600317123</w:t>
        </w:r>
      </w:hyperlink>
    </w:p>
    <w:p>
      <w:pPr>
        <w:spacing w:before="0" w:after="120"/>
      </w:pPr>
      <w:r>
        <w:rPr>
          <w:b/>
        </w:rPr>
        <w:t xml:space="preserve">Notes: </w:t>
      </w:r>
      <w:r>
        <w:t>abstract_source=crossref</w:t>
      </w:r>
    </w:p>
    <w:p>
      <w:pPr>
        <w:spacing w:before="0" w:after="80" w:lineRule="auto" w:line="276"/>
      </w:pPr>
      <w:r>
        <w:rPr>
          <w:b/>
        </w:rPr>
        <w:t xml:space="preserve">摘要（ZH）: </w:t>
      </w:r>
      <w:r>
        <w:t>语言是人类的一项基本能力。大型语言模型（LLM）提出了人类之外第一个可行的语言模型，但这些模型学习和使用语言的方式与人类有很大不同。在这里，我们比较了法学硕士和人类用不同水平的感官信息（从无实体的书面文本到说话者的视听视频）预测语言的情况，以证明，对于人类和法学硕士来说，感官环境对于最佳表现至关重要。我们要求人类参与者预测以视听、纯音频或书面语言呈现的叙述中即将出现的单词（</w:t>
      </w:r>
      <w:r>
        <w:t xml:space="preserve"> </w:t>
      </w:r>
      <w:r>
        <w:t>氮</w:t>
      </w:r>
      <w:r>
        <w:t xml:space="preserve"> </w:t>
      </w:r>
      <w:r>
        <w:t>=</w:t>
      </w:r>
      <w:r>
        <w:rPr>
          <w:vertAlign w:val="subscript"/>
        </w:rPr>
        <w:t>1</w:t>
      </w:r>
      <w:r>
        <w:t>,</w:t>
      </w:r>
      <w:r>
        <w:rPr>
          <w:vertAlign w:val="subscript"/>
        </w:rPr>
        <w:t>500</w:t>
      </w:r>
      <w:r>
        <w:t xml:space="preserve"> </w:t>
      </w:r>
      <w:r>
        <w:t>总计；</w:t>
      </w:r>
      <w:r>
        <w:t xml:space="preserve"> </w:t>
      </w:r>
      <w:r>
        <w:rPr>
          <w:vertAlign w:val="subscript"/>
        </w:rPr>
        <w:t>500</w:t>
      </w:r>
      <w:r>
        <w:t xml:space="preserve"> </w:t>
      </w:r>
      <w:r>
        <w:t>每个模态），重点关注传达基本含义的实词。我们将这些跨模式的预测以及法学硕士生成的预测进行了比较。无论呈现的感官方式如何，人类的预测总体上比法学硕士更准确。与书面语言相比，视听语言和纯音频语言都提高了人类预测的准确性和共识，并降低了与法学硕士的一致性。我们确定了韵律，这是一种通过听觉链传达重要语言信息的信号。</w:t>
      </w:r>
    </w:p>
    <w:p>
      <w:pPr>
        <w:spacing w:before="0" w:after="200" w:lineRule="auto" w:line="276"/>
      </w:pPr>
      <w:r>
        <w:rPr>
          <w:b/>
        </w:rPr>
        <w:t xml:space="preserve">Abstract (EN): </w:t>
      </w:r>
      <w:r>
        <w:t>Language is a fundamental human capacity. Large language models (LLMs) have presented the first viable model of language outside of humans, yet how these models learn and use language differs significantly from humans. Here, we compare LLMs and humans predicting language with varying levels of sensory information—from disembodied written text to audiovisual videos of speakers—to demonstrate that, in both humans and LLMs, sensory context is critical for optimal performance. We asked human participants to predict upcoming words within narratives presented as either audiovisual, audio-only, or written language (</w:t>
      </w:r>
      <w:r>
        <w:t xml:space="preserve"> </w:t>
      </w:r>
      <w:r>
        <w:t>N</w:t>
      </w:r>
      <w:r>
        <w:t xml:space="preserve"> </w:t>
      </w:r>
      <w:r>
        <w:t>=</w:t>
      </w:r>
      <w:r>
        <w:rPr>
          <w:vertAlign w:val="subscript"/>
        </w:rPr>
        <w:t>1</w:t>
      </w:r>
      <w:r>
        <w:t>,</w:t>
      </w:r>
      <w:r>
        <w:rPr>
          <w:vertAlign w:val="subscript"/>
        </w:rPr>
        <w:t>500</w:t>
      </w:r>
      <w:r>
        <w:t xml:space="preserve"> </w:t>
      </w:r>
      <w:r>
        <w:t>total;</w:t>
      </w:r>
      <w:r>
        <w:t xml:space="preserve"> </w:t>
      </w:r>
      <w:r>
        <w:rPr>
          <w:vertAlign w:val="subscript"/>
        </w:rPr>
        <w:t>500</w:t>
      </w:r>
      <w:r>
        <w:t xml:space="preserve"> </w:t>
      </w:r>
      <w:r>
        <w:t>per modality), focusing on content words that convey essential meaning. We compared these predictions across modalities as well as to predictions generated by LLMs. Human predictions were overall more accurate than LLMs, regardless of the sensory modality of presentation. Compared to written language, both audiovisual and audio-only language increased the accuracy and consensus of human predictions and decreased alignment with LLMs. We identified that prosody, a signal that conveys important linguistic information via the auditory channel, partially drove both the observed advantage in accuracy within humans and divergence from LLMs. Integrating multimodal information—i.e., prosody, auditory, or audiovisual information—with the representation of language learned during LLM training improved models’ next-word prediction performance and increased the efficiency of language learning. These findings demonstrate that sensory contexts are foundational to human-like language behavior, and that these contexts can enrich and accelerate language acquisition within LLMs similar to what is observed within human development.</w:t>
      </w:r>
    </w:p>
    <w:p>
      <w:pPr>
        <w:spacing w:before="120" w:after="120"/>
      </w:pPr>
      <w:r>
        <w:rPr>
          <w:sz w:val="18"/>
        </w:rPr>
        <w:t>——————————————————————————————————————————————————————————————————————</w:t>
      </w:r>
    </w:p>
    <w:p>
      <w:pPr>
        <w:spacing w:before="160" w:after="40" w:line="240" w:lineRule="auto"/>
      </w:pPr>
      <w:r>
        <w:rPr>
          <w:b/>
        </w:rPr>
        <w:t xml:space="preserve">[521] </w:t>
      </w:r>
      <w:hyperlink r:id="rId1474">
        <w:r>
          <w:rPr>
            <w:color w:val="1155CC"/>
            <w:u w:val="single"/>
          </w:rPr>
          <w:t>通过增强低频振动耦合实现超窄带有机室温磷光</w:t>
        </w:r>
      </w:hyperlink>
    </w:p>
    <w:p>
      <w:pPr>
        <w:spacing w:before="0" w:after="80"/>
      </w:pPr>
      <w:r>
        <w:rPr>
          <w:i/>
          <w:sz w:val="20"/>
        </w:rPr>
        <w:t>EN: Ultra-narrowband organic room-temperature phosphorescence achieved by boosting low-frequency vibronic coupling</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75">
        <w:r>
          <w:rPr>
            <w:color w:val="1155CC"/>
            <w:u w:val="single"/>
          </w:rPr>
          <w:t>10.1073/pnas.2600262123</w:t>
        </w:r>
      </w:hyperlink>
    </w:p>
    <w:p>
      <w:pPr>
        <w:spacing w:before="0" w:after="120"/>
      </w:pPr>
      <w:r>
        <w:rPr>
          <w:b/>
        </w:rPr>
        <w:t xml:space="preserve">Notes: </w:t>
      </w:r>
      <w:r>
        <w:t>abstract_source=crossref</w:t>
      </w:r>
    </w:p>
    <w:p>
      <w:pPr>
        <w:spacing w:before="0" w:after="80" w:lineRule="auto" w:line="276"/>
      </w:pPr>
      <w:r>
        <w:rPr>
          <w:b/>
        </w:rPr>
        <w:t xml:space="preserve">摘要（ZH）: </w:t>
      </w:r>
      <w:r>
        <w:t>我们开创了一种基于低频振动耦合的策略来设计窄带室温磷光（RTP）材料。在这里，我们选择晕苯衍生物（CoDe）系统，并报道将芳酰基连接到晕苯核心破坏了其固有的对称性并引入了丰富的低频振动模式，从而提供了半峰全宽（FWHM）约为25 nm或更窄的高效室温磷光。在用额外的硫醚基团功能化的CoDe系统中，在环境条件下在主体基质中实现了具有极小FWHM（9.6 nm）、高余辉效率（50%）和长磷光寿命（1.5 s）的超窄带有机磷光材料。机理研究表明，这种光谱变窄与通过硫醚基团提供的适度重原子效应选择性放大低频振动耦合有关。同样重要的是在室温下通过硫醚基团和主体基质之间相对较强的非共价相互作用（硫键相互作用）来抑制激发态弛豫和光谱展宽。</w:t>
      </w:r>
    </w:p>
    <w:p>
      <w:pPr>
        <w:spacing w:before="0" w:after="200" w:lineRule="auto" w:line="276"/>
      </w:pPr>
      <w:r>
        <w:rPr>
          <w:b/>
        </w:rPr>
        <w:t xml:space="preserve">Abstract (EN): </w:t>
      </w:r>
      <w:r>
        <w:t>We pioneered a strategy based on low‐frequency vibronic coupling to design narrowband room‐temperature phosphorescent (RTP) materials. Here we select coronene derivative (CoDe) system and report that attaching aroyl group to the coronene core disrupts its intrinsic symmetry and introduces abundant low‐frequency vibrational modes, thereby affording efficient room‐temperature phosphorescence with a full width at half maximum (FWHM) of approximately 25 nm or narrower. In CoDe systems functionalized with additional thioether groups, ultra-narrowband organic phosphorescence materials with exceptionally small FWHM (9.6 nm), high afterglow efficiency (50%), and long phosphorescence lifetimes (1.5 s) are achieved in host matrices under ambient conditions. Mechanistic studies reveal that this spectral narrowing relates to the selective amplification of low‐frequency vibronic coupling through a moderate heavy‐atom effect provided by the thioether groups. Equally crucial would be the suppression of excited‐state relaxation and spectral broadening via relatively strong noncovalent interactions between the thioether groups and the host matrices (sulfur bonding interactions) at room temperature.</w:t>
      </w:r>
    </w:p>
    <w:p>
      <w:pPr>
        <w:spacing w:before="120" w:after="120"/>
      </w:pPr>
      <w:r>
        <w:rPr>
          <w:sz w:val="18"/>
        </w:rPr>
        <w:t>——————————————————————————————————————————————————————————————————————</w:t>
      </w:r>
    </w:p>
    <w:p>
      <w:pPr>
        <w:spacing w:before="160" w:after="40" w:line="240" w:lineRule="auto"/>
      </w:pPr>
      <w:r>
        <w:rPr>
          <w:b/>
        </w:rPr>
        <w:t xml:space="preserve">[522] </w:t>
      </w:r>
      <w:hyperlink r:id="rId1476">
        <w:r>
          <w:rPr>
            <w:color w:val="1155CC"/>
            <w:u w:val="single"/>
          </w:rPr>
          <w:t>HuB/HuR 抑制可降低 HPV E6 和 E7 蛋白，稳定 p53，并诱导综合应激以损害宫颈癌细胞生长</w:t>
        </w:r>
      </w:hyperlink>
    </w:p>
    <w:p>
      <w:pPr>
        <w:spacing w:before="0" w:after="80"/>
      </w:pPr>
      <w:r>
        <w:rPr>
          <w:i/>
          <w:sz w:val="20"/>
        </w:rPr>
        <w:t>EN: HuB/HuR inhibition decreases HPV E6 and E7 proteins, stabilizes p53, and induces integrated stress to impair cervical cancer cell growth</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77">
        <w:r>
          <w:rPr>
            <w:color w:val="1155CC"/>
            <w:u w:val="single"/>
          </w:rPr>
          <w:t>10.1073/pnas.2401248123</w:t>
        </w:r>
      </w:hyperlink>
    </w:p>
    <w:p>
      <w:pPr>
        <w:spacing w:before="0" w:after="120"/>
      </w:pPr>
      <w:r>
        <w:rPr>
          <w:b/>
        </w:rPr>
        <w:t xml:space="preserve">Notes: </w:t>
      </w:r>
      <w:r>
        <w:t>abstract_source=crossref</w:t>
      </w:r>
    </w:p>
    <w:p>
      <w:pPr>
        <w:spacing w:before="0" w:after="80" w:lineRule="auto" w:line="276"/>
      </w:pPr>
      <w:r>
        <w:rPr>
          <w:b/>
        </w:rPr>
        <w:t xml:space="preserve">摘要（ZH）: </w:t>
      </w:r>
      <w:r>
        <w:t>高危人乳头瘤病毒 (HR-HPV) 导致 95% 的宫颈癌 (CaCx) 以及相当一部分其他肛门生殖器癌和口咽癌。转录组分析表明，HR-HPV 差异性地诱导与癌症相关途径相关的 RNA 结合蛋白 (RBP)。其中之一 ELAVL2/HuB 与普遍存在且经过充分研究的 ELAVL1/HuR 相关。但 RBP 在 HPV 病理学中的作用尚不清楚。在这项研究中，我们检查了 HuR 抑制剂 SRI-42127 在多个模型系统中抑制 CaCx 生长的能力。我们报道 HR-HPV E6 和 E7 癌基因调节 HuB 和 HuR 的丰度和定位，这两个 RBP 形成异二聚体，并且它们的基因在转录上相连。我们发现，SRI-42127 会降低 CaCx 细胞系中的两种 RBP、破坏细胞周期调节并诱导细胞凋亡。我们将这些效应归因于一种先前未被认识的诱导 DNA 损伤和综合应激反应 (ISR) 的能力，导致 HPV E6 和 E7 转录物和蛋白质减少，同时稳定转录活性的 p53。使用 siRNA 敲低，我们的结果证实 HuB 和 HuR 的减少会导致 DNA 损伤并诱导 ISR。此外，SRI-42127 抑制 HPV16+/hRas 的肿瘤生长</w:t>
      </w:r>
      <w:r>
        <w:t xml:space="preserve"> </w:t>
      </w:r>
      <w:r>
        <w:t>G12V</w:t>
      </w:r>
      <w:r>
        <w:t xml:space="preserve"> </w:t>
      </w:r>
      <w:r>
        <w:t>在同系小鼠中转化小鼠 TC-1 细胞。此外，SRI-42127 补充顺铂抑制 3D 培养物中 CaCx 细胞系和 SCID 小鼠中患者来源的异种移植物的生长。总的来说，这些发现表明，通过减少 RBP，同时诱导 DNA 损伤</w:t>
      </w:r>
    </w:p>
    <w:p>
      <w:pPr>
        <w:spacing w:before="0" w:after="200" w:lineRule="auto" w:line="276"/>
      </w:pPr>
      <w:r>
        <w:rPr>
          <w:b/>
        </w:rPr>
        <w:t xml:space="preserve">Abstract (EN): </w:t>
      </w:r>
      <w:r>
        <w:t>High-risk human papillomaviruses (HR-HPVs) cause 95% of cervical cancers (CaCx) and a significant fraction of other anogenital and oropharyngeal cancers. Transcriptomic analyses have revealed that HR-HPVs differentially induce RNA binding proteins (RBPs) associated with cancer-related pathways. One of them, ELAVL2/HuB, is related to the ubiquitous, well-studied ELAVL1/HuR. But the role of either RBP in HPV pathobiology is unclear. In this study, we examined SRI-42127, an inhibitor of HuR, for its ability to curb CaCx growth in multiple model systems. We report that HR-HPV E6 and E7 oncogenes regulate the abundance and localization of HuB and HuR, that these two RBPs form a heterodimer, and that their genes are transcriptionally linked. We show that SRI-42127 reduces both RBPs, disrupts cell cycle regulation, and induces apoptosis in CaCx cell lines. We attribute these effects to a previously unrecognized ability to induce DNA damage and integrated stress response (ISR), resulting in decreased HPV E6 and E7 transcripts and proteins, while stabilizing transcriptionally active p53. Using siRNA knockdown, our results confirm that the reduction of HuB and HuR causes DNA damage and induces ISR. Furthermore, SRI-42127 curtails tumor growth of HPV16+/hRas</w:t>
      </w:r>
      <w:r>
        <w:t xml:space="preserve"> </w:t>
      </w:r>
      <w:r>
        <w:t>G12V</w:t>
      </w:r>
      <w:r>
        <w:t xml:space="preserve"> </w:t>
      </w:r>
      <w:r>
        <w:t>transformed mouse TC-1 cells in syngeneic mice. Additionally, SRI-42127 complements cisplatin in inhibiting the growth of a CaCx cell line in 3D cultures and patient-derived xenografts in SCID mice. Collectively, these findings indicate that, by decreasing RBPs, while inducing DNA damage and ISR, SRI-42127 reduces HPV oncoproteins, restores p53 function in HPV+ CaCxs, thereby enhancing their sensitivity to conventional chemotherapy.</w:t>
      </w:r>
    </w:p>
    <w:p>
      <w:pPr>
        <w:spacing w:before="120" w:after="120"/>
      </w:pPr>
      <w:r>
        <w:rPr>
          <w:sz w:val="18"/>
        </w:rPr>
        <w:t>——————————————————————————————————————————————————————————————————————</w:t>
      </w:r>
    </w:p>
    <w:p>
      <w:pPr>
        <w:spacing w:before="160" w:after="40" w:line="240" w:lineRule="auto"/>
      </w:pPr>
      <w:r>
        <w:rPr>
          <w:b/>
        </w:rPr>
        <w:t xml:space="preserve">[523] </w:t>
      </w:r>
      <w:hyperlink r:id="rId1478">
        <w:r>
          <w:rPr>
            <w:color w:val="1155CC"/>
            <w:u w:val="single"/>
          </w:rPr>
          <w:t>IDE 介导的 GLP-1 降解作为设计长效且 CNS 稳定的 GLP-1 受体激动剂的基础</w:t>
        </w:r>
      </w:hyperlink>
    </w:p>
    <w:p>
      <w:pPr>
        <w:spacing w:before="0" w:after="80"/>
      </w:pPr>
      <w:r>
        <w:rPr>
          <w:i/>
          <w:sz w:val="20"/>
        </w:rPr>
        <w:t>EN: IDE-mediated GLP-1 degradation as the basis for designing long-acting and CNS-stable GLP-1 receptor agonists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79">
        <w:r>
          <w:rPr>
            <w:color w:val="1155CC"/>
            <w:u w:val="single"/>
          </w:rPr>
          <w:t>10.1126/sciadv.aeh4670</w:t>
        </w:r>
      </w:hyperlink>
    </w:p>
    <w:p>
      <w:pPr>
        <w:spacing w:before="0" w:after="120"/>
      </w:pPr>
      <w:r>
        <w:rPr>
          <w:b/>
        </w:rPr>
        <w:t xml:space="preserve">Notes: </w:t>
      </w:r>
      <w:r>
        <w:t>abstract_source=crossref</w:t>
      </w:r>
    </w:p>
    <w:p>
      <w:pPr>
        <w:spacing w:before="0" w:after="80" w:lineRule="auto" w:line="276"/>
      </w:pPr>
      <w:r>
        <w:rPr>
          <w:b/>
        </w:rPr>
        <w:t xml:space="preserve">摘要（ZH）: </w:t>
      </w:r>
      <w:r>
        <w:t>胰高血糖素样肽-1 (GLP-1) 是一种关键的肠促胰岛素激素，可被 DPP-4 等循环蛋白酶快速降解。其他蛋白酶（特别是组织驻留蛋白酶）对 GLP-1 的代谢在很大程度上仍未被探索。在这里，我们将胰岛素降解酶 (IDE) 鉴定为一种以前未知的 GLP-1 降解蛋白酶，具有两个切割位点。我们发现 IDE 介导的 GLP-1 降解（而非胰岛素）代表了调节血糖控制的主要机制。为了抵抗 IDE，我们设计了 GLP-1 和索马鲁肽，在这些位点进行了 D-氨基酸取代。这些肽在血浆、肝脏和肠道分泌体、腹膜液和中枢神经系统 (CNS) 中表现出增强的稳定性。 D-丝氨酸</w:t>
      </w:r>
      <w:r>
        <w:rPr>
          <w:vertAlign w:val="subscript"/>
        </w:rPr>
        <w:t>18</w:t>
      </w:r>
      <w:r>
        <w:t>-索马鲁肽在小鼠中显示出延长的血浆保留和持续的降血糖作用。此外，IDE敲除和D-Ser脑内注射</w:t>
      </w:r>
      <w:r>
        <w:rPr>
          <w:vertAlign w:val="subscript"/>
        </w:rPr>
        <w:t>18</w:t>
      </w:r>
      <w:r>
        <w:t>-索马鲁肽证实了 IDE 在 GLP-1 降解中的生理作用，特别是在中枢神经系统中。这些发现揭示了之前未知的 GLP-1 代谢调节机制，并为设计具有改善代谢和中枢神经系统治疗潜力的长效激动剂提供了策略。</w:t>
      </w:r>
    </w:p>
    <w:p>
      <w:pPr>
        <w:spacing w:before="0" w:after="200" w:lineRule="auto" w:line="276"/>
      </w:pPr>
      <w:r>
        <w:rPr>
          <w:b/>
        </w:rPr>
        <w:t xml:space="preserve">Abstract (EN): </w:t>
      </w:r>
      <w:r>
        <w:t>Glucagon-like peptide-1 (GLP-1) is a key incretin hormone rapidly degraded by circulating proteases such as DPP-4. The metabolism of GLP-1 by other proteases, particularly tissue-resident proteases, remains largely unexplored. Here, we identify insulin-degrading enzyme (IDE) as a previously unknown GLP-1-degrading protease with two cleavage sites. We show that IDE-mediated degradation of GLP-1, but not insulin, represents a major mechanism regulating glucose control. To resist IDE, we engineered GLP-1 and Semaglutide with D-amino acid substitutions at these sites. These peptides exhibit enhanced stability in plasma, liver and intestinal secretomes, peritoneal fluid, and central nervous system (CNS). D-Ser</w:t>
      </w:r>
      <w:r>
        <w:rPr>
          <w:vertAlign w:val="subscript"/>
        </w:rPr>
        <w:t>18</w:t>
      </w:r>
      <w:r>
        <w:t>-Semaglutide shows prolonged plasma retention and sustained glucose-lowering effects in mice. Moreover, IDE knockdown and intracerebral injection of D-Ser</w:t>
      </w:r>
      <w:r>
        <w:rPr>
          <w:vertAlign w:val="subscript"/>
        </w:rPr>
        <w:t>18</w:t>
      </w:r>
      <w:r>
        <w:t>-Semaglutide confirm IDE’s physiological role in GLP-1 degradation, particularly in the CNS. These findings reveal a previously unidentified regulatory mechanism of GLP-1 metabolism and provide a strategy for designing long-acting agonists with improved metabolic and CNS therapeutic potential.</w:t>
      </w:r>
    </w:p>
    <w:p>
      <w:pPr>
        <w:spacing w:before="120" w:after="120"/>
      </w:pPr>
      <w:r>
        <w:rPr>
          <w:sz w:val="18"/>
        </w:rPr>
        <w:t>——————————————————————————————————————————————————————————————————————</w:t>
      </w:r>
    </w:p>
    <w:p>
      <w:pPr>
        <w:spacing w:before="160" w:after="40" w:line="240" w:lineRule="auto"/>
      </w:pPr>
      <w:r>
        <w:rPr>
          <w:b/>
        </w:rPr>
        <w:t xml:space="preserve">[524] </w:t>
      </w:r>
      <w:hyperlink r:id="rId1480">
        <w:r>
          <w:rPr>
            <w:color w:val="1155CC"/>
            <w:u w:val="single"/>
          </w:rPr>
          <w:t>为什么共同的朋友会透露网络明星</w:t>
        </w:r>
      </w:hyperlink>
    </w:p>
    <w:p>
      <w:pPr>
        <w:spacing w:before="0" w:after="80"/>
      </w:pPr>
      <w:r>
        <w:rPr>
          <w:i/>
          <w:sz w:val="20"/>
        </w:rPr>
        <w:t>EN: Why friends in common reveal network stars</w:t>
      </w:r>
    </w:p>
    <w:p>
      <w:pPr>
        <w:spacing w:before="0" w:after="120"/>
      </w:pPr>
      <w:r>
        <w:rPr>
          <w:b/>
        </w:rPr>
        <w:t xml:space="preserve">Source: </w:t>
      </w:r>
      <w:r>
        <w:t>Proceedings of the National Academy of Sciences: Keyword search for query</w:t>
      </w:r>
      <w:r>
        <w:t xml:space="preserve">    </w:t>
      </w:r>
      <w:r>
        <w:rPr>
          <w:b/>
        </w:rPr>
        <w:t xml:space="preserve">Pub date: </w:t>
      </w:r>
      <w:r>
        <w:t>2026-08-26 07:00:00+00:00</w:t>
      </w:r>
      <w:r>
        <w:t xml:space="preserve">    </w:t>
      </w:r>
      <w:r>
        <w:rPr>
          <w:b/>
        </w:rPr>
        <w:t xml:space="preserve">DOI: </w:t>
      </w:r>
      <w:hyperlink r:id="rId1481">
        <w:r>
          <w:rPr>
            <w:color w:val="1155CC"/>
            <w:u w:val="single"/>
          </w:rPr>
          <w:t>10.1073/pnas.2603299123</w:t>
        </w:r>
      </w:hyperlink>
    </w:p>
    <w:p>
      <w:pPr>
        <w:spacing w:before="0" w:after="120"/>
      </w:pPr>
      <w:r>
        <w:rPr>
          <w:b/>
        </w:rPr>
        <w:t xml:space="preserve">Notes: </w:t>
      </w:r>
      <w:r>
        <w:t>abstract_source=crossref</w:t>
      </w:r>
    </w:p>
    <w:p>
      <w:pPr>
        <w:spacing w:before="0" w:after="80" w:lineRule="auto" w:line="276"/>
      </w:pPr>
      <w:r>
        <w:rPr>
          <w:b/>
        </w:rPr>
        <w:t xml:space="preserve">摘要（ZH）: </w:t>
      </w:r>
      <w:r>
        <w:t>友谊悖论指出，平均而言，你的朋友比你拥有更多的朋友。我们将其扩展到普通朋友——那些出现在多人朋友列表中的人。我们发现，拥有共同朋友的人越多，这个人的联系就越紧密，并且我们得出了一个量化这种进展的表达式。在一个区域性 Facebook 网络中，三个随机抽样个体的共同朋友平均拥有的朋友数量比网络中 99.9% 的人还要多。在引文网络中，随机论文样本中任意两篇所引用的来源平均被引用次数多于 99.99% 的被引作品。当少数节点拥有不成比例的联系时，共同朋友的这种力量最为明显，典型的网络涉及疾病的超级传播者、在线的超级影响者以及神经网络中高度连接的节点。我们讨论对网络抽样、有针对性的干预、社会认知和网络动态的影响。</w:t>
      </w:r>
    </w:p>
    <w:p>
      <w:pPr>
        <w:spacing w:before="0" w:after="200" w:lineRule="auto" w:line="276"/>
      </w:pPr>
      <w:r>
        <w:rPr>
          <w:b/>
        </w:rPr>
        <w:t xml:space="preserve">Abstract (EN): </w:t>
      </w:r>
      <w:r>
        <w:t>The Friendship Paradox states that, on average, your friends have more friends than you do. We extend this to common friends—those who appear in multiple people’s friend lists. We show that the more people who share a common friend, the more connected that person tends to be, and we derive an expression quantifying this progression. In a regional Facebook network, a common friend to three randomly sampled individuals has on average more friends than 99.9% of the network. In a citation network, a source cited by any two of a random sample of papers has on average more citations than 99.99% of cited works. This power of common friends is most pronounced when few nodes hold disproportionate shares of ties, typical of networks involving superspreaders of disease, mega-influencers online, and highly connected nodes in neural networks. We discuss implications for network sampling, targeted interventions, social perception, and network dynamics.</w:t>
      </w:r>
    </w:p>
    <w:p>
      <w:pPr>
        <w:spacing w:before="120" w:after="120"/>
      </w:pPr>
      <w:r>
        <w:rPr>
          <w:sz w:val="18"/>
        </w:rPr>
        <w:t>——————————————————————————————————————————————————————————————————————</w:t>
      </w:r>
    </w:p>
    <w:p>
      <w:pPr>
        <w:spacing w:before="160" w:after="40" w:line="240" w:lineRule="auto"/>
      </w:pPr>
      <w:r>
        <w:rPr>
          <w:b/>
        </w:rPr>
        <w:t xml:space="preserve">[525] </w:t>
      </w:r>
      <w:hyperlink r:id="rId1482">
        <w:r>
          <w:rPr>
            <w:color w:val="1155CC"/>
            <w:u w:val="single"/>
          </w:rPr>
          <w:t>Bose 气体通用等级中临界缩放的观察</w:t>
        </w:r>
      </w:hyperlink>
    </w:p>
    <w:p>
      <w:pPr>
        <w:spacing w:before="0" w:after="80"/>
      </w:pPr>
      <w:r>
        <w:rPr>
          <w:i/>
          <w:sz w:val="20"/>
        </w:rPr>
        <w:t>EN: Observation of critical scaling in the Bose gas universality class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83">
        <w:r>
          <w:rPr>
            <w:color w:val="1155CC"/>
            <w:u w:val="single"/>
          </w:rPr>
          <w:t>10.1126/sciadv.aee2942</w:t>
        </w:r>
      </w:hyperlink>
    </w:p>
    <w:p>
      <w:pPr>
        <w:spacing w:before="0" w:after="120"/>
      </w:pPr>
      <w:r>
        <w:rPr>
          <w:b/>
        </w:rPr>
        <w:t xml:space="preserve">Notes: </w:t>
      </w:r>
      <w:r>
        <w:t>abstract_source=crossref</w:t>
      </w:r>
    </w:p>
    <w:p>
      <w:pPr>
        <w:spacing w:before="0" w:after="80" w:lineRule="auto" w:line="276"/>
      </w:pPr>
      <w:r>
        <w:rPr>
          <w:b/>
        </w:rPr>
        <w:t xml:space="preserve">摘要（ZH）: </w:t>
      </w:r>
      <w:r>
        <w:t>临界指数表征了相变附近热力学量的发散标度，并允许将物理系统分类为普遍性类别。虽然通过粒子间相互作用热化的量子气体属于 XY 模型普遍性类别，但理想的玻色气体预计会形成一个独特的普遍性类别，其特征尚未通过实验揭示。在这里，我们报告了在本质上不相互作用的光子的二维俘获量子气体中观察到的临界缩放，这些光子通过与微腔内的分子库的辐射接触而热化。通过测量凝聚转变附近的空间相关性，我们确定相关长度的临界指数为 ν = 0.52 ± 0.04。我们的结果构成了对 Bose 气体通用性等级的长期缩放预测的实验测试。</w:t>
      </w:r>
    </w:p>
    <w:p>
      <w:pPr>
        <w:spacing w:before="0" w:after="200" w:lineRule="auto" w:line="276"/>
      </w:pPr>
      <w:r>
        <w:rPr>
          <w:b/>
        </w:rPr>
        <w:t xml:space="preserve">Abstract (EN): </w:t>
      </w:r>
      <w:r>
        <w:t>Critical exponents characterize the divergent scaling of thermodynamic quantities near phase transitions and allow for the classification of physical systems into universality classes. While quantum gases thermalizing by interparticle interactions fall into the XY model universality class, the ideal Bose gas has been predicted to form a distinct universality class whose signatures have not yet been revealed experimentally. Here, we report the observation of critical scaling in a two-dimensional trapped quantum gas of essentially noninteracting photons, which thermalize by radiative contact to a reservoir of molecules inside a microcavity. By measuring the spatial correlations near the condensation transition, we determine the critical exponent for the correlation length to be ν = 0.52 ± 0.04. Our results constitute an experimental test of the long-standing scaling predictions for the Bose gas universality class.</w:t>
      </w:r>
    </w:p>
    <w:p>
      <w:pPr>
        <w:spacing w:before="120" w:after="120"/>
      </w:pPr>
      <w:r>
        <w:rPr>
          <w:sz w:val="18"/>
        </w:rPr>
        <w:t>——————————————————————————————————————————————————————————————————————</w:t>
      </w:r>
    </w:p>
    <w:p>
      <w:pPr>
        <w:spacing w:before="160" w:after="40" w:line="240" w:lineRule="auto"/>
      </w:pPr>
      <w:r>
        <w:rPr>
          <w:b/>
        </w:rPr>
        <w:t xml:space="preserve">[526] </w:t>
      </w:r>
      <w:hyperlink r:id="rId1484">
        <w:r>
          <w:rPr>
            <w:color w:val="1155CC"/>
            <w:u w:val="single"/>
          </w:rPr>
          <w:t>心脏三级免疫生态位驱动免疫检查点抑制剂心肌炎的免疫激活</w:t>
        </w:r>
      </w:hyperlink>
    </w:p>
    <w:p>
      <w:pPr>
        <w:spacing w:before="0" w:after="80"/>
      </w:pPr>
      <w:r>
        <w:rPr>
          <w:i/>
          <w:sz w:val="20"/>
        </w:rPr>
        <w:t>EN: Cardiac tertiary immune niches drive immune activation in immune checkpoint inhibitor myocarditis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85">
        <w:r>
          <w:rPr>
            <w:color w:val="1155CC"/>
            <w:u w:val="single"/>
          </w:rPr>
          <w:t>10.1126/sciadv.aed8359</w:t>
        </w:r>
      </w:hyperlink>
    </w:p>
    <w:p>
      <w:pPr>
        <w:spacing w:before="0" w:after="120"/>
      </w:pPr>
      <w:r>
        <w:rPr>
          <w:b/>
        </w:rPr>
        <w:t xml:space="preserve">Notes: </w:t>
      </w:r>
      <w:r>
        <w:t>abstract_source=crossref</w:t>
      </w:r>
    </w:p>
    <w:p>
      <w:pPr>
        <w:spacing w:before="0" w:after="80" w:lineRule="auto" w:line="276"/>
      </w:pPr>
      <w:r>
        <w:rPr>
          <w:b/>
        </w:rPr>
        <w:t xml:space="preserve">摘要（ZH）: </w:t>
      </w:r>
      <w:r>
        <w:t>免疫检查点抑制剂（ICI）心肌炎是一种罕见但经常致命的癌症免疫治疗的免疫相关不良事件。了解这种毒性的机制对于平衡治疗与维持抗肿瘤免疫力至关重要。在药理学小鼠模型中使用综合空间和单细胞分析，我们确定了 Ly6C 的区域浸润</w:t>
      </w:r>
      <w:r>
        <w:t xml:space="preserve"> </w:t>
      </w:r>
      <w:r>
        <w:t>+</w:t>
      </w:r>
      <w:r>
        <w:t xml:space="preserve"> </w:t>
      </w:r>
      <w:r>
        <w:t>单核细胞和 PD-1</w:t>
      </w:r>
      <w:r>
        <w:t xml:space="preserve"> </w:t>
      </w:r>
      <w:r>
        <w:t>+</w:t>
      </w:r>
      <w:r>
        <w:t xml:space="preserve"> </w:t>
      </w:r>
      <w:r>
        <w:t>CD8</w:t>
      </w:r>
      <w:r>
        <w:t xml:space="preserve"> </w:t>
      </w:r>
      <w:r>
        <w:t>+</w:t>
      </w:r>
      <w:r>
        <w:t xml:space="preserve"> </w:t>
      </w:r>
      <w:r>
        <w:t>心脏中的 T 细胞组织成富含成纤维细胞的免疫结构，我们将其称为三级 T 细胞生态位 (TTCN)。 TTCN 作为 T 细胞激活的枢纽，具有三级淋巴结构的特征。 TTCN 基因特征在 ICI 心肌炎患者的心脏组织中高度富集。补充 T 细胞受体分析揭示了 ICI 治疗后心脏 T 细胞的克隆扩增。我们进一步确定了 TTCN 相关细胞因子和结构蛋白作为候选治疗靶点，以减少心肌炎症，同时考虑肿瘤控制。总之，这些发现表明心脏三级免疫结构在 ICI 心肌炎中发挥着核心作用，并强调了可以减轻 ICI 心脏毒性的途径。</w:t>
      </w:r>
    </w:p>
    <w:p>
      <w:pPr>
        <w:spacing w:before="0" w:after="200" w:lineRule="auto" w:line="276"/>
      </w:pPr>
      <w:r>
        <w:rPr>
          <w:b/>
        </w:rPr>
        <w:t xml:space="preserve">Abstract (EN): </w:t>
      </w:r>
      <w:r>
        <w:t>Immune checkpoint inhibitor (ICI) myocarditis is a rare but frequently fatal immune-related adverse event of cancer immunotherapy. Understanding the mechanisms of this toxicity is critical to balancing treatment with maintenance of antitumor immunity. Using integrated spatial and single-cell analyses in a pharmacological murine model, we identified regional infiltration of Ly6C</w:t>
      </w:r>
      <w:r>
        <w:t xml:space="preserve"> </w:t>
      </w:r>
      <w:r>
        <w:t>+</w:t>
      </w:r>
      <w:r>
        <w:t xml:space="preserve"> </w:t>
      </w:r>
      <w:r>
        <w:t>monocytes and PD-1</w:t>
      </w:r>
      <w:r>
        <w:t xml:space="preserve"> </w:t>
      </w:r>
      <w:r>
        <w:t>+</w:t>
      </w:r>
      <w:r>
        <w:t xml:space="preserve"> </w:t>
      </w:r>
      <w:r>
        <w:t>CD8</w:t>
      </w:r>
      <w:r>
        <w:t xml:space="preserve"> </w:t>
      </w:r>
      <w:r>
        <w:t>+</w:t>
      </w:r>
      <w:r>
        <w:t xml:space="preserve"> </w:t>
      </w:r>
      <w:r>
        <w:t>T cells in the heart that organize into fibroblast-rich immune structures, which we term tertiary T cell niches (TTCNs). TTCNs serve as hubs for T cell activation, sharing features of tertiary lymphoid structures. A TTCN gene signature was strongly enriched in cardiac tissue from patients with ICI myocarditis. Complementary T cell receptor analyses revealed clonal expansion of cardiac T cells following ICI treatment. We further identified TTCN-associated cytokines and structural proteins as candidate therapeutic targets to reduce myocardial inflammation while considering tumor control. Together, these findings suggest that cardiac tertiary immune structures play a central role in ICI myocarditis and highlight pathways that could mitigate ICI cardiotoxicity.</w:t>
      </w:r>
    </w:p>
    <w:p>
      <w:pPr>
        <w:spacing w:before="120" w:after="120"/>
      </w:pPr>
      <w:r>
        <w:rPr>
          <w:sz w:val="18"/>
        </w:rPr>
        <w:t>——————————————————————————————————————————————————————————————————————</w:t>
      </w:r>
    </w:p>
    <w:p>
      <w:pPr>
        <w:spacing w:before="160" w:after="40" w:line="240" w:lineRule="auto"/>
      </w:pPr>
      <w:r>
        <w:rPr>
          <w:b/>
        </w:rPr>
        <w:t xml:space="preserve">[527] </w:t>
      </w:r>
      <w:hyperlink r:id="rId1486">
        <w:r>
          <w:rPr>
            <w:color w:val="1155CC"/>
            <w:u w:val="single"/>
          </w:rPr>
          <w:t>质谱成像的真实可视化可实现高空间分辨率交互式 m/z 映射和探索</w:t>
        </w:r>
      </w:hyperlink>
    </w:p>
    <w:p>
      <w:pPr>
        <w:spacing w:before="0" w:after="80"/>
      </w:pPr>
      <w:r>
        <w:rPr>
          <w:i/>
          <w:sz w:val="20"/>
        </w:rPr>
        <w:t>EN: Truthful visualizations for mass spectrometry imaging enable high-spatial-resolution interactive m/z mapping and exploration</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87">
        <w:r>
          <w:rPr>
            <w:color w:val="1155CC"/>
            <w:u w:val="single"/>
          </w:rPr>
          <w:t>10.1126/sciadv.aed3650</w:t>
        </w:r>
      </w:hyperlink>
    </w:p>
    <w:p>
      <w:pPr>
        <w:spacing w:before="0" w:after="120"/>
      </w:pPr>
      <w:r>
        <w:rPr>
          <w:b/>
        </w:rPr>
        <w:t xml:space="preserve">Notes: </w:t>
      </w:r>
      <w:r>
        <w:t>abstract_source=crossref</w:t>
      </w:r>
    </w:p>
    <w:p>
      <w:pPr>
        <w:spacing w:before="0" w:after="80" w:lineRule="auto" w:line="276"/>
      </w:pPr>
      <w:r>
        <w:rPr>
          <w:b/>
        </w:rPr>
        <w:t xml:space="preserve">摘要（ZH）: </w:t>
      </w:r>
      <w:r>
        <w:t>质谱成像 (MSI) 产生高维分子数据，但实际解释仍然受到不完全保留全局结构的可视化的限制。我们提出了 MSI-VISUAL，这是一种用于交互式 MSI 分析的开源框架，它将真实的降维可视化与感兴趣区域选择、统计比较和直接质荷比集成在一起（</w:t>
      </w:r>
      <w:r>
        <w:t xml:space="preserve"> </w:t>
      </w:r>
      <w:r>
        <w:t>质量分数</w:t>
      </w:r>
      <w:r>
        <w:t xml:space="preserve"> </w:t>
      </w:r>
      <w:r>
        <w:t>）映射。 MSI-VISUAL 引入了四种可视化策略：SALO 和 SPEAR（基于优化的方法，旨在改善跨距离度量的全局结构保留）以及 TOP3 和 PR3D（用于大型数据集的内存高效、快速可视化的轻量级方法）。在基准和脂质组学案例研究（包括小鼠大脑和肾脏病理学示例）中，所提出的方法优于我们基准中常用的替代方法，改进了对细微组织差异的检测，并揭示了支持生物学见解的精细分子解剖模式。这些结果将 MSI-VISUAL 确立为面向发现和诊断 MSI 工作流程的可扩展框架。</w:t>
      </w:r>
    </w:p>
    <w:p>
      <w:pPr>
        <w:spacing w:before="0" w:after="200" w:lineRule="auto" w:line="276"/>
      </w:pPr>
      <w:r>
        <w:rPr>
          <w:b/>
        </w:rPr>
        <w:t xml:space="preserve">Abstract (EN): </w:t>
      </w:r>
      <w:r>
        <w:t>Mass spectrometry imaging (MSI) produces high-dimensional molecular data, but practical interpretation remains limited by visualizations that incompletely preserve global structure. We present MSI-VISUAL, an open-source framework for interactive MSI analysis that integrates truthful dimensionality reduction visualizations with region-of-interest selection, statistical comparison, and direct mass/charge ratio (</w:t>
      </w:r>
      <w:r>
        <w:t xml:space="preserve"> </w:t>
      </w:r>
      <w:r>
        <w:t>m/z</w:t>
      </w:r>
      <w:r>
        <w:t xml:space="preserve"> </w:t>
      </w:r>
      <w:r>
        <w:t>) mapping. MSI-VISUAL introduces four visualization strategies: SALO and SPEAR (optimization-based methods designed to improve global structure preservation across distance metrics) and TOP3 and PR3D (lightweight approaches for memory-efficient, rapid visualization of large datasets). Across benchmarks and lipidomics case studies, including mouse brain and kidney pathology examples, the proposed methods outperform commonly used alternatives in our benchmarks, improve detection of subtle tissue differences, and reveal fine molecular-anatomical patterns that support biological insights. These results establish MSI-VISUAL as a scalable framework for discovery-oriented and diagnostic MSI workflows.</w:t>
      </w:r>
    </w:p>
    <w:p>
      <w:pPr>
        <w:spacing w:before="120" w:after="120"/>
      </w:pPr>
      <w:r>
        <w:rPr>
          <w:sz w:val="18"/>
        </w:rPr>
        <w:t>——————————————————————————————————————————————————————————————————————</w:t>
      </w:r>
    </w:p>
    <w:p>
      <w:pPr>
        <w:spacing w:before="160" w:after="40" w:line="240" w:lineRule="auto"/>
      </w:pPr>
      <w:r>
        <w:rPr>
          <w:b/>
        </w:rPr>
        <w:t xml:space="preserve">[528] </w:t>
      </w:r>
      <w:hyperlink r:id="rId1488">
        <w:r>
          <w:rPr>
            <w:color w:val="1155CC"/>
            <w:u w:val="single"/>
          </w:rPr>
          <w:t>临床使用剂量的碳离子照射重新连接超级增强剂以驱动坏死性凋亡和全身免疫</w:t>
        </w:r>
      </w:hyperlink>
    </w:p>
    <w:p>
      <w:pPr>
        <w:spacing w:before="0" w:after="80"/>
      </w:pPr>
      <w:r>
        <w:rPr>
          <w:i/>
          <w:sz w:val="20"/>
        </w:rPr>
        <w:t>EN: Carbon ion irradiation at a clinically used dose rewires super-enhancers to drive necroptosis and systemic immunity</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89">
        <w:r>
          <w:rPr>
            <w:color w:val="1155CC"/>
            <w:u w:val="single"/>
          </w:rPr>
          <w:t>10.1126/sciadv.aec7590</w:t>
        </w:r>
      </w:hyperlink>
    </w:p>
    <w:p>
      <w:pPr>
        <w:spacing w:before="0" w:after="120"/>
      </w:pPr>
      <w:r>
        <w:rPr>
          <w:b/>
        </w:rPr>
        <w:t xml:space="preserve">Notes: </w:t>
      </w:r>
      <w:r>
        <w:t>abstract_source=crossref</w:t>
      </w:r>
    </w:p>
    <w:p>
      <w:pPr>
        <w:spacing w:before="0" w:after="80" w:lineRule="auto" w:line="276"/>
      </w:pPr>
      <w:r>
        <w:rPr>
          <w:b/>
        </w:rPr>
        <w:t xml:space="preserve">摘要（ZH）: </w:t>
      </w:r>
      <w:r>
        <w:t>放射治疗增强了免疫治疗，但传统的 2 Gy X 射线部分很大程度上诱导细胞凋亡，而强烈的免疫原性细胞死亡 (ICD) 更常见与较高剂量的放射治疗相关。在这里，我们揭示了一种剂量无关的、高 LET 特异性的范例：2 Gy 的碳离子物理剂量可激发抗肿瘤免疫力。碳离子将死亡线路重定向至 MLKL 依赖性坏死性凋亡，并触发 NF-κB 驱动的炎症级联反应（IL1A/B、CXCL1/2/3），尽管直接杀伤肿瘤细胞的能力较低，但其免疫原性超过 8 Gy X 射线。多组学分析发现，簇状 DNA 损伤驱动的超级增强子重塑是一种表观遗传开关，可抑制 cIAP1/2-caspase-8 介导的细胞凋亡，同时允许炎症性坏死性凋亡。 MLKL 的药理抑制消除了碳离子放射治疗 (CIRT) 的这些反应。在体内，2 Gy CIRT 通过增加 CD8 驱动远隔反应</w:t>
      </w:r>
      <w:r>
        <w:t xml:space="preserve"> </w:t>
      </w:r>
      <w:r>
        <w:t>+</w:t>
      </w:r>
      <w:r>
        <w:t xml:space="preserve"> </w:t>
      </w:r>
      <w:r>
        <w:t>T 细胞浸润和功能。总之，这些发现确立了 CIRT 作为一种可行的免疫刺激性放射疗法，通过超级增强子介导的死亡和炎症重编程，将局部暴露转化为全身控制，为将碳离子整合到下一代放射免疫疗法中提供了机制原理。</w:t>
      </w:r>
    </w:p>
    <w:p>
      <w:pPr>
        <w:spacing w:before="0" w:after="200" w:lineRule="auto" w:line="276"/>
      </w:pPr>
      <w:r>
        <w:rPr>
          <w:b/>
        </w:rPr>
        <w:t xml:space="preserve">Abstract (EN): </w:t>
      </w:r>
      <w:r>
        <w:t>Radiotherapy augments immunotherapy, yet conventional 2 Gy x-ray fractions largely induce apoptosis, whereas robust immunogenic cell death (ICD) is more commonly associated with higher-dose irradiation regimens. Here, we reveal a dose-independent, high-LET-specific paradigm: a physical dose of 2 Gy of carbon ions provokes antitumor immunity. Carbon ions redirect death wiring to MLKL-dependent necroptosis and trigger an NF-κB-driven inflammatory cascade (IL1A/B, CXCL1/2/3), surpassing 8 Gy x-rays in immunogenicity despite lower direct tumor cell-killing capacity. Multi-omics analyses identify clustered DNA damage-driven super-enhancer remodeling as an epigenetic switch that suppresses cIAP1/2-caspase-8-mediated apoptosis while licensing inflammatory necroptosis. Pharmacologic inhibition of MLKL abolishes these responses to carbon ion radiotherapy (CIRT). In vivo, 2 Gy CIRT drives abscopal response with increased CD8</w:t>
      </w:r>
      <w:r>
        <w:t xml:space="preserve"> </w:t>
      </w:r>
      <w:r>
        <w:t>+</w:t>
      </w:r>
      <w:r>
        <w:t xml:space="preserve"> </w:t>
      </w:r>
      <w:r>
        <w:t>T cell infiltration and function. Together, these findings establish CIRT as a feasible, immune-stimulatory radiotherapy converting local exposure into systemic control via super-enhancer-mediated reprogramming of death and inflammation, providing a mechanistic rationale to integrate carbon ions into next-generation radio-immunotherapy.</w:t>
      </w:r>
    </w:p>
    <w:p>
      <w:pPr>
        <w:spacing w:before="120" w:after="120"/>
      </w:pPr>
      <w:r>
        <w:rPr>
          <w:sz w:val="18"/>
        </w:rPr>
        <w:t>——————————————————————————————————————————————————————————————————————</w:t>
      </w:r>
    </w:p>
    <w:p>
      <w:pPr>
        <w:spacing w:before="160" w:after="40" w:line="240" w:lineRule="auto"/>
      </w:pPr>
      <w:r>
        <w:rPr>
          <w:b/>
        </w:rPr>
        <w:t xml:space="preserve">[529] </w:t>
      </w:r>
      <w:hyperlink r:id="rId1490">
        <w:r>
          <w:rPr>
            <w:color w:val="1155CC"/>
            <w:u w:val="single"/>
          </w:rPr>
          <w:t>特定年龄暴露于人类引起的湿热增加</w:t>
        </w:r>
      </w:hyperlink>
    </w:p>
    <w:p>
      <w:pPr>
        <w:spacing w:before="0" w:after="80"/>
      </w:pPr>
      <w:r>
        <w:rPr>
          <w:i/>
          <w:sz w:val="20"/>
        </w:rPr>
        <w:t>EN: Age-specific exposure to human-induced increases in humid heat</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91">
        <w:r>
          <w:rPr>
            <w:color w:val="1155CC"/>
            <w:u w:val="single"/>
          </w:rPr>
          <w:t>10.1126/sciadv.aeb3232</w:t>
        </w:r>
      </w:hyperlink>
    </w:p>
    <w:p>
      <w:pPr>
        <w:spacing w:before="0" w:after="120"/>
      </w:pPr>
      <w:r>
        <w:rPr>
          <w:b/>
        </w:rPr>
        <w:t xml:space="preserve">Notes: </w:t>
      </w:r>
      <w:r>
        <w:t>abstract_source=crossref</w:t>
      </w:r>
    </w:p>
    <w:p>
      <w:pPr>
        <w:spacing w:before="0" w:after="80" w:lineRule="auto" w:line="276"/>
      </w:pPr>
      <w:r>
        <w:rPr>
          <w:b/>
        </w:rPr>
        <w:t xml:space="preserve">摘要（ZH）: </w:t>
      </w:r>
      <w:r>
        <w:t>儿童特别容易受到气候变化的影响，并将在其一生中面临气候变化的加剧影响。在这里，我们表明，与老一辈相比，儿童已经面临着不成比例的暴露，因为许多人生活在湿热应激升级最严重的地区。将人口数据与全球网格规模归因框架相结合，我们发现，根据再分析（3.0 [3.0至3.1]）和气候模型（2.8 [2.4至3.0]），在目前的变暖水平下，由于人为气候变化，0至9岁的儿童比60至69岁的成年人多遭受至少20天的额外热应激天数2.8至3倍。平均而言，儿童比 60 至 69 岁的人经历的热应激天数多 9 至 10 天（重新分析：9 天 [6 至 9]；模型：10 天 [6 至 13]），而且这种差异可能是保守的，因为儿童在户外花费的时间更多。随着全球变暖 1.5°C 和 2°C，总体热压力不断升级，这种代际差异依然存在，凸显了缓解和适应政策的必要性，以保护儿童免受与高温相关的健康风险。</w:t>
      </w:r>
    </w:p>
    <w:p>
      <w:pPr>
        <w:spacing w:before="0" w:after="200" w:lineRule="auto" w:line="276"/>
      </w:pPr>
      <w:r>
        <w:rPr>
          <w:b/>
        </w:rPr>
        <w:t xml:space="preserve">Abstract (EN): </w:t>
      </w:r>
      <w:r>
        <w:t>Children are particularly vulnerable to climate change impacts and will face intensifying effects of climate change during their lifetimes. Here, we show that children already face disproportionate exposure compared to older generations, as many live in regions hit the hardest by escalating humid heat stress. Combining demographic data with a global grid-scale attribution framework, we find that, at present-day warming levels, 2.8 to 3 times more children aged 0 to 9 years than adults aged 60 to 69 years are exposed to at least 20 additional heat stress days attributable to anthropogenic climate change based on both reanalysis (3.0 [3.0 to 3.1]) and climate models (2.8 [2.4 to 3.0]). On average, children experience 9 to 10 more attributable heat stress days than people aged 60 to 69 years (reanalysis: 9 [6 to 9]; models: 10 [6 to 13]), and this difference is likely conservative as children spend more time outdoors. This intergenerational disparity persists as overall heat stress escalates under global warming of 1.5° and 2°C, highlighting the need for mitigation and adaptation policies to protect children from heat-related health risks.</w:t>
      </w:r>
    </w:p>
    <w:p>
      <w:pPr>
        <w:spacing w:before="120" w:after="120"/>
      </w:pPr>
      <w:r>
        <w:rPr>
          <w:sz w:val="18"/>
        </w:rPr>
        <w:t>——————————————————————————————————————————————————————————————————————</w:t>
      </w:r>
    </w:p>
    <w:p>
      <w:pPr>
        <w:spacing w:before="160" w:after="40" w:line="240" w:lineRule="auto"/>
      </w:pPr>
      <w:r>
        <w:rPr>
          <w:b/>
        </w:rPr>
        <w:t xml:space="preserve">[530] </w:t>
      </w:r>
      <w:hyperlink r:id="rId1492">
        <w:r>
          <w:rPr>
            <w:color w:val="1155CC"/>
            <w:u w:val="single"/>
          </w:rPr>
          <w:t>轴突固有环通过轴突蛋白质合成限制神经再生</w:t>
        </w:r>
      </w:hyperlink>
    </w:p>
    <w:p>
      <w:pPr>
        <w:spacing w:before="0" w:after="80"/>
      </w:pPr>
      <w:r>
        <w:rPr>
          <w:i/>
          <w:sz w:val="20"/>
        </w:rPr>
        <w:t>EN: An axon-intrinsic loop restricts nerve regeneration through axonal protein synthesis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93">
        <w:r>
          <w:rPr>
            <w:color w:val="1155CC"/>
            <w:u w:val="single"/>
          </w:rPr>
          <w:t>10.1126/sciadv.aed0049</w:t>
        </w:r>
      </w:hyperlink>
    </w:p>
    <w:p>
      <w:pPr>
        <w:spacing w:before="0" w:after="120"/>
      </w:pPr>
      <w:r>
        <w:rPr>
          <w:b/>
        </w:rPr>
        <w:t xml:space="preserve">Notes: </w:t>
      </w:r>
      <w:r>
        <w:t>abstract_source=crossref</w:t>
      </w:r>
    </w:p>
    <w:p>
      <w:pPr>
        <w:spacing w:before="0" w:after="80" w:lineRule="auto" w:line="276"/>
      </w:pPr>
      <w:r>
        <w:rPr>
          <w:b/>
        </w:rPr>
        <w:t xml:space="preserve">摘要（ZH）: </w:t>
      </w:r>
      <w:r>
        <w:t>受伤的轴突合成 RNA 结合蛋白 KHSRP，促进 mRNA 衰减并减缓神经再生。轴切术引起的轴浆 Ca 增加</w:t>
      </w:r>
      <w:r>
        <w:t xml:space="preserve"> </w:t>
      </w:r>
      <w:r>
        <w:t>2+</w:t>
      </w:r>
      <w:r>
        <w:t xml:space="preserve"> </w:t>
      </w:r>
      <w:r>
        <w:t>激活轴突</w:t>
      </w:r>
      <w:r>
        <w:t xml:space="preserve"> </w:t>
      </w:r>
      <w:r>
        <w:t>赫斯普</w:t>
      </w:r>
      <w:r>
        <w:t xml:space="preserve"> </w:t>
      </w:r>
      <w:r>
        <w:t>翻译，而轴突 Ca</w:t>
      </w:r>
      <w:r>
        <w:t xml:space="preserve"> </w:t>
      </w:r>
      <w:r>
        <w:t>2+</w:t>
      </w:r>
      <w:r>
        <w:t xml:space="preserve"> </w:t>
      </w:r>
      <w:r>
        <w:t>轴突切除后 16 小时内恢复到损伤前水平，轴突 KHSRP 仍然升高。交替翻译</w:t>
      </w:r>
      <w:r>
        <w:t xml:space="preserve"> </w:t>
      </w:r>
      <w:r>
        <w:t>Reg3a</w:t>
      </w:r>
      <w:r>
        <w:t xml:space="preserve"> </w:t>
      </w:r>
      <w:r>
        <w:t>和</w:t>
      </w:r>
      <w:r>
        <w:t xml:space="preserve"> </w:t>
      </w:r>
      <w:r>
        <w:t>赫斯普</w:t>
      </w:r>
      <w:r>
        <w:t xml:space="preserve"> </w:t>
      </w:r>
      <w:r>
        <w:t>维持轴突再生中的 KHSRP 水平。轴突</w:t>
      </w:r>
      <w:r>
        <w:t xml:space="preserve"> </w:t>
      </w:r>
      <w:r>
        <w:t>Reg3a</w:t>
      </w:r>
      <w:r>
        <w:t xml:space="preserve"> </w:t>
      </w:r>
      <w:r>
        <w:t>坐骨神经挤压后几天，损伤部位附近的 mRNA 和蛋白质增加。 REG3A 刺激 ER Ca</w:t>
      </w:r>
      <w:r>
        <w:t xml:space="preserve"> </w:t>
      </w:r>
      <w:r>
        <w:t>2+</w:t>
      </w:r>
      <w:r>
        <w:t xml:space="preserve"> </w:t>
      </w:r>
      <w:r>
        <w:t>在轴突中释放以激活 PERK，增加 eIF2α 磷酸化，并增加</w:t>
      </w:r>
      <w:r>
        <w:t xml:space="preserve"> </w:t>
      </w:r>
      <w:r>
        <w:t>赫斯普</w:t>
      </w:r>
      <w:r>
        <w:t xml:space="preserve"> </w:t>
      </w:r>
      <w:r>
        <w:t>翻译。轴浆钙</w:t>
      </w:r>
      <w:r>
        <w:t xml:space="preserve"> </w:t>
      </w:r>
      <w:r>
        <w:t>2+</w:t>
      </w:r>
      <w:r>
        <w:t xml:space="preserve"> </w:t>
      </w:r>
      <w:r>
        <w:t>在培养的神经元的生长锥中缓慢振荡</w:t>
      </w:r>
      <w:r>
        <w:t xml:space="preserve"> </w:t>
      </w:r>
      <w:r>
        <w:t>Reg3a</w:t>
      </w:r>
      <w:r>
        <w:t xml:space="preserve"> </w:t>
      </w:r>
      <w:r>
        <w:t>耗尽会减弱生长锥 Ca</w:t>
      </w:r>
      <w:r>
        <w:t xml:space="preserve"> </w:t>
      </w:r>
      <w:r>
        <w:t>2+</w:t>
      </w:r>
      <w:r>
        <w:t xml:space="preserve"> </w:t>
      </w:r>
      <w:r>
        <w:t>振荡，减少 KHSRP 合成并减少培养神经元中的轴突回缩事件，并加速体内周围神经再生。因此，REG3A 对轴突 KHSRP 合成的调节提供了一个信号环路，通过局部 mRNA 翻译来减缓轴突生长。</w:t>
      </w:r>
    </w:p>
    <w:p>
      <w:pPr>
        <w:spacing w:before="0" w:after="200" w:lineRule="auto" w:line="276"/>
      </w:pPr>
      <w:r>
        <w:rPr>
          <w:b/>
        </w:rPr>
        <w:t xml:space="preserve">Abstract (EN): </w:t>
      </w:r>
      <w:r>
        <w:t>Injured axons synthesize the RNA Binding Protein KHSRP that promotes mRNA decay and slows nerve regeneration. Axotomy-induced increase in axoplasmic Ca</w:t>
      </w:r>
      <w:r>
        <w:t xml:space="preserve"> </w:t>
      </w:r>
      <w:r>
        <w:t>2+</w:t>
      </w:r>
      <w:r>
        <w:t xml:space="preserve"> </w:t>
      </w:r>
      <w:r>
        <w:t>activates axonal</w:t>
      </w:r>
      <w:r>
        <w:t xml:space="preserve"> </w:t>
      </w:r>
      <w:r>
        <w:t>Khsrp</w:t>
      </w:r>
      <w:r>
        <w:t xml:space="preserve"> </w:t>
      </w:r>
      <w:r>
        <w:t>translation, and while axonal Ca</w:t>
      </w:r>
      <w:r>
        <w:t xml:space="preserve"> </w:t>
      </w:r>
      <w:r>
        <w:t>2+</w:t>
      </w:r>
      <w:r>
        <w:t xml:space="preserve"> </w:t>
      </w:r>
      <w:r>
        <w:t>returns to pre-injury levels within 16 hours post-axotomy, axonal KHSRP remains elevated. Alternating translation of</w:t>
      </w:r>
      <w:r>
        <w:t xml:space="preserve"> </w:t>
      </w:r>
      <w:r>
        <w:t>Reg3a</w:t>
      </w:r>
      <w:r>
        <w:t xml:space="preserve"> </w:t>
      </w:r>
      <w:r>
        <w:t>and</w:t>
      </w:r>
      <w:r>
        <w:t xml:space="preserve"> </w:t>
      </w:r>
      <w:r>
        <w:t>Khsrp</w:t>
      </w:r>
      <w:r>
        <w:t xml:space="preserve"> </w:t>
      </w:r>
      <w:r>
        <w:t>sustains KHSRP levels in regenerating axons. Axonal</w:t>
      </w:r>
      <w:r>
        <w:t xml:space="preserve"> </w:t>
      </w:r>
      <w:r>
        <w:t>Reg3a</w:t>
      </w:r>
      <w:r>
        <w:t xml:space="preserve"> </w:t>
      </w:r>
      <w:r>
        <w:t>mRNA and protein increase proximal to the injury site days after sciatic nerve crush. REG3A stimulates ER Ca</w:t>
      </w:r>
      <w:r>
        <w:t xml:space="preserve"> </w:t>
      </w:r>
      <w:r>
        <w:t>2+</w:t>
      </w:r>
      <w:r>
        <w:t xml:space="preserve"> </w:t>
      </w:r>
      <w:r>
        <w:t>release in axons to activate PERK, increase eIF2α phosphorylation, and increase</w:t>
      </w:r>
      <w:r>
        <w:t xml:space="preserve"> </w:t>
      </w:r>
      <w:r>
        <w:t>Khsrp</w:t>
      </w:r>
      <w:r>
        <w:t xml:space="preserve"> </w:t>
      </w:r>
      <w:r>
        <w:t>translation. Axoplasmic Ca</w:t>
      </w:r>
      <w:r>
        <w:t xml:space="preserve"> </w:t>
      </w:r>
      <w:r>
        <w:t>2+</w:t>
      </w:r>
      <w:r>
        <w:t xml:space="preserve"> </w:t>
      </w:r>
      <w:r>
        <w:t>slowly oscillates in growth cones of cultured neurons and</w:t>
      </w:r>
      <w:r>
        <w:t xml:space="preserve"> </w:t>
      </w:r>
      <w:r>
        <w:t>Reg3a</w:t>
      </w:r>
      <w:r>
        <w:t xml:space="preserve"> </w:t>
      </w:r>
      <w:r>
        <w:t>depletion attenuates growth cone Ca</w:t>
      </w:r>
      <w:r>
        <w:t xml:space="preserve"> </w:t>
      </w:r>
      <w:r>
        <w:t>2+</w:t>
      </w:r>
      <w:r>
        <w:t xml:space="preserve"> </w:t>
      </w:r>
      <w:r>
        <w:t>oscillations, decreases KHSRP synthesis and reduces axonal retractive events in cultured neurons, and accelerates peripheral nerve regeneration in vivo. Thus, REG3A regulation of axonal KHSRP synthesis provides a signaling loop that decelerates axon growth through localized mRNA translation.</w:t>
      </w:r>
    </w:p>
    <w:p>
      <w:pPr>
        <w:spacing w:before="120" w:after="120"/>
      </w:pPr>
      <w:r>
        <w:rPr>
          <w:sz w:val="18"/>
        </w:rPr>
        <w:t>——————————————————————————————————————————————————————————————————————</w:t>
      </w:r>
    </w:p>
    <w:p>
      <w:pPr>
        <w:spacing w:before="160" w:after="40" w:line="240" w:lineRule="auto"/>
      </w:pPr>
      <w:r>
        <w:rPr>
          <w:b/>
        </w:rPr>
        <w:t xml:space="preserve">[531] </w:t>
      </w:r>
      <w:hyperlink r:id="rId1494">
        <w:r>
          <w:rPr>
            <w:color w:val="1155CC"/>
            <w:u w:val="single"/>
          </w:rPr>
          <w:t>通过prime编辑开发线粒体突变猪，表现出线粒体DNA突变增加和过早衰老</w:t>
        </w:r>
      </w:hyperlink>
    </w:p>
    <w:p>
      <w:pPr>
        <w:spacing w:before="0" w:after="80"/>
      </w:pPr>
      <w:r>
        <w:rPr>
          <w:i/>
          <w:sz w:val="20"/>
        </w:rPr>
        <w:t>EN: Development of mitochondrial mutator pigs exhibiting increased mitochondrial DNA mutations and premature aging via prime editing</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95">
        <w:r>
          <w:rPr>
            <w:color w:val="1155CC"/>
            <w:u w:val="single"/>
          </w:rPr>
          <w:t>10.1126/sciadv.adu0632</w:t>
        </w:r>
      </w:hyperlink>
    </w:p>
    <w:p>
      <w:pPr>
        <w:spacing w:before="0" w:after="120"/>
      </w:pPr>
      <w:r>
        <w:rPr>
          <w:b/>
        </w:rPr>
        <w:t xml:space="preserve">Notes: </w:t>
      </w:r>
      <w:r>
        <w:t>abstract_source=crossref</w:t>
      </w:r>
    </w:p>
    <w:p>
      <w:pPr>
        <w:spacing w:before="0" w:after="80" w:lineRule="auto" w:line="276"/>
      </w:pPr>
      <w:r>
        <w:rPr>
          <w:b/>
        </w:rPr>
        <w:t xml:space="preserve">摘要（ZH）: </w:t>
      </w:r>
      <w:r>
        <w:t>线粒体 DNA (mtDNA) 突变的积累是线粒体功能障碍的主要驱动因素，线粒体功能障碍与衰老和各种病理有内在联系。 POLG 是 DNA 聚合酶 γ 的催化亚基，对于 mtDNA 复制至关重要；值得注意的是，其校对功能的缺陷会加速线粒体DNA突变的积累。在本研究中，通过将prime编辑与体细胞核移植技术相结合，我们成功生成了表达校对缺陷POLG的线粒体增变猪模型。这些猪表现出体细胞 mtDNA 突变负荷升高，并重现了关键的过早衰老表型，包括体重减轻、毛发粗糙、贫血、皮肤和睾丸间质的结构改变、细胞凋亡增加以及衰老相关标记物的上调，最终导致寿命缩短。鉴于猪和人类之间的生理和代谢相似性，这种线粒体突变猪模型代表了一种理想的临床前工具，可用于剖析 mtDNA 突变在衰老和年龄相关病理中的机制作用，并加速治疗策略的转化。</w:t>
      </w:r>
    </w:p>
    <w:p>
      <w:pPr>
        <w:spacing w:before="0" w:after="200" w:lineRule="auto" w:line="276"/>
      </w:pPr>
      <w:r>
        <w:rPr>
          <w:b/>
        </w:rPr>
        <w:t xml:space="preserve">Abstract (EN): </w:t>
      </w:r>
      <w:r>
        <w:t>The accumulation of mitochondrial DNA (mtDNA) mutations is a primary driver of mitochondrial dysfunction, which is intrinsically linked to aging and various pathologies. POLG, the catalytic subunit of DNA polymerase gamma, is essential for mtDNA replication; notably, a deficiency in its proofreading function precipitates the accumulation of mtDNA mutations. In this study, by combining prime editing with somatic cell nuclear transfer technology, we successfully generated a mitochondrial mutator pig model expressing proofreading-deficient POLG. These pigs exhibited elevated somatic mtDNA mutation loads and recapitulated key premature aging phenotypes, including weight loss, rough hair coat, anemia, structural alterations in the skin and testicular interstitium, increased apoptosis, and the up-regulation of senescence-associated markers, culminating in shortened life span. Given the physiological and metabolic similarities between pigs and humans, this mitochondrial mutator pig model represents an ideal preclinical tool for dissecting the mechanistic role of mtDNA mutations in aging and age-related pathologies and for accelerating the translation of therapeutic strategies.</w:t>
      </w:r>
    </w:p>
    <w:p>
      <w:pPr>
        <w:spacing w:before="120" w:after="120"/>
      </w:pPr>
      <w:r>
        <w:rPr>
          <w:sz w:val="18"/>
        </w:rPr>
        <w:t>——————————————————————————————————————————————————————————————————————</w:t>
      </w:r>
    </w:p>
    <w:p>
      <w:pPr>
        <w:spacing w:before="160" w:after="40" w:line="240" w:lineRule="auto"/>
      </w:pPr>
      <w:r>
        <w:rPr>
          <w:b/>
        </w:rPr>
        <w:t xml:space="preserve">[532] </w:t>
      </w:r>
      <w:hyperlink r:id="rId1496">
        <w:r>
          <w:rPr>
            <w:color w:val="1155CC"/>
            <w:u w:val="single"/>
          </w:rPr>
          <w:t>胰岛素样生长因子结合蛋白 7 是一种可溶性细胞粘附分子</w:t>
        </w:r>
      </w:hyperlink>
    </w:p>
    <w:p>
      <w:pPr>
        <w:spacing w:before="0" w:after="80"/>
      </w:pPr>
      <w:r>
        <w:rPr>
          <w:i/>
          <w:sz w:val="20"/>
        </w:rPr>
        <w:t>EN: Insulin-like growth factor–binding protein 7 is a soluble cell adhesion molecule</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97">
        <w:r>
          <w:rPr>
            <w:color w:val="1155CC"/>
            <w:u w:val="single"/>
          </w:rPr>
          <w:t>10.1126/sciadv.aeg1148</w:t>
        </w:r>
      </w:hyperlink>
    </w:p>
    <w:p>
      <w:pPr>
        <w:spacing w:before="0" w:after="120"/>
      </w:pPr>
      <w:r>
        <w:rPr>
          <w:b/>
        </w:rPr>
        <w:t xml:space="preserve">Notes: </w:t>
      </w:r>
      <w:r>
        <w:t>abstract_source=crossref</w:t>
      </w:r>
    </w:p>
    <w:p>
      <w:pPr>
        <w:spacing w:before="0" w:after="80" w:lineRule="auto" w:line="276"/>
      </w:pPr>
      <w:r>
        <w:rPr>
          <w:b/>
        </w:rPr>
        <w:t xml:space="preserve">摘要（ZH）: </w:t>
      </w:r>
      <w:r>
        <w:t>胰岛素样生长因子结合蛋白 7 (IGFBP7) 是一种分泌蛋白，在血管生成、细胞分化、组织重塑和调节细胞信号传导中发挥多种作用，与多种人类疾病有关。 IGFBP7 多功能性的分子基础仍不清楚。使用冷冻电子显微镜，我们发现 IGFBP7 在肝素存在下组装成桶形十二聚体。羧基末端 IgC2 结构域形成桶的中央核心，其两端由氨基末端肝素结合 IB 结构域覆盖。这种同源低聚物可以同时与相邻细胞上的硫酸乙酰肝素蛋白聚糖结合，充当可溶性“细胞胶”以驱动细胞与细胞粘附。此外，IGFBP7 通过其粘附活性增强和延长受体酪氨酸激酶（包括胰岛素受体和 c-MET）的信号传导。这些发现揭示了 IGFBP7 多效性的结构机制，并将其确立为通用粘附因子。</w:t>
      </w:r>
    </w:p>
    <w:p>
      <w:pPr>
        <w:spacing w:before="0" w:after="200" w:lineRule="auto" w:line="276"/>
      </w:pPr>
      <w:r>
        <w:rPr>
          <w:b/>
        </w:rPr>
        <w:t xml:space="preserve">Abstract (EN): </w:t>
      </w:r>
      <w:r>
        <w:t>Insulin-like growth factor–binding protein 7 (IGFBP7) is a secreted protein with diverse roles in angiogenesis, cell differentiation, tissue remodeling, and regulating cell signaling and is linked to numerous human diseases. The molecular basis of the multifunctionality of IGFBP7 remains unclear. Using cryo–electron microscopy, we show that IGFBP7 assembles into a barrel-shaped dodecamer in the presence of heparin. The carboxyl-terminal IgC2 domain forms the central core of the barrel, which is capped by the amino-terminal heparin-binding IB domain at both ends. This homo-oligomer can simultaneously engage heparan sulfate proteoglycans on adjacent cells, functioning as a soluble “cell glue” to drive cell-cell adhesion. Furthermore, IGFBP7 enhances and prolongs signaling of receptor tyrosine kinases, including insulin receptor and c-MET, through its adhesion activity. These findings reveal a structural mechanism for IGFBP7’s pleiotropy and establish it as a universal adhesion factor.</w:t>
      </w:r>
    </w:p>
    <w:p>
      <w:pPr>
        <w:spacing w:before="120" w:after="120"/>
      </w:pPr>
      <w:r>
        <w:rPr>
          <w:sz w:val="18"/>
        </w:rPr>
        <w:t>——————————————————————————————————————————————————————————————————————</w:t>
      </w:r>
    </w:p>
    <w:p>
      <w:pPr>
        <w:spacing w:before="160" w:after="40" w:line="240" w:lineRule="auto"/>
      </w:pPr>
      <w:r>
        <w:rPr>
          <w:b/>
        </w:rPr>
        <w:t xml:space="preserve">[533] </w:t>
      </w:r>
      <w:hyperlink r:id="rId1498">
        <w:r>
          <w:rPr>
            <w:color w:val="1155CC"/>
            <w:u w:val="single"/>
          </w:rPr>
          <w:t>严酷状态下的原生心脏横桥结构</w:t>
        </w:r>
      </w:hyperlink>
    </w:p>
    <w:p>
      <w:pPr>
        <w:spacing w:before="0" w:after="80"/>
      </w:pPr>
      <w:r>
        <w:rPr>
          <w:i/>
          <w:sz w:val="20"/>
        </w:rPr>
        <w:t>EN: The structure of the native cardiac crossbridge in the rigor state</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499">
        <w:r>
          <w:rPr>
            <w:color w:val="1155CC"/>
            <w:u w:val="single"/>
          </w:rPr>
          <w:t>10.1126/sciadv.aeg1209</w:t>
        </w:r>
      </w:hyperlink>
    </w:p>
    <w:p>
      <w:pPr>
        <w:spacing w:before="0" w:after="120"/>
      </w:pPr>
      <w:r>
        <w:rPr>
          <w:b/>
        </w:rPr>
        <w:t xml:space="preserve">Notes: </w:t>
      </w:r>
      <w:r>
        <w:t>abstract_source=crossref</w:t>
      </w:r>
    </w:p>
    <w:p>
      <w:pPr>
        <w:spacing w:before="0" w:after="80" w:lineRule="auto" w:line="276"/>
      </w:pPr>
      <w:r>
        <w:rPr>
          <w:b/>
        </w:rPr>
        <w:t xml:space="preserve">摘要（ZH）: </w:t>
      </w:r>
      <w:r>
        <w:t>心脏收缩是由心脏细丝上的双头肌球蛋白循环驱动的，其中肌钙蛋白-原肌球蛋白调节肌球蛋白与肌动蛋白的接触。先前的高分辨率结构研究使用与裸肌动蛋白结合的单头肌球蛋白，从而限制了对肌球蛋白头之间的协调以及肌钙蛋白-原肌球蛋白对肌动球蛋白相互作用的影响的深入了解。在这里，我们报告了由与细丝结合的重meromyosin形成的天然心脏僵直跨桥的高分辨率结构。我们表明，两个结合头之间的直接通信、头与原肌球蛋白之间的不均匀相互作用以及肌钙蛋白施加的空间限制控制着肌球蛋白沿着细丝的放置。此外，两个头表现出不等价的运动-轻链相互作用，产生表明不对称分子内应变的不同杠杆臂构象。总之，这些发现为两个肌球蛋白头如何协调以及细丝的成分如何通过主动横桥整合到力产生中提供了结构框架。</w:t>
      </w:r>
    </w:p>
    <w:p>
      <w:pPr>
        <w:spacing w:before="0" w:after="200" w:lineRule="auto" w:line="276"/>
      </w:pPr>
      <w:r>
        <w:rPr>
          <w:b/>
        </w:rPr>
        <w:t xml:space="preserve">Abstract (EN): </w:t>
      </w:r>
      <w:r>
        <w:t>Cardiac contraction is driven by double-headed myosin cycling on cardiac thin filaments, where troponin-tropomyosin regulates myosin access to actin. Prior high-resolution structural studies used a single-headed myosin bound to bare actin, thereby limiting insight into coordination between myosin heads and the influence of troponin-tropomyosin on actomyosin interactions. Here, we report a high-resolution structure of the native cardiac rigor cross-bridge formed by heavy meromyosin bound to the thin filament. We show that direct communication between the two bound heads, uneven interactions between the heads and tropomyosin, and spatial constraints imposed by troponin govern myosin placement along the thin filament. Additionally, the two heads display non-equivalent motor-light chain interactions, yielding distinct lever-arm conformations indicative of asymmetric intramolecular strain. Together, these findings provide a structural framework for how the two myosin heads coordinate and how the components of the thin filament are integrated into force generation by active cross-bridges.</w:t>
      </w:r>
    </w:p>
    <w:p>
      <w:pPr>
        <w:spacing w:before="120" w:after="120"/>
      </w:pPr>
      <w:r>
        <w:rPr>
          <w:sz w:val="18"/>
        </w:rPr>
        <w:t>——————————————————————————————————————————————————————————————————————</w:t>
      </w:r>
    </w:p>
    <w:p>
      <w:pPr>
        <w:spacing w:before="160" w:after="40" w:line="240" w:lineRule="auto"/>
      </w:pPr>
      <w:r>
        <w:rPr>
          <w:b/>
        </w:rPr>
        <w:t xml:space="preserve">[534] </w:t>
      </w:r>
      <w:hyperlink r:id="rId1500">
        <w:r>
          <w:rPr>
            <w:color w:val="1155CC"/>
            <w:u w:val="single"/>
          </w:rPr>
          <w:t>元素硫呼吸所必需的多血红素硒酶</w:t>
        </w:r>
      </w:hyperlink>
    </w:p>
    <w:p>
      <w:pPr>
        <w:spacing w:before="0" w:after="80"/>
      </w:pPr>
      <w:r>
        <w:rPr>
          <w:i/>
          <w:sz w:val="20"/>
        </w:rPr>
        <w:t>EN: Multiheme selenoenzyme essential for elemental sulfur respiration</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501">
        <w:r>
          <w:rPr>
            <w:color w:val="1155CC"/>
            <w:u w:val="single"/>
          </w:rPr>
          <w:t>10.1126/sciadv.aeg2218</w:t>
        </w:r>
      </w:hyperlink>
    </w:p>
    <w:p>
      <w:pPr>
        <w:spacing w:before="0" w:after="120"/>
      </w:pPr>
      <w:r>
        <w:rPr>
          <w:b/>
        </w:rPr>
        <w:t xml:space="preserve">Notes: </w:t>
      </w:r>
      <w:r>
        <w:t>abstract_source=crossref</w:t>
      </w:r>
    </w:p>
    <w:p>
      <w:pPr>
        <w:spacing w:before="0" w:after="80" w:lineRule="auto" w:line="276"/>
      </w:pPr>
      <w:r>
        <w:rPr>
          <w:b/>
        </w:rPr>
        <w:t xml:space="preserve">摘要（ZH）: </w:t>
      </w:r>
      <w:r>
        <w:t>元素硫还原是厌氧生态系统和全球硫循环的关键过程。尽管元素硫在微生物呼吸中充当末端电子受体，但其分子基础尚不清楚。在这里，我们鉴定了一种保守的多血红素细胞色素</w:t>
      </w:r>
      <w:r>
        <w:t xml:space="preserve"> </w:t>
      </w:r>
      <w:r>
        <w:t>c</w:t>
      </w:r>
      <w:r>
        <w:t xml:space="preserve"> </w:t>
      </w:r>
      <w:r>
        <w:t>硫呼吸细菌中硫还原所必需的硒蛋白。结构和生化分析表明，该酶形成四聚体，每个亚基含有五个血红素和一个硒代半胱氨酸残基。该酶在活性位点催化多硫化物还原，其中半胱氨酸与血红素铁协调，而硒代半胱氨酸对于催化至关重要。遗传分析表明，这两种残基对于体内硫呼吸至关重要。这些发现揭示了血红素中心对多硫化物还原的硒硫依赖性催化作用，扩大了我们对微生物能量代谢的理解。</w:t>
      </w:r>
    </w:p>
    <w:p>
      <w:pPr>
        <w:spacing w:before="0" w:after="200" w:lineRule="auto" w:line="276"/>
      </w:pPr>
      <w:r>
        <w:rPr>
          <w:b/>
        </w:rPr>
        <w:t xml:space="preserve">Abstract (EN): </w:t>
      </w:r>
      <w:r>
        <w:t>Elemental sulfur reduction is a key process in anaerobic ecosystems and the global sulfur cycle. Although elemental sulfur serves as a terminal electron acceptor in microbial respiration, the molecular basis is unclear. Here, we identify a conserved multiheme cytochrome</w:t>
      </w:r>
      <w:r>
        <w:t xml:space="preserve"> </w:t>
      </w:r>
      <w:r>
        <w:t>c</w:t>
      </w:r>
      <w:r>
        <w:t xml:space="preserve"> </w:t>
      </w:r>
      <w:r>
        <w:t>selenoprotein essential for sulfur reduction in a sulfur-respiring bacterium. Structural and biochemical analyses show that the enzyme forms a tetramer, with each subunit containing five hemes and one selenocysteine residue. The enzyme catalyzes polysulfide reduction at an active site, where a cysteine coordinates the heme iron, while selenocysteine is essential for catalysis. Genetic analyses show that both residues are critical for sulfur respiration in vivo. These findings reveal a selenium-sulfur-dependent catalysis on a heme center for polysulfide reduction, expanding our understanding of microbial energy metabolism.</w:t>
      </w:r>
    </w:p>
    <w:p>
      <w:pPr>
        <w:spacing w:before="120" w:after="120"/>
      </w:pPr>
      <w:r>
        <w:rPr>
          <w:sz w:val="18"/>
        </w:rPr>
        <w:t>——————————————————————————————————————————————————————————————————————</w:t>
      </w:r>
    </w:p>
    <w:p>
      <w:pPr>
        <w:spacing w:before="160" w:after="40" w:line="240" w:lineRule="auto"/>
      </w:pPr>
      <w:r>
        <w:rPr>
          <w:b/>
        </w:rPr>
        <w:t xml:space="preserve">[535] </w:t>
      </w:r>
      <w:hyperlink r:id="rId1502">
        <w:r>
          <w:rPr>
            <w:color w:val="1155CC"/>
            <w:u w:val="single"/>
          </w:rPr>
          <w:t>藻类特异性免疫调节影响共生珊瑚对热和病原体挑战的反应</w:t>
        </w:r>
      </w:hyperlink>
    </w:p>
    <w:p>
      <w:pPr>
        <w:spacing w:before="0" w:after="80"/>
      </w:pPr>
      <w:r>
        <w:rPr>
          <w:i/>
          <w:sz w:val="20"/>
        </w:rPr>
        <w:t>EN: Algae-specific immune modulation influences responses to heat and pathogen challenge in a symbiotic coral</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503">
        <w:r>
          <w:rPr>
            <w:color w:val="1155CC"/>
            <w:u w:val="single"/>
          </w:rPr>
          <w:t>10.1126/sciadv.ady0833</w:t>
        </w:r>
      </w:hyperlink>
    </w:p>
    <w:p>
      <w:pPr>
        <w:spacing w:before="0" w:after="120"/>
      </w:pPr>
      <w:r>
        <w:rPr>
          <w:b/>
        </w:rPr>
        <w:t xml:space="preserve">Notes: </w:t>
      </w:r>
      <w:r>
        <w:t>abstract_source=crossref</w:t>
      </w:r>
    </w:p>
    <w:p>
      <w:pPr>
        <w:spacing w:before="0" w:after="80" w:lineRule="auto" w:line="276"/>
      </w:pPr>
      <w:r>
        <w:rPr>
          <w:b/>
        </w:rPr>
        <w:t xml:space="preserve">摘要（ZH）: </w:t>
      </w:r>
      <w:r>
        <w:t>共生藻类在珊瑚生命史和宿主健康中的作用已有充分记录，但对宿主这些共生体的免疫和生理权衡的研究仍然较少。与该属的藻类共生体相关</w:t>
      </w:r>
      <w:r>
        <w:t xml:space="preserve"> </w:t>
      </w:r>
      <w:r>
        <w:t>杜鲁斯丁属</w:t>
      </w:r>
      <w:r>
        <w:t xml:space="preserve"> </w:t>
      </w:r>
      <w:r>
        <w:t>众所周知，它具有耐热性，但它也与压力下珊瑚组织的损失有关。我们研究了藻类类型是否影响热带珊瑚宿主的免疫力和应激反应</w:t>
      </w:r>
      <w:r>
        <w:t xml:space="preserve"> </w:t>
      </w:r>
      <w:r>
        <w:t>锐角珊瑚</w:t>
      </w:r>
      <w:r>
        <w:t xml:space="preserve"> </w:t>
      </w:r>
      <w:r>
        <w:t>。</w:t>
      </w:r>
      <w:r>
        <w:t xml:space="preserve"> </w:t>
      </w:r>
      <w:r>
        <w:t>杜鲁斯丁属</w:t>
      </w:r>
      <w:r>
        <w:t xml:space="preserve"> </w:t>
      </w:r>
      <w:r>
        <w:t>- 托管（</w:t>
      </w:r>
      <w:r>
        <w:t xml:space="preserve"> </w:t>
      </w:r>
      <w:r>
        <w:t>D</w:t>
      </w:r>
      <w:r>
        <w:t xml:space="preserve"> </w:t>
      </w:r>
      <w:r>
        <w:t>- 托管）</w:t>
      </w:r>
      <w:r>
        <w:t xml:space="preserve"> </w:t>
      </w:r>
      <w:r>
        <w:t>锐蠹</w:t>
      </w:r>
      <w:r>
        <w:t xml:space="preserve"> </w:t>
      </w:r>
      <w:r>
        <w:t>与宿主珊瑚相比，具有独特的转录组特征、更高的免疫相关基因表达以及更高的免疫转录因子核因子 κB 基线水平</w:t>
      </w:r>
      <w:r>
        <w:t xml:space="preserve"> </w:t>
      </w:r>
      <w:r>
        <w:t>枝叶属</w:t>
      </w:r>
      <w:r>
        <w:t xml:space="preserve"> </w:t>
      </w:r>
      <w:r>
        <w:t>（</w:t>
      </w:r>
      <w:r>
        <w:t xml:space="preserve"> </w:t>
      </w:r>
      <w:r>
        <w:t>C</w:t>
      </w:r>
      <w:r>
        <w:t xml:space="preserve"> </w:t>
      </w:r>
      <w:r>
        <w:t>- 托管）。在炎热的挑战下，</w:t>
      </w:r>
      <w:r>
        <w:t xml:space="preserve"> </w:t>
      </w:r>
      <w:r>
        <w:t>D</w:t>
      </w:r>
      <w:r>
        <w:t xml:space="preserve"> </w:t>
      </w:r>
      <w:r>
        <w:t>- 托管</w:t>
      </w:r>
      <w:r>
        <w:t xml:space="preserve"> </w:t>
      </w:r>
      <w:r>
        <w:t>锐蠹</w:t>
      </w:r>
      <w:r>
        <w:t xml:space="preserve"> </w:t>
      </w:r>
      <w:r>
        <w:t>表现出组织损失、氧化应激以及免疫和微生物失调，而</w:t>
      </w:r>
      <w:r>
        <w:t xml:space="preserve"> </w:t>
      </w:r>
      <w:r>
        <w:t>C</w:t>
      </w:r>
      <w:r>
        <w:t xml:space="preserve"> </w:t>
      </w:r>
      <w:r>
        <w:t>- 托管</w:t>
      </w:r>
      <w:r>
        <w:t xml:space="preserve"> </w:t>
      </w:r>
      <w:r>
        <w:t>锐蠹</w:t>
      </w:r>
      <w:r>
        <w:t xml:space="preserve"> </w:t>
      </w:r>
      <w:r>
        <w:t>更容易受到漂白、代谢失调以及固氮和抗氧化细菌减少的影响。最后，细菌感染</w:t>
      </w:r>
      <w:r>
        <w:t xml:space="preserve"> </w:t>
      </w:r>
      <w:r>
        <w:t>解珊瑚弧菌</w:t>
      </w:r>
      <w:r>
        <w:t xml:space="preserve"> </w:t>
      </w:r>
      <w:r>
        <w:t>造成大量组织损失</w:t>
      </w:r>
      <w:r>
        <w:t xml:space="preserve"> </w:t>
      </w:r>
      <w:r>
        <w:t>D</w:t>
      </w:r>
    </w:p>
    <w:p>
      <w:pPr>
        <w:spacing w:before="0" w:after="200" w:lineRule="auto" w:line="276"/>
      </w:pPr>
      <w:r>
        <w:rPr>
          <w:b/>
        </w:rPr>
        <w:t xml:space="preserve">Abstract (EN): </w:t>
      </w:r>
      <w:r>
        <w:t>The role of symbiotic algae in coral life history and host health is well documented, but the immune and physiological trade-offs of hosting these symbionts remain less explored. While association with the algal symbionts of the genus</w:t>
      </w:r>
      <w:r>
        <w:t xml:space="preserve"> </w:t>
      </w:r>
      <w:r>
        <w:t>Durusdinium</w:t>
      </w:r>
      <w:r>
        <w:t xml:space="preserve"> </w:t>
      </w:r>
      <w:r>
        <w:t>is known to confer thermotolerance, it has also been linked to coral tissue loss under stress. We investigated whether algal type influences host immunity and stress responses in the tropical coral</w:t>
      </w:r>
      <w:r>
        <w:t xml:space="preserve"> </w:t>
      </w:r>
      <w:r>
        <w:t>Pocillopora acuta</w:t>
      </w:r>
      <w:r>
        <w:t xml:space="preserve"> </w:t>
      </w:r>
      <w:r>
        <w:t>.</w:t>
      </w:r>
      <w:r>
        <w:t xml:space="preserve"> </w:t>
      </w:r>
      <w:r>
        <w:t>Durusdinium</w:t>
      </w:r>
      <w:r>
        <w:t xml:space="preserve"> </w:t>
      </w:r>
      <w:r>
        <w:t>-hosting (</w:t>
      </w:r>
      <w:r>
        <w:t xml:space="preserve"> </w:t>
      </w:r>
      <w:r>
        <w:t>D</w:t>
      </w:r>
      <w:r>
        <w:t xml:space="preserve"> </w:t>
      </w:r>
      <w:r>
        <w:t>-hosting)</w:t>
      </w:r>
      <w:r>
        <w:t xml:space="preserve"> </w:t>
      </w:r>
      <w:r>
        <w:t>P. acuta</w:t>
      </w:r>
      <w:r>
        <w:t xml:space="preserve"> </w:t>
      </w:r>
      <w:r>
        <w:t>have distinct transcriptomic profiles, higher immune-related gene expression, and elevated baseline levels of immunity transcription factor nuclear factor κB as compared to corals hosting</w:t>
      </w:r>
      <w:r>
        <w:t xml:space="preserve"> </w:t>
      </w:r>
      <w:r>
        <w:t>Cladocopium</w:t>
      </w:r>
      <w:r>
        <w:t xml:space="preserve"> </w:t>
      </w:r>
      <w:r>
        <w:t>(</w:t>
      </w:r>
      <w:r>
        <w:t xml:space="preserve"> </w:t>
      </w:r>
      <w:r>
        <w:t>C</w:t>
      </w:r>
      <w:r>
        <w:t xml:space="preserve"> </w:t>
      </w:r>
      <w:r>
        <w:t>-hosting). Under heat challenge,</w:t>
      </w:r>
      <w:r>
        <w:t xml:space="preserve"> </w:t>
      </w:r>
      <w:r>
        <w:t>D</w:t>
      </w:r>
      <w:r>
        <w:t xml:space="preserve"> </w:t>
      </w:r>
      <w:r>
        <w:t>-hosting</w:t>
      </w:r>
      <w:r>
        <w:t xml:space="preserve"> </w:t>
      </w:r>
      <w:r>
        <w:t>P. acuta</w:t>
      </w:r>
      <w:r>
        <w:t xml:space="preserve"> </w:t>
      </w:r>
      <w:r>
        <w:t>exhibited tissue loss, oxidative stress, and immune and microbial dysregulation, whereas</w:t>
      </w:r>
      <w:r>
        <w:t xml:space="preserve"> </w:t>
      </w:r>
      <w:r>
        <w:t>C</w:t>
      </w:r>
      <w:r>
        <w:t xml:space="preserve"> </w:t>
      </w:r>
      <w:r>
        <w:t>-hosting</w:t>
      </w:r>
      <w:r>
        <w:t xml:space="preserve"> </w:t>
      </w:r>
      <w:r>
        <w:t>P. acuta</w:t>
      </w:r>
      <w:r>
        <w:t xml:space="preserve"> </w:t>
      </w:r>
      <w:r>
        <w:t>were more susceptible to bleaching, metabolic dysregulation, and decline in nitrogen-fixing and antioxidant-producing bacteria. Last, infection with the bacterium</w:t>
      </w:r>
      <w:r>
        <w:t xml:space="preserve"> </w:t>
      </w:r>
      <w:r>
        <w:t>Vibrio coralliilyticus</w:t>
      </w:r>
      <w:r>
        <w:t xml:space="preserve"> </w:t>
      </w:r>
      <w:r>
        <w:t>caused high tissue loss in</w:t>
      </w:r>
      <w:r>
        <w:t xml:space="preserve"> </w:t>
      </w:r>
      <w:r>
        <w:t>D</w:t>
      </w:r>
      <w:r>
        <w:t xml:space="preserve"> </w:t>
      </w:r>
      <w:r>
        <w:t>-hosting corals but not in</w:t>
      </w:r>
      <w:r>
        <w:t xml:space="preserve"> </w:t>
      </w:r>
      <w:r>
        <w:t>C</w:t>
      </w:r>
      <w:r>
        <w:t xml:space="preserve"> </w:t>
      </w:r>
      <w:r>
        <w:t>-hosting corals. Our results suggest a mechanism for how</w:t>
      </w:r>
      <w:r>
        <w:t xml:space="preserve"> </w:t>
      </w:r>
      <w:r>
        <w:t>Durusdinium</w:t>
      </w:r>
      <w:r>
        <w:t xml:space="preserve"> </w:t>
      </w:r>
      <w:r>
        <w:t>association enhances thermotolerance yet predisposes corals to tissue damage under stress, suggesting immune trade-offs that can compromise host survival under multiple stressors.</w:t>
      </w:r>
    </w:p>
    <w:p>
      <w:pPr>
        <w:spacing w:before="120" w:after="120"/>
      </w:pPr>
      <w:r>
        <w:rPr>
          <w:sz w:val="18"/>
        </w:rPr>
        <w:t>——————————————————————————————————————————————————————————————————————</w:t>
      </w:r>
    </w:p>
    <w:p>
      <w:pPr>
        <w:spacing w:before="160" w:after="40" w:line="240" w:lineRule="auto"/>
      </w:pPr>
      <w:r>
        <w:rPr>
          <w:b/>
        </w:rPr>
        <w:t xml:space="preserve">[536] </w:t>
      </w:r>
      <w:hyperlink r:id="rId1504">
        <w:r>
          <w:rPr>
            <w:color w:val="1155CC"/>
            <w:u w:val="single"/>
          </w:rPr>
          <w:t>一种用于量子耦合通道计算的保证收敛的二次缩放算法</w:t>
        </w:r>
      </w:hyperlink>
    </w:p>
    <w:p>
      <w:pPr>
        <w:spacing w:before="0" w:after="80"/>
      </w:pPr>
      <w:r>
        <w:rPr>
          <w:i/>
          <w:sz w:val="20"/>
        </w:rPr>
        <w:t>EN: A quadratic-scaling algorithm with guaranteed convergence for quantum coupled-channel calculations</w:t>
      </w:r>
    </w:p>
    <w:p>
      <w:pPr>
        <w:spacing w:before="0" w:after="120"/>
      </w:pPr>
      <w:r>
        <w:rPr>
          <w:b/>
        </w:rPr>
        <w:t xml:space="preserve">Source: </w:t>
      </w:r>
      <w:r>
        <w:t>AAAS: Science Advances: Table of Contents</w:t>
      </w:r>
      <w:r>
        <w:t xml:space="preserve">    </w:t>
      </w:r>
      <w:r>
        <w:rPr>
          <w:b/>
        </w:rPr>
        <w:t xml:space="preserve">Pub date: </w:t>
      </w:r>
      <w:r>
        <w:t>2026-08-26 07:00:00+00:00</w:t>
      </w:r>
      <w:r>
        <w:t xml:space="preserve">    </w:t>
      </w:r>
      <w:r>
        <w:rPr>
          <w:b/>
        </w:rPr>
        <w:t xml:space="preserve">DOI: </w:t>
      </w:r>
      <w:hyperlink r:id="rId1505">
        <w:r>
          <w:rPr>
            <w:color w:val="1155CC"/>
            <w:u w:val="single"/>
          </w:rPr>
          <w:t>10.1126/sciadv.aef1257</w:t>
        </w:r>
      </w:hyperlink>
    </w:p>
    <w:p>
      <w:pPr>
        <w:spacing w:before="0" w:after="120"/>
      </w:pPr>
      <w:r>
        <w:rPr>
          <w:b/>
        </w:rPr>
        <w:t xml:space="preserve">Notes: </w:t>
      </w:r>
      <w:r>
        <w:t>abstract_source=crossref</w:t>
      </w:r>
    </w:p>
    <w:p>
      <w:pPr>
        <w:spacing w:before="0" w:after="80" w:lineRule="auto" w:line="276"/>
      </w:pPr>
      <w:r>
        <w:rPr>
          <w:b/>
        </w:rPr>
        <w:t xml:space="preserve">摘要（ZH）: </w:t>
      </w:r>
      <w:r>
        <w:t>严格的量子动力学计算为原子和分子物理学、化学反应动力学和天体化学中的复杂散射现象提供了重要的见解。然而，黄金标准量子耦合通道（CC）方法的应用从根本上受到计算成本急剧立方缩放的限制</w:t>
      </w:r>
      <w:r>
        <w:t xml:space="preserve"> </w:t>
      </w:r>
      <w:r>
        <w:t>[</w:t>
      </w:r>
      <w:r>
        <w:t xml:space="preserve"> </w:t>
      </w:r>
      <w:r>
        <w:t>氧</w:t>
      </w:r>
      <w:r>
        <w:t xml:space="preserve"> </w:t>
      </w:r>
      <w:r>
        <w:t>（</w:t>
      </w:r>
      <w:r>
        <w:t xml:space="preserve"> </w:t>
      </w:r>
      <w:r>
        <w:t>氮</w:t>
      </w:r>
      <w:r>
        <w:rPr>
          <w:vertAlign w:val="subscript"/>
        </w:rPr>
        <w:t>3</w:t>
      </w:r>
      <w:r>
        <w:t xml:space="preserve"> </w:t>
      </w:r>
      <w:r>
        <w:t>）</w:t>
      </w:r>
      <w:r>
        <w:t xml:space="preserve"> </w:t>
      </w:r>
      <w:r>
        <w:t>]</w:t>
      </w:r>
      <w:r>
        <w:t xml:space="preserve"> </w:t>
      </w:r>
      <w:r>
        <w:t>。在这里，我们开发了一种通用、严格且稳健的方法，用于求解具有二次缩放的单列散射 S 矩阵的与时间无关的薛定谔方程</w:t>
      </w:r>
      <w:r>
        <w:t xml:space="preserve"> </w:t>
      </w:r>
      <w:r>
        <w:t>[</w:t>
      </w:r>
      <w:r>
        <w:t xml:space="preserve"> </w:t>
      </w:r>
      <w:r>
        <w:t>氧</w:t>
      </w:r>
      <w:r>
        <w:t xml:space="preserve"> </w:t>
      </w:r>
      <w:r>
        <w:t>（</w:t>
      </w:r>
      <w:r>
        <w:t xml:space="preserve"> </w:t>
      </w:r>
      <w:r>
        <w:t>氮</w:t>
      </w:r>
      <w:r>
        <w:rPr>
          <w:vertAlign w:val="subscript"/>
        </w:rPr>
        <w:t>2</w:t>
      </w:r>
      <w:r>
        <w:t xml:space="preserve"> </w:t>
      </w:r>
      <w:r>
        <w:t>）</w:t>
      </w:r>
      <w:r>
        <w:t xml:space="preserve"> </w:t>
      </w:r>
      <w:r>
        <w:t>]</w:t>
      </w:r>
    </w:p>
    <w:p>
      <w:pPr>
        <w:spacing w:before="0" w:after="200" w:lineRule="auto" w:line="276"/>
      </w:pPr>
      <w:r>
        <w:rPr>
          <w:b/>
        </w:rPr>
        <w:t xml:space="preserve">Abstract (EN): </w:t>
      </w:r>
      <w:r>
        <w:t>Rigorous quantum dynamics calculations provide essential insights into complex scattering phenomena across atomic and molecular physics, chemical reaction dynamics, and astrochemistry. However, the application of the gold-standard quantum coupled-channel (CC) method has been fundamentally constrained by a steep cubic scaling of computational cost</w:t>
      </w:r>
      <w:r>
        <w:t xml:space="preserve"> </w:t>
      </w:r>
      <w:r>
        <w:t>[</w:t>
      </w:r>
      <w:r>
        <w:t xml:space="preserve"> </w:t>
      </w:r>
      <w:r>
        <w:t>O</w:t>
      </w:r>
      <w:r>
        <w:t xml:space="preserve"> </w:t>
      </w:r>
      <w:r>
        <w:t>(</w:t>
      </w:r>
      <w:r>
        <w:t xml:space="preserve"> </w:t>
      </w:r>
      <w:r>
        <w:t>N</w:t>
      </w:r>
      <w:r>
        <w:rPr>
          <w:vertAlign w:val="subscript"/>
        </w:rPr>
        <w:t>3</w:t>
      </w:r>
      <w:r>
        <w:t xml:space="preserve"> </w:t>
      </w:r>
      <w:r>
        <w:t>)</w:t>
      </w:r>
      <w:r>
        <w:t xml:space="preserve"> </w:t>
      </w:r>
      <w:r>
        <w:t>]</w:t>
      </w:r>
      <w:r>
        <w:t xml:space="preserve"> </w:t>
      </w:r>
      <w:r>
        <w:t>. Here, we develop a general, rigorous, and robust method for solving the time-independent Schrödinger equation for a single column of the scattering S-matrix with quadratic scaling</w:t>
      </w:r>
      <w:r>
        <w:t xml:space="preserve"> </w:t>
      </w:r>
      <w:r>
        <w:t>[</w:t>
      </w:r>
      <w:r>
        <w:t xml:space="preserve"> </w:t>
      </w:r>
      <w:r>
        <w:t>O</w:t>
      </w:r>
      <w:r>
        <w:t xml:space="preserve"> </w:t>
      </w:r>
      <w:r>
        <w:t>(</w:t>
      </w:r>
      <w:r>
        <w:t xml:space="preserve"> </w:t>
      </w:r>
      <w:r>
        <w:t>N</w:t>
      </w:r>
      <w:r>
        <w:rPr>
          <w:vertAlign w:val="subscript"/>
        </w:rPr>
        <w:t>2</w:t>
      </w:r>
      <w:r>
        <w:t xml:space="preserve"> </w:t>
      </w:r>
      <w:r>
        <w:t>)</w:t>
      </w:r>
      <w:r>
        <w:t xml:space="preserve"> </w:t>
      </w:r>
      <w:r>
        <w:t>]</w:t>
      </w:r>
      <w:r>
        <w:t xml:space="preserve"> </w:t>
      </w:r>
      <w:r>
        <w:t>in the number of channels. The Weinberg-regularized Iterative Series Expansion (WISE) algorithm resolves the divergence issues affecting iterative techniques by applying a regularization procedure to the kernel of the multichannel Lippmann-Schwinger integral equation. The method also explicitly incorporates closed-channel effects, including those responsible for multichannel Feshbach resonances. We demonstrate the power of this approach by performing rigorous calculations on He + CO and CO + N</w:t>
      </w:r>
      <w:r>
        <w:rPr>
          <w:vertAlign w:val="subscript"/>
        </w:rPr>
        <w:t>2</w:t>
      </w:r>
      <w:r>
        <w:t>collisions, achieving exact quantum results with quadratic scaling guaranteed by a contour-integral construction. Our results establish a highly scalable computational paradigm, enabling state-to-state quantum scattering computations for complex molecular systems.</w:t>
      </w:r>
    </w:p>
    <w:p>
      <w:pPr>
        <w:spacing w:before="120" w:after="120"/>
      </w:pPr>
      <w:r>
        <w:rPr>
          <w:sz w:val="18"/>
        </w:rPr>
        <w:t>——————————————————————————————————————————————————————————————————————</w:t>
      </w:r>
    </w:p>
    <w:p>
      <w:pPr>
        <w:spacing w:before="160" w:after="40" w:line="240" w:lineRule="auto"/>
      </w:pPr>
      <w:r>
        <w:rPr>
          <w:b/>
        </w:rPr>
        <w:t xml:space="preserve">[537] </w:t>
      </w:r>
      <w:hyperlink r:id="rId1506">
        <w:r>
          <w:rPr>
            <w:color w:val="1155CC"/>
            <w:u w:val="single"/>
          </w:rPr>
          <w:t>用于可视化巨自噬活性和靶向降解的半合成 LC3 相互作用降解剂</w:t>
        </w:r>
      </w:hyperlink>
    </w:p>
    <w:p>
      <w:pPr>
        <w:spacing w:before="0" w:after="80"/>
      </w:pPr>
      <w:r>
        <w:rPr>
          <w:i/>
          <w:sz w:val="20"/>
        </w:rPr>
        <w:t>EN: Semi‐Synthetic LC3‐Interacting Degrader for Visualizing Macroautophagic Activity and Targeted Degradation</w:t>
      </w:r>
    </w:p>
    <w:p>
      <w:pPr>
        <w:spacing w:before="0" w:after="120"/>
      </w:pPr>
      <w:r>
        <w:rPr>
          <w:b/>
        </w:rPr>
        <w:t xml:space="preserve">Source: </w:t>
      </w:r>
      <w:r>
        <w:t>Wiley: Angewandte Chemie International Edition: Table of Contents</w:t>
      </w:r>
      <w:r>
        <w:t xml:space="preserve">    </w:t>
      </w:r>
      <w:r>
        <w:rPr>
          <w:b/>
        </w:rPr>
        <w:t xml:space="preserve">Pub date: </w:t>
      </w:r>
      <w:r>
        <w:t>2026-08-26 07:10:50+00:00</w:t>
      </w:r>
      <w:r>
        <w:t xml:space="preserve">    </w:t>
      </w:r>
      <w:r>
        <w:rPr>
          <w:b/>
        </w:rPr>
        <w:t xml:space="preserve">DOI: </w:t>
      </w:r>
      <w:hyperlink r:id="rId1507">
        <w:r>
          <w:rPr>
            <w:color w:val="1155CC"/>
            <w:u w:val="single"/>
          </w:rPr>
          <w:t>10.1002/anie.7042721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巨自噬是细胞稳态的核心，并成为靶向降解的一种有前景的途径。然而，仍然缺乏可视化巨自噬通量和降解的有效方法。在这里，我们开发了一个半</w:t>
      </w:r>
      <w:r>
        <w:t xml:space="preserve"> </w:t>
      </w:r>
      <w:r>
        <w:t>s</w:t>
      </w:r>
      <w:r>
        <w:t xml:space="preserve"> </w:t>
      </w:r>
      <w:r>
        <w:t>合成的</w:t>
      </w:r>
      <w:r>
        <w:t xml:space="preserve"> </w:t>
      </w:r>
      <w:r>
        <w:t>L</w:t>
      </w:r>
      <w:r>
        <w:t xml:space="preserve"> </w:t>
      </w:r>
      <w:r>
        <w:t>C3-</w:t>
      </w:r>
      <w:r>
        <w:t>我</w:t>
      </w:r>
      <w:r>
        <w:t xml:space="preserve"> </w:t>
      </w:r>
      <w:r>
        <w:t>互动</w:t>
      </w:r>
      <w:r>
        <w:t xml:space="preserve"> </w:t>
      </w:r>
      <w:r>
        <w:t>d</w:t>
      </w:r>
      <w:r>
        <w:t xml:space="preserve"> </w:t>
      </w:r>
      <w:r>
        <w:t>egrader (SLID)，可实现巨自噬活动的荧光成像和靶向降解的可视化。 SLID 是通过将 LC3 相互作用区 (LIR) 与自标记标签和寡聚基序融合而设计的，LIR 用于与自噬体结合，寡聚基序用于增强结合，自标记标签用于使用 pH 指示剂可视化自噬体形成。 SLID 通过二聚化诱导的邻近系统进一步与抗体结构域偶联，从而实现靶蛋白的化学诱导降解。我们表明，该 SLID 平台可以有效降解多种靶蛋白，例如与疾病相关的易聚集蛋白和相分离的冷凝物。 SLID 还揭示了衰老细胞中巨自噬活性的升高，并被重新用于通过降解促生存和抗凋亡蛋白来诱导衰老细胞凋亡。我们的研究强调了 SLID 作为研究巨自噬和靶向蛋白质降解的多功能工具的巨大前景。</w:t>
      </w:r>
    </w:p>
    <w:p>
      <w:pPr>
        <w:spacing w:before="0" w:after="200" w:lineRule="auto" w:line="276"/>
      </w:pPr>
      <w:r>
        <w:rPr>
          <w:b/>
        </w:rPr>
        <w:t xml:space="preserve">Abstract (EN): </w:t>
      </w:r>
      <w:r>
        <w:t>Macroautophagy is central to cellular homeostasis and emerges as a promising avenue for targeted degradation. However, there is still a lack of efficient approaches allowing for visualizing macroautophagic flux and degradation. Here we develop a semi‐</w:t>
      </w:r>
      <w:r>
        <w:t xml:space="preserve"> </w:t>
      </w:r>
      <w:r>
        <w:t>s</w:t>
      </w:r>
      <w:r>
        <w:t xml:space="preserve"> </w:t>
      </w:r>
      <w:r>
        <w:t>ynthetic</w:t>
      </w:r>
      <w:r>
        <w:t xml:space="preserve"> </w:t>
      </w:r>
      <w:r>
        <w:t>L</w:t>
      </w:r>
      <w:r>
        <w:t xml:space="preserve"> </w:t>
      </w:r>
      <w:r>
        <w:t>C3‐</w:t>
      </w:r>
      <w:r>
        <w:t xml:space="preserve"> </w:t>
      </w:r>
      <w:r>
        <w:t>i</w:t>
      </w:r>
      <w:r>
        <w:t xml:space="preserve"> </w:t>
      </w:r>
      <w:r>
        <w:t>nteracting</w:t>
      </w:r>
      <w:r>
        <w:t xml:space="preserve"> </w:t>
      </w:r>
      <w:r>
        <w:t>d</w:t>
      </w:r>
      <w:r>
        <w:t xml:space="preserve"> </w:t>
      </w:r>
      <w:r>
        <w:t>egrader (SLID) that enables fluorogenic imaging of macroautophagic activities and visualization of targeted degradation. SLID is engineered by fusing LC3‐interacting regions (LIRs) to a self‐labeling tag and an oligomeric motif, with the LIRs for binding to autophagosomes, the oligomeric motif for enhancing the binding, and the self‐labeling tag for visualizing autophagosome formation using a pH indicator. SLID is further coupled to an antibody domain through a dimerization‐induced proximity system, allowing chemically inducible degradation of target proteins. We show that this SLID platform permits efficient degradation of diverse target proteins such as disease‐associated aggregation‐prone proteins and phase‐separated condensates. SLID also reveals elevated macroautophagic activities in senescent cells, and is repurposed for inducing senescent cell apoptosis via degradation of pro‐survival and anti‐apoptotic proteins. Our study highlights the great promise of SLID as a versatile tool for studying macroautophagy and targeted protein degradation.</w:t>
      </w:r>
    </w:p>
    <w:p>
      <w:pPr>
        <w:spacing w:before="120" w:after="120"/>
      </w:pPr>
      <w:r>
        <w:rPr>
          <w:sz w:val="18"/>
        </w:rPr>
        <w:t>——————————————————————————————————————————————————————————————————————</w:t>
      </w:r>
    </w:p>
    <w:p>
      <w:pPr>
        <w:spacing w:before="160" w:after="40" w:line="240" w:lineRule="auto"/>
      </w:pPr>
      <w:r>
        <w:rPr>
          <w:b/>
        </w:rPr>
        <w:t xml:space="preserve">[538] </w:t>
      </w:r>
      <w:hyperlink r:id="rId1508">
        <w:r>
          <w:rPr>
            <w:color w:val="1155CC"/>
            <w:u w:val="single"/>
          </w:rPr>
          <w:t>提高前列腺癌的诊断准确性：结合临床 PSA 水平和一对 SLC39A1 和 PSMA 的 NIR 荧光探针</w:t>
        </w:r>
      </w:hyperlink>
    </w:p>
    <w:p>
      <w:pPr>
        <w:spacing w:before="0" w:after="80"/>
      </w:pPr>
      <w:r>
        <w:rPr>
          <w:i/>
          <w:sz w:val="20"/>
        </w:rPr>
        <w:t>EN: Boosting Diagnostic Accuracy of Prostate Cancer: Combining Clinical PSA Level and a Pair of NIR Fluorescent Probes for SLC39A1 and PSMA</w:t>
      </w:r>
    </w:p>
    <w:p>
      <w:pPr>
        <w:spacing w:before="0" w:after="120"/>
      </w:pPr>
      <w:r>
        <w:rPr>
          <w:b/>
        </w:rPr>
        <w:t xml:space="preserve">Source: </w:t>
      </w:r>
      <w:r>
        <w:t>Wiley: Angewandte Chemie International Edition: Table of Contents</w:t>
      </w:r>
      <w:r>
        <w:t xml:space="preserve">    </w:t>
      </w:r>
      <w:r>
        <w:rPr>
          <w:b/>
        </w:rPr>
        <w:t xml:space="preserve">Pub date: </w:t>
      </w:r>
      <w:r>
        <w:t>2026-08-26 07:19:10+00:00</w:t>
      </w:r>
      <w:r>
        <w:t xml:space="preserve">    </w:t>
      </w:r>
      <w:r>
        <w:rPr>
          <w:b/>
        </w:rPr>
        <w:t xml:space="preserve">DOI: </w:t>
      </w:r>
      <w:hyperlink r:id="rId1509">
        <w:r>
          <w:rPr>
            <w:color w:val="1155CC"/>
            <w:u w:val="single"/>
          </w:rPr>
          <w:t>10.1002/anie.9280379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前列腺癌（PCa）是全球男性的主要恶性肿瘤。尽管血清前列腺特异性抗原 (PSA) 检测在 PCa 筛查中很普遍，但其特异性和敏感性的固有局限性经常导致高假阳性和假阴性诊断。为了应对这一挑战，我们提出了一种 PSA+ 策略，将临床定义的 PSA 阈值 (10 ng/mL) 与一对互补的近红外 (NIR) 荧光探针相结合：针对锌转运蛋白溶质载体家族 39 成员 1 (SLC39A1) 的锌复合物探针 (Cy-O-NS-a-Zn) 和谷氨酸-尿素-赖氨酸 (Glu-Urea-Lys)靶向前列腺特异性膜抗原（PSMA）的配体探针（Cy-S-Glu）。这种组合方法可以准确区分 PCa 和正常前列腺细胞，在具有稳健的肿瘤背景比 (TBR) 的患者来源异种移植 (PDX) 小鼠模型中描绘肿瘤边缘，并实现荧光引导手术。重要的是，使用 70 例人类前列腺组织标本进行的双盲组织病理学验证表明，PSA+ 策略大大优于单独的 PSA 检测，将诊断特异性从 70% 提高到 97.6%，敏感性从 75% 提高到 96.8%。总的来说，这项工作提供了一种快速、准确和全面的诊断范式，补充了标准 PSA 测试，从而改进了 PCa 的临床诊断和决策。</w:t>
      </w:r>
    </w:p>
    <w:p>
      <w:pPr>
        <w:spacing w:before="0" w:after="200" w:lineRule="auto" w:line="276"/>
      </w:pPr>
      <w:r>
        <w:rPr>
          <w:b/>
        </w:rPr>
        <w:t xml:space="preserve">Abstract (EN): </w:t>
      </w:r>
      <w:r>
        <w:t>Prostate cancer (PCa) is a leading malignancy in men globally. Although serum prostate‐specific antigen (PSA) testing is prevalent for PCa screening, its inherent limitation in specificity and sensitivity frequently leads to high false‐positive and false‐negative diagnoses. To address this challenge, we present a PSA+ strategy that integrates a clinically defined PSA threshold (10 ng/mL) with a pair of complementary near‐infrared (NIR) fluorescent probes: a zinc‐complex‐based probe (Cy‐O‐NS‐a‐Zn) targeting the zinc transporter solute carrier family 39 member 1 (SLC39A1), and a glutamate‐urea‐lysine (Glu‐Urea‐Lys) ligand‐based probe (Cy‐S‐Glu) targeting prostate‐specific membrane antigen (PSMA). This combinatorial approach accurately discriminates PCa from normal prostate cells, delineates tumor margins in patient‐derived xenograft (PDX) mouse models with robust tumor‐to‐background ratios (TBR), and enables fluorescence‐guided surgery. Importantly, a double‐blind histopathological validation using 70 cases of human prostate tissue specimens revealed that the PSA+ strategy substantially outperformed PSA testing alone, improving diagnostic specificity from 70% to 97.6% and sensitivity from 75% to 96.8%. Collectively, this work provides a rapid, accurate, and comprehensive diagnostic paradigm that complements standard PSA testing, thereby refining clinical diagnosis and decision‐making in PCa.</w:t>
      </w:r>
    </w:p>
    <w:p>
      <w:pPr>
        <w:spacing w:before="120" w:after="120"/>
      </w:pPr>
      <w:r>
        <w:rPr>
          <w:sz w:val="18"/>
        </w:rPr>
        <w:t>——————————————————————————————————————————————————————————————————————</w:t>
      </w:r>
    </w:p>
    <w:p>
      <w:pPr>
        <w:spacing w:before="160" w:after="40" w:line="240" w:lineRule="auto"/>
      </w:pPr>
      <w:r>
        <w:rPr>
          <w:b/>
        </w:rPr>
        <w:t xml:space="preserve">[539] </w:t>
      </w:r>
      <w:hyperlink r:id="rId1510">
        <w:r>
          <w:rPr>
            <w:color w:val="1155CC"/>
            <w:u w:val="single"/>
          </w:rPr>
          <w:t>细菌介导的 Pt(IV) 药物的靶向递送和深层肿瘤渗透使协同化疗免疫疗法成为可能</w:t>
        </w:r>
      </w:hyperlink>
    </w:p>
    <w:p>
      <w:pPr>
        <w:spacing w:before="0" w:after="80"/>
      </w:pPr>
      <w:r>
        <w:rPr>
          <w:i/>
          <w:sz w:val="20"/>
        </w:rPr>
        <w:t>EN: Bacteria‐Mediated Targeted Delivery and Deep Tumor Penetration of a Pt(IV)‐Drug Enables Synergistic Chemo‐Immunotherapy</w:t>
      </w:r>
    </w:p>
    <w:p>
      <w:pPr>
        <w:spacing w:before="0" w:after="120"/>
      </w:pPr>
      <w:r>
        <w:rPr>
          <w:b/>
        </w:rPr>
        <w:t xml:space="preserve">Source: </w:t>
      </w:r>
      <w:r>
        <w:t>Wiley: Angewandte Chemie International Edition: Table of Contents</w:t>
      </w:r>
      <w:r>
        <w:t xml:space="preserve">    </w:t>
      </w:r>
      <w:r>
        <w:rPr>
          <w:b/>
        </w:rPr>
        <w:t xml:space="preserve">Pub date: </w:t>
      </w:r>
      <w:r>
        <w:t>2026-08-26 07:28:25+00:00</w:t>
      </w:r>
      <w:r>
        <w:t xml:space="preserve">    </w:t>
      </w:r>
      <w:r>
        <w:rPr>
          <w:b/>
        </w:rPr>
        <w:t xml:space="preserve">DOI: </w:t>
      </w:r>
      <w:hyperlink r:id="rId1511">
        <w:r>
          <w:rPr>
            <w:color w:val="1155CC"/>
            <w:u w:val="single"/>
          </w:rPr>
          <w:t>10.1002/anie.1710587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铂类药物在临床上对于癌症治疗至关重要，但存在脱靶细胞毒性和肿瘤渗透性差的问题。为了克服这些限制，我们设计了一种肿瘤靶向的 Pt(IV) 药物-细菌缀合物（</w:t>
      </w:r>
      <w:r>
        <w:t xml:space="preserve"> </w:t>
      </w:r>
      <w:r>
        <w:t>Pt-EcN-HER2</w:t>
      </w:r>
      <w:r>
        <w:t xml:space="preserve"> </w:t>
      </w:r>
      <w:r>
        <w:t>）。这种结合物利用了益生菌固有的肿瘤趋向性</w:t>
      </w:r>
      <w:r>
        <w:t xml:space="preserve"> </w:t>
      </w:r>
      <w:r>
        <w:t>大肠杆菌</w:t>
      </w:r>
      <w:r>
        <w:t xml:space="preserve"> </w:t>
      </w:r>
      <w:r>
        <w:t>Nissle 1917 (EcN) 在肿瘤微环境 (TME) 内实现靶向积累和深度渗透。一旦定位，瘤内过氧化氢（H</w:t>
      </w:r>
      <w:r>
        <w:rPr>
          <w:vertAlign w:val="subscript"/>
        </w:rPr>
        <w:t>2</w:t>
      </w:r>
      <w:r>
        <w:t>氧</w:t>
      </w:r>
      <w:r>
        <w:rPr>
          <w:vertAlign w:val="subscript"/>
        </w:rPr>
        <w:t>2</w:t>
      </w:r>
      <w:r>
        <w:t>) 和谷胱甘肽 (GSH) 激活 Pt(IV) 药物。激活同时在 TME 内释放细胞毒性顺铂和腺苷 A2A 受体 (A2AR) 拮抗剂。释放的顺铂会诱导 DNA 损伤和细胞死亡，并因还原剂的同时消耗而放大，从而促进多种死亡途径。同时，A2AR 拮抗剂竞争性阻断腺苷介导的免疫抑制信号传导，激活 TME 中的免疫细胞。这种化学免疫双重治疗作用能够有效根除肿瘤。细菌介导的递送策略从根本上解决了渗透障碍，增强了肿瘤特异性 Pt(IV) 药物的递送和激活，减轻了全身毒性，并克服了 TME 免疫抑制，从而显着增强了实体瘤的铂类化学免疫疗法。</w:t>
      </w:r>
    </w:p>
    <w:p>
      <w:pPr>
        <w:spacing w:before="0" w:after="200" w:lineRule="auto" w:line="276"/>
      </w:pPr>
      <w:r>
        <w:rPr>
          <w:b/>
        </w:rPr>
        <w:t xml:space="preserve">Abstract (EN): </w:t>
      </w:r>
      <w:r>
        <w:t>Platinum‐based drugs are clinically vital for cancer treatment but suffer from off‐target cytotoxicity and poor tumor penetration. To overcome these limitations, we designed a tumor‐targeted Pt(IV) drug‐bacteria conjugate (</w:t>
      </w:r>
      <w:r>
        <w:t xml:space="preserve"> </w:t>
      </w:r>
      <w:r>
        <w:t>Pt‐EcN‐HER2</w:t>
      </w:r>
      <w:r>
        <w:t xml:space="preserve"> </w:t>
      </w:r>
      <w:r>
        <w:t>). This conjugate exploits the inherent tumor tropism of probiotic bacterium</w:t>
      </w:r>
      <w:r>
        <w:t xml:space="preserve"> </w:t>
      </w:r>
      <w:r>
        <w:t>Escherichia coli</w:t>
      </w:r>
      <w:r>
        <w:t xml:space="preserve"> </w:t>
      </w:r>
      <w:r>
        <w:t>Nissle 1917 (EcN) to achieve targeted accumulation and deep penetration within the tumor microenvironment (TME). Once localized, elevated intratumoral hydrogen peroxide (H</w:t>
      </w:r>
      <w:r>
        <w:rPr>
          <w:vertAlign w:val="subscript"/>
        </w:rPr>
        <w:t>2</w:t>
      </w:r>
      <w:r>
        <w:t>O</w:t>
      </w:r>
      <w:r>
        <w:rPr>
          <w:vertAlign w:val="subscript"/>
        </w:rPr>
        <w:t>2</w:t>
      </w:r>
      <w:r>
        <w:t>) and glutathione (GSH) activate the Pt(IV) drug. Activation simultaneously releases cytotoxic cisplatin and an adenosine A2A receptor (A2AR) antagonist within the TME. The released cisplatin induces DNA damage and cell death, amplified by co‐occurring depletion of reductants, promoting multiple death pathways. Concurrently, the A2AR antagonist competitively blocks adenosine‐mediated immunosuppressive signaling, activating immune cells in TME. This dual chemo‐immunotherapeutic action enables effective tumor eradication. The bacteria‐mediated delivery strategy fundamentally addresses penetration barriers, enhances tumor‐specific Pt(IV) drug delivery and activation, mitigates systemic toxicity, and overcomes TME immunosuppression, thereby significantly potentiating platinum‐based chemo‐immunotherapy for solid tumors.</w:t>
      </w:r>
    </w:p>
    <w:p>
      <w:pPr>
        <w:spacing w:before="120" w:after="120"/>
      </w:pPr>
      <w:r>
        <w:rPr>
          <w:sz w:val="18"/>
        </w:rPr>
        <w:t>——————————————————————————————————————————————————————————————————————</w:t>
      </w:r>
    </w:p>
    <w:p>
      <w:pPr>
        <w:spacing w:before="160" w:after="40" w:line="240" w:lineRule="auto"/>
      </w:pPr>
      <w:r>
        <w:rPr>
          <w:b/>
        </w:rPr>
        <w:t xml:space="preserve">[540] </w:t>
      </w:r>
      <w:hyperlink r:id="rId1512">
        <w:r>
          <w:rPr>
            <w:color w:val="1155CC"/>
            <w:u w:val="single"/>
          </w:rPr>
          <w:t>原子级精确的 Ag11 和 Ag12 纳米簇组装二维材料，用于忆阻和神经形态功能</w:t>
        </w:r>
      </w:hyperlink>
    </w:p>
    <w:p>
      <w:pPr>
        <w:spacing w:before="0" w:after="80"/>
      </w:pPr>
      <w:r>
        <w:rPr>
          <w:i/>
          <w:sz w:val="20"/>
        </w:rPr>
        <w:t>EN: Atomically Precise Ag11 and Ag12 Nanocluster‐Assembled 2D Materials for Memristive and Neuromorphic Functionality</w:t>
      </w:r>
    </w:p>
    <w:p>
      <w:pPr>
        <w:spacing w:before="0" w:after="120"/>
      </w:pPr>
      <w:r>
        <w:rPr>
          <w:b/>
        </w:rPr>
        <w:t xml:space="preserve">Source: </w:t>
      </w:r>
      <w:r>
        <w:t>Wiley: Advanced Materials: Table of Contents</w:t>
      </w:r>
      <w:r>
        <w:t xml:space="preserve">    </w:t>
      </w:r>
      <w:r>
        <w:rPr>
          <w:b/>
        </w:rPr>
        <w:t xml:space="preserve">Pub date: </w:t>
      </w:r>
      <w:r>
        <w:t>2026-08-26 07:47:14+00:00</w:t>
      </w:r>
      <w:r>
        <w:t xml:space="preserve">    </w:t>
      </w:r>
      <w:r>
        <w:rPr>
          <w:b/>
        </w:rPr>
        <w:t xml:space="preserve">DOI: </w:t>
      </w:r>
      <w:hyperlink r:id="rId1513">
        <w:r>
          <w:rPr>
            <w:color w:val="1155CC"/>
            <w:u w:val="single"/>
          </w:rPr>
          <w:t>10.1002/adma.74781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原子级精确的纳米团簇构建块设计二维（2D）材料是一项具有挑战性的任务，但对于下一代电子设备至关重要。通过调整簇核和配体环境，可以设计明确的组件，从而能够在原子水平上控制光电特性。在此，我们报告了两种结构不同的二维纳米团簇组装材料的自下而上合成</w:t>
      </w:r>
      <w:r>
        <w:rPr>
          <w:vertAlign w:val="subscript"/>
        </w:rPr>
        <w:t>12</w:t>
      </w:r>
      <w:r>
        <w:t>(2D 银</w:t>
      </w:r>
      <w:r>
        <w:rPr>
          <w:vertAlign w:val="subscript"/>
        </w:rPr>
        <w:t>12</w:t>
      </w:r>
      <w:r>
        <w:t>‐CAM) 和 Ag</w:t>
      </w:r>
      <w:r>
        <w:rPr>
          <w:vertAlign w:val="subscript"/>
        </w:rPr>
        <w:t>11</w:t>
      </w:r>
      <w:r>
        <w:t>(2D 银</w:t>
      </w:r>
      <w:r>
        <w:rPr>
          <w:vertAlign w:val="subscript"/>
        </w:rPr>
        <w:t>11</w:t>
      </w:r>
      <w:r>
        <w:t>‐CAM）纳米团簇构建块。簇核的变化仅由配体调节引起；苯硫酚产生Ag</w:t>
      </w:r>
      <w:r>
        <w:rPr>
          <w:vertAlign w:val="subscript"/>
        </w:rPr>
        <w:t>12</w:t>
      </w:r>
      <w:r>
        <w:t>‐基于框架，而 3,5‐双（三氟甲基）苯硫酚（BTFMBT）指导 Ag 的形成</w:t>
      </w:r>
      <w:r>
        <w:rPr>
          <w:vertAlign w:val="subscript"/>
        </w:rPr>
        <w:t>11</w:t>
      </w:r>
      <w:r>
        <w:t>类似物。由这些材料制成的横向忆阻装置（D-1：2D Ag</w:t>
      </w:r>
      <w:r>
        <w:rPr>
          <w:vertAlign w:val="subscript"/>
        </w:rPr>
        <w:t>12</w:t>
      </w:r>
      <w:r>
        <w:t>‐CAM； D-2：2D 银</w:t>
      </w:r>
      <w:r>
        <w:rPr>
          <w:vertAlign w:val="subscript"/>
        </w:rPr>
        <w:t>11</w:t>
      </w:r>
      <w:r>
        <w:t>‐CAM）表现出负微分电阻（NDR）和鲁棒电阻开关的共存，并且具有超过 4000 个开关周期的耐久性稳定。设备 D-2，基于 2D Ag</w:t>
      </w:r>
      <w:r>
        <w:rPr>
          <w:vertAlign w:val="subscript"/>
        </w:rPr>
        <w:t>11</w:t>
      </w:r>
      <w:r>
        <w:t>‐CAM，显示出明显增强的开关（</w:t>
      </w:r>
      <w:r>
        <w:t xml:space="preserve"> </w:t>
      </w:r>
      <w:r>
        <w:t>我</w:t>
      </w:r>
      <w:r>
        <w:t xml:space="preserve"> </w:t>
      </w:r>
      <w:r>
        <w:t>上</w:t>
      </w:r>
      <w:r>
        <w:t xml:space="preserve"> </w:t>
      </w:r>
      <w:r>
        <w:t>/</w:t>
      </w:r>
      <w:r>
        <w:t>我</w:t>
      </w:r>
      <w:r>
        <w:t xml:space="preserve"> </w:t>
      </w:r>
      <w:r>
        <w:t>关闭</w:t>
      </w:r>
      <w:r>
        <w:t xml:space="preserve"> </w:t>
      </w:r>
      <w:r>
        <w:t>) 拉</w:t>
      </w:r>
    </w:p>
    <w:p>
      <w:pPr>
        <w:spacing w:before="0" w:after="200" w:lineRule="auto" w:line="276"/>
      </w:pPr>
      <w:r>
        <w:rPr>
          <w:b/>
        </w:rPr>
        <w:t xml:space="preserve">Abstract (EN): </w:t>
      </w:r>
      <w:r>
        <w:t>Designing two‐dimensional (2D) materials from atomically precise nanocluster building blocks is a challenging task, yet crucial for next‐generation electronic devices. By tuning cluster nuclearity and ligand environment, well‐defined assemblies can be designed, enabling control over optoelectronic properties at the atomic level. Herein, we report the bottom‐up synthesis of two structurally distinct 2D nanocluster‐assembled materials constructed from Ag</w:t>
      </w:r>
      <w:r>
        <w:rPr>
          <w:vertAlign w:val="subscript"/>
        </w:rPr>
        <w:t>12</w:t>
      </w:r>
      <w:r>
        <w:t>(2D Ag</w:t>
      </w:r>
      <w:r>
        <w:rPr>
          <w:vertAlign w:val="subscript"/>
        </w:rPr>
        <w:t>12</w:t>
      </w:r>
      <w:r>
        <w:t>‐CAM) and Ag</w:t>
      </w:r>
      <w:r>
        <w:rPr>
          <w:vertAlign w:val="subscript"/>
        </w:rPr>
        <w:t>11</w:t>
      </w:r>
      <w:r>
        <w:t>(2D Ag</w:t>
      </w:r>
      <w:r>
        <w:rPr>
          <w:vertAlign w:val="subscript"/>
        </w:rPr>
        <w:t>11</w:t>
      </w:r>
      <w:r>
        <w:t>‐CAM) nanocluster building blocks. The change in cluster nuclearity arises solely from ligand tuning; benzenethiol yields the Ag</w:t>
      </w:r>
      <w:r>
        <w:rPr>
          <w:vertAlign w:val="subscript"/>
        </w:rPr>
        <w:t>12</w:t>
      </w:r>
      <w:r>
        <w:t>‐based framework, whereas 3,5‐bis(trifluoromethyl)benzenethiol (BTFMBT) directs formation of the Ag</w:t>
      </w:r>
      <w:r>
        <w:rPr>
          <w:vertAlign w:val="subscript"/>
        </w:rPr>
        <w:t>11</w:t>
      </w:r>
      <w:r>
        <w:t>analogue. Lateral memristive devices fabricated from these materials (D‐1: 2D Ag</w:t>
      </w:r>
      <w:r>
        <w:rPr>
          <w:vertAlign w:val="subscript"/>
        </w:rPr>
        <w:t>12</w:t>
      </w:r>
      <w:r>
        <w:t>‐CAM; D‐2: 2D Ag</w:t>
      </w:r>
      <w:r>
        <w:rPr>
          <w:vertAlign w:val="subscript"/>
        </w:rPr>
        <w:t>11</w:t>
      </w:r>
      <w:r>
        <w:t>‐CAM) exhibit coexistence of negative differential resistance (NDR) and robust resistive switching with endurance stable over 4000 switching cycles. Device D‐2, based on 2D Ag</w:t>
      </w:r>
      <w:r>
        <w:rPr>
          <w:vertAlign w:val="subscript"/>
        </w:rPr>
        <w:t>11</w:t>
      </w:r>
      <w:r>
        <w:t>‐CAM, shows a markedly enhanced on‐off (</w:t>
      </w:r>
      <w:r>
        <w:t xml:space="preserve"> </w:t>
      </w:r>
      <w:r>
        <w:t>I</w:t>
      </w:r>
      <w:r>
        <w:t xml:space="preserve"> </w:t>
      </w:r>
      <w:r>
        <w:t>on</w:t>
      </w:r>
      <w:r>
        <w:t xml:space="preserve"> </w:t>
      </w:r>
      <w:r>
        <w:t>/</w:t>
      </w:r>
      <w:r>
        <w:t>I</w:t>
      </w:r>
      <w:r>
        <w:t xml:space="preserve"> </w:t>
      </w:r>
      <w:r>
        <w:t>off</w:t>
      </w:r>
      <w:r>
        <w:t xml:space="preserve"> </w:t>
      </w:r>
      <w:r>
        <w:t>) ratio (∼ 642) compared to device D‐1 (∼ 200), and more pronounced NDR. Furthermore, the 2D Ag</w:t>
      </w:r>
      <w:r>
        <w:rPr>
          <w:vertAlign w:val="subscript"/>
        </w:rPr>
        <w:t>11</w:t>
      </w:r>
      <w:r>
        <w:t>‐CAM (D‐2)‐based device was evaluated for neuromorphic functionality, mimicking the adaptive behavior of biological synapses. It exhibits analogue potentiation and depression under pulse stimulation, while experimentally extracted synaptic weight updates enable an artificial neural network to achieve a test accuracy of 84.2%, approaching that of a machine learning (ML)‐trained network (93.2%).</w:t>
      </w:r>
    </w:p>
    <w:p>
      <w:pPr>
        <w:spacing w:before="120" w:after="120"/>
      </w:pPr>
      <w:r>
        <w:rPr>
          <w:sz w:val="18"/>
        </w:rPr>
        <w:t>——————————————————————————————————————————————————————————————————————</w:t>
      </w:r>
    </w:p>
    <w:p>
      <w:pPr>
        <w:spacing w:before="160" w:after="40" w:line="240" w:lineRule="auto"/>
      </w:pPr>
      <w:r>
        <w:rPr>
          <w:b/>
        </w:rPr>
        <w:t xml:space="preserve">[541] </w:t>
      </w:r>
      <w:hyperlink r:id="rId1514">
        <w:r>
          <w:rPr>
            <w:color w:val="1155CC"/>
            <w:u w:val="single"/>
          </w:rPr>
          <w:t>用于 H2O2 光合作用的极性腙连接 COF 中的光诱导动态 Burstein-Moss 型调制</w:t>
        </w:r>
      </w:hyperlink>
    </w:p>
    <w:p>
      <w:pPr>
        <w:spacing w:before="0" w:after="80"/>
      </w:pPr>
      <w:r>
        <w:rPr>
          <w:i/>
          <w:sz w:val="20"/>
        </w:rPr>
        <w:t>EN: Light‐Induced Dynamic Burstein‐Moss‐Type Modulation in Polar Hydrazone‐Linked COFs for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2026-08-26 08:45:10+00:00</w:t>
      </w:r>
      <w:r>
        <w:t xml:space="preserve">    </w:t>
      </w:r>
      <w:r>
        <w:rPr>
          <w:b/>
        </w:rPr>
        <w:t xml:space="preserve">DOI: </w:t>
      </w:r>
      <w:hyperlink r:id="rId1515">
        <w:r>
          <w:rPr>
            <w:color w:val="1155CC"/>
            <w:u w:val="single"/>
          </w:rPr>
          <w:t>10.1002/anie.5375858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高效光催化H</w:t>
      </w:r>
      <w:r>
        <w:rPr>
          <w:vertAlign w:val="subscript"/>
        </w:rPr>
        <w:t>2</w:t>
      </w:r>
      <w:r>
        <w:t>氧</w:t>
      </w:r>
      <w:r>
        <w:rPr>
          <w:vertAlign w:val="subscript"/>
        </w:rPr>
        <w:t>2</w:t>
      </w:r>
      <w:r>
        <w:t>共价有机框架 (COF) 中的合成需要光生电子，这些电子在 O 激子解离后保留足够的还原能力</w:t>
      </w:r>
      <w:r>
        <w:rPr>
          <w:vertAlign w:val="subscript"/>
        </w:rPr>
        <w:t>2</w:t>
      </w:r>
      <w:r>
        <w:t>活化和质子耦合 *OOH 形成。然而，分离的电子在到达反应位点之前可能会经历低能弛豫、局域化、捕获或复合，从而削弱其有效反应性。在光激发半导体中，带隙重整化（BGR）通常有利于光隙变窄和低能量跃迁。在此，我们报告了 BTH-BTDA-COF，一种极性噻吩基调节的腙连接的 COF，它表现出由局部电荷不均匀性实现的光诱导动态 Burstein-Moss 型调制。噻吩基的掺入放大了不对称电荷极化，促进激子解离和光致电子富集。激发密度相关的PL光谱重新分布、照明相关的瞬态吸收演化、光诱导的表面电势变化和延长的电荷分离态动力学共同支持载流子密度相关的状态填充，这抑制了低能弛豫，并有助于保留具有足够还原能力的光生电子</w:t>
      </w:r>
      <w:r>
        <w:rPr>
          <w:vertAlign w:val="subscript"/>
        </w:rPr>
        <w:t>2</w:t>
      </w:r>
      <w:r>
        <w:t>激活。同时，腙连接的微环境提供了质子可及的氢键位点，可稳定含氧中间体</w:t>
      </w:r>
    </w:p>
    <w:p>
      <w:pPr>
        <w:spacing w:before="0" w:after="200" w:lineRule="auto" w:line="276"/>
      </w:pPr>
      <w:r>
        <w:rPr>
          <w:b/>
        </w:rPr>
        <w:t xml:space="preserve">Abstract (EN): </w:t>
      </w:r>
      <w:r>
        <w:t>Efficient photocatalytic H</w:t>
      </w:r>
      <w:r>
        <w:rPr>
          <w:vertAlign w:val="subscript"/>
        </w:rPr>
        <w:t>2</w:t>
      </w:r>
      <w:r>
        <w:t>O</w:t>
      </w:r>
      <w:r>
        <w:rPr>
          <w:vertAlign w:val="subscript"/>
        </w:rPr>
        <w:t>2</w:t>
      </w:r>
      <w:r>
        <w:t>synthesis in covalent organic frameworks (COFs) requires photogenerated electrons that retain sufficient reducing power after exciton dissociation for O</w:t>
      </w:r>
      <w:r>
        <w:rPr>
          <w:vertAlign w:val="subscript"/>
        </w:rPr>
        <w:t>2</w:t>
      </w:r>
      <w:r>
        <w:t>activation and proton‐coupled *OOH formation. However, separated electrons may undergo low‐energy relaxation, localization, trapping, or recombination before reaching reactive sites, thereby weakening their effective reactivity. In photoexcited semiconductors, bandgap renormalization (BGR) commonly favors optical‐gap narrowing and lower‐energy transitions. Herein, we report BTH‐BTDA‐COF, a polar thienyl‐regulated hydrazone‐linked COF that exhibits light‐induced dynamic Burstein–Moss‐type modulation enabled by local charge inhomogeneity. Thienyl incorporation amplifies asymmetric charge polarization, promoting exciton dissociation and photoinduced electron enrichment. Excitation‐density‐dependent PL spectral redistribution, illumination‐dependent transient absorption evolution, light‐induced surface‐potential changes, and prolonged charge‐separated‐state dynamics collectively support carrier‐density‐dependent state filling, which suppresses low‐energy relaxation and helps preserve photogenerated electrons with sufficient reducing power for O</w:t>
      </w:r>
      <w:r>
        <w:rPr>
          <w:vertAlign w:val="subscript"/>
        </w:rPr>
        <w:t>2</w:t>
      </w:r>
      <w:r>
        <w:t>activation. Meanwhile, the hydrazone‐linked microenvironment provides proton‐accessible hydrogen‐bonding sites that stabilize oxygenated intermediates and facilitate proton‐assisted *OOH formation. Consequently, BTH‐BTDA‐COF achieves an H</w:t>
      </w:r>
      <w:r>
        <w:rPr>
          <w:vertAlign w:val="subscript"/>
        </w:rPr>
        <w:t>2</w:t>
      </w:r>
      <w:r>
        <w:t>O</w:t>
      </w:r>
      <w:r>
        <w:rPr>
          <w:vertAlign w:val="subscript"/>
        </w:rPr>
        <w:t>2</w:t>
      </w:r>
      <w:r>
        <w:t>production rate of 7.5 mmol g</w:t>
      </w:r>
      <w:r>
        <w:t xml:space="preserve"> </w:t>
      </w:r>
      <w:r>
        <w:t>‒1</w:t>
      </w:r>
      <w:r>
        <w:t xml:space="preserve"> </w:t>
      </w:r>
      <w:r>
        <w:t>h</w:t>
      </w:r>
      <w:r>
        <w:t xml:space="preserve"> </w:t>
      </w:r>
      <w:r>
        <w:t>‒1</w:t>
      </w:r>
      <w:r>
        <w:t xml:space="preserve"> </w:t>
      </w:r>
      <w:r>
        <w:t>, an apparent quantum yield (AQY) of 11.4% at 420 nm, and a solar‐to‐chemical conversion (SCC) efficiency of 1.04%. This work establishes dynamic Burstein–Moss‐type modulation as a molecular strategy for regulating post‐dissociation electron reactivity and promoting efficient H</w:t>
      </w:r>
      <w:r>
        <w:rPr>
          <w:vertAlign w:val="subscript"/>
        </w:rPr>
        <w:t>2</w:t>
      </w:r>
      <w:r>
        <w:t>O</w:t>
      </w:r>
      <w:r>
        <w:rPr>
          <w:vertAlign w:val="subscript"/>
        </w:rPr>
        <w:t>2</w:t>
      </w:r>
      <w:r>
        <w:t>photosynthesis in COFs.</w:t>
      </w:r>
    </w:p>
    <w:p>
      <w:pPr>
        <w:spacing w:before="120" w:after="120"/>
      </w:pPr>
      <w:r>
        <w:rPr>
          <w:sz w:val="18"/>
        </w:rPr>
        <w:t>——————————————————————————————————————————————————————————————————————</w:t>
      </w:r>
    </w:p>
    <w:p>
      <w:pPr>
        <w:spacing w:before="160" w:after="40" w:line="240" w:lineRule="auto"/>
      </w:pPr>
      <w:r>
        <w:rPr>
          <w:b/>
        </w:rPr>
        <w:t xml:space="preserve">[542] </w:t>
      </w:r>
      <w:hyperlink r:id="rId1516">
        <w:r>
          <w:rPr>
            <w:color w:val="1155CC"/>
            <w:u w:val="single"/>
          </w:rPr>
          <w:t>基于喹啉螺旋的 H+/Cl− 共转运温度敏感双离子通道具有显着的抗肿瘤效果</w:t>
        </w:r>
      </w:hyperlink>
    </w:p>
    <w:p>
      <w:pPr>
        <w:spacing w:before="0" w:after="80"/>
      </w:pPr>
      <w:r>
        <w:rPr>
          <w:i/>
          <w:sz w:val="20"/>
        </w:rPr>
        <w:t>EN: A Temperature‐Sensitive Dual Ion Channel Based on Quinoline Helix for H+/Cl− Cotransport With Remarkable Antitumor Effect</w:t>
      </w:r>
    </w:p>
    <w:p>
      <w:pPr>
        <w:spacing w:before="0" w:after="120"/>
      </w:pPr>
      <w:r>
        <w:rPr>
          <w:b/>
        </w:rPr>
        <w:t xml:space="preserve">Source: </w:t>
      </w:r>
      <w:r>
        <w:t>Wiley: Angewandte Chemie International Edition: Table of Contents</w:t>
      </w:r>
      <w:r>
        <w:t xml:space="preserve">    </w:t>
      </w:r>
      <w:r>
        <w:rPr>
          <w:b/>
        </w:rPr>
        <w:t xml:space="preserve">Pub date: </w:t>
      </w:r>
      <w:r>
        <w:t>2026-08-26 09:02:59+00:00</w:t>
      </w:r>
      <w:r>
        <w:t xml:space="preserve">    </w:t>
      </w:r>
      <w:r>
        <w:rPr>
          <w:b/>
        </w:rPr>
        <w:t xml:space="preserve">DOI: </w:t>
      </w:r>
      <w:hyperlink r:id="rId1517">
        <w:r>
          <w:rPr>
            <w:color w:val="1155CC"/>
            <w:u w:val="single"/>
          </w:rPr>
          <w:t>10.1002/anie.1809937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高效离子传输活性的合成离子通道可以破坏癌细胞的离子稳态，并具有肿瘤治疗的潜力。在此，通过一锅合成策略构建了基于螺旋的离子通道。该通道由两个相互连接的质子通道（喹啉螺旋）和氯离子通道（对齐的硫脲部分）组成，被称为“双离子通道”。这种双离子通道可以通过单分子形式和通量 H 插入磷脂膜</w:t>
      </w:r>
      <w:r>
        <w:t xml:space="preserve"> </w:t>
      </w:r>
      <w:r>
        <w:t>+</w:t>
      </w:r>
      <w:r>
        <w:t xml:space="preserve"> </w:t>
      </w:r>
      <w:r>
        <w:t>和氯</w:t>
      </w:r>
      <w:r>
        <w:t xml:space="preserve"> </w:t>
      </w:r>
      <w:r>
        <w:t>-</w:t>
      </w:r>
      <w:r>
        <w:t>同时跨膜。有趣的是，这种双离子通道还表现出响应外部温度变化的“开-关”可切换离子传输行为。在生理环境（37°C）下，该通道实现高效离子传输，并通过 IC 对 U87 细胞显示出显着的抗癌活性</w:t>
      </w:r>
      <w:r>
        <w:rPr>
          <w:vertAlign w:val="subscript"/>
        </w:rPr>
        <w:t>50</w:t>
      </w:r>
      <w:r>
        <w:t>值为0.14 µM，与商业化疗药物相当。该机制诱导线粒体膜电位损失并破坏亚细胞细胞器（包括溶酶体）的稳定性，导致活性氧（ROS）和细胞色素c的释放，最终激活内在的凋亡途径并导致肿瘤细胞的程序性细胞死亡。这种双离子通道不仅可以作为有效的抗癌剂，而且还为未来功能离子通道的设计提供了切入点。</w:t>
      </w:r>
    </w:p>
    <w:p>
      <w:pPr>
        <w:spacing w:before="0" w:after="200" w:lineRule="auto" w:line="276"/>
      </w:pPr>
      <w:r>
        <w:rPr>
          <w:b/>
        </w:rPr>
        <w:t xml:space="preserve">Abstract (EN): </w:t>
      </w:r>
      <w:r>
        <w:t>Synthetic ion channels with efficient ion transport activity can disrupt the ion homeostasis of cancer cells and exhibit potential for tumor therapy. Herein, a helix‐based ion channel was constructed via a one‐pot synthesis strategy. This channel is composed of two interconnected proton channel (quinoline helix) and chloride ion channel (aligned thiourea moieties), which is named as “dual ion channel.” This dual ion channel can insert into the phospholipid membrane through a single‐molecule form and flux H</w:t>
      </w:r>
      <w:r>
        <w:t xml:space="preserve"> </w:t>
      </w:r>
      <w:r>
        <w:t>+</w:t>
      </w:r>
      <w:r>
        <w:t xml:space="preserve"> </w:t>
      </w:r>
      <w:r>
        <w:t>and Cl</w:t>
      </w:r>
      <w:r>
        <w:t xml:space="preserve"> </w:t>
      </w:r>
      <w:r>
        <w:t>−</w:t>
      </w:r>
      <w:r>
        <w:t>across the membrane simultaneously. Interestingly, this dual ion channel also exhibits “ON‐OFF” switchable ion transport behaviors in response to external temperature variation. Under physiological environment (37°C), this channel achieves highly efficient ion transport and reveals remarkable anticancer activity against U87 cells with an IC</w:t>
      </w:r>
      <w:r>
        <w:rPr>
          <w:vertAlign w:val="subscript"/>
        </w:rPr>
        <w:t>50</w:t>
      </w:r>
      <w:r>
        <w:t>value of 0.14 µM, which is comparable to commercial chemotherapy drugs. The mechanism induces mitochondrial membrane potential loss and destabilizes subcellular organelles, including lysosomes, leading to the release of reactive oxygen species (ROS) and cytochrome c, which ultimately activates the intrinsic apoptosis pathway and results in programmed cell death of tumor cells. This dual ion channel not only serves as a potent anticancer agent but also provides an entry point for future design of functional ion channels.</w:t>
      </w:r>
    </w:p>
    <w:p>
      <w:pPr>
        <w:spacing w:before="120" w:after="120"/>
      </w:pPr>
      <w:r>
        <w:rPr>
          <w:sz w:val="18"/>
        </w:rPr>
        <w:t>——————————————————————————————————————————————————————————————————————</w:t>
      </w:r>
    </w:p>
    <w:p>
      <w:pPr>
        <w:spacing w:before="160" w:after="40" w:line="240" w:lineRule="auto"/>
      </w:pPr>
      <w:r>
        <w:rPr>
          <w:b/>
        </w:rPr>
        <w:t xml:space="preserve">[543] </w:t>
      </w:r>
      <w:hyperlink r:id="rId1518">
        <w:r>
          <w:rPr>
            <w:color w:val="1155CC"/>
            <w:u w:val="single"/>
          </w:rPr>
          <w:t>单晶一维共价有机框架中堆叠异构体的溶剂定向调控</w:t>
        </w:r>
      </w:hyperlink>
    </w:p>
    <w:p>
      <w:pPr>
        <w:spacing w:before="0" w:after="80"/>
      </w:pPr>
      <w:r>
        <w:rPr>
          <w:i/>
          <w:sz w:val="20"/>
        </w:rPr>
        <w:t>EN: Solvent‐Directed Modulation of Stacking Isomers in Single‐Crystal One‐Dimensional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2026-08-26 09:15:32+00:00</w:t>
      </w:r>
      <w:r>
        <w:t xml:space="preserve">    </w:t>
      </w:r>
      <w:r>
        <w:rPr>
          <w:b/>
        </w:rPr>
        <w:t xml:space="preserve">DOI: </w:t>
      </w:r>
      <w:hyperlink r:id="rId1519">
        <w:r>
          <w:rPr>
            <w:color w:val="1155CC"/>
            <w:u w:val="single"/>
          </w:rPr>
          <w:t>10.1002/anie.7177046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共价有机框架（COF）中的堆叠异构现象长期以来一直难以捉摸，迄今为止还没有明确的单晶结构确认。在此，我们提出了通过溶剂导向的调制策略实现的一维 COF 中堆叠异构体的第一个明确的结构解析。获得了两种不同的堆积异构体：一种表现出 AA' 堆积（在均三甲苯中合成），另一种具有 ABCD 四重堆积模式（在苯甲醚/正丁醇中合成）。它们的原子结构通过连续旋转电子衍射 (cRED) 确定，分辨率分别为 0.98 和 1.02 Å，所有非氢原子都直接定位。与AA'堆叠异构体相比，ABCD堆叠异构体表现出更宽的光学吸收、更窄的带隙和大约两倍高的电荷分离效率，从而显着增强了H的可见光光催化活性。</w:t>
      </w:r>
      <w:r>
        <w:rPr>
          <w:vertAlign w:val="subscript"/>
        </w:rPr>
        <w:t>2</w:t>
      </w:r>
      <w:r>
        <w:t>氧</w:t>
      </w:r>
      <w:r>
        <w:rPr>
          <w:vertAlign w:val="subscript"/>
        </w:rPr>
        <w:t>2</w:t>
      </w:r>
      <w:r>
        <w:t>N-苄基苯甲醛亚胺的生产和合成。机理研究表明，ABCD堆叠结构缩小了带隙，削弱了电子局域化，并大幅增加了偶极矩，从而引发了强烈的层间电荷转移和极化效应。</w:t>
      </w:r>
    </w:p>
    <w:p>
      <w:pPr>
        <w:spacing w:before="0" w:after="200" w:lineRule="auto" w:line="276"/>
      </w:pPr>
      <w:r>
        <w:rPr>
          <w:b/>
        </w:rPr>
        <w:t xml:space="preserve">Abstract (EN): </w:t>
      </w:r>
      <w:r>
        <w:t>Stacking isomerism in covalent organic frameworks (COFs) has long remained elusive, with no unambiguous single‐crystal structure confirmation to date. Herein, we present the first definitive structural resolution of stacking isomers in one‐dimensional COFs, enabled by a solvent‐directed modulation strategy. Two distinct stacking isomers were obtained: one exhibiting AA′‐stacking (synthesized in mesitylene) and the other featuring an ABCD quadruple stacking mode (synthesized in anisole/n‐butanol). Their atomic structures were determined by continuous rotation electron diffraction (cRED) at resolutions of 0.98 and 1.02 Å, respectively, with all non‐hydrogen atoms directly located. Compared to the AA′‐stacked isomer, the ABCD‐stacked counterpart displays broader optical absorption, a narrower bandgap, and approximately twofold higher charge‐separation efficiency, resulting in significantly enhanced visible‐light photocatalytic activity for H</w:t>
      </w:r>
      <w:r>
        <w:rPr>
          <w:vertAlign w:val="subscript"/>
        </w:rPr>
        <w:t>2</w:t>
      </w:r>
      <w:r>
        <w:t>O</w:t>
      </w:r>
      <w:r>
        <w:rPr>
          <w:vertAlign w:val="subscript"/>
        </w:rPr>
        <w:t>2</w:t>
      </w:r>
      <w:r>
        <w:t>production and N‐benzylbenzaldimine synthesis. Mechanistic studies reveal that the ABCD stacking configuration narrows the bandgap, weakens electron localization, and substantially increases the dipole moment, thereby inducing strong interlayer charge transfer and polarization effects.</w:t>
      </w:r>
    </w:p>
    <w:p>
      <w:pPr>
        <w:spacing w:before="120" w:after="120"/>
      </w:pPr>
      <w:r>
        <w:rPr>
          <w:sz w:val="18"/>
        </w:rPr>
        <w:t>——————————————————————————————————————————————————————————————————————</w:t>
      </w:r>
    </w:p>
    <w:p>
      <w:pPr>
        <w:spacing w:before="160" w:after="40" w:line="240" w:lineRule="auto"/>
      </w:pPr>
      <w:r>
        <w:rPr>
          <w:b/>
        </w:rPr>
        <w:t xml:space="preserve">[544] </w:t>
      </w:r>
      <w:hyperlink r:id="rId1520">
        <w:r>
          <w:rPr>
            <w:color w:val="1155CC"/>
            <w:u w:val="single"/>
          </w:rPr>
          <w:t>用于高分辨率 X 射线成像的具有抗结晶稳定性的高熵玻璃闪烁体</w:t>
        </w:r>
      </w:hyperlink>
    </w:p>
    <w:p>
      <w:pPr>
        <w:spacing w:before="0" w:after="80"/>
      </w:pPr>
      <w:r>
        <w:rPr>
          <w:i/>
          <w:sz w:val="20"/>
        </w:rPr>
        <w:t>EN: High‐Entropy Glass Scintillators With Anti‐Crystallization Stability for High‐Resolution X‐Ray Imaging</w:t>
      </w:r>
    </w:p>
    <w:p>
      <w:pPr>
        <w:spacing w:before="0" w:after="120"/>
      </w:pPr>
      <w:r>
        <w:rPr>
          <w:b/>
        </w:rPr>
        <w:t xml:space="preserve">Source: </w:t>
      </w:r>
      <w:r>
        <w:t>Wiley: Angewandte Chemie International Edition: Table of Contents</w:t>
      </w:r>
      <w:r>
        <w:t xml:space="preserve">    </w:t>
      </w:r>
      <w:r>
        <w:rPr>
          <w:b/>
        </w:rPr>
        <w:t xml:space="preserve">Pub date: </w:t>
      </w:r>
      <w:r>
        <w:t>2026-08-26 09:16:55+00:00</w:t>
      </w:r>
      <w:r>
        <w:t xml:space="preserve">    </w:t>
      </w:r>
      <w:r>
        <w:rPr>
          <w:b/>
        </w:rPr>
        <w:t xml:space="preserve">DOI: </w:t>
      </w:r>
      <w:hyperlink r:id="rId1521">
        <w:r>
          <w:rPr>
            <w:color w:val="1155CC"/>
            <w:u w:val="single"/>
          </w:rPr>
          <w:t>10.1002/anie.7923254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由于低散射光输出，玻璃闪烁体在高分辨率 X 射线成像方面很有前景，但固有的结晶趋势仍然是保持长期稳定性的关键挑战。为了从根本上解决玻璃亚稳态问题，采用高熵设计来破坏结晶的能量偏好。一系列锰基有机-无机杂化金属卤化物（ATPP</w:t>
      </w:r>
      <w:r>
        <w:t xml:space="preserve"> </w:t>
      </w:r>
      <w:r>
        <w:t>n</w:t>
      </w:r>
      <w:r>
        <w:t xml:space="preserve"> </w:t>
      </w:r>
      <w:r>
        <w:t>）</w:t>
      </w:r>
      <w:r>
        <w:rPr>
          <w:vertAlign w:val="subscript"/>
        </w:rPr>
        <w:t>2</w:t>
      </w:r>
      <w:r>
        <w:t>溴化锰</w:t>
      </w:r>
      <w:r>
        <w:rPr>
          <w:vertAlign w:val="subscript"/>
        </w:rPr>
        <w:t>4</w:t>
      </w:r>
      <w:r>
        <w:t>（ATPP</w:t>
      </w:r>
      <w:r>
        <w:t xml:space="preserve"> </w:t>
      </w:r>
      <w:r>
        <w:t>n</w:t>
      </w:r>
      <w:r>
        <w:t xml:space="preserve"> </w:t>
      </w:r>
      <w:r>
        <w:t>= 烷基三苯基鏻，</w:t>
      </w:r>
      <w:r>
        <w:t xml:space="preserve"> </w:t>
      </w:r>
      <w:r>
        <w:t>n</w:t>
      </w:r>
      <w:r>
        <w:t xml:space="preserve"> </w:t>
      </w:r>
      <w:r>
        <w:t>= 2-6）准备利用构型熵来构建五组分高熵玻璃（HEG）。 HEG 中较高的熵建立了强大的动力学屏障，防止结晶，从而克服快速降解，确保 150 多天的卓越稳定性。目前的锰基 HEG 闪烁体表现出明亮的发光和出色的闪烁特性，包括 16.5 nGy s 的低检测限</w:t>
      </w:r>
      <w:r>
        <w:t xml:space="preserve"> </w:t>
      </w:r>
      <w:r>
        <w:t>−1</w:t>
      </w:r>
      <w:r>
        <w:t xml:space="preserve"> </w:t>
      </w:r>
      <w:r>
        <w:t>空间分辨率为 28.3 lp mm</w:t>
      </w:r>
      <w:r>
        <w:t xml:space="preserve"> </w:t>
      </w:r>
      <w:r>
        <w:t>−1</w:t>
      </w:r>
      <w:r>
        <w:t xml:space="preserve"> </w:t>
      </w:r>
      <w:r>
        <w:t>。这种卓越的性能进一步实现了高分辨率和动态 X 射线成像，以可视化实时检测旋转目标。这项工作不仅展示了稳定的高性能</w:t>
      </w:r>
    </w:p>
    <w:p>
      <w:pPr>
        <w:spacing w:before="0" w:after="200" w:lineRule="auto" w:line="276"/>
      </w:pPr>
      <w:r>
        <w:rPr>
          <w:b/>
        </w:rPr>
        <w:t xml:space="preserve">Abstract (EN): </w:t>
      </w:r>
      <w:r>
        <w:t>Glass scintillators have become promising for high‐resolution x‐ray imaging owing to the low‐scattering light output, but the inherent tendency toward crystallization remains a critical challenge to maintain long‐term stability. To fundamentally tackle glass metastability, a high‐entropy design is utilized to disrupt the energetic preference for crystallization. A series of Mn‐based organic–inorganic hybrid metal halides (ATPP</w:t>
      </w:r>
      <w:r>
        <w:t xml:space="preserve"> </w:t>
      </w:r>
      <w:r>
        <w:t>n</w:t>
      </w:r>
      <w:r>
        <w:t xml:space="preserve"> </w:t>
      </w:r>
      <w:r>
        <w:t>)</w:t>
      </w:r>
      <w:r>
        <w:rPr>
          <w:vertAlign w:val="subscript"/>
        </w:rPr>
        <w:t>2</w:t>
      </w:r>
      <w:r>
        <w:t>MnBr</w:t>
      </w:r>
      <w:r>
        <w:rPr>
          <w:vertAlign w:val="subscript"/>
        </w:rPr>
        <w:t>4</w:t>
      </w:r>
      <w:r>
        <w:t>(ATPP</w:t>
      </w:r>
      <w:r>
        <w:t xml:space="preserve"> </w:t>
      </w:r>
      <w:r>
        <w:t>n</w:t>
      </w:r>
      <w:r>
        <w:t xml:space="preserve"> </w:t>
      </w:r>
      <w:r>
        <w:t>= alkyltriphenylphosphonium,</w:t>
      </w:r>
      <w:r>
        <w:t xml:space="preserve"> </w:t>
      </w:r>
      <w:r>
        <w:t>n</w:t>
      </w:r>
      <w:r>
        <w:t xml:space="preserve"> </w:t>
      </w:r>
      <w:r>
        <w:t>= 2–6) are prepared to leverage configurational entropy for the construction of five‐component high‐entropy glass (HEG). The elevated entropy in HEG establishes a formidable kinetic barrier against crystallization, thereby overcoming rapid degradation to ensure exceptional stability for over 150 days. The current Mn‐based HEG scintillator exhibits bright luminescence and outstanding scintillation properties, including a low detection limit of 16.5 nGy s</w:t>
      </w:r>
      <w:r>
        <w:t xml:space="preserve"> </w:t>
      </w:r>
      <w:r>
        <w:t>−1</w:t>
      </w:r>
      <w:r>
        <w:t xml:space="preserve"> </w:t>
      </w:r>
      <w:r>
        <w:t>and a spatial resolution of 28.3 lp mm</w:t>
      </w:r>
      <w:r>
        <w:t xml:space="preserve"> </w:t>
      </w:r>
      <w:r>
        <w:t>−1</w:t>
      </w:r>
      <w:r>
        <w:t xml:space="preserve"> </w:t>
      </w:r>
      <w:r>
        <w:t>. This superior performance further allows for high‐resolution and dynamic x‐ray imaging to visualize real‐time detection of rotating targets. This work not only demonstrates a stable, high‐performance glass scintillator but also validates a general high‐entropy strategy to overcome the metastability of functional glasses.</w:t>
      </w:r>
    </w:p>
    <w:p>
      <w:pPr>
        <w:spacing w:before="120" w:after="120"/>
      </w:pPr>
      <w:r>
        <w:rPr>
          <w:sz w:val="18"/>
        </w:rPr>
        <w:t>——————————————————————————————————————————————————————————————————————</w:t>
      </w:r>
    </w:p>
    <w:p>
      <w:pPr>
        <w:spacing w:before="160" w:after="40" w:line="240" w:lineRule="auto"/>
      </w:pPr>
      <w:r>
        <w:rPr>
          <w:b/>
        </w:rPr>
        <w:t xml:space="preserve">[545] </w:t>
      </w:r>
      <w:hyperlink r:id="rId1522">
        <w:r>
          <w:rPr>
            <w:color w:val="1155CC"/>
            <w:u w:val="single"/>
          </w:rPr>
          <w:t>具有 6s2 孤对效应的铟簇作为激子电子库用于直接 2e− 光催化 H2O2 光合作用</w:t>
        </w:r>
      </w:hyperlink>
    </w:p>
    <w:p>
      <w:pPr>
        <w:spacing w:before="0" w:after="80"/>
      </w:pPr>
      <w:r>
        <w:rPr>
          <w:i/>
          <w:sz w:val="20"/>
        </w:rPr>
        <w:t>EN: Indium Clusters With 6s2 Lone‐Pair Effect as Excitonic Electron Reservoirs for Direct 2e− Photocatalytic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2026-08-26 09:21:30+00:00</w:t>
      </w:r>
      <w:r>
        <w:t xml:space="preserve">    </w:t>
      </w:r>
      <w:r>
        <w:rPr>
          <w:b/>
        </w:rPr>
        <w:t xml:space="preserve">DOI: </w:t>
      </w:r>
      <w:hyperlink r:id="rId1523">
        <w:r>
          <w:rPr>
            <w:color w:val="1155CC"/>
            <w:u w:val="single"/>
          </w:rPr>
          <w:t>10.1002/anie.3765495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光催化2e的内在活性-选择性权衡</w:t>
      </w:r>
      <w:r>
        <w:t xml:space="preserve"> </w:t>
      </w:r>
      <w:r>
        <w:t>-</w:t>
      </w:r>
      <w:r>
        <w:t>H 的氧还原反应 (ORR)</w:t>
      </w:r>
      <w:r>
        <w:rPr>
          <w:vertAlign w:val="subscript"/>
        </w:rPr>
        <w:t>2</w:t>
      </w:r>
      <w:r>
        <w:t>氧</w:t>
      </w:r>
      <w:r>
        <w:rPr>
          <w:vertAlign w:val="subscript"/>
        </w:rPr>
        <w:t>2</w:t>
      </w:r>
      <w:r>
        <w:t>光合作用起源于弱氧之间的动力学困境</w:t>
      </w:r>
      <w:r>
        <w:rPr>
          <w:vertAlign w:val="subscript"/>
        </w:rPr>
        <w:t>2</w:t>
      </w:r>
      <w:r>
        <w:t>单原子位点的吸附和多金属位点不利的 O-O 裂解。在此，我们证明了具有独特 6 的铟 (In) 簇</w:t>
      </w:r>
      <w:r>
        <w:t xml:space="preserve"> </w:t>
      </w:r>
      <w:r>
        <w:t>s</w:t>
      </w:r>
      <w:r>
        <w:rPr>
          <w:vertAlign w:val="subscript"/>
        </w:rPr>
        <w:t>2</w:t>
      </w:r>
      <w:r>
        <w:t>孤对效应可以通过充当氮化碳上的激子电子库来打破这种长期存在的单原子/团簇权衡。 InSAC-DCN 提供了卓越的 H</w:t>
      </w:r>
      <w:r>
        <w:rPr>
          <w:vertAlign w:val="subscript"/>
        </w:rPr>
        <w:t>2</w:t>
      </w:r>
      <w:r>
        <w:t>氧</w:t>
      </w:r>
      <w:r>
        <w:rPr>
          <w:vertAlign w:val="subscript"/>
        </w:rPr>
        <w:t>2</w:t>
      </w:r>
      <w:r>
        <w:t>生成率为 1930.8 µmol∙g</w:t>
      </w:r>
      <w:r>
        <w:t xml:space="preserve"> </w:t>
      </w:r>
      <w:r>
        <w:t>−1</w:t>
      </w:r>
      <w:r>
        <w:t xml:space="preserve"> </w:t>
      </w:r>
      <w:r>
        <w:t>∙h</w:t>
      </w:r>
      <w:r>
        <w:t xml:space="preserve"> </w:t>
      </w:r>
      <w:r>
        <w:t>−1</w:t>
      </w:r>
      <w:r>
        <w:t xml:space="preserve"> </w:t>
      </w:r>
      <w:r>
        <w:t>选择性超过 90%，远远超过原始氮化碳和 In 单原子对应物。结合 fs-TAS 和原位表征表明，In 团簇能够实现超快激子解离，并瞬间将电子传递到几何 Yeager 型侧面 O</w:t>
      </w:r>
      <w:r>
        <w:rPr>
          <w:vertAlign w:val="subscript"/>
        </w:rPr>
        <w:t>2</w:t>
      </w:r>
      <w:r>
        <w:t>吸附位点，从而有利于直接2e</w:t>
      </w:r>
      <w:r>
        <w:t xml:space="preserve"> </w:t>
      </w:r>
      <w:r>
        <w:t>-</w:t>
      </w:r>
      <w:r>
        <w:t>H</w:t>
      </w:r>
      <w:r>
        <w:rPr>
          <w:vertAlign w:val="subscript"/>
        </w:rPr>
        <w:t>2</w:t>
      </w:r>
      <w:r>
        <w:t>氧</w:t>
      </w:r>
      <w:r>
        <w:rPr>
          <w:vertAlign w:val="subscript"/>
        </w:rPr>
        <w:t>2</w:t>
      </w:r>
      <w:r>
        <w:t>形成。 DFT 计算阐明了 *OOH 形成的能垒降低、O-O 解离受到抑制、</w:t>
      </w:r>
    </w:p>
    <w:p>
      <w:pPr>
        <w:spacing w:before="0" w:after="200" w:lineRule="auto" w:line="276"/>
      </w:pPr>
      <w:r>
        <w:rPr>
          <w:b/>
        </w:rPr>
        <w:t xml:space="preserve">Abstract (EN): </w:t>
      </w:r>
      <w:r>
        <w:t>The intrinsic activity–selectivity trade‐off in photocatalytic 2e</w:t>
      </w:r>
      <w:r>
        <w:t xml:space="preserve"> </w:t>
      </w:r>
      <w:r>
        <w:t>−</w:t>
      </w:r>
      <w:r>
        <w:t>oxygen reduction reaction (ORR) for H</w:t>
      </w:r>
      <w:r>
        <w:rPr>
          <w:vertAlign w:val="subscript"/>
        </w:rPr>
        <w:t>2</w:t>
      </w:r>
      <w:r>
        <w:t>O</w:t>
      </w:r>
      <w:r>
        <w:rPr>
          <w:vertAlign w:val="subscript"/>
        </w:rPr>
        <w:t>2</w:t>
      </w:r>
      <w:r>
        <w:t>photosynthesis originates from the kinetic dilemma between weak O</w:t>
      </w:r>
      <w:r>
        <w:rPr>
          <w:vertAlign w:val="subscript"/>
        </w:rPr>
        <w:t>2</w:t>
      </w:r>
      <w:r>
        <w:t>adsorption at single‐atom sites and unfavorable O–O cleavage at multimetal sites. Herein, we demonstrate that indium (In) clusters with a unique 6</w:t>
      </w:r>
      <w:r>
        <w:t xml:space="preserve"> </w:t>
      </w:r>
      <w:r>
        <w:t>s</w:t>
      </w:r>
      <w:r>
        <w:rPr>
          <w:vertAlign w:val="subscript"/>
        </w:rPr>
        <w:t>2</w:t>
      </w:r>
      <w:r>
        <w:t>lone‐pair effect can break this long‐standing single‐atom/cluster trade‐off by acting as excitonic electron reservoirs on carbon nitride. InSAC‐DCN delivers a remarkable H</w:t>
      </w:r>
      <w:r>
        <w:rPr>
          <w:vertAlign w:val="subscript"/>
        </w:rPr>
        <w:t>2</w:t>
      </w:r>
      <w:r>
        <w:t>O</w:t>
      </w:r>
      <w:r>
        <w:rPr>
          <w:vertAlign w:val="subscript"/>
        </w:rPr>
        <w:t>2</w:t>
      </w:r>
      <w:r>
        <w:t>generation rate of 1930.8 µmol∙g</w:t>
      </w:r>
      <w:r>
        <w:t xml:space="preserve"> </w:t>
      </w:r>
      <w:r>
        <w:t>−1</w:t>
      </w:r>
      <w:r>
        <w:t xml:space="preserve"> </w:t>
      </w:r>
      <w:r>
        <w:t>∙h</w:t>
      </w:r>
      <w:r>
        <w:t xml:space="preserve"> </w:t>
      </w:r>
      <w:r>
        <w:t>−1</w:t>
      </w:r>
      <w:r>
        <w:t xml:space="preserve"> </w:t>
      </w:r>
      <w:r>
        <w:t>with selectivity exceeding 90%, far surpassing both pristine carbon nitride and In single‐atom counterparts. Combined fs‐TAS and in situ characterizations reveal that In clusters enable ultrafast exciton dissociation and instantaneously deliver electrons to the geometric Yeager‐type side‐on O</w:t>
      </w:r>
      <w:r>
        <w:rPr>
          <w:vertAlign w:val="subscript"/>
        </w:rPr>
        <w:t>2</w:t>
      </w:r>
      <w:r>
        <w:t>adsorption site, thereby favoring direct 2e</w:t>
      </w:r>
      <w:r>
        <w:t xml:space="preserve"> </w:t>
      </w:r>
      <w:r>
        <w:t>−</w:t>
      </w:r>
      <w:r>
        <w:t>H</w:t>
      </w:r>
      <w:r>
        <w:rPr>
          <w:vertAlign w:val="subscript"/>
        </w:rPr>
        <w:t>2</w:t>
      </w:r>
      <w:r>
        <w:t>O</w:t>
      </w:r>
      <w:r>
        <w:rPr>
          <w:vertAlign w:val="subscript"/>
        </w:rPr>
        <w:t>2</w:t>
      </w:r>
      <w:r>
        <w:t>formation. DFT calculations elucidate lowered energy barriers for ∗OOH formation, suppressed O–O dissociation, and accelerated water dissociation. Meanwhile, the synergistic coupling between water oxidation and ORR establishes a self‐sustained proton‐feedback loop for enhanced overall efficiency. This work highlights that exciton engineering coupled with</w:t>
      </w:r>
      <w:r>
        <w:t xml:space="preserve"> </w:t>
      </w:r>
      <w:r>
        <w:t>p</w:t>
      </w:r>
      <w:r>
        <w:t xml:space="preserve"> </w:t>
      </w:r>
      <w:r>
        <w:t>‐block metal clusters enables efficient and selective 2e</w:t>
      </w:r>
      <w:r>
        <w:t xml:space="preserve"> </w:t>
      </w:r>
      <w:r>
        <w:t>−</w:t>
      </w:r>
      <w:r>
        <w:t>ORR beyond conventional single‐atom strategies to overcome the activity–selectivity trade‐off, establishing a distinct material‐design paradigm for high‐performance photocatalysts toward H</w:t>
      </w:r>
      <w:r>
        <w:rPr>
          <w:vertAlign w:val="subscript"/>
        </w:rPr>
        <w:t>2</w:t>
      </w:r>
      <w:r>
        <w:t>O</w:t>
      </w:r>
      <w:r>
        <w:rPr>
          <w:vertAlign w:val="subscript"/>
        </w:rPr>
        <w:t>2</w:t>
      </w:r>
      <w:r>
        <w:t>photosynthesis.</w:t>
      </w:r>
    </w:p>
    <w:p>
      <w:pPr>
        <w:spacing w:before="120" w:after="120"/>
      </w:pPr>
      <w:r>
        <w:rPr>
          <w:sz w:val="18"/>
        </w:rPr>
        <w:t>——————————————————————————————————————————————————————————————————————</w:t>
      </w:r>
    </w:p>
    <w:p>
      <w:pPr>
        <w:spacing w:before="160" w:after="40" w:line="240" w:lineRule="auto"/>
      </w:pPr>
      <w:r>
        <w:rPr>
          <w:b/>
        </w:rPr>
        <w:t xml:space="preserve">[546] </w:t>
      </w:r>
      <w:hyperlink r:id="rId1524">
        <w:r>
          <w:rPr>
            <w:color w:val="1155CC"/>
            <w:u w:val="single"/>
          </w:rPr>
          <w:t>四维电化学发光显微镜能够对单个活球体进行深度分辨成像</w:t>
        </w:r>
      </w:hyperlink>
    </w:p>
    <w:p>
      <w:pPr>
        <w:spacing w:before="0" w:after="80"/>
      </w:pPr>
      <w:r>
        <w:rPr>
          <w:i/>
          <w:sz w:val="20"/>
        </w:rPr>
        <w:t>EN: Four‐Dimensional Electrochemiluminescence Microscopy Enables Depth‐Resolved Imaging of Single, Living Spheroids</w:t>
      </w:r>
    </w:p>
    <w:p>
      <w:pPr>
        <w:spacing w:before="0" w:after="120"/>
      </w:pPr>
      <w:r>
        <w:rPr>
          <w:b/>
        </w:rPr>
        <w:t xml:space="preserve">Source: </w:t>
      </w:r>
      <w:r>
        <w:t>Wiley: Angewandte Chemie International Edition: Table of Contents</w:t>
      </w:r>
      <w:r>
        <w:t xml:space="preserve">    </w:t>
      </w:r>
      <w:r>
        <w:rPr>
          <w:b/>
        </w:rPr>
        <w:t xml:space="preserve">Pub date: </w:t>
      </w:r>
      <w:r>
        <w:t>2026-08-26 09:30:34+00:00</w:t>
      </w:r>
      <w:r>
        <w:t xml:space="preserve">    </w:t>
      </w:r>
      <w:r>
        <w:rPr>
          <w:b/>
        </w:rPr>
        <w:t xml:space="preserve">DOI: </w:t>
      </w:r>
      <w:hyperlink r:id="rId1525">
        <w:r>
          <w:rPr>
            <w:color w:val="1155CC"/>
            <w:u w:val="single"/>
          </w:rPr>
          <w:t>10.1002/anie.5240036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称为球体的三维 (3D) 细胞培养系统已成为传统二维细胞培养的有价值的替代品，因为它们能够密切模仿体内环境的复杂性。在这项研究中，我们提出了一种混合“共焦”电化学发光（ECL）方法，该方法利用共焦显微镜的光学切片能力和ECL的高空间分辨率，克服了传统ECL的表面限制势垒，并能够对距电极最远150微米的活体球体进行深度分辨映射，同时解决了ECL的时间演化问题。通过利用 ITO 电极上 2-(二丁基氨基)乙醇共反应物的缓慢异相电子转移动力学，[Ru(bpy)2] 的连续氧化驱动均相氧化还原事件</w:t>
      </w:r>
      <w:r>
        <w:rPr>
          <w:vertAlign w:val="subscript"/>
        </w:rPr>
        <w:t>3</w:t>
      </w:r>
      <w:r>
        <w:t>]</w:t>
      </w:r>
      <w:r>
        <w:t xml:space="preserve"> </w:t>
      </w:r>
      <w:r>
        <w:t>2+</w:t>
      </w:r>
      <w:r>
        <w:t xml:space="preserve"> </w:t>
      </w:r>
      <w:r>
        <w:t>深入细胞结构。时空映射揭示了这些过程在整个球体体积中的演变，将时间建立为可视化活 3D 系统内随时间推移的 ECL 反应扩散行为的附加维度。我们证明 3D 微环境充当反应扩散室，限制反应中间体，增强内部区域的信号。该方法实现了单细胞分辨率，并提供了一种非侵入性工具来探测内部渗透性和氧化还原代谢状态，将 ECL 从表面技术转变为强大的体积成像方式</w:t>
      </w:r>
    </w:p>
    <w:p>
      <w:pPr>
        <w:spacing w:before="0" w:after="200" w:lineRule="auto" w:line="276"/>
      </w:pPr>
      <w:r>
        <w:rPr>
          <w:b/>
        </w:rPr>
        <w:t xml:space="preserve">Abstract (EN): </w:t>
      </w:r>
      <w:r>
        <w:t>Three‐dimensional (3D) cell culture systems called spheroids have emerged as a valuable alternative to traditional two‐dimensional cell cultures due to their ability to closely mimic the complexity of in vivo environments. In this study we propose a hybrid “confocal” electrochemiluminescence (ECL) approach that harnesses the optical sectioning ability of confocal microscopy and the high spatial resolution of ECL, overcoming the surface‐confinement barrier of conventional ECL and enabling depth‐resolved mapping of living spheroids up to 150 µm from the electrode while resolving the temporal evolution of ECL. By exploiting the sluggish heterogeneous electron‐transfer kinetics of the 2‐(dibutylamino)ethanol coreactant at ITO electrodes, homogeneous redox events driven by the sequential oxidation of [Ru(bpy)</w:t>
      </w:r>
      <w:r>
        <w:rPr>
          <w:vertAlign w:val="subscript"/>
        </w:rPr>
        <w:t>3</w:t>
      </w:r>
      <w:r>
        <w:t>]</w:t>
      </w:r>
      <w:r>
        <w:t xml:space="preserve"> </w:t>
      </w:r>
      <w:r>
        <w:t>2+</w:t>
      </w:r>
      <w:r>
        <w:t xml:space="preserve"> </w:t>
      </w:r>
      <w:r>
        <w:t>propagate deep into the cellular architecture. Spatiotemporal mapping reveals the evolution of these processes across the spheroid volume, establishing time as an additional dimension for visualizing ECL reaction‐diffusion behavior within living 3D systems over time. We demonstrate that the 3D microenvironment acts as a reaction‐diffusion chamber that confines reactive intermediates, enhancing the signal in internal regions. This method achieves single‐cell resolution and provides a non‐invasive tool to probe internal permeability and redox metabolic states, transitioning ECL from a surface technique to a powerful volumetric imaging modality for tissue‐engineered models.</w:t>
      </w:r>
    </w:p>
    <w:p>
      <w:pPr>
        <w:spacing w:before="120" w:after="120"/>
      </w:pPr>
      <w:r>
        <w:rPr>
          <w:sz w:val="18"/>
        </w:rPr>
        <w:t>——————————————————————————————————————————————————————————————————————</w:t>
      </w:r>
    </w:p>
    <w:p>
      <w:pPr>
        <w:spacing w:before="160" w:after="40" w:line="240" w:lineRule="auto"/>
      </w:pPr>
      <w:r>
        <w:rPr>
          <w:b/>
        </w:rPr>
        <w:t xml:space="preserve">[547] </w:t>
      </w:r>
      <w:hyperlink r:id="rId1526">
        <w:r>
          <w:rPr>
            <w:color w:val="1155CC"/>
            <w:u w:val="single"/>
          </w:rPr>
          <w:t>在生物分子固态核磁共振的低温动态核极化下保持质子分辨率</w:t>
        </w:r>
      </w:hyperlink>
    </w:p>
    <w:p>
      <w:pPr>
        <w:spacing w:before="0" w:after="80"/>
      </w:pPr>
      <w:r>
        <w:rPr>
          <w:i/>
          <w:sz w:val="20"/>
        </w:rPr>
        <w:t>EN: Preserving Proton Resolution Under Cryogenic Dynamic Nuclear Polarization for Biomolecular Solid‐State NMR</w:t>
      </w:r>
    </w:p>
    <w:p>
      <w:pPr>
        <w:spacing w:before="0" w:after="120"/>
      </w:pPr>
      <w:r>
        <w:rPr>
          <w:b/>
        </w:rPr>
        <w:t xml:space="preserve">Source: </w:t>
      </w:r>
      <w:r>
        <w:t>Wiley: Angewandte Chemie International Edition: Table of Contents</w:t>
      </w:r>
      <w:r>
        <w:t xml:space="preserve">    </w:t>
      </w:r>
      <w:r>
        <w:rPr>
          <w:b/>
        </w:rPr>
        <w:t xml:space="preserve">Pub date: </w:t>
      </w:r>
      <w:r>
        <w:t>2026-08-26 09:35:41+00:00</w:t>
      </w:r>
      <w:r>
        <w:t xml:space="preserve">    </w:t>
      </w:r>
      <w:r>
        <w:rPr>
          <w:b/>
        </w:rPr>
        <w:t xml:space="preserve">DOI: </w:t>
      </w:r>
      <w:hyperlink r:id="rId1527">
        <w:r>
          <w:rPr>
            <w:color w:val="1155CC"/>
            <w:u w:val="single"/>
          </w:rPr>
          <w:t>10.1002/anie.3761769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质子检测与低温动态核极化 (DNP) 的结合有望将质子检测的固有灵敏度和分辨率结合起来</w:t>
      </w:r>
      <w:r>
        <w:rPr>
          <w:vertAlign w:val="subscript"/>
        </w:rPr>
        <w:t>1</w:t>
      </w:r>
      <w:r>
        <w:t>H检测魔角旋转（MAS）NMR具有超极化带来的大信号增强，但由于低温谱线展宽和DNP条件下可用的旋转频率有限，长期以来一直被认为是不切实际的。在这里，我们证明在低温 DNP 条件下确实可以获得蛋白质的高分辨率质子检测光谱。使用大量氘化，选择性</w:t>
      </w:r>
      <w:r>
        <w:rPr>
          <w:vertAlign w:val="subscript"/>
        </w:rPr>
        <w:t>13</w:t>
      </w:r>
      <w:r>
        <w:t>冠心病</w:t>
      </w:r>
      <w:r>
        <w:rPr>
          <w:vertAlign w:val="subscript"/>
        </w:rPr>
        <w:t>2</w:t>
      </w:r>
      <w:r>
        <w:t>通过甲基标记、快速 MAS 和高磁场，我们发现微晶蛋白和淀粉样原纤维中都保留了位点分辨质子检测。定量线宽分析表明，尽管共振范围更广，质子相干寿命仍然非常长，因为高磁场、快速 MAS 和广泛的质子稀释有效地抑制了均匀贡献，使得观察到的线宽主要由可重聚焦的非均匀展宽主导。由此产生的灵敏度使得能够检测到结构信息丰富的质子</w:t>
      </w:r>
      <w:r>
        <w:rPr>
          <w:vertAlign w:val="subscript"/>
        </w:rPr>
        <w:t>1</w:t>
      </w:r>
      <w:r>
        <w:t>H-</w:t>
      </w:r>
      <w:r>
        <w:rPr>
          <w:vertAlign w:val="subscript"/>
        </w:rPr>
        <w:t>1</w:t>
      </w:r>
      <w:r>
        <w:t>DNP 条件下的 H 相关光谱。这些结果确立了质子检测 DNP 作为生物分子 MAS NMR 的实用方法，并将结构研究扩展到具有挑战性的专业领域。</w:t>
      </w:r>
    </w:p>
    <w:p>
      <w:pPr>
        <w:spacing w:before="0" w:after="200" w:lineRule="auto" w:line="276"/>
      </w:pPr>
      <w:r>
        <w:rPr>
          <w:b/>
        </w:rPr>
        <w:t xml:space="preserve">Abstract (EN): </w:t>
      </w:r>
      <w:r>
        <w:t>The combination of proton detection with cryogenic dynamic nuclear polarization (DNP) promises to unite the intrinsic sensitivity and resolution of</w:t>
      </w:r>
      <w:r>
        <w:rPr>
          <w:vertAlign w:val="subscript"/>
        </w:rPr>
        <w:t>1</w:t>
      </w:r>
      <w:r>
        <w:t>H‐detected magic‐angle spinning (MAS) NMR with the large signal enhancements afforded by hyperpolarization, but has long been considered impractical because of cryogenic line broadening and the limited spinning frequencies available under DNP conditions. Here, we demonstrate that high‐resolution proton‐detected spectra of proteins can indeed be obtained under cryogenic DNP conditions. Using extensive deuteration, selective</w:t>
      </w:r>
      <w:r>
        <w:rPr>
          <w:vertAlign w:val="subscript"/>
        </w:rPr>
        <w:t>13</w:t>
      </w:r>
      <w:r>
        <w:t>CHD</w:t>
      </w:r>
      <w:r>
        <w:rPr>
          <w:vertAlign w:val="subscript"/>
        </w:rPr>
        <w:t>2</w:t>
      </w:r>
      <w:r>
        <w:t>methyl labeling, fast MAS and high magnetic fields, we show that site‐resolved proton detection is preserved in both microcrystalline proteins and amyloid fibrils. Quantitative linewidth analysis reveals that, despite broader resonances, proton coherence lifetimes remain remarkably long because high magnetic fields, fast MAS, and extensive proton dilution efficiently suppress the homogeneous contribution, leaving the observed linewidth dominated by refocusable inhomogeneous broadening. The resulting sensitivity enables structurally informative proton‐detected</w:t>
      </w:r>
      <w:r>
        <w:rPr>
          <w:vertAlign w:val="subscript"/>
        </w:rPr>
        <w:t>1</w:t>
      </w:r>
      <w:r>
        <w:t>H‐</w:t>
      </w:r>
      <w:r>
        <w:rPr>
          <w:vertAlign w:val="subscript"/>
        </w:rPr>
        <w:t>1</w:t>
      </w:r>
      <w:r>
        <w:t>H correlation spectroscopy under DNP conditions. These results establish proton‐detected DNP as a practical methodology for biomolecular MAS NMR and extend structural studies to challenging protein assemblies limited by sensitivity, spectral crowding, or sample availability.</w:t>
      </w:r>
    </w:p>
    <w:p>
      <w:pPr>
        <w:spacing w:before="120" w:after="120"/>
      </w:pPr>
      <w:r>
        <w:rPr>
          <w:sz w:val="18"/>
        </w:rPr>
        <w:t>——————————————————————————————————————————————————————————————————————</w:t>
      </w:r>
    </w:p>
    <w:p>
      <w:pPr>
        <w:spacing w:before="160" w:after="40" w:line="240" w:lineRule="auto"/>
      </w:pPr>
      <w:r>
        <w:rPr>
          <w:b/>
        </w:rPr>
        <w:t xml:space="preserve">[548] </w:t>
      </w:r>
      <w:hyperlink r:id="rId1528">
        <w:r>
          <w:rPr>
            <w:color w:val="1155CC"/>
            <w:u w:val="single"/>
          </w:rPr>
          <w:t>通过C─C σ-键断裂协调触发稳健二维富勒烯框架的分解</w:t>
        </w:r>
      </w:hyperlink>
    </w:p>
    <w:p>
      <w:pPr>
        <w:spacing w:before="0" w:after="80"/>
      </w:pPr>
      <w:r>
        <w:rPr>
          <w:i/>
          <w:sz w:val="20"/>
        </w:rPr>
        <w:t>EN: Coordination‐Triggered Disassembly of Robust Two‐Dimensional Fullerene Frameworks via Intercage C─C σ‐Bond Scission</w:t>
      </w:r>
    </w:p>
    <w:p>
      <w:pPr>
        <w:spacing w:before="0" w:after="120"/>
      </w:pPr>
      <w:r>
        <w:rPr>
          <w:b/>
        </w:rPr>
        <w:t xml:space="preserve">Source: </w:t>
      </w:r>
      <w:r>
        <w:t>Wiley: Angewandte Chemie International Edition: Table of Contents</w:t>
      </w:r>
      <w:r>
        <w:t xml:space="preserve">    </w:t>
      </w:r>
      <w:r>
        <w:rPr>
          <w:b/>
        </w:rPr>
        <w:t xml:space="preserve">Pub date: </w:t>
      </w:r>
      <w:r>
        <w:t>2026-08-26 09:41:25+00:00</w:t>
      </w:r>
      <w:r>
        <w:t xml:space="preserve">    </w:t>
      </w:r>
      <w:r>
        <w:rPr>
          <w:b/>
        </w:rPr>
        <w:t xml:space="preserve">DOI: </w:t>
      </w:r>
      <w:hyperlink r:id="rId1529">
        <w:r>
          <w:rPr>
            <w:color w:val="1155CC"/>
            <w:u w:val="single"/>
          </w:rPr>
          <w:t>10.1002/anie.1816694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二维富勒烯骨架，例如 Mg</w:t>
      </w:r>
      <w:r>
        <w:rPr>
          <w:vertAlign w:val="subscript"/>
        </w:rPr>
        <w:t>4</w:t>
      </w:r>
      <w:r>
        <w:t>C</w:t>
      </w:r>
      <w:r>
        <w:rPr>
          <w:vertAlign w:val="subscript"/>
        </w:rPr>
        <w:t>60</w:t>
      </w:r>
      <w:r>
        <w:t>及其无金属衍生物2D-C</w:t>
      </w:r>
      <w:r>
        <w:rPr>
          <w:vertAlign w:val="subscript"/>
        </w:rPr>
        <w:t>60</w:t>
      </w:r>
      <w:r>
        <w:t>是密集交联的全碳晶格，其中每个C</w:t>
      </w:r>
      <w:r>
        <w:rPr>
          <w:vertAlign w:val="subscript"/>
        </w:rPr>
        <w:t>60</w:t>
      </w:r>
      <w:r>
        <w:t>笼通过八个笼间 C─C σ 键与六个邻居相连。这些富含连接点的结构在高温条件下（约 500°C–600°C）形成，通常能够抵抗合成后晶格编辑或完整富勒烯构建块的恢复。然而，我们在这里表明，温和的过渡金属配位可以在温和的溶液条件下通过裂解共价笼间 C─C 键来解锁这些框架。治疗镁</w:t>
      </w:r>
      <w:r>
        <w:rPr>
          <w:vertAlign w:val="subscript"/>
        </w:rPr>
        <w:t>4</w:t>
      </w:r>
      <w:r>
        <w:t>C</w:t>
      </w:r>
      <w:r>
        <w:rPr>
          <w:vertAlign w:val="subscript"/>
        </w:rPr>
        <w:t>60</w:t>
      </w:r>
      <w:r>
        <w:t>与W(CO)</w:t>
      </w:r>
      <w:r>
        <w:rPr>
          <w:vertAlign w:val="subscript"/>
        </w:rPr>
        <w:t>4</w:t>
      </w:r>
      <w:r>
        <w:t>（博士</w:t>
      </w:r>
      <w:r>
        <w:rPr>
          <w:vertAlign w:val="subscript"/>
        </w:rPr>
        <w:t>2</w:t>
      </w:r>
      <w:r>
        <w:t>聚氯乙烯</w:t>
      </w:r>
      <w:r>
        <w:rPr>
          <w:vertAlign w:val="subscript"/>
        </w:rPr>
        <w:t>2</w:t>
      </w:r>
      <w:r>
        <w:t>）</w:t>
      </w:r>
      <w:r>
        <w:rPr>
          <w:vertAlign w:val="subscript"/>
        </w:rPr>
        <w:t>2</w:t>
      </w:r>
      <w:r>
        <w:t>导致可测量的解聚和分子 C 的时间依赖性形成</w:t>
      </w:r>
      <w:r>
        <w:rPr>
          <w:vertAlign w:val="subscript"/>
        </w:rPr>
        <w:t>60</w:t>
      </w:r>
      <w:r>
        <w:t>。氯化镍</w:t>
      </w:r>
      <w:r>
        <w:rPr>
          <w:vertAlign w:val="subscript"/>
        </w:rPr>
        <w:t>2</w:t>
      </w:r>
      <w:r>
        <w:t>(PMe</w:t>
      </w:r>
      <w:r>
        <w:rPr>
          <w:vertAlign w:val="subscript"/>
        </w:rPr>
        <w:t>3</w:t>
      </w:r>
      <w:r>
        <w:t>）</w:t>
      </w:r>
      <w:r>
        <w:rPr>
          <w:vertAlign w:val="subscript"/>
        </w:rPr>
        <w:t>2</w:t>
      </w:r>
      <w:r>
        <w:t>促进更有效的裂解并能够直接检测裂解中间体（</w:t>
      </w:r>
      <w:r>
        <w:t xml:space="preserve"> </w:t>
      </w:r>
      <w:r>
        <w:t>米</w:t>
      </w:r>
      <w:r>
        <w:t xml:space="preserve"> </w:t>
      </w:r>
      <w:r>
        <w:t>/</w:t>
      </w:r>
      <w:r>
        <w:t>z</w:t>
      </w:r>
      <w:r>
        <w:t xml:space="preserve"> </w:t>
      </w:r>
      <w:r>
        <w:t>= 899），支持配位连接的键断裂 pa</w:t>
      </w:r>
    </w:p>
    <w:p>
      <w:pPr>
        <w:spacing w:before="0" w:after="200" w:lineRule="auto" w:line="276"/>
      </w:pPr>
      <w:r>
        <w:rPr>
          <w:b/>
        </w:rPr>
        <w:t xml:space="preserve">Abstract (EN): </w:t>
      </w:r>
      <w:r>
        <w:t>Two‐dimensional fullerene frameworks such as Mg</w:t>
      </w:r>
      <w:r>
        <w:rPr>
          <w:vertAlign w:val="subscript"/>
        </w:rPr>
        <w:t>4</w:t>
      </w:r>
      <w:r>
        <w:t>C</w:t>
      </w:r>
      <w:r>
        <w:rPr>
          <w:vertAlign w:val="subscript"/>
        </w:rPr>
        <w:t>60</w:t>
      </w:r>
      <w:r>
        <w:t>and its metal‐free derivative 2D‐C</w:t>
      </w:r>
      <w:r>
        <w:rPr>
          <w:vertAlign w:val="subscript"/>
        </w:rPr>
        <w:t>60</w:t>
      </w:r>
      <w:r>
        <w:t>are densely cross‐linked all‐carbon lattices, in which each C</w:t>
      </w:r>
      <w:r>
        <w:rPr>
          <w:vertAlign w:val="subscript"/>
        </w:rPr>
        <w:t>60</w:t>
      </w:r>
      <w:r>
        <w:t>cage is tethered to six neighbors through eight intercage C─C σ‐bonds. Formed under high‐temperature conditions (ca. 500°C–600°C), these junction‐rich architectures are generally resistant to post‐synthetic lattice editing or recovery of intact fullerene building blocks. However, we show here that mild transition‐metal coordination can unlock these frameworks under mild solution conditions by cleaving covalent intercage C─C bonds. Treating Mg</w:t>
      </w:r>
      <w:r>
        <w:rPr>
          <w:vertAlign w:val="subscript"/>
        </w:rPr>
        <w:t>4</w:t>
      </w:r>
      <w:r>
        <w:t>C</w:t>
      </w:r>
      <w:r>
        <w:rPr>
          <w:vertAlign w:val="subscript"/>
        </w:rPr>
        <w:t>60</w:t>
      </w:r>
      <w:r>
        <w:t>with W(CO)</w:t>
      </w:r>
      <w:r>
        <w:rPr>
          <w:vertAlign w:val="subscript"/>
        </w:rPr>
        <w:t>4</w:t>
      </w:r>
      <w:r>
        <w:t>(Ph</w:t>
      </w:r>
      <w:r>
        <w:rPr>
          <w:vertAlign w:val="subscript"/>
        </w:rPr>
        <w:t>2</w:t>
      </w:r>
      <w:r>
        <w:t>PCH</w:t>
      </w:r>
      <w:r>
        <w:rPr>
          <w:vertAlign w:val="subscript"/>
        </w:rPr>
        <w:t>2</w:t>
      </w:r>
      <w:r>
        <w:t>)</w:t>
      </w:r>
      <w:r>
        <w:rPr>
          <w:vertAlign w:val="subscript"/>
        </w:rPr>
        <w:t>2</w:t>
      </w:r>
      <w:r>
        <w:t>leads to measurable depolymerization and time‐dependent formation of molecular C</w:t>
      </w:r>
      <w:r>
        <w:rPr>
          <w:vertAlign w:val="subscript"/>
        </w:rPr>
        <w:t>60</w:t>
      </w:r>
      <w:r>
        <w:t>. NiCl</w:t>
      </w:r>
      <w:r>
        <w:rPr>
          <w:vertAlign w:val="subscript"/>
        </w:rPr>
        <w:t>2</w:t>
      </w:r>
      <w:r>
        <w:t>(PMe</w:t>
      </w:r>
      <w:r>
        <w:rPr>
          <w:vertAlign w:val="subscript"/>
        </w:rPr>
        <w:t>3</w:t>
      </w:r>
      <w:r>
        <w:t>)</w:t>
      </w:r>
      <w:r>
        <w:rPr>
          <w:vertAlign w:val="subscript"/>
        </w:rPr>
        <w:t>2</w:t>
      </w:r>
      <w:r>
        <w:t>promotes substantially more efficient cleavage and enables direct detection of a cleavage intermediate (</w:t>
      </w:r>
      <w:r>
        <w:t xml:space="preserve"> </w:t>
      </w:r>
      <w:r>
        <w:t>m</w:t>
      </w:r>
      <w:r>
        <w:t xml:space="preserve"> </w:t>
      </w:r>
      <w:r>
        <w:t>/</w:t>
      </w:r>
      <w:r>
        <w:t>z</w:t>
      </w:r>
      <w:r>
        <w:t xml:space="preserve"> </w:t>
      </w:r>
      <w:r>
        <w:t>= 899), supporting coordination‐linked bond‐scission pathway. Density functional theory shows that C</w:t>
      </w:r>
      <w:r>
        <w:rPr>
          <w:vertAlign w:val="subscript"/>
        </w:rPr>
        <w:t>60</w:t>
      </w:r>
      <w:r>
        <w:t>–M–C</w:t>
      </w:r>
      <w:r>
        <w:rPr>
          <w:vertAlign w:val="subscript"/>
        </w:rPr>
        <w:t>60</w:t>
      </w:r>
      <w:r>
        <w:t>bridge formation increases the exothermicity for intercage C─C bond scission, and rationalizes the stronger thermodynamic driving force for Ni‐catalytic system relative to W‐catalytic system. Furthermore, Mg</w:t>
      </w:r>
      <w:r>
        <w:t xml:space="preserve"> </w:t>
      </w:r>
      <w:r>
        <w:t>2+</w:t>
      </w:r>
      <w:r>
        <w:t xml:space="preserve"> </w:t>
      </w:r>
      <w:r>
        <w:t>removal markedly suppresses depolymerization, indicating that Mg intercalation promotes junction opening through MgCl</w:t>
      </w:r>
      <w:r>
        <w:rPr>
          <w:vertAlign w:val="subscript"/>
        </w:rPr>
        <w:t>2</w:t>
      </w:r>
      <w:r>
        <w:t>formation and charge‐state modulation. These results establish coordination‐triggered intercage bond cleavage as a strategy for lattice editing and programmable disassembly in carbon‐rich 2D frameworks.</w:t>
      </w:r>
    </w:p>
    <w:p>
      <w:pPr>
        <w:spacing w:before="120" w:after="120"/>
      </w:pPr>
      <w:r>
        <w:rPr>
          <w:sz w:val="18"/>
        </w:rPr>
        <w:t>——————————————————————————————————————————————————————————————————————</w:t>
      </w:r>
    </w:p>
    <w:p>
      <w:pPr>
        <w:spacing w:before="160" w:after="40" w:line="240" w:lineRule="auto"/>
      </w:pPr>
      <w:r>
        <w:rPr>
          <w:b/>
        </w:rPr>
        <w:t xml:space="preserve">[549] </w:t>
      </w:r>
      <w:hyperlink r:id="rId1530">
        <w:r>
          <w:rPr>
            <w:color w:val="1155CC"/>
            <w:u w:val="single"/>
          </w:rPr>
          <w:t>具有倒置超分子手性和显着放大的圆偏振发光的超声触发异质结螺旋</w:t>
        </w:r>
      </w:hyperlink>
    </w:p>
    <w:p>
      <w:pPr>
        <w:spacing w:before="0" w:after="80"/>
      </w:pPr>
      <w:r>
        <w:rPr>
          <w:i/>
          <w:sz w:val="20"/>
        </w:rPr>
        <w:t>EN: Ultrasound‐Triggered Heterojunction Helices With Inverted Supramolecular Chirality and Significantly Amplified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2026-08-26 09:45:16+00:00</w:t>
      </w:r>
      <w:r>
        <w:t xml:space="preserve">    </w:t>
      </w:r>
      <w:r>
        <w:rPr>
          <w:b/>
        </w:rPr>
        <w:t xml:space="preserve">DOI: </w:t>
      </w:r>
      <w:hyperlink r:id="rId1531">
        <w:r>
          <w:rPr>
            <w:color w:val="1155CC"/>
            <w:u w:val="single"/>
          </w:rPr>
          <w:t>10.1002/anie.7074723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开发具有大发光不对称因子的圆偏振发光（CPL）材料（</w:t>
      </w:r>
      <w:r>
        <w:t xml:space="preserve"> </w:t>
      </w:r>
      <w:r>
        <w:t>克</w:t>
      </w:r>
      <w:r>
        <w:t xml:space="preserve"> </w:t>
      </w:r>
      <w:r>
        <w:t>卢姆</w:t>
      </w:r>
      <w:r>
        <w:t xml:space="preserve"> </w:t>
      </w:r>
      <w:r>
        <w:t>）通过分层自组装仍然是一个重大挑战。在此，我们报告了一种超声触发的分层组装策略，该策略能够构建表现出反向超分子手性和显着放大的 CPL 的异质结螺旋。四苯乙烯丙氨酸衍生物在 DMSO 中加热冷却后形成手性纳米螺旋。 MeCN 的添加促进了纳米螺旋与残留单体一起生长成微螺旋。值得注意的是，添加 MeCN 后的超声波会诱导纳米螺旋末端的重组，从而形成由具有相反旋向性的核心和树突螺旋亚基组成的异质结螺旋。这些异质结螺旋显示出反向且放大的 CPL，具有</w:t>
      </w:r>
      <w:r>
        <w:t xml:space="preserve"> </w:t>
      </w:r>
      <w:r>
        <w:t>克</w:t>
      </w:r>
      <w:r>
        <w:t xml:space="preserve"> </w:t>
      </w:r>
      <w:r>
        <w:t>卢姆</w:t>
      </w:r>
      <w:r>
        <w:t xml:space="preserve"> </w:t>
      </w:r>
      <w:r>
        <w:t>值为0.2，荧光量子产率为50%。实验和密度泛函理论计算表明，超声机械力改变了延伸单体内的氢键类型，从而重新引导纳米螺旋末端和新生成的折叠单体的自组装路径。增强的发色团间相互作用和有序的树突螺旋有助于 CPL 的倒置和放大。这项研究不仅提出了源自同一通道的异质结螺旋的第一个例子</w:t>
      </w:r>
    </w:p>
    <w:p>
      <w:pPr>
        <w:spacing w:before="0" w:after="200" w:lineRule="auto" w:line="276"/>
      </w:pPr>
      <w:r>
        <w:rPr>
          <w:b/>
        </w:rPr>
        <w:t xml:space="preserve">Abstract (EN): </w:t>
      </w:r>
      <w:r>
        <w:t>Developing circularly polarized luminescence (CPL) materials with large luminescent dissymmetry factors (</w:t>
      </w:r>
      <w:r>
        <w:t xml:space="preserve"> </w:t>
      </w:r>
      <w:r>
        <w:t>g</w:t>
      </w:r>
      <w:r>
        <w:t xml:space="preserve"> </w:t>
      </w:r>
      <w:r>
        <w:t>lum</w:t>
      </w:r>
      <w:r>
        <w:t xml:space="preserve"> </w:t>
      </w:r>
      <w:r>
        <w:t>) through hierarchical self‐assembly remains a significant challenge. Herein, we report an ultrasound‐triggered hierarchical assembly strategy that enables the construction of heterojunction helices exhibiting inverted supramolecular chirality and substantially amplified CPL. A tetraphenylethylene‐alanine derivative forms chiral nanohelices upon heating‐cooling in DMSO. The addition of MeCN promotes the growth of nanohelices along with residual monomers into microhelices. Notably, ultrasound following MeCN addition induces reorganization at the termini of the nanohelices, leading to heterojunction helices composed of core and dendritic helical subunits with opposite handedness. These heterojunction helices display inverted and amplified CPL, with a</w:t>
      </w:r>
      <w:r>
        <w:t xml:space="preserve"> </w:t>
      </w:r>
      <w:r>
        <w:t>g</w:t>
      </w:r>
      <w:r>
        <w:t xml:space="preserve"> </w:t>
      </w:r>
      <w:r>
        <w:t>lum</w:t>
      </w:r>
      <w:r>
        <w:t xml:space="preserve"> </w:t>
      </w:r>
      <w:r>
        <w:t>value of 0.2 and a fluorescence quantum yield of 50%. Experimental and density functional theory calculations suggest that the ultrasound mechanical force changes the types of hydrogen bonds within extended monomers, thereby redirecting the self‐assembly pathway from the ends of nanohelices and newly generated folded monomers. Enhanced interchromophoric interactions and well‐ordered dendritic helices contribute to the inversion and amplification of CPL. This study not only presents the first example of heterojunction helices derived from the same chiral molecule but also provides new insights into an ultrasound‐triggered pathway for amplifying CPL via hierarchical assembly.</w:t>
      </w:r>
    </w:p>
    <w:p>
      <w:pPr>
        <w:spacing w:before="120" w:after="120"/>
      </w:pPr>
      <w:r>
        <w:rPr>
          <w:sz w:val="18"/>
        </w:rPr>
        <w:t>——————————————————————————————————————————————————————————————————————</w:t>
      </w:r>
    </w:p>
    <w:p>
      <w:pPr>
        <w:spacing w:before="160" w:after="40" w:line="240" w:lineRule="auto"/>
      </w:pPr>
      <w:r>
        <w:rPr>
          <w:b/>
        </w:rPr>
        <w:t xml:space="preserve">[550] </w:t>
      </w:r>
      <w:hyperlink r:id="rId1532">
        <w:r>
          <w:rPr>
            <w:color w:val="1155CC"/>
            <w:u w:val="single"/>
          </w:rPr>
          <w:t>相对论平均场理论中原子核的质量半径和D项</w:t>
        </w:r>
      </w:hyperlink>
    </w:p>
    <w:p>
      <w:pPr>
        <w:spacing w:before="0" w:after="80"/>
      </w:pPr>
      <w:r>
        <w:rPr>
          <w:i/>
          <w:sz w:val="20"/>
        </w:rPr>
        <w:t>EN: Mass radius and D-term of atomic nuclei in relativistic mean field theory</w:t>
      </w:r>
    </w:p>
    <w:p>
      <w:pPr>
        <w:spacing w:before="0" w:after="120"/>
      </w:pPr>
      <w:r>
        <w:rPr>
          <w:b/>
        </w:rPr>
        <w:t xml:space="preserve">Source: </w:t>
      </w:r>
      <w:r>
        <w:t>Recent Articles in Phys. Rev. C</w:t>
      </w:r>
      <w:r>
        <w:t xml:space="preserve">    </w:t>
      </w:r>
      <w:r>
        <w:rPr>
          <w:b/>
        </w:rPr>
        <w:t xml:space="preserve">Pub date: </w:t>
      </w:r>
      <w:r>
        <w:t>2026-08-26 10:00:00+00:00</w:t>
      </w:r>
      <w:r>
        <w:t xml:space="preserve">    </w:t>
      </w:r>
      <w:r>
        <w:rPr>
          <w:b/>
        </w:rPr>
        <w:t xml:space="preserve">DOI: </w:t>
      </w:r>
      <w:hyperlink r:id="rId1533">
        <w:r>
          <w:rPr>
            <w:color w:val="1155CC"/>
            <w:u w:val="single"/>
          </w:rPr>
          <w:t>10.1103/j8yn-8ftt</w:t>
        </w:r>
      </w:hyperlink>
    </w:p>
    <w:p>
      <w:pPr>
        <w:spacing w:before="0" w:after="120"/>
      </w:pPr>
      <w:r>
        <w:rPr>
          <w:b/>
        </w:rPr>
        <w:t xml:space="preserve">Notes: </w:t>
      </w:r>
      <w:r>
        <w:t>abstract_source=rss_description</w:t>
      </w:r>
    </w:p>
    <w:p>
      <w:pPr>
        <w:spacing w:before="0" w:after="80" w:lineRule="auto" w:line="276"/>
      </w:pPr>
      <w:r>
        <w:rPr>
          <w:b/>
        </w:rPr>
        <w:t xml:space="preserve">摘要（ZH）: </w:t>
      </w:r>
      <w:r>
        <w:t>作者：Yoshitaka Hatta、Tomohiro Oishi 和 Makoto Oka 基于原子核的相对论平均场理论，我们计算了核图中数十个自旋 0 原子核的质量半径和与能量动量张量相关的其他半径。我们还计算这些原子核的 D 项，即引力形状因子 $D(t=0...[Phys. Rev. C 114, 024343] 于 2026 年 8 月 26 日星期三发布</w:t>
      </w:r>
    </w:p>
    <w:p>
      <w:pPr>
        <w:spacing w:before="0" w:after="200" w:lineRule="auto" w:line="276"/>
      </w:pPr>
      <w:r>
        <w:rPr>
          <w:b/>
        </w:rPr>
        <w:t xml:space="preserve">Abstract (EN): </w:t>
      </w:r>
      <w:r>
        <w:t>Author(s): Yoshitaka Hatta, Tomohiro Oishi, and Makoto OkaBased on relativistic mean field theory for atomic nuclei, we compute the mass radius and other radii associated with the energy momentum tensor for dozens of spin-0 nuclei across the nuclear chart. We also compute the D-term of these nuclei, the forward limit of the gravitational form factor $D(t=0…[Phys. Rev. C 114, 024343] Published Wed Aug 26, 2026</w:t>
      </w:r>
    </w:p>
    <w:p>
      <w:pPr>
        <w:spacing w:before="120" w:after="120"/>
      </w:pPr>
      <w:r>
        <w:rPr>
          <w:sz w:val="18"/>
        </w:rPr>
        <w:t>——————————————————————————————————————————————————————————————————————</w:t>
      </w:r>
    </w:p>
    <w:p>
      <w:pPr>
        <w:spacing w:before="160" w:after="40" w:line="240" w:lineRule="auto"/>
      </w:pPr>
      <w:r>
        <w:rPr>
          <w:b/>
        </w:rPr>
        <w:t xml:space="preserve">[551] </w:t>
      </w:r>
      <w:hyperlink r:id="rId1534">
        <w:r>
          <w:rPr>
            <w:color w:val="1155CC"/>
            <w:u w:val="single"/>
          </w:rPr>
          <w:t>阐明高达兆巴压力的氮空位中心的系间穿越</w:t>
        </w:r>
      </w:hyperlink>
    </w:p>
    <w:p>
      <w:pPr>
        <w:spacing w:before="0" w:after="80"/>
      </w:pPr>
      <w:r>
        <w:rPr>
          <w:i/>
          <w:sz w:val="20"/>
        </w:rPr>
        <w:t>EN: Elucidating the Intersystem Crossing of the Nitrogen-Vacancy Center up to Megabar Pressures</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35">
        <w:r>
          <w:rPr>
            <w:color w:val="1155CC"/>
            <w:u w:val="single"/>
          </w:rPr>
          <w:t>10.1103/hxtk-vmjq</w:t>
        </w:r>
      </w:hyperlink>
    </w:p>
    <w:p>
      <w:pPr>
        <w:spacing w:before="0" w:after="120"/>
      </w:pPr>
      <w:r>
        <w:rPr>
          <w:b/>
        </w:rPr>
        <w:t xml:space="preserve">Notes: </w:t>
      </w:r>
      <w:r>
        <w:t>abstract_source=rss_description</w:t>
      </w:r>
    </w:p>
    <w:p>
      <w:pPr>
        <w:spacing w:before="0" w:after="80" w:lineRule="auto" w:line="276"/>
      </w:pPr>
      <w:r>
        <w:rPr>
          <w:b/>
        </w:rPr>
        <w:t xml:space="preserve">摘要（ZH）: </w:t>
      </w:r>
      <w:r>
        <w:t>作者：Benchen Huang、Srinivas V. Mandyam、Weijie Wu、Bryce Kobrin、Prabudhya Bhattacharyya、Yu Jin、Bijuan Chen、Max Block、Esther Wang、Zhipan Wang、Satcher Hsieh、Chong Zu、Christopher R. Laumann、Norman Y. Yao 和 Giulia Galli 将氮空位色心集成到金刚石砧单元中，为兆巴压力下的量子传感打开了大门。尽管从量子材料到地球物理学有大量的实验演示和应用，但对压力如何产生的详细微观理解......[物理学。莱特牧师。 137, 093801] 2026 年 8 月 26 日星期三发布</w:t>
      </w:r>
    </w:p>
    <w:p>
      <w:pPr>
        <w:spacing w:before="0" w:after="200" w:lineRule="auto" w:line="276"/>
      </w:pPr>
      <w:r>
        <w:rPr>
          <w:b/>
        </w:rPr>
        <w:t xml:space="preserve">Abstract (EN): </w:t>
      </w:r>
      <w:r>
        <w:t>Author(s): Benchen Huang, Srinivas V. Mandyam, Weijie Wu, Bryce Kobrin, Prabudhya Bhattacharyya, Yu Jin, Bijuan Chen, Max Block, Esther Wang, Zhipan Wang, Satcher Hsieh, Chong Zu, Christopher R. Laumann, Norman Y. Yao, and Giulia GalliThe integration of nitrogen-vacancy color centers into diamond anvil cells has opened the door to quantum sensing at megabar pressures. Despite a multitude of experimental demonstrations and applications ranging from quantum materials to geophysics, a detailed microscopic understanding of how stress…[Phys. Rev. Lett. 137, 093801] Published Wed Aug 26, 2026</w:t>
      </w:r>
    </w:p>
    <w:p>
      <w:pPr>
        <w:spacing w:before="120" w:after="120"/>
      </w:pPr>
      <w:r>
        <w:rPr>
          <w:sz w:val="18"/>
        </w:rPr>
        <w:t>——————————————————————————————————————————————————————————————————————</w:t>
      </w:r>
    </w:p>
    <w:p>
      <w:pPr>
        <w:spacing w:before="160" w:after="40" w:line="240" w:lineRule="auto"/>
      </w:pPr>
      <w:r>
        <w:rPr>
          <w:b/>
        </w:rPr>
        <w:t xml:space="preserve">[552] </w:t>
      </w:r>
      <w:hyperlink r:id="rId1536">
        <w:r>
          <w:rPr>
            <w:color w:val="1155CC"/>
            <w:u w:val="single"/>
          </w:rPr>
          <w:t>通过双稳态超材料中的非线性波进行任意机械记忆编码</w:t>
        </w:r>
      </w:hyperlink>
    </w:p>
    <w:p>
      <w:pPr>
        <w:spacing w:before="0" w:after="80"/>
      </w:pPr>
      <w:r>
        <w:rPr>
          <w:i/>
          <w:sz w:val="20"/>
        </w:rPr>
        <w:t>EN: Arbitrary Mechanical Memory Encoding via Nonlinear Waves in Bistable Metamaterials</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37">
        <w:r>
          <w:rPr>
            <w:color w:val="1155CC"/>
            <w:u w:val="single"/>
          </w:rPr>
          <w:t>10.1103/pkk5-dykb</w:t>
        </w:r>
      </w:hyperlink>
    </w:p>
    <w:p>
      <w:pPr>
        <w:spacing w:before="0" w:after="120"/>
      </w:pPr>
      <w:r>
        <w:rPr>
          <w:b/>
        </w:rPr>
        <w:t xml:space="preserve">Notes: </w:t>
      </w:r>
      <w:r>
        <w:t>abstract_source=rss_description</w:t>
      </w:r>
    </w:p>
    <w:p>
      <w:pPr>
        <w:spacing w:before="0" w:after="80" w:lineRule="auto" w:line="276"/>
      </w:pPr>
      <w:r>
        <w:rPr>
          <w:b/>
        </w:rPr>
        <w:t xml:space="preserve">摘要（ZH）: </w:t>
      </w:r>
      <w:r>
        <w:t>作者：Audrey A. Watkins、Giovanni Bordiga、Mingxing Mu、Vincent Tournat 和 Katia Bertoldi 由双稳态元件组成的机械超材料最近已成为机械记忆的有前途的平台。在这些系统中写入信息的传统方法通常依赖于本地化驱动或预定义的耦合方案，这些方案通常是劳动密集型的或缺乏适应性……[Phys.莱特牧师。 137, 097201] 2026 年 8 月 26 日星期三发布</w:t>
      </w:r>
    </w:p>
    <w:p>
      <w:pPr>
        <w:spacing w:before="0" w:after="200" w:lineRule="auto" w:line="276"/>
      </w:pPr>
      <w:r>
        <w:rPr>
          <w:b/>
        </w:rPr>
        <w:t xml:space="preserve">Abstract (EN): </w:t>
      </w:r>
      <w:r>
        <w:t>Author(s): Audrey A. Watkins, Giovanni Bordiga, Mingxing Mu, Vincent Tournat, and Katia BertoldiMechanical metamaterials composed of bistable elements have recently emerged as promising platforms for mechanical memory. Traditional approaches to writing information in these systems typically rely on localized actuation or predefined coupling schemes, which are often labor-intensive or lack adap…[Phys. Rev. Lett. 137, 097201] Published Wed Aug 26, 2026</w:t>
      </w:r>
    </w:p>
    <w:p>
      <w:pPr>
        <w:spacing w:before="120" w:after="120"/>
      </w:pPr>
      <w:r>
        <w:rPr>
          <w:sz w:val="18"/>
        </w:rPr>
        <w:t>——————————————————————————————————————————————————————————————————————</w:t>
      </w:r>
    </w:p>
    <w:p>
      <w:pPr>
        <w:spacing w:before="160" w:after="40" w:line="240" w:lineRule="auto"/>
      </w:pPr>
      <w:r>
        <w:rPr>
          <w:b/>
        </w:rPr>
        <w:t xml:space="preserve">[553] </w:t>
      </w:r>
      <w:hyperlink r:id="rId1538">
        <w:r>
          <w:rPr>
            <w:color w:val="1155CC"/>
            <w:u w:val="single"/>
          </w:rPr>
          <w:t>交变磁力诱导的博戈留波夫费米面形成拓扑超导</w:t>
        </w:r>
      </w:hyperlink>
    </w:p>
    <w:p>
      <w:pPr>
        <w:spacing w:before="0" w:after="80"/>
      </w:pPr>
      <w:r>
        <w:rPr>
          <w:i/>
          <w:sz w:val="20"/>
        </w:rPr>
        <w:t>EN: Altermagnetism-Induced Bogoliubov Fermi Surfaces Form Topological Superconductivity</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39">
        <w:r>
          <w:rPr>
            <w:color w:val="1155CC"/>
            <w:u w:val="single"/>
          </w:rPr>
          <w:t>10.1103/hz7z-m9tn</w:t>
        </w:r>
      </w:hyperlink>
    </w:p>
    <w:p>
      <w:pPr>
        <w:spacing w:before="0" w:after="120"/>
      </w:pPr>
      <w:r>
        <w:rPr>
          <w:b/>
        </w:rPr>
        <w:t xml:space="preserve">Notes: </w:t>
      </w:r>
      <w:r>
        <w:t>abstract_source=rss_description</w:t>
      </w:r>
    </w:p>
    <w:p>
      <w:pPr>
        <w:spacing w:before="0" w:after="80" w:lineRule="auto" w:line="276"/>
      </w:pPr>
      <w:r>
        <w:rPr>
          <w:b/>
        </w:rPr>
        <w:t xml:space="preserve">摘要（ZH）: </w:t>
      </w:r>
      <w:r>
        <w:t>作者：Bo Fu、Chang-An Li 和 Björn Trauzettel 当晶体各向异性和量子限制作为调谐参数时，拓扑超导和马约拉纳零模式从两个可行的平台（准一维纳米线和涡线异质结构）中出现。莱特牧师。 137, 096604] 2026 年 8 月 26 日星期三发布</w:t>
      </w:r>
    </w:p>
    <w:p>
      <w:pPr>
        <w:spacing w:before="0" w:after="200" w:lineRule="auto" w:line="276"/>
      </w:pPr>
      <w:r>
        <w:rPr>
          <w:b/>
        </w:rPr>
        <w:t xml:space="preserve">Abstract (EN): </w:t>
      </w:r>
      <w:r>
        <w:t>Author(s): Bo Fu, Chang-An Li, and Björn TrauzettelTopological superconductivity and Majorana zero modes emerge from two feasible platforms, quasi-1D nanowires and vortex-line heterostructures, when crystal anisotropy and quantum confinement act as tuning parameters.[Phys. Rev. Lett. 137, 096604] Published Wed Aug 26, 2026</w:t>
      </w:r>
    </w:p>
    <w:p>
      <w:pPr>
        <w:spacing w:before="120" w:after="120"/>
      </w:pPr>
      <w:r>
        <w:rPr>
          <w:sz w:val="18"/>
        </w:rPr>
        <w:t>——————————————————————————————————————————————————————————————————————</w:t>
      </w:r>
    </w:p>
    <w:p>
      <w:pPr>
        <w:spacing w:before="160" w:after="40" w:line="240" w:lineRule="auto"/>
      </w:pPr>
      <w:r>
        <w:rPr>
          <w:b/>
        </w:rPr>
        <w:t xml:space="preserve">[554] </w:t>
      </w:r>
      <w:hyperlink r:id="rId1540">
        <w:r>
          <w:rPr>
            <w:color w:val="1155CC"/>
            <w:u w:val="single"/>
          </w:rPr>
          <w:t>三维无旋转共价型狄拉克半金属的材料实现</w:t>
        </w:r>
      </w:hyperlink>
    </w:p>
    <w:p>
      <w:pPr>
        <w:spacing w:before="0" w:after="80"/>
      </w:pPr>
      <w:r>
        <w:rPr>
          <w:i/>
          <w:sz w:val="20"/>
        </w:rPr>
        <w:t>EN: Material Realization of Spinless, Covalent-Type Dirac Semimetals in Three Dimensions</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41">
        <w:r>
          <w:rPr>
            <w:color w:val="1155CC"/>
            <w:u w:val="single"/>
          </w:rPr>
          <w:t>10.1103/pshy-l48q</w:t>
        </w:r>
      </w:hyperlink>
    </w:p>
    <w:p>
      <w:pPr>
        <w:spacing w:before="0" w:after="120"/>
      </w:pPr>
      <w:r>
        <w:rPr>
          <w:b/>
        </w:rPr>
        <w:t xml:space="preserve">Notes: </w:t>
      </w:r>
      <w:r>
        <w:t>abstract_source=rss_description</w:t>
      </w:r>
    </w:p>
    <w:p>
      <w:pPr>
        <w:spacing w:before="0" w:after="80" w:lineRule="auto" w:line="276"/>
      </w:pPr>
      <w:r>
        <w:rPr>
          <w:b/>
        </w:rPr>
        <w:t xml:space="preserve">摘要（ZH）: </w:t>
      </w:r>
      <w:r>
        <w:t>作者：Yuki Tanaka、Rinsuke Yamada、Manabu Sato、Noriyuki Kabeya、Masaki Kondo、Noriaki Kimura、Masashi Tokunaga、Motoaki Hirayama 和 Max Hirschberger 实现石墨烯的三维 (3D) 模拟一直是拓扑材料科学中的核心挑战。与传统的自旋轨道型 3D 狄拉克半金属 (DSM) 不同，石墨烯通过共价键合来稳定。在这项研究中，我们展示了共价型的材料实现......[Phys。莱特牧师。 137, 096603] 2026 年 8 月 26 日星期三发布</w:t>
      </w:r>
    </w:p>
    <w:p>
      <w:pPr>
        <w:spacing w:before="0" w:after="200" w:lineRule="auto" w:line="276"/>
      </w:pPr>
      <w:r>
        <w:rPr>
          <w:b/>
        </w:rPr>
        <w:t xml:space="preserve">Abstract (EN): </w:t>
      </w:r>
      <w:r>
        <w:t>Author(s): Yuki Tanaka, Rinsuke Yamada, Manabu Sato, Noriyuki Kabeya, Masaki Kondo, Noriaki Kimura, Masashi Tokunaga, Motoaki Hirayama, and Max HirschbergerRealization of a three-dimensional (3D) analog of graphene has been a central challenge in topological materials science. Graphene is stabilized by covalent bonding, unlike conventional spin-orbit-type 3D Dirac semimetals (DSMs). In this study, we demonstrate the material realization of covalent-typ…[Phys. Rev. Lett. 137, 096603] Published Wed Aug 26, 2026</w:t>
      </w:r>
    </w:p>
    <w:p>
      <w:pPr>
        <w:spacing w:before="120" w:after="120"/>
      </w:pPr>
      <w:r>
        <w:rPr>
          <w:sz w:val="18"/>
        </w:rPr>
        <w:t>——————————————————————————————————————————————————————————————————————</w:t>
      </w:r>
    </w:p>
    <w:p>
      <w:pPr>
        <w:spacing w:before="160" w:after="40" w:line="240" w:lineRule="auto"/>
      </w:pPr>
      <w:r>
        <w:rPr>
          <w:b/>
        </w:rPr>
        <w:t xml:space="preserve">[555] </w:t>
      </w:r>
      <w:hyperlink r:id="rId1542">
        <w:r>
          <w:rPr>
            <w:color w:val="1155CC"/>
            <w:u w:val="single"/>
          </w:rPr>
          <w:t>光激发电子掺杂铜酸盐超导体中的集体磁激发</w:t>
        </w:r>
      </w:hyperlink>
    </w:p>
    <w:p>
      <w:pPr>
        <w:spacing w:before="0" w:after="80"/>
      </w:pPr>
      <w:r>
        <w:rPr>
          <w:i/>
          <w:sz w:val="20"/>
        </w:rPr>
        <w:t>EN: Collective Magnetic Excitations in a Photoexcited Electron-Doped Cuprate Superconductor</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43">
        <w:r>
          <w:rPr>
            <w:color w:val="1155CC"/>
            <w:u w:val="single"/>
          </w:rPr>
          <w:t>10.1103/2h9x-8tjk</w:t>
        </w:r>
      </w:hyperlink>
    </w:p>
    <w:p>
      <w:pPr>
        <w:spacing w:before="0" w:after="120"/>
      </w:pPr>
      <w:r>
        <w:rPr>
          <w:b/>
        </w:rPr>
        <w:t xml:space="preserve">Notes: </w:t>
      </w:r>
      <w:r>
        <w:t>abstract_source=rss_description</w:t>
      </w:r>
    </w:p>
    <w:p>
      <w:pPr>
        <w:spacing w:before="0" w:after="80" w:lineRule="auto" w:line="276"/>
      </w:pPr>
      <w:r>
        <w:rPr>
          <w:b/>
        </w:rPr>
        <w:t xml:space="preserve">摘要（ZH）: </w:t>
      </w:r>
      <w:r>
        <w:t>作者：Daniel Jost、Jiarui Li、Jordyn Hales、Jonathan Sobota、Giacomo Merzoni、Leonardo Martinelli、Shuhan Ding、徐克军、Justine Schlappa、Andreas Scherz、Robert Carley、Benjamin E. Van Kuiken、Teguh C. Asmara、Le Phuong Hoang、Laurent Mercadier、Sergii Parchenko、Martin Teichmann、Patrick S. Kirchmann、Giacomo Ghiringhelli、Brian Moritz、Zhi-Xun Shen、Thomas P. Devereaux、Yao Wang 和 Wei-Sheng Lee 首次对光激发铜酸盐中能量、动量和时间的集体磁激发进行时间分辨观察。牧师神父。莱特。 137, 096502] 8 月 26 日星期三发布</w:t>
      </w:r>
    </w:p>
    <w:p>
      <w:pPr>
        <w:spacing w:before="0" w:after="200" w:lineRule="auto" w:line="276"/>
      </w:pPr>
      <w:r>
        <w:rPr>
          <w:b/>
        </w:rPr>
        <w:t xml:space="preserve">Abstract (EN): </w:t>
      </w:r>
      <w:r>
        <w:t>Author(s): Daniel Jost, Jiarui Li, Jordyn Hales, Jonathan Sobota, Giacomo Merzoni, Leonardo Martinelli, Shuhan Ding, Ke-Jun Xu, Justine Schlappa, Andreas Scherz, Robert Carley, Benjamin E. Van Kuiken, Teguh C. Asmara, Le Phuong Hoang, Laurent Mercadier, Sergii Parchenko, Martin Teichmann, Patrick S. Kirchmann, Giacomo Ghiringhelli, Brian Moritz, Zhi-Xun Shen, Thomas P. Devereaux, Yao Wang, and Wei-Sheng LeeThe first time-resolved observation of collective magnetic excitations in a photoexcited cuprate across energy, momentum, and time proves that light-induced paramagnon dynamics cannot be explained by simple thermalization.[Phys. Rev. Lett. 137, 096502] Published Wed Aug 26, 2026</w:t>
      </w:r>
    </w:p>
    <w:p>
      <w:pPr>
        <w:spacing w:before="120" w:after="120"/>
      </w:pPr>
      <w:r>
        <w:rPr>
          <w:sz w:val="18"/>
        </w:rPr>
        <w:t>——————————————————————————————————————————————————————————————————————</w:t>
      </w:r>
    </w:p>
    <w:p>
      <w:pPr>
        <w:spacing w:before="160" w:after="40" w:line="240" w:lineRule="auto"/>
      </w:pPr>
      <w:r>
        <w:rPr>
          <w:b/>
        </w:rPr>
        <w:t xml:space="preserve">[556] </w:t>
      </w:r>
      <w:hyperlink r:id="rId1544">
        <w:r>
          <w:rPr>
            <w:color w:val="1155CC"/>
            <w:u w:val="single"/>
          </w:rPr>
          <w:t>勘误表：重离子碰撞中的初始重子停止和角动量 [Phys.修订版 C 112, 064911 (2025)]</w:t>
        </w:r>
      </w:hyperlink>
    </w:p>
    <w:p>
      <w:pPr>
        <w:spacing w:before="0" w:after="80"/>
      </w:pPr>
      <w:r>
        <w:rPr>
          <w:i/>
          <w:sz w:val="20"/>
        </w:rPr>
        <w:t>EN: Erratum: Initial baryon stopping and angular momentum in heavy-ion collisions [Phys. Rev. C 112, 064911 (2025)]</w:t>
      </w:r>
    </w:p>
    <w:p>
      <w:pPr>
        <w:spacing w:before="0" w:after="120"/>
      </w:pPr>
      <w:r>
        <w:rPr>
          <w:b/>
        </w:rPr>
        <w:t xml:space="preserve">Source: </w:t>
      </w:r>
      <w:r>
        <w:t>Recent Articles in Phys. Rev. C</w:t>
      </w:r>
      <w:r>
        <w:t xml:space="preserve">    </w:t>
      </w:r>
      <w:r>
        <w:rPr>
          <w:b/>
        </w:rPr>
        <w:t xml:space="preserve">Pub date: </w:t>
      </w:r>
      <w:r>
        <w:t>2026-08-26 10:00:00+00:00</w:t>
      </w:r>
      <w:r>
        <w:t xml:space="preserve">    </w:t>
      </w:r>
      <w:r>
        <w:rPr>
          <w:b/>
        </w:rPr>
        <w:t xml:space="preserve">DOI: </w:t>
      </w:r>
      <w:hyperlink r:id="rId1545">
        <w:r>
          <w:rPr>
            <w:color w:val="1155CC"/>
            <w:u w:val="single"/>
          </w:rPr>
          <w:t>10.1103/xjyw-gqfh</w:t>
        </w:r>
      </w:hyperlink>
    </w:p>
    <w:p>
      <w:pPr>
        <w:spacing w:before="0" w:after="120"/>
      </w:pPr>
      <w:r>
        <w:rPr>
          <w:b/>
        </w:rPr>
        <w:t xml:space="preserve">Notes: </w:t>
      </w:r>
      <w:r>
        <w:t>abstract_source=rss_description</w:t>
      </w:r>
    </w:p>
    <w:p>
      <w:pPr>
        <w:spacing w:before="0" w:after="80" w:lineRule="auto" w:line="276"/>
      </w:pPr>
      <w:r>
        <w:rPr>
          <w:b/>
        </w:rPr>
        <w:t xml:space="preserve">摘要（ZH）: </w:t>
      </w:r>
      <w:r>
        <w:t>作者：Alex Akridge、Daniel Gallimore、Hector Morales 和 Jinfeng Liao [物理学。 Rev. C 114, 029902] 2026 年 8 月 26 日星期三发布</w:t>
      </w:r>
    </w:p>
    <w:p>
      <w:pPr>
        <w:spacing w:before="0" w:after="200" w:lineRule="auto" w:line="276"/>
      </w:pPr>
      <w:r>
        <w:rPr>
          <w:b/>
        </w:rPr>
        <w:t xml:space="preserve">Abstract (EN): </w:t>
      </w:r>
      <w:r>
        <w:t>Author(s): Alex Akridge, Daniel Gallimore, Hector Morales, and Jinfeng Liao[Phys. Rev. C 114, 029902] Published Wed Aug 26, 2026</w:t>
      </w:r>
    </w:p>
    <w:p>
      <w:pPr>
        <w:spacing w:before="120" w:after="120"/>
      </w:pPr>
      <w:r>
        <w:rPr>
          <w:sz w:val="18"/>
        </w:rPr>
        <w:t>——————————————————————————————————————————————————————————————————————</w:t>
      </w:r>
    </w:p>
    <w:p>
      <w:pPr>
        <w:spacing w:before="160" w:after="40" w:line="240" w:lineRule="auto"/>
      </w:pPr>
      <w:r>
        <w:rPr>
          <w:b/>
        </w:rPr>
        <w:t xml:space="preserve">[557] </w:t>
      </w:r>
      <w:hyperlink r:id="rId1546">
        <w:r>
          <w:rPr>
            <w:color w:val="1155CC"/>
            <w:u w:val="single"/>
          </w:rPr>
          <w:t>合成输运模型中的非平衡相和量子相关性</w:t>
        </w:r>
      </w:hyperlink>
    </w:p>
    <w:p>
      <w:pPr>
        <w:spacing w:before="0" w:after="80"/>
      </w:pPr>
      <w:r>
        <w:rPr>
          <w:i/>
          <w:sz w:val="20"/>
        </w:rPr>
        <w:t>EN: Nonequilibrium Phases and Quantum Correlations in Synthetic Transport Models</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47">
        <w:r>
          <w:rPr>
            <w:color w:val="1155CC"/>
            <w:u w:val="single"/>
          </w:rPr>
          <w:t>10.1103/2cvx-6hqz</w:t>
        </w:r>
      </w:hyperlink>
    </w:p>
    <w:p>
      <w:pPr>
        <w:spacing w:before="0" w:after="120"/>
      </w:pPr>
      <w:r>
        <w:rPr>
          <w:b/>
        </w:rPr>
        <w:t xml:space="preserve">Notes: </w:t>
      </w:r>
      <w:r>
        <w:t>abstract_source=rss_description</w:t>
      </w:r>
    </w:p>
    <w:p>
      <w:pPr>
        <w:spacing w:before="0" w:after="80" w:lineRule="auto" w:line="276"/>
      </w:pPr>
      <w:r>
        <w:rPr>
          <w:b/>
        </w:rPr>
        <w:t xml:space="preserve">摘要（ZH）: </w:t>
      </w:r>
      <w:r>
        <w:t>作者：Uddhav Sen、Federico Carollo 和 Sascha Wald 具有中电路测量和重置功能的量子设备（例如量子计算机和双物种里德堡量子模拟器）能够实现量子细胞自动机。这些系统在由单一门实现的本地更新之后在离散时间内演化，并允许……[物理。莱特牧师。 137, 090402] 2026 年 8 月 26 日星期三发布</w:t>
      </w:r>
    </w:p>
    <w:p>
      <w:pPr>
        <w:spacing w:before="0" w:after="200" w:lineRule="auto" w:line="276"/>
      </w:pPr>
      <w:r>
        <w:rPr>
          <w:b/>
        </w:rPr>
        <w:t xml:space="preserve">Abstract (EN): </w:t>
      </w:r>
      <w:r>
        <w:t>Author(s): Uddhav Sen, Federico Carollo, and Sascha WaldQuantum devices featuring midcircuit measurement and reset capabilities, such as quantum computers and dual-species Rydberg quantum simulators, enable the realization of quantum cellular automata. These systems evolve in discrete time following local updates implemented by unitary gates and allow fo…[Phys. Rev. Lett. 137, 090402] Published Wed Aug 26, 2026</w:t>
      </w:r>
    </w:p>
    <w:p>
      <w:pPr>
        <w:spacing w:before="120" w:after="120"/>
      </w:pPr>
      <w:r>
        <w:rPr>
          <w:sz w:val="18"/>
        </w:rPr>
        <w:t>——————————————————————————————————————————————————————————————————————</w:t>
      </w:r>
    </w:p>
    <w:p>
      <w:pPr>
        <w:spacing w:before="160" w:after="40" w:line="240" w:lineRule="auto"/>
      </w:pPr>
      <w:r>
        <w:rPr>
          <w:b/>
        </w:rPr>
        <w:t xml:space="preserve">[558] </w:t>
      </w:r>
      <w:hyperlink r:id="rId1548">
        <w:r>
          <w:rPr>
            <w:color w:val="1155CC"/>
            <w:u w:val="single"/>
          </w:rPr>
          <w:t>通过临界辅助非交换准备增强量子计量</w:t>
        </w:r>
      </w:hyperlink>
    </w:p>
    <w:p>
      <w:pPr>
        <w:spacing w:before="0" w:after="80"/>
      </w:pPr>
      <w:r>
        <w:rPr>
          <w:i/>
          <w:sz w:val="20"/>
        </w:rPr>
        <w:t>EN: Enhanced Quantum Metrology by Criticality-Assisted Noncommutative Preparation</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49">
        <w:r>
          <w:rPr>
            <w:color w:val="1155CC"/>
            <w:u w:val="single"/>
          </w:rPr>
          <w:t>10.1103/xt96-66z1</w:t>
        </w:r>
      </w:hyperlink>
    </w:p>
    <w:p>
      <w:pPr>
        <w:spacing w:before="0" w:after="120"/>
      </w:pPr>
      <w:r>
        <w:rPr>
          <w:b/>
        </w:rPr>
        <w:t xml:space="preserve">Notes: </w:t>
      </w:r>
      <w:r>
        <w:t>abstract_source=rss_description</w:t>
      </w:r>
    </w:p>
    <w:p>
      <w:pPr>
        <w:spacing w:before="0" w:after="80" w:lineRule="auto" w:line="276"/>
      </w:pPr>
      <w:r>
        <w:rPr>
          <w:b/>
        </w:rPr>
        <w:t xml:space="preserve">摘要（ZH）: </w:t>
      </w:r>
      <w:r>
        <w:t>作者：Ningxin Kong、Matteo G. A. Paris 和 Qiongyi He 量子临界性是量子增强计量学的资源，但现有方案面临内在局限性。出现这些问题是因为直接在编码动力学中使用临界性将可访问的参数限制为临界哈密顿量明确支持的参数，并且要求……[物理。莱特牧师。 137, 090801] 2026 年 8 月 26 日星期三发布</w:t>
      </w:r>
    </w:p>
    <w:p>
      <w:pPr>
        <w:spacing w:before="0" w:after="200" w:lineRule="auto" w:line="276"/>
      </w:pPr>
      <w:r>
        <w:rPr>
          <w:b/>
        </w:rPr>
        <w:t xml:space="preserve">Abstract (EN): </w:t>
      </w:r>
      <w:r>
        <w:t>Author(s): Ningxin Kong, Matteo G. A. Paris, and Qiongyi HeQuantum criticality is a resource for quantum-enhanced metrology, but existing schemes face intrinsic limitations. These arise because using criticality directly in the encoding dynamics restricts the accessible parameters to those explicitly supported by the critical Hamiltonian, and the requiremen…[Phys. Rev. Lett. 137, 090801] Published Wed Aug 26, 2026</w:t>
      </w:r>
    </w:p>
    <w:p>
      <w:pPr>
        <w:spacing w:before="120" w:after="120"/>
      </w:pPr>
      <w:r>
        <w:rPr>
          <w:sz w:val="18"/>
        </w:rPr>
        <w:t>——————————————————————————————————————————————————————————————————————</w:t>
      </w:r>
    </w:p>
    <w:p>
      <w:pPr>
        <w:spacing w:before="160" w:after="40" w:line="240" w:lineRule="auto"/>
      </w:pPr>
      <w:r>
        <w:rPr>
          <w:b/>
        </w:rPr>
        <w:t xml:space="preserve">[559] </w:t>
      </w:r>
      <w:hyperlink r:id="rId1550">
        <w:r>
          <w:rPr>
            <w:color w:val="1155CC"/>
            <w:u w:val="single"/>
          </w:rPr>
          <w:t>稳定器和 Shannon Reńyi 熵的等价：量子临界链的精确结果</w:t>
        </w:r>
      </w:hyperlink>
    </w:p>
    <w:p>
      <w:pPr>
        <w:spacing w:before="0" w:after="80"/>
      </w:pPr>
      <w:r>
        <w:rPr>
          <w:i/>
          <w:sz w:val="20"/>
        </w:rPr>
        <w:t>EN: Equivalence of Stabilizer and Shannon Reńyi Entropies: Exact Results for Quantum Critical Chains</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51">
        <w:r>
          <w:rPr>
            <w:color w:val="1155CC"/>
            <w:u w:val="single"/>
          </w:rPr>
          <w:t>10.1103/2frt-tdg9</w:t>
        </w:r>
      </w:hyperlink>
    </w:p>
    <w:p>
      <w:pPr>
        <w:spacing w:before="0" w:after="120"/>
      </w:pPr>
      <w:r>
        <w:rPr>
          <w:b/>
        </w:rPr>
        <w:t xml:space="preserve">Notes: </w:t>
      </w:r>
      <w:r>
        <w:t>abstract_source=rss_description</w:t>
      </w:r>
    </w:p>
    <w:p>
      <w:pPr>
        <w:spacing w:before="0" w:after="80" w:lineRule="auto" w:line="276"/>
      </w:pPr>
      <w:r>
        <w:rPr>
          <w:b/>
        </w:rPr>
        <w:t xml:space="preserve">摘要（ZH）: </w:t>
      </w:r>
      <w:r>
        <w:t>作者：E. A. Ramirez Trino 和 M. A. RajappourShannon-Rényi 和稳定剂熵是结构、“非稳定剂”、相变和量子多体态普遍性的关键诊断。我们为二次费米子建立了精确的对应关系：对于任何高斯本征态，稳定器 Rényi 熵等于 Shannon-Rén…[Phys.莱特牧师。 137, 090403] 2026 年 8 月 26 日星期三发布</w:t>
      </w:r>
    </w:p>
    <w:p>
      <w:pPr>
        <w:spacing w:before="0" w:after="200" w:lineRule="auto" w:line="276"/>
      </w:pPr>
      <w:r>
        <w:rPr>
          <w:b/>
        </w:rPr>
        <w:t xml:space="preserve">Abstract (EN): </w:t>
      </w:r>
      <w:r>
        <w:t>Author(s): E. A. Ramirez Trino and M. A. RajabpourShannon-Rényi and stabilizer entropies are key diagnostics of structure, “nonstabilizerness,” phase transitions, and universality in quantum many-body states. We establish an exact correspondence for quadratic fermions: for any Gaussian eigenstate, the stabilizer Rényi entropy equals the Shannon-Rén…[Phys. Rev. Lett. 137, 090403] Published Wed Aug 26, 2026</w:t>
      </w:r>
    </w:p>
    <w:p>
      <w:pPr>
        <w:spacing w:before="120" w:after="120"/>
      </w:pPr>
      <w:r>
        <w:rPr>
          <w:sz w:val="18"/>
        </w:rPr>
        <w:t>——————————————————————————————————————————————————————————————————————</w:t>
      </w:r>
    </w:p>
    <w:p>
      <w:pPr>
        <w:spacing w:before="160" w:after="40" w:line="240" w:lineRule="auto"/>
      </w:pPr>
      <w:r>
        <w:rPr>
          <w:b/>
        </w:rPr>
        <w:t xml:space="preserve">[560] </w:t>
      </w:r>
      <w:hyperlink r:id="rId1552">
        <w:r>
          <w:rPr>
            <w:color w:val="1155CC"/>
            <w:u w:val="single"/>
          </w:rPr>
          <w:t>Danionella 的集体运动源于离散复制相互作用</w:t>
        </w:r>
      </w:hyperlink>
    </w:p>
    <w:p>
      <w:pPr>
        <w:spacing w:before="0" w:after="80"/>
      </w:pPr>
      <w:r>
        <w:rPr>
          <w:i/>
          <w:sz w:val="20"/>
        </w:rPr>
        <w:t>EN: Collective Motion in Danionella Emerges from Discrete Copying Interactions</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53">
        <w:r>
          <w:rPr>
            <w:color w:val="1155CC"/>
            <w:u w:val="single"/>
          </w:rPr>
          <w:t>10.1103/rlkf-vwlc</w:t>
        </w:r>
      </w:hyperlink>
    </w:p>
    <w:p>
      <w:pPr>
        <w:spacing w:before="0" w:after="120"/>
      </w:pPr>
      <w:r>
        <w:rPr>
          <w:b/>
        </w:rPr>
        <w:t xml:space="preserve">Notes: </w:t>
      </w:r>
      <w:r>
        <w:t>abstract_source=rss_description</w:t>
      </w:r>
    </w:p>
    <w:p>
      <w:pPr>
        <w:spacing w:before="0" w:after="80" w:lineRule="auto" w:line="276"/>
      </w:pPr>
      <w:r>
        <w:rPr>
          <w:b/>
        </w:rPr>
        <w:t xml:space="preserve">摘要（ZH）: </w:t>
      </w:r>
      <w:r>
        <w:t>作者：Palka Puri、Geoff T. Meyerhof、Julia L. Napoli、David Zada、Matthew Lovett-Barron 和 Johnatan Aljadeff 了解动物如何作为集体移动，需要了解这些群体中的个体所实施的移动和互动规则。我们报告说，微型玻璃鱼 Danionella cerebrum 表现出高度动态的群体教育，这可以通过成对复制游泳的随机模型来解释……[Phys.莱特牧师。 137, 098403] 2026 年 8 月 26 日星期三发布</w:t>
      </w:r>
    </w:p>
    <w:p>
      <w:pPr>
        <w:spacing w:before="0" w:after="200" w:lineRule="auto" w:line="276"/>
      </w:pPr>
      <w:r>
        <w:rPr>
          <w:b/>
        </w:rPr>
        <w:t xml:space="preserve">Abstract (EN): </w:t>
      </w:r>
      <w:r>
        <w:t>Author(s): Palka Puri, Geoff T. Meyerhof, Julia L. Napoli, David Zada, Matthew Lovett-Barron, and Johnatan AljadeffUnderstanding how animals move as collectives requires knowledge of movement and interaction rules implemented by individuals within such groups. We report that micro glassfish Danionella cerebrum exhibit highly dynamic schooling that is explained by a stochastic model with pairwise copying of swimm…[Phys. Rev. Lett. 137, 098403] Published Wed Aug 26, 2026</w:t>
      </w:r>
    </w:p>
    <w:p>
      <w:pPr>
        <w:spacing w:before="120" w:after="120"/>
      </w:pPr>
      <w:r>
        <w:rPr>
          <w:sz w:val="18"/>
        </w:rPr>
        <w:t>——————————————————————————————————————————————————————————————————————</w:t>
      </w:r>
    </w:p>
    <w:p>
      <w:pPr>
        <w:spacing w:before="160" w:after="40" w:line="240" w:lineRule="auto"/>
      </w:pPr>
      <w:r>
        <w:rPr>
          <w:b/>
        </w:rPr>
        <w:t xml:space="preserve">[561] </w:t>
      </w:r>
      <w:hyperlink r:id="rId1554">
        <w:r>
          <w:rPr>
            <w:color w:val="1155CC"/>
            <w:u w:val="single"/>
          </w:rPr>
          <w:t>超冷异核 $p$-波 Feshbach 分子的创建</w:t>
        </w:r>
      </w:hyperlink>
    </w:p>
    <w:p>
      <w:pPr>
        <w:spacing w:before="0" w:after="80"/>
      </w:pPr>
      <w:r>
        <w:rPr>
          <w:i/>
          <w:sz w:val="20"/>
        </w:rPr>
        <w:t>EN: Creation of Ultracold Heteronuclear $p$-Wave Feshbach Molecules</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55">
        <w:r>
          <w:rPr>
            <w:color w:val="1155CC"/>
            <w:u w:val="single"/>
          </w:rPr>
          <w:t>10.1103/smgh-m2yq</w:t>
        </w:r>
      </w:hyperlink>
    </w:p>
    <w:p>
      <w:pPr>
        <w:spacing w:before="0" w:after="120"/>
      </w:pPr>
      <w:r>
        <w:rPr>
          <w:b/>
        </w:rPr>
        <w:t xml:space="preserve">Notes: </w:t>
      </w:r>
      <w:r>
        <w:t>abstract_source=rss_description</w:t>
      </w:r>
    </w:p>
    <w:p>
      <w:pPr>
        <w:spacing w:before="0" w:after="80" w:lineRule="auto" w:line="276"/>
      </w:pPr>
      <w:r>
        <w:rPr>
          <w:b/>
        </w:rPr>
        <w:t xml:space="preserve">摘要（ZH）: </w:t>
      </w:r>
      <w:r>
        <w:t>作者：Fan Jia、ZhichaoGuo、Zerong Huang 和 Dajun Wang 我们报告了在 $^{23}\mathrm{Na}$ 和 $^{87}\mathrm{Rb}$ 原子的光学捕获 Bose-Bose 混合物中首次创建了超冷异核 $p$ 波 Feshbach 分子的块状样品。使用损耗光谱和结合能测量，我们系统地表征了种间……[Phys。莱特牧师。 137, 093001] 2026 年 8 月 26 日星期三发布</w:t>
      </w:r>
    </w:p>
    <w:p>
      <w:pPr>
        <w:spacing w:before="0" w:after="200" w:lineRule="auto" w:line="276"/>
      </w:pPr>
      <w:r>
        <w:rPr>
          <w:b/>
        </w:rPr>
        <w:t xml:space="preserve">Abstract (EN): </w:t>
      </w:r>
      <w:r>
        <w:t>Author(s): Fan Jia, Zhichao Guo, Zerong Huang, and Dajun WangWe report the first creation of a bulk sample of ultracold heteronuclear $p$-wave Feshbach molecules in an optically trapped Bose-Bose mixture of $^{23}\mathrm{Na}$ and $^{87}\mathrm{Rb}$ atoms. Using loss spectroscopy and binding energy measurements, we systematically characterize the interspecies …[Phys. Rev. Lett. 137, 093001] Published Wed Aug 26, 2026</w:t>
      </w:r>
    </w:p>
    <w:p>
      <w:pPr>
        <w:spacing w:before="120" w:after="120"/>
      </w:pPr>
      <w:r>
        <w:rPr>
          <w:sz w:val="18"/>
        </w:rPr>
        <w:t>——————————————————————————————————————————————————————————————————————</w:t>
      </w:r>
    </w:p>
    <w:p>
      <w:pPr>
        <w:spacing w:before="160" w:after="40" w:line="240" w:lineRule="auto"/>
      </w:pPr>
      <w:r>
        <w:rPr>
          <w:b/>
        </w:rPr>
        <w:t xml:space="preserve">[562] </w:t>
      </w:r>
      <w:hyperlink r:id="rId1556">
        <w:r>
          <w:rPr>
            <w:color w:val="1155CC"/>
            <w:u w:val="single"/>
          </w:rPr>
          <w:t>扩散噪声控制基因分离的早期阶段</w:t>
        </w:r>
      </w:hyperlink>
    </w:p>
    <w:p>
      <w:pPr>
        <w:spacing w:before="0" w:after="80"/>
      </w:pPr>
      <w:r>
        <w:rPr>
          <w:i/>
          <w:sz w:val="20"/>
        </w:rPr>
        <w:t>EN: Diffusive Noise Controls Early Stages of Genetic Demixing</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57">
        <w:r>
          <w:rPr>
            <w:color w:val="1155CC"/>
            <w:u w:val="single"/>
          </w:rPr>
          <w:t>10.1103/xmbp-d85n</w:t>
        </w:r>
      </w:hyperlink>
    </w:p>
    <w:p>
      <w:pPr>
        <w:spacing w:before="0" w:after="120"/>
      </w:pPr>
      <w:r>
        <w:rPr>
          <w:b/>
        </w:rPr>
        <w:t xml:space="preserve">Notes: </w:t>
      </w:r>
      <w:r>
        <w:t>abstract_source=rss_description</w:t>
      </w:r>
    </w:p>
    <w:p>
      <w:pPr>
        <w:spacing w:before="0" w:after="80" w:lineRule="auto" w:line="276"/>
      </w:pPr>
      <w:r>
        <w:rPr>
          <w:b/>
        </w:rPr>
        <w:t xml:space="preserve">摘要（ZH）: </w:t>
      </w:r>
      <w:r>
        <w:t>作者：Rashmiranjan Bhutia、Stephy Jose、Prasad Perlekar 和 Kabir Ramola 作为空间群体遗传学基石的垫脚石模型的理论描述长期以来都忽视了迁徙动态产生的扩散噪声。我们从微观规则中得出了该模型的波动流体动力学描述，然后我们用它来证明扩散......[Phys。莱特牧师。 137, 098401] 2026 年 8 月 26 日星期三发布</w:t>
      </w:r>
    </w:p>
    <w:p>
      <w:pPr>
        <w:spacing w:before="0" w:after="200" w:lineRule="auto" w:line="276"/>
      </w:pPr>
      <w:r>
        <w:rPr>
          <w:b/>
        </w:rPr>
        <w:t xml:space="preserve">Abstract (EN): </w:t>
      </w:r>
      <w:r>
        <w:t>Author(s): Rashmiranjan Bhutia, Stephy Jose, Prasad Perlekar, and Kabir RamolaTheoretical descriptions of the stepping-stone model, a cornerstone of spatial population genetics, have long overlooked diffusive noise arising from migration dynamics. We derive a fluctuating hydrodynamic description of this model from microscopic rules, which we then use to demonstrate that diffu…[Phys. Rev. Lett. 137, 098401] Published Wed Aug 26, 2026</w:t>
      </w:r>
    </w:p>
    <w:p>
      <w:pPr>
        <w:spacing w:before="120" w:after="120"/>
      </w:pPr>
      <w:r>
        <w:rPr>
          <w:sz w:val="18"/>
        </w:rPr>
        <w:t>——————————————————————————————————————————————————————————————————————</w:t>
      </w:r>
    </w:p>
    <w:p>
      <w:pPr>
        <w:spacing w:before="160" w:after="40" w:line="240" w:lineRule="auto"/>
      </w:pPr>
      <w:r>
        <w:rPr>
          <w:b/>
        </w:rPr>
        <w:t xml:space="preserve">[563] </w:t>
      </w:r>
      <w:hyperlink r:id="rId1558">
        <w:r>
          <w:rPr>
            <w:color w:val="1155CC"/>
            <w:u w:val="single"/>
          </w:rPr>
          <w:t>首次观察${D}^{0(+)}→\overline{K}ω{e}^{+}{ν}_{e}$并确定${\overline{K}}_{1}(1270)→\overline{K}ω$的分支分数</w:t>
        </w:r>
      </w:hyperlink>
    </w:p>
    <w:p>
      <w:pPr>
        <w:spacing w:before="0" w:after="80"/>
      </w:pPr>
      <w:r>
        <w:rPr>
          <w:i/>
          <w:sz w:val="20"/>
        </w:rPr>
        <w:t>EN: First Observation of ${D}^{0(+)}→\overline{K}ω{e}^{+}{ν}_{e}$ and Determination of the Branching Fraction of ${\overline{K}}_{1}(1270)→\overline{K}ω$</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59">
        <w:r>
          <w:rPr>
            <w:color w:val="1155CC"/>
            <w:u w:val="single"/>
          </w:rPr>
          <w:t>10.1103/xn4s-xxs8</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Ablikim 等人。 （BESIII 合作）利用 BESIII 探测器在 3.773 GeV 质心能量处收集的 $20.3\text{ }\text{ }{\mathrm{fb}}^{−1}$ 的 ${e}^{+}{e}^{−}$ 湮没数据，我们报告了半轻衰变的首次观测${D}^{0}→{K}^{−}ω{e}^{+}{ν}_{e}$ 和 ${D}^{+}→{K}_{S}^{0}ω{e}^{+}{ν}_{e}$ 与 s…[物理。莱特牧师。 137, 091802] 2026 年 8 月 26 日星期三发布</w:t>
      </w:r>
    </w:p>
    <w:p>
      <w:pPr>
        <w:spacing w:before="0" w:after="200" w:lineRule="auto" w:line="276"/>
      </w:pPr>
      <w:r>
        <w:rPr>
          <w:b/>
        </w:rPr>
        <w:t xml:space="preserve">Abstract (EN): </w:t>
      </w:r>
      <w:r>
        <w:t>Author(s): M. Ablikim et al. (BESIII Collaboration)Using $20.3\text{ }\text{ }{\mathrm{fb}}^{−1}$ of ${e}^{+}{e}^{−}$ annihilation data collected at a center-of-mass energy of 3.773 GeV with the BESIII detector, we report the first observation of the semileptonic decays ${D}^{0}→{K}^{−}ω{e}^{+}{ν}_{e}$ and ${D}^{+}→{K}_{S}^{0}ω{e}^{+}{ν}_{e}$ with s…[Phys. Rev. Lett. 137, 091802] Published Wed Aug 26, 2026</w:t>
      </w:r>
    </w:p>
    <w:p>
      <w:pPr>
        <w:spacing w:before="120" w:after="120"/>
      </w:pPr>
      <w:r>
        <w:rPr>
          <w:sz w:val="18"/>
        </w:rPr>
        <w:t>——————————————————————————————————————————————————————————————————————</w:t>
      </w:r>
    </w:p>
    <w:p>
      <w:pPr>
        <w:spacing w:before="160" w:after="40" w:line="240" w:lineRule="auto"/>
      </w:pPr>
      <w:r>
        <w:rPr>
          <w:b/>
        </w:rPr>
        <w:t xml:space="preserve">[564] </w:t>
      </w:r>
      <w:hyperlink r:id="rId1560">
        <w:r>
          <w:rPr>
            <w:color w:val="1155CC"/>
            <w:u w:val="single"/>
          </w:rPr>
          <w:t>极性金属表面的相关绝缘体 ${\mathrm{Ca}}_{3}{\text{Ru}}_{2}{\mathrm{O}}_{7}$</w:t>
        </w:r>
      </w:hyperlink>
    </w:p>
    <w:p>
      <w:pPr>
        <w:spacing w:before="0" w:after="80"/>
      </w:pPr>
      <w:r>
        <w:rPr>
          <w:i/>
          <w:sz w:val="20"/>
        </w:rPr>
        <w:t>EN: Correlated Insulator at the Surface of the Polar Metal ${\mathrm{Ca}}_{3}{\text{Ru}}_{2}{\mathrm{O}}_{7}$</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61">
        <w:r>
          <w:rPr>
            <w:color w:val="1155CC"/>
            <w:u w:val="single"/>
          </w:rPr>
          <w:t>10.1103/x9gh-xxwb</w:t>
        </w:r>
      </w:hyperlink>
    </w:p>
    <w:p>
      <w:pPr>
        <w:spacing w:before="0" w:after="120"/>
      </w:pPr>
      <w:r>
        <w:rPr>
          <w:b/>
        </w:rPr>
        <w:t xml:space="preserve">Notes: </w:t>
      </w:r>
      <w:r>
        <w:t>abstract_source=rss_description</w:t>
      </w:r>
    </w:p>
    <w:p>
      <w:pPr>
        <w:spacing w:before="0" w:after="80" w:lineRule="auto" w:line="276"/>
      </w:pPr>
      <w:r>
        <w:rPr>
          <w:b/>
        </w:rPr>
        <w:t xml:space="preserve">摘要（ZH）: </w:t>
      </w:r>
      <w:r>
        <w:t>作者：Daniel Halliday、Izidor Benedičič、Andela Zivanovic、Masahiro Naritsuka、Brendan Edwards、Tommaso Antonelli、Naoki Kikukawa、Dmitry A. Sokolov、Craig Polley、Andrew P. Mackenzie、Georg Held、Phil D. C. King 和 Peter Wahl 我们研究了相关氧化物表面的电子结构${\mathrm{Ca}}_{3}{\mathrm{Ru}}_{2}{\mathrm{O}}_{7}$，一种低对称性钌酸盐氧化物，具有非常规极性金属相。结合角度分辨光电子能谱和扫描隧道……[物理。莱特牧师。 137, 096503] 2026 年 8 月 26 日星期三发布</w:t>
      </w:r>
    </w:p>
    <w:p>
      <w:pPr>
        <w:spacing w:before="0" w:after="200" w:lineRule="auto" w:line="276"/>
      </w:pPr>
      <w:r>
        <w:rPr>
          <w:b/>
        </w:rPr>
        <w:t xml:space="preserve">Abstract (EN): </w:t>
      </w:r>
      <w:r>
        <w:t>Author(s): Daniel Halliday, Izidor Benedičič, Andela Zivanovic, Masahiro Naritsuka, Brendan Edwards, Tommaso Antonelli, Naoki Kikugawa, Dmitry A. Sokolov, Craig Polley, Andrew P. Mackenzie, Georg Held, Phil D. C. King, and Peter WahlWe investigate the electronic structure at the surface of the correlated oxide ${\mathrm{Ca}}_{3}{\mathrm{Ru}}_{2}{\mathrm{O}}_{7}$, a low-symmetry ruthenate oxide which hosts an unconventional polar-metal phase. From a combination of angle-resolved photoemission spectroscopy and scanning tunneling …[Phys. Rev. Lett. 137, 096503] Published Wed Aug 26, 2026</w:t>
      </w:r>
    </w:p>
    <w:p>
      <w:pPr>
        <w:spacing w:before="120" w:after="120"/>
      </w:pPr>
      <w:r>
        <w:rPr>
          <w:sz w:val="18"/>
        </w:rPr>
        <w:t>——————————————————————————————————————————————————————————————————————</w:t>
      </w:r>
    </w:p>
    <w:p>
      <w:pPr>
        <w:spacing w:before="160" w:after="40" w:line="240" w:lineRule="auto"/>
      </w:pPr>
      <w:r>
        <w:rPr>
          <w:b/>
        </w:rPr>
        <w:t xml:space="preserve">[565] </w:t>
      </w:r>
      <w:hyperlink r:id="rId1562">
        <w:r>
          <w:rPr>
            <w:color w:val="1155CC"/>
            <w:u w:val="single"/>
          </w:rPr>
          <w:t>${\mathrm{Λ}}_{c}^{+}$ 和 ${\overline{\mathrm{Λ}}}_{c}^{−}$ 重子在 $\sqrt{{s}_{\mathrm{NN}}}=6 }\mathrm{GeV}$ 处 $p−\mathrm{Ne}$ 碰撞中的偏振测量</w:t>
        </w:r>
      </w:hyperlink>
    </w:p>
    <w:p>
      <w:pPr>
        <w:spacing w:before="0" w:after="80"/>
      </w:pPr>
      <w:r>
        <w:rPr>
          <w:i/>
          <w:sz w:val="20"/>
        </w:rPr>
        <w:t>EN: Polarization Measurement of ${\mathrm{Λ}}_{c}^{+}$ and ${\overline{\mathrm{Λ}}}_{c}^{−}$ Baryons in $p−\mathrm{Ne}$ Collisions at $\sqrt{{s}_{\mathrm{NN}}}=68.6\text{ }\text{ }\mathrm{GeV}$</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63">
        <w:r>
          <w:rPr>
            <w:color w:val="1155CC"/>
            <w:u w:val="single"/>
          </w:rPr>
          <w:t>10.1103/pb8c-3lnn</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合作）提出了通过固定目标模式记录的 LHCb 实验对粲重子偏振的首次测量。 ${\mathrm{Λ}}_{c}$ 重子的极化是在质子碰撞中研究的，能量为 2.51 TeV，在核子-核子中心入射到气态氖靶上…[Phys.莱特牧师。 137, 091901] 2026 年 8 月 26 日星期三发布</w:t>
      </w:r>
    </w:p>
    <w:p>
      <w:pPr>
        <w:spacing w:before="0" w:after="200" w:lineRule="auto" w:line="276"/>
      </w:pPr>
      <w:r>
        <w:rPr>
          <w:b/>
        </w:rPr>
        <w:t xml:space="preserve">Abstract (EN): </w:t>
      </w:r>
      <w:r>
        <w:t>Author(s): R. Aaij et al. (LHCb Collaboration)The first measurement of the polarization of charm baryons by the LHCb experiment recorded in fixed-target mode is presented. The polarization of ${\mathrm{Λ}}_{c}$ baryons is studied in collisions of protons, at an energy of 2.51 TeV, incident on a gaseous target of neon, at a nucleon-nucleon cente…[Phys. Rev. Lett. 137, 091901] Published Wed Aug 26, 2026</w:t>
      </w:r>
    </w:p>
    <w:p>
      <w:pPr>
        <w:spacing w:before="120" w:after="120"/>
      </w:pPr>
      <w:r>
        <w:rPr>
          <w:sz w:val="18"/>
        </w:rPr>
        <w:t>——————————————————————————————————————————————————————————————————————</w:t>
      </w:r>
    </w:p>
    <w:p>
      <w:pPr>
        <w:spacing w:before="160" w:after="40" w:line="240" w:lineRule="auto"/>
      </w:pPr>
      <w:r>
        <w:rPr>
          <w:b/>
        </w:rPr>
        <w:t xml:space="preserve">[566] </w:t>
      </w:r>
      <w:hyperlink r:id="rId1564">
        <w:r>
          <w:rPr>
            <w:color w:val="1155CC"/>
            <w:u w:val="single"/>
          </w:rPr>
          <w:t>通过局部 ${T}_{\mathrm{c}}$ 的穿透深度缩放揭示超导态内的磁量子临界</w:t>
        </w:r>
      </w:hyperlink>
    </w:p>
    <w:p>
      <w:pPr>
        <w:spacing w:before="0" w:after="80"/>
      </w:pPr>
      <w:r>
        <w:rPr>
          <w:i/>
          <w:sz w:val="20"/>
        </w:rPr>
        <w:t>EN: Magnetic Quantum Criticality inside the Superconducting State Revealed by Penetration Depth Scaling with Local ${T}_{\mathrm{c}}$</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65">
        <w:r>
          <w:rPr>
            <w:color w:val="1155CC"/>
            <w:u w:val="single"/>
          </w:rPr>
          <w:t>10.1103/69mf-6r8f</w:t>
        </w:r>
      </w:hyperlink>
    </w:p>
    <w:p>
      <w:pPr>
        <w:spacing w:before="0" w:after="120"/>
      </w:pPr>
      <w:r>
        <w:rPr>
          <w:b/>
        </w:rPr>
        <w:t xml:space="preserve">Notes: </w:t>
      </w:r>
      <w:r>
        <w:t>abstract_source=rss_description</w:t>
      </w:r>
    </w:p>
    <w:p>
      <w:pPr>
        <w:spacing w:before="0" w:after="80" w:lineRule="auto" w:line="276"/>
      </w:pPr>
      <w:r>
        <w:rPr>
          <w:b/>
        </w:rPr>
        <w:t xml:space="preserve">摘要（ZH）: </w:t>
      </w:r>
      <w:r>
        <w:t>作者：Yusuke Iguchi、Kaede Inoh、Ryosuke Koizumi 和 Makoto Yokoyama 我们证明了嵌入 Zn 掺杂 ${\mathrm{CeCoIn}}_{5}$ 超导态中的磁量子临界点，由零温度 $λ(0)$ 磁穿透深度的明显峰值揭示。使用扫描超导量子干涉装置显微镜，我们确定……[物理。莱特牧师。 137, 096001] 2026 年 8 月 26 日星期三发布</w:t>
      </w:r>
    </w:p>
    <w:p>
      <w:pPr>
        <w:spacing w:before="0" w:after="200" w:lineRule="auto" w:line="276"/>
      </w:pPr>
      <w:r>
        <w:rPr>
          <w:b/>
        </w:rPr>
        <w:t xml:space="preserve">Abstract (EN): </w:t>
      </w:r>
      <w:r>
        <w:t>Author(s): Yusuke Iguchi, Kaede Inoh, Ryosuke Koizumi, and Makoto YokoyamaWe demonstrate a magnetic quantum critical point embedded within the superconducting state of Zn-doped ${\mathrm{CeCoIn}}_{5}$, revealed by a pronounced peak in the magnetic penetration depth at zero temperature $λ(0)$. Using scanning superconducting quantum interference device microscopy, we determ…[Phys. Rev. Lett. 137, 096001] Published Wed Aug 26, 2026</w:t>
      </w:r>
    </w:p>
    <w:p>
      <w:pPr>
        <w:spacing w:before="120" w:after="120"/>
      </w:pPr>
      <w:r>
        <w:rPr>
          <w:sz w:val="18"/>
        </w:rPr>
        <w:t>——————————————————————————————————————————————————————————————————————</w:t>
      </w:r>
    </w:p>
    <w:p>
      <w:pPr>
        <w:spacing w:before="160" w:after="40" w:line="240" w:lineRule="auto"/>
      </w:pPr>
      <w:r>
        <w:rPr>
          <w:b/>
        </w:rPr>
        <w:t xml:space="preserve">[567] </w:t>
      </w:r>
      <w:hyperlink r:id="rId1566">
        <w:r>
          <w:rPr>
            <w:color w:val="1155CC"/>
            <w:u w:val="single"/>
          </w:rPr>
          <w:t>原子和近可见光子之间的都会纠缠分布</w:t>
        </w:r>
      </w:hyperlink>
    </w:p>
    <w:p>
      <w:pPr>
        <w:spacing w:before="0" w:after="80"/>
      </w:pPr>
      <w:r>
        <w:rPr>
          <w:i/>
          <w:sz w:val="20"/>
        </w:rPr>
        <w:t>EN: Metropolitan Entanglement Distribution between an Atom and a Near-Visible Photon</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67">
        <w:r>
          <w:rPr>
            <w:color w:val="1155CC"/>
            <w:u w:val="single"/>
          </w:rPr>
          <w:t>10.1103/94hz-xtht</w:t>
        </w:r>
      </w:hyperlink>
    </w:p>
    <w:p>
      <w:pPr>
        <w:spacing w:before="0" w:after="120"/>
      </w:pPr>
      <w:r>
        <w:rPr>
          <w:b/>
        </w:rPr>
        <w:t xml:space="preserve">Notes: </w:t>
      </w:r>
      <w:r>
        <w:t>abstract_source=rss_description</w:t>
      </w:r>
    </w:p>
    <w:p>
      <w:pPr>
        <w:spacing w:before="0" w:after="80" w:lineRule="auto" w:line="276"/>
      </w:pPr>
      <w:r>
        <w:rPr>
          <w:b/>
        </w:rPr>
        <w:t xml:space="preserve">摘要（ZH）: </w:t>
      </w:r>
      <w:r>
        <w:t>作者：Maya Büki、Pooja Malik、Florian Fertig、Tobias Frank、Marvin Scholz、Tommy Block、Gianvito Chiarella、Yiru Zhou、Emanuele Distante、Pau Farrera、Gerhard Rempe 和 Harald Weinfurter 纠缠分布是量子网络的首要目的。虽然长距离通信可以使用已部署的光纤基础设施，但它需要电信频段的光子。然而，先进的量子网络节点不能在这样的波长下运行。在这里，我们克服了这个限制……[物理。莱特牧师。 137, 090803] 2026 年 8 月 26 日星期三发布</w:t>
      </w:r>
    </w:p>
    <w:p>
      <w:pPr>
        <w:spacing w:before="0" w:after="200" w:lineRule="auto" w:line="276"/>
      </w:pPr>
      <w:r>
        <w:rPr>
          <w:b/>
        </w:rPr>
        <w:t xml:space="preserve">Abstract (EN): </w:t>
      </w:r>
      <w:r>
        <w:t>Author(s): Maya Büki, Pooja Malik, Florian Fertig, Tobias Frank, Marvin Scholz, Tommy Block, Gianvito Chiarella, Yiru Zhou, Emanuele Distante, Pau Farrera, Gerhard Rempe, and Harald WeinfurterEntanglement distribution is the overarching purpose of quantum networks. While communication over long distances can use deployed fiber infrastructure, it requires photons in the telecom band. However, advanced quantum network nodes do not operate at such wavelengths. Here we overcome this limitati…[Phys. Rev. Lett. 137, 090803] Published Wed Aug 26, 2026</w:t>
      </w:r>
    </w:p>
    <w:p>
      <w:pPr>
        <w:spacing w:before="120" w:after="120"/>
      </w:pPr>
      <w:r>
        <w:rPr>
          <w:sz w:val="18"/>
        </w:rPr>
        <w:t>——————————————————————————————————————————————————————————————————————</w:t>
      </w:r>
    </w:p>
    <w:p>
      <w:pPr>
        <w:spacing w:before="160" w:after="40" w:line="240" w:lineRule="auto"/>
      </w:pPr>
      <w:r>
        <w:rPr>
          <w:b/>
        </w:rPr>
        <w:t xml:space="preserve">[568] </w:t>
      </w:r>
      <w:hyperlink r:id="rId1568">
        <w:r>
          <w:rPr>
            <w:color w:val="1155CC"/>
            <w:u w:val="single"/>
          </w:rPr>
          <w:t>无中微子双贝塔衰变的从头算短程核基质元素</w:t>
        </w:r>
      </w:hyperlink>
    </w:p>
    <w:p>
      <w:pPr>
        <w:spacing w:before="0" w:after="80"/>
      </w:pPr>
      <w:r>
        <w:rPr>
          <w:i/>
          <w:sz w:val="20"/>
        </w:rPr>
        <w:t>EN: Ab Initio Short-Range Nuclear Matrix Elements for Neutrinoless Double-Beta Decay</w:t>
      </w:r>
    </w:p>
    <w:p>
      <w:pPr>
        <w:spacing w:before="0" w:after="120"/>
      </w:pPr>
      <w:r>
        <w:rPr>
          <w:b/>
        </w:rPr>
        <w:t xml:space="preserve">Source: </w:t>
      </w:r>
      <w:r>
        <w:t>Recent Articles in Phys. Rev. Lett.</w:t>
      </w:r>
      <w:r>
        <w:t xml:space="preserve">    </w:t>
      </w:r>
      <w:r>
        <w:rPr>
          <w:b/>
        </w:rPr>
        <w:t xml:space="preserve">Pub date: </w:t>
      </w:r>
      <w:r>
        <w:t>2026-08-26 10:00:00+00:00</w:t>
      </w:r>
      <w:r>
        <w:t xml:space="preserve">    </w:t>
      </w:r>
      <w:r>
        <w:rPr>
          <w:b/>
        </w:rPr>
        <w:t xml:space="preserve">DOI: </w:t>
      </w:r>
      <w:hyperlink r:id="rId1569">
        <w:r>
          <w:rPr>
            <w:color w:val="1155CC"/>
            <w:u w:val="single"/>
          </w:rPr>
          <w:t>10.1103/d2n7-n2c7</w:t>
        </w:r>
      </w:hyperlink>
    </w:p>
    <w:p>
      <w:pPr>
        <w:spacing w:before="0" w:after="120"/>
      </w:pPr>
      <w:r>
        <w:rPr>
          <w:b/>
        </w:rPr>
        <w:t xml:space="preserve">Notes: </w:t>
      </w:r>
      <w:r>
        <w:t>abstract_source=rss_description</w:t>
      </w:r>
    </w:p>
    <w:p>
      <w:pPr>
        <w:spacing w:before="0" w:after="80" w:lineRule="auto" w:line="276"/>
      </w:pPr>
      <w:r>
        <w:rPr>
          <w:b/>
        </w:rPr>
        <w:t xml:space="preserve">摘要（ZH）: </w:t>
      </w:r>
      <w:r>
        <w:t>作者：A. Todd、T. Shickele、A. Belley、L. Jokiniemi 和 J. D. Holt我们提出了关键实验同位素 $^{76}\mathrm{Ge}$、$^{82}\mathrm{Se}$ 的短程中微子双 β ($0νββ$) 衰变核矩阵元素的从头算收敛计算， $^{130}\mathrm{Te}$ 和 $^{136}\mathrm{Xe}$。从源自 chira 的不同核力开始......[物理。莱特牧师。 137, 092501] 2026 年 8 月 26 日星期三发布</w:t>
      </w:r>
    </w:p>
    <w:p>
      <w:pPr>
        <w:spacing w:before="0" w:after="200" w:lineRule="auto" w:line="276"/>
      </w:pPr>
      <w:r>
        <w:rPr>
          <w:b/>
        </w:rPr>
        <w:t xml:space="preserve">Abstract (EN): </w:t>
      </w:r>
      <w:r>
        <w:t>Author(s): A. Todd, T. Shickele, A. Belley, L. Jokiniemi, and J. D. HoltWe present converged ab initio calculations of short-range neutrinoless double-beta ($0νββ$)-decay nuclear matrix elements for the key experimental isotopes $^{76}\mathrm{Ge}$, $^{82}\mathrm{Se}$, $^{130}\mathrm{Te}$, and $^{136}\mathrm{Xe}$. Starting from different nuclear forces derived from chira…[Phys. Rev. Lett. 137, 092501] Published Wed Aug 26, 2026</w:t>
      </w:r>
    </w:p>
    <w:p>
      <w:pPr>
        <w:spacing w:before="120" w:after="120"/>
      </w:pPr>
      <w:r>
        <w:rPr>
          <w:sz w:val="18"/>
        </w:rPr>
        <w:t>——————————————————————————————————————————————————————————————————————</w:t>
      </w:r>
    </w:p>
    <w:p>
      <w:pPr>
        <w:spacing w:before="160" w:after="40" w:line="240" w:lineRule="auto"/>
      </w:pPr>
      <w:r>
        <w:rPr>
          <w:b/>
        </w:rPr>
        <w:t xml:space="preserve">[569] </w:t>
      </w:r>
      <w:hyperlink r:id="rId1570">
        <w:r>
          <w:rPr>
            <w:color w:val="1155CC"/>
            <w:u w:val="single"/>
          </w:rPr>
          <w:t>具有太赫兹手性光学活性和手性-等离子体-手性-声子共振的手性微针阵列（Adv. Mater. 48/2026）</w:t>
        </w:r>
      </w:hyperlink>
    </w:p>
    <w:p>
      <w:pPr>
        <w:spacing w:before="0" w:after="80"/>
      </w:pPr>
      <w:r>
        <w:rPr>
          <w:i/>
          <w:sz w:val="20"/>
        </w:rPr>
        <w:t>EN: Chiral Microneedle Arrays With Terahertz Chiroptical Activity With Chiral‐Plasmon‐Chiral‐Phonon Resonance (Adv. Mater. 48/2026)</w:t>
      </w:r>
    </w:p>
    <w:p>
      <w:pPr>
        <w:spacing w:before="0" w:after="120"/>
      </w:pPr>
      <w:r>
        <w:rPr>
          <w:b/>
        </w:rPr>
        <w:t xml:space="preserve">Source: </w:t>
      </w:r>
      <w:r>
        <w:t>Wiley: Advanced Materials: Table of Contents</w:t>
      </w:r>
      <w:r>
        <w:t xml:space="preserve">    </w:t>
      </w:r>
      <w:r>
        <w:rPr>
          <w:b/>
        </w:rPr>
        <w:t xml:space="preserve">Pub date: </w:t>
      </w:r>
      <w:r>
        <w:t>2026-08-26 11:29:06+00:00</w:t>
      </w:r>
      <w:r>
        <w:t xml:space="preserve">    </w:t>
      </w:r>
      <w:r>
        <w:rPr>
          <w:b/>
        </w:rPr>
        <w:t xml:space="preserve">DOI: </w:t>
      </w:r>
      <w:hyperlink r:id="rId1571">
        <w:r>
          <w:rPr>
            <w:color w:val="1155CC"/>
            <w:u w:val="single"/>
          </w:rPr>
          <w:t>10.1002/adma.74705</w:t>
        </w:r>
      </w:hyperlink>
    </w:p>
    <w:p>
      <w:pPr>
        <w:spacing w:before="0" w:after="120"/>
      </w:pPr>
      <w:r>
        <w:rPr>
          <w:b/>
        </w:rPr>
        <w:t xml:space="preserve">Notes: </w:t>
      </w:r>
      <w:r>
        <w:t>abstract_source=openalex</w:t>
      </w:r>
    </w:p>
    <w:p>
      <w:pPr>
        <w:spacing w:before="0" w:after="80" w:lineRule="auto" w:line="276"/>
      </w:pPr>
      <w:r>
        <w:rPr>
          <w:b/>
        </w:rPr>
        <w:t xml:space="preserve">摘要（ZH）: </w:t>
      </w:r>
      <w:r>
        <w:t>具有太赫兹手性声子的微针阵列由商业贴片制成的手性微针阵列创建了一个太赫兹平台，用于将手性等离子体场与手性分子振动模式耦合。镀金微针产生强烈的手性光学响应，从而实现手性-等离子体-手性-声子共振。这项工作强调了微结构手性和分子共振之间的多尺度相互作用，为传感和光谱表征开辟了新的机会。更多详细信息，请参阅 André F. de Moura、Nicholas A. Kotov 及其同事的研究文章 (DOI: 10.1002/adma.202521439)。</w:t>
      </w:r>
    </w:p>
    <w:p>
      <w:pPr>
        <w:spacing w:before="0" w:after="200" w:lineRule="auto" w:line="276"/>
      </w:pPr>
      <w:r>
        <w:rPr>
          <w:b/>
        </w:rPr>
        <w:t xml:space="preserve">Abstract (EN): </w:t>
      </w:r>
      <w:r>
        <w:t>Microneedle Arrays with Terahertz Chiral Phonons Chiral microneedle arrays fabricated from a commercial patch create a terahertz platform for coupling handed plasmonic fields with chiral molecular vibrational modes. Gold-coated microneedles generate strong chiroptical responses that enable chiral-plasmon-chiral-phonon resonance. This work highlights multiscale interactions between microstructured chirality and molecular resonances, opening new opportunities for sensing and spectroscopic characterization. More details can be found in the Research Article by André F. de Moura, Nicholas A. Kotov, and co-workers (DOI: 10.1002/adma.202521439).</w:t>
      </w:r>
    </w:p>
    <w:p>
      <w:pPr>
        <w:spacing w:before="120" w:after="120"/>
      </w:pPr>
      <w:r>
        <w:rPr>
          <w:sz w:val="18"/>
        </w:rPr>
        <w:t>——————————————————————————————————————————————————————————————————————</w:t>
      </w:r>
    </w:p>
    <w:p>
      <w:pPr>
        <w:spacing w:before="160" w:after="40" w:line="240" w:lineRule="auto"/>
      </w:pPr>
      <w:r>
        <w:rPr>
          <w:b/>
        </w:rPr>
        <w:t xml:space="preserve">[570] </w:t>
      </w:r>
      <w:hyperlink r:id="rId1572">
        <w:r>
          <w:rPr>
            <w:color w:val="1155CC"/>
            <w:u w:val="single"/>
          </w:rPr>
          <w:t>具有磁性可重新编程手术功能的微型软机器人（Adv. Mater. 48/2026）</w:t>
        </w:r>
      </w:hyperlink>
    </w:p>
    <w:p>
      <w:pPr>
        <w:spacing w:before="0" w:after="80"/>
      </w:pPr>
      <w:r>
        <w:rPr>
          <w:i/>
          <w:sz w:val="20"/>
        </w:rPr>
        <w:t>EN: Miniature Soft Robot With Magnetically Reprogrammable Surgical Functions (Adv. Mater. 48/2026)</w:t>
      </w:r>
    </w:p>
    <w:p>
      <w:pPr>
        <w:spacing w:before="0" w:after="120"/>
      </w:pPr>
      <w:r>
        <w:rPr>
          <w:b/>
        </w:rPr>
        <w:t xml:space="preserve">Source: </w:t>
      </w:r>
      <w:r>
        <w:t>Wiley: Advanced Materials: Table of Contents</w:t>
      </w:r>
      <w:r>
        <w:t xml:space="preserve">    </w:t>
      </w:r>
      <w:r>
        <w:rPr>
          <w:b/>
        </w:rPr>
        <w:t xml:space="preserve">Pub date: </w:t>
      </w:r>
      <w:r>
        <w:t>2026-08-26 11:29:06+00:00</w:t>
      </w:r>
      <w:r>
        <w:t xml:space="preserve">    </w:t>
      </w:r>
      <w:r>
        <w:rPr>
          <w:b/>
        </w:rPr>
        <w:t xml:space="preserve">DOI: </w:t>
      </w:r>
      <w:hyperlink r:id="rId1573">
        <w:r>
          <w:rPr>
            <w:color w:val="1155CC"/>
            <w:u w:val="single"/>
          </w:rPr>
          <w:t>10.1002/adma.74702</w:t>
        </w:r>
      </w:hyperlink>
    </w:p>
    <w:p>
      <w:pPr>
        <w:spacing w:before="0" w:after="120"/>
      </w:pPr>
      <w:r>
        <w:rPr>
          <w:b/>
        </w:rPr>
        <w:t xml:space="preserve">Notes: </w:t>
      </w:r>
      <w:r>
        <w:t>abstract_source=openalex</w:t>
      </w:r>
    </w:p>
    <w:p>
      <w:pPr>
        <w:spacing w:before="0" w:after="80" w:lineRule="auto" w:line="276"/>
      </w:pPr>
      <w:r>
        <w:rPr>
          <w:b/>
        </w:rPr>
        <w:t xml:space="preserve">摘要（ZH）: </w:t>
      </w:r>
      <w:r>
        <w:t>微型软机器人手术功能微型机器人有望彻底改变微创干预。在他们的研究文章（DOI：10.1002/adma.202523056）中，Guo Zhan Lum 和同事介绍了一种多功能软机器人，能够进行药物输送、组织切割、生物样本采集和远程加热。这种多功能机器人可以实现更安全、侵入性更小的手术，并为精准治疗带来新的机会。</w:t>
      </w:r>
    </w:p>
    <w:p>
      <w:pPr>
        <w:spacing w:before="0" w:after="200" w:lineRule="auto" w:line="276"/>
      </w:pPr>
      <w:r>
        <w:rPr>
          <w:b/>
        </w:rPr>
        <w:t xml:space="preserve">Abstract (EN): </w:t>
      </w:r>
      <w:r>
        <w:t>Miniature Soft Robotic Surgical Functions Miniature robots are poised to revolutionize minimally invasive interventions. In their Research Article (DOI: 10.1002/adma.202523056), Guo Zhan Lum and co-workers introduce a multifunctional soft robot capable of drug delivery, tissue cutting, biological sample collection, and remote heating. This versatile robot can enable safer, less invasive procedures and unlock new opportunities for precision therapy.</w:t>
      </w:r>
    </w:p>
    <w:p>
      <w:pPr>
        <w:spacing w:before="120" w:after="120"/>
      </w:pPr>
      <w:r>
        <w:rPr>
          <w:sz w:val="18"/>
        </w:rPr>
        <w:t>——————————————————————————————————————————————————————————————————————</w:t>
      </w:r>
    </w:p>
    <w:p>
      <w:pPr>
        <w:spacing w:before="160" w:after="40" w:line="240" w:lineRule="auto"/>
      </w:pPr>
      <w:r>
        <w:rPr>
          <w:b/>
        </w:rPr>
        <w:t xml:space="preserve">[571] </w:t>
      </w:r>
      <w:hyperlink r:id="rId1574">
        <w:r>
          <w:rPr>
            <w:color w:val="1155CC"/>
            <w:u w:val="single"/>
          </w:rPr>
          <w:t>空间平坦化控制光学各向异性，实现高效稳定的蓝光 OLED</w:t>
        </w:r>
      </w:hyperlink>
    </w:p>
    <w:p>
      <w:pPr>
        <w:spacing w:before="0" w:after="80"/>
      </w:pPr>
      <w:r>
        <w:rPr>
          <w:i/>
          <w:sz w:val="20"/>
        </w:rPr>
        <w:t>EN: Spatial Planarization Controls Optical Anisotropy for Efficient and Stable Blue‐Emitting OLEDs</w:t>
      </w:r>
    </w:p>
    <w:p>
      <w:pPr>
        <w:spacing w:before="0" w:after="120"/>
      </w:pPr>
      <w:r>
        <w:rPr>
          <w:b/>
        </w:rPr>
        <w:t xml:space="preserve">Source: </w:t>
      </w:r>
      <w:r>
        <w:t>Wiley: Advanced Materials: Table of Contents</w:t>
      </w:r>
      <w:r>
        <w:t xml:space="preserve">    </w:t>
      </w:r>
      <w:r>
        <w:rPr>
          <w:b/>
        </w:rPr>
        <w:t xml:space="preserve">Pub date: </w:t>
      </w:r>
      <w:r>
        <w:t>2026-08-26 11:48:51+00:00</w:t>
      </w:r>
      <w:r>
        <w:t xml:space="preserve">    </w:t>
      </w:r>
      <w:r>
        <w:rPr>
          <w:b/>
        </w:rPr>
        <w:t xml:space="preserve">DOI: </w:t>
      </w:r>
      <w:hyperlink r:id="rId1575">
        <w:r>
          <w:rPr>
            <w:color w:val="1155CC"/>
            <w:u w:val="single"/>
          </w:rPr>
          <w:t>10.1002/adma.74617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在这项研究中，我们报告了一种不对称 Ir(III) 配合物的空间平坦化策略，该策略可同时提高蓝色 OLED 中的激子稳定性和光学外耦合。通过合并笨重的</w:t>
      </w:r>
      <w:r>
        <w:t xml:space="preserve"> </w:t>
      </w:r>
      <w:r>
        <w:t>叔</w:t>
      </w:r>
      <w:r>
        <w:t xml:space="preserve"> </w:t>
      </w:r>
      <w:r>
        <w:t>‐丁基咔唑（tBuCz）单元转化为三齿N-杂环卡宾配体，分子几何形状在空间上被限制为更共面和各向异性的构型。这种结构平坦化增加了激子结合能并缩短了辐射寿命，从而稳定了结合激子以防止热激活解离，同时加速了辐射激子消耗。同时，增强的几何各向异性导致约 95% 的高度水平发射偶极取向 (EDO)，从而实现高效的本征光提取。除了作为发射体的作用之外，平坦化的 Ir(III) 络合物在超 OLED 架构中还具有协同排列效应。这种结构和静电模板效应将分子排列转移到末端多共振 TADF 发射器</w:t>
      </w:r>
      <w:r>
        <w:t xml:space="preserve"> </w:t>
      </w:r>
      <w:r>
        <w:t>v</w:t>
      </w:r>
      <w:r>
        <w:t xml:space="preserve"> </w:t>
      </w:r>
      <w:r>
        <w:t>‐DABNA，导致二次偶极有序，EDO 为 98%。结果，优化的蓝色超级OLED实现了470 nm的超窄发射，半峰全宽为22 nm，最大外量子效率为36.9%，工作寿命（LT）</w:t>
      </w:r>
      <w:r>
        <w:rPr>
          <w:vertAlign w:val="subscript"/>
        </w:rPr>
        <w:t>50</w:t>
      </w:r>
      <w:r>
        <w:t>，达到 50% 初始亮度的时间）在 1000 cd m 下为 446 小时</w:t>
      </w:r>
      <w:r>
        <w:t xml:space="preserve"> </w:t>
      </w:r>
      <w:r>
        <w:t>−2</w:t>
      </w:r>
      <w:r>
        <w:t xml:space="preserve"> </w:t>
      </w:r>
      <w:r>
        <w:t>。</w:t>
      </w:r>
    </w:p>
    <w:p>
      <w:pPr>
        <w:spacing w:before="0" w:after="200" w:lineRule="auto" w:line="276"/>
      </w:pPr>
      <w:r>
        <w:rPr>
          <w:b/>
        </w:rPr>
        <w:t xml:space="preserve">Abstract (EN): </w:t>
      </w:r>
      <w:r>
        <w:t>In this study, we report a spatial planarization strategy for asymmetric Ir(III) complexes that simultaneously improves exciton stability and optical outcoupling in blue OLEDs. By incorporating bulky</w:t>
      </w:r>
      <w:r>
        <w:t xml:space="preserve"> </w:t>
      </w:r>
      <w:r>
        <w:t>tert</w:t>
      </w:r>
      <w:r>
        <w:t xml:space="preserve"> </w:t>
      </w:r>
      <w:r>
        <w:t>‐butylcarbazole (tBuCz) units into tridentate N‐heterocyclic carbene ligands, the molecular geometry is sterically confined into a more coplanar and anisotropic configuration. This structural planarization increases exciton binding energy and shortens the radiative lifetime, thereby stabilizing bound excitons against thermally activated dissociation while accelerating radiative exciton consumption. At the same time, the enhanced geometric anisotropy induces a highly horizontal emitting dipole orientation (EDO) of approximately 95%, enabling efficient intrinsic light extraction. Beyond its role as an emitter, the planarized Ir(III) complex further has a cooperative alignment effect in hyper‐OLED architectures. This structural and electrostatic templating effect transfers molecular alignment to the terminal multiple‐resonance TADF emitter</w:t>
      </w:r>
      <w:r>
        <w:t xml:space="preserve"> </w:t>
      </w:r>
      <w:r>
        <w:t>v</w:t>
      </w:r>
      <w:r>
        <w:t xml:space="preserve"> </w:t>
      </w:r>
      <w:r>
        <w:t>‐DABNA, leading to secondary dipole ordering with an EDO of 98%. As a result, the optimized blue hyper‐OLED achieves ultra‐narrow emission at 470 nm with a full width at half maximum of 22 nm, a maximum external quantum efficiency of 36.9%, and an operational lifetime (LT</w:t>
      </w:r>
      <w:r>
        <w:rPr>
          <w:vertAlign w:val="subscript"/>
        </w:rPr>
        <w:t>50</w:t>
      </w:r>
      <w:r>
        <w:t>, time to 50% initial luminance) of 446 h at 1000 cd m</w:t>
      </w:r>
      <w:r>
        <w:t xml:space="preserve"> </w:t>
      </w:r>
      <w:r>
        <w:t>−2</w:t>
      </w:r>
      <w:r>
        <w:t xml:space="preserve"> </w:t>
      </w:r>
      <w:r>
        <w:t>. These results establish spatial planarization as a powerful molecular design principle for coupling exciton stabilization, dipole orientation control, and interfacial alignment transfer, providing a general strategy for efficient and stable blue OLEDs.</w:t>
      </w:r>
    </w:p>
    <w:p>
      <w:pPr>
        <w:spacing w:before="120" w:after="120"/>
      </w:pPr>
      <w:r>
        <w:rPr>
          <w:sz w:val="18"/>
        </w:rPr>
        <w:t>——————————————————————————————————————————————————————————————————————</w:t>
      </w:r>
    </w:p>
    <w:p>
      <w:pPr>
        <w:spacing w:before="160" w:after="40" w:line="240" w:lineRule="auto"/>
      </w:pPr>
      <w:r>
        <w:rPr>
          <w:b/>
        </w:rPr>
        <w:t xml:space="preserve">[572] </w:t>
      </w:r>
      <w:hyperlink r:id="rId1576">
        <w:r>
          <w:rPr>
            <w:color w:val="1155CC"/>
            <w:u w:val="single"/>
          </w:rPr>
          <w:t>通过高岭土和棉花的纳米纤维桥接实现快速、安全控制出血的仿生止血敷料</w:t>
        </w:r>
      </w:hyperlink>
    </w:p>
    <w:p>
      <w:pPr>
        <w:spacing w:before="0" w:after="80"/>
      </w:pPr>
      <w:r>
        <w:rPr>
          <w:i/>
          <w:sz w:val="20"/>
        </w:rPr>
        <w:t>EN: Bioinspired Hemostatic Dressings for Rapid and Safe Bleeding Control Via Nanofiber Bridging of Kaolin and Cotton</w:t>
      </w:r>
    </w:p>
    <w:p>
      <w:pPr>
        <w:spacing w:before="0" w:after="120"/>
      </w:pPr>
      <w:r>
        <w:rPr>
          <w:b/>
        </w:rPr>
        <w:t xml:space="preserve">Source: </w:t>
      </w:r>
      <w:r>
        <w:t>Wiley: Advanced Materials: Table of Contents</w:t>
      </w:r>
      <w:r>
        <w:t xml:space="preserve">    </w:t>
      </w:r>
      <w:r>
        <w:rPr>
          <w:b/>
        </w:rPr>
        <w:t xml:space="preserve">Pub date: </w:t>
      </w:r>
      <w:r>
        <w:t>2026-08-26 12:22:08+00:00</w:t>
      </w:r>
      <w:r>
        <w:t xml:space="preserve">    </w:t>
      </w:r>
      <w:r>
        <w:rPr>
          <w:b/>
        </w:rPr>
        <w:t xml:space="preserve">DOI: </w:t>
      </w:r>
      <w:hyperlink r:id="rId1577">
        <w:r>
          <w:rPr>
            <w:color w:val="1155CC"/>
            <w:u w:val="single"/>
          </w:rPr>
          <w:t>10.1002/adma.74776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院前护理期间的紧急止血可显着降低创伤相关死亡率。纳米粘土具有有效的促凝血特性，但其与基材的分离会导致不可忽视的不良反应并降低止血效率，阻碍了其临床应用。尽管通过聚合物掺入改善了固定性，但不可逆的表面封装破坏了纳米粘土的促凝血功效。在这里，受到鱼鳞通过胶原纤维锚定到皮肤的机制的启发，我们引入了一种纳米纤维桥接设计，可以实现纳米粘土的牢固固定和最大化的负载密度，同时还可以实现其完全暴露以获得最佳止血性能。微纤维衍生的纳米纤维网络扩大了界面接触面积，并通过协同共价和非共价相互作用锚定纳米片内表面，有效地重新分布应力以抵抗动态剪切力。与传统止血剂相比，所得的高岭土棉止血敷料在大鼠（62%）、兔（58%）和猪（35%–43%）出血模型中表现出优异的物理稳定性（未检测到高岭土渗漏）和增强的止血效果。重要的是，没有观察到渗漏引起的慢性炎症。此外，5公斤产品的实验室规模制备和加工证明了工业规模生产的可行性，使其可进一步加工成各种棉基材料。这种仿生敷料可提高功效和安全性，并且价格实惠</w:t>
      </w:r>
    </w:p>
    <w:p>
      <w:pPr>
        <w:spacing w:before="0" w:after="200" w:lineRule="auto" w:line="276"/>
      </w:pPr>
      <w:r>
        <w:rPr>
          <w:b/>
        </w:rPr>
        <w:t xml:space="preserve">Abstract (EN): </w:t>
      </w:r>
      <w:r>
        <w:t>Emergency hemostasis during prehospital care significantly reduces trauma‐related mortality. Nanoclay exhibits potent procoagulant properties, but its detachment from the substrate leads to non‐negligible adverse reactions and diminished hemostatic efficiency, hindering its clinical application. Despite improved immobilization via polymer incorporation, irreversible surface encapsulation undermines the procoagulant efficacy of nanoclays. Here, inspired by the anchoring mechanism of fish scales to skin via collagen fibers, we introduce a nanofiber‐bridged design that enables robust immobilization of nanoclay and maximized loading density, while also achieving its full exposure for optimal hemostatic performance. The microfiber‐derived nanofiber network expands the interfacial contact area and anchors nanosheet inner surfaces via synergistic covalent and non‐covalent interactions, effectively redistributing stress to resist dynamic shear forces. The resulting kaolin‐cotton hemostatic dressing demonstrates superior physical stability (no detectable kaolin leakage) and enhanced hemostatic efficacy in rat (62%), rabbit (58%), and pig (35%–43%) hemorrhage models compared with conventional hemostatic agents. Importantly, no leakage‐induced chronic inflammation was observed. Moreover, laboratory‐scale preparation and processing of 5 kg products demonstrate the feasibility of industrial‐scale production, making them further processable into various cotton‐based materials. This bioinspired dressing offers improved efficacy and safety, along with affordability, underscoring its potential for clinical translation.</w:t>
      </w:r>
    </w:p>
    <w:p>
      <w:pPr>
        <w:spacing w:before="120" w:after="120"/>
      </w:pPr>
      <w:r>
        <w:rPr>
          <w:sz w:val="18"/>
        </w:rPr>
        <w:t>——————————————————————————————————————————————————————————————————————</w:t>
      </w:r>
    </w:p>
    <w:p>
      <w:pPr>
        <w:spacing w:before="160" w:after="40" w:line="240" w:lineRule="auto"/>
      </w:pPr>
      <w:r>
        <w:rPr>
          <w:b/>
        </w:rPr>
        <w:t xml:space="preserve">[573] </w:t>
      </w:r>
      <w:hyperlink r:id="rId1578">
        <w:r>
          <w:rPr>
            <w:color w:val="1155CC"/>
            <w:u w:val="single"/>
          </w:rPr>
          <w:t>吖内酯的电催化极性反转：利用富电子 SOMOphile 获取 α-季氨基酸</w:t>
        </w:r>
      </w:hyperlink>
    </w:p>
    <w:p>
      <w:pPr>
        <w:spacing w:before="0" w:after="80"/>
      </w:pPr>
      <w:r>
        <w:rPr>
          <w:i/>
          <w:sz w:val="20"/>
        </w:rPr>
        <w:t>EN: Electrocatalytic Polarity Inversion of Azlactones: Access to α‐Quaternary Amino Acids with Electron‐Rich SOMOphiles</w:t>
      </w:r>
    </w:p>
    <w:p>
      <w:pPr>
        <w:spacing w:before="0" w:after="120"/>
      </w:pPr>
      <w:r>
        <w:rPr>
          <w:b/>
        </w:rPr>
        <w:t xml:space="preserve">Source: </w:t>
      </w:r>
      <w:r>
        <w:t>Wiley: Angewandte Chemie International Edition: Table of Contents</w:t>
      </w:r>
      <w:r>
        <w:t xml:space="preserve">    </w:t>
      </w:r>
      <w:r>
        <w:rPr>
          <w:b/>
        </w:rPr>
        <w:t xml:space="preserve">Pub date: </w:t>
      </w:r>
      <w:r>
        <w:t>2026-08-26 12:38:27+00:00</w:t>
      </w:r>
      <w:r>
        <w:t xml:space="preserve">    </w:t>
      </w:r>
      <w:r>
        <w:rPr>
          <w:b/>
        </w:rPr>
        <w:t xml:space="preserve">DOI: </w:t>
      </w:r>
      <w:hyperlink r:id="rId1579">
        <w:r>
          <w:rPr>
            <w:color w:val="1155CC"/>
            <w:u w:val="single"/>
          </w:rPr>
          <w:t>10.1002/anie.8095368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使用吖内酯作为亲核试剂是获取 α-季氨基酸的成熟策略。在这里，我们提出了一种电催化方法，可以逆转二氢唑酮的自然极性。使用三芳胺电催化剂对二氢唑酮烯醇化物进行间接氧化，生成亲电子自由基中间体，与各种富电子 SOMO 亲和体偶联。该策略使 Csp</w:t>
      </w:r>
      <w:r>
        <w:rPr>
          <w:vertAlign w:val="subscript"/>
        </w:rPr>
        <w:t>3</w:t>
      </w:r>
      <w:r>
        <w:t>─Csp</w:t>
      </w:r>
      <w:r>
        <w:rPr>
          <w:vertAlign w:val="subscript"/>
        </w:rPr>
        <w:t>2</w:t>
      </w:r>
      <w:r>
        <w:t>和Csp</w:t>
      </w:r>
      <w:r>
        <w:rPr>
          <w:vertAlign w:val="subscript"/>
        </w:rPr>
        <w:t>3</w:t>
      </w:r>
      <w:r>
        <w:t>─Csp</w:t>
      </w:r>
      <w:r>
        <w:rPr>
          <w:vertAlign w:val="subscript"/>
        </w:rPr>
        <w:t>3</w:t>
      </w:r>
      <w:r>
        <w:t>在二氢唑酮的 α 位形成键，提供芳基化、β-氧代烷基化、烯基化和烯丙基化的季铵氨基酸衍生物。</w:t>
      </w:r>
    </w:p>
    <w:p>
      <w:pPr>
        <w:spacing w:before="0" w:after="200" w:lineRule="auto" w:line="276"/>
      </w:pPr>
      <w:r>
        <w:rPr>
          <w:b/>
        </w:rPr>
        <w:t xml:space="preserve">Abstract (EN): </w:t>
      </w:r>
      <w:r>
        <w:t>The use of azlactones as nucleophiles is a well‐established strategy to access α‐quaternary amino acids. Herein, we present an electrocatalytic approach that reverses the natural polarity of azlactones. Indirect oxidation of the azlactone enolate, using triarylamine electrocatalysts, generates an electrophilic radical intermediate that couples with a variety of electron‐rich SOMOphiles. This strategy enables Csp</w:t>
      </w:r>
      <w:r>
        <w:rPr>
          <w:vertAlign w:val="subscript"/>
        </w:rPr>
        <w:t>3</w:t>
      </w:r>
      <w:r>
        <w:t>─Csp</w:t>
      </w:r>
      <w:r>
        <w:rPr>
          <w:vertAlign w:val="subscript"/>
        </w:rPr>
        <w:t>2</w:t>
      </w:r>
      <w:r>
        <w:t>and Csp</w:t>
      </w:r>
      <w:r>
        <w:rPr>
          <w:vertAlign w:val="subscript"/>
        </w:rPr>
        <w:t>3</w:t>
      </w:r>
      <w:r>
        <w:t>─Csp</w:t>
      </w:r>
      <w:r>
        <w:rPr>
          <w:vertAlign w:val="subscript"/>
        </w:rPr>
        <w:t>3</w:t>
      </w:r>
      <w:r>
        <w:t>bond formation at the α‐position of the azlactone, providing access to arylated, β‐oxoalkylated, alkenylated, and allylated quaternary amino acid derivatives.</w:t>
      </w:r>
    </w:p>
    <w:p>
      <w:pPr>
        <w:spacing w:before="120" w:after="120"/>
      </w:pPr>
      <w:r>
        <w:rPr>
          <w:sz w:val="18"/>
        </w:rPr>
        <w:t>——————————————————————————————————————————————————————————————————————</w:t>
      </w:r>
    </w:p>
    <w:p>
      <w:pPr>
        <w:spacing w:before="160" w:after="40" w:line="240" w:lineRule="auto"/>
      </w:pPr>
      <w:r>
        <w:rPr>
          <w:b/>
        </w:rPr>
        <w:t xml:space="preserve">[574] </w:t>
      </w:r>
      <w:hyperlink r:id="rId1580">
        <w:r>
          <w:rPr>
            <w:color w:val="1155CC"/>
            <w:u w:val="single"/>
          </w:rPr>
          <w:t>光学神经计算的量子非线性</w:t>
        </w:r>
      </w:hyperlink>
    </w:p>
    <w:p>
      <w:pPr>
        <w:spacing w:before="0" w:after="80"/>
      </w:pPr>
      <w:r>
        <w:rPr>
          <w:i/>
          <w:sz w:val="20"/>
        </w:rPr>
        <w:t>EN: Quantum nonlinearity for optical neural computing</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深度神经网络的快速扩展是以不可持续的功耗为代价的。虽然光学神经网络提供了一种替代方案，但它们的能力仍然受到缺乏有效光学非线性的限制。为了解决这个问题，我们提出了一种光学神经计算架构，将量子发射器嵌入逆向设计的纳米光子结构中。由于其饱和性，与传统材料相比，量子发射器表现出异常强的非线性。使用物理感知训练，我们以数字方式证明所提出的架构可以解决全光神经网络中的复杂任务，包括非线性分类和强化学习。为了实现不同平台之间的公平比较，我们引入了一个框架，该框架将非线性与网络的表达能力定量联系起来。分析表明，我们的量子激活在 nW/μm2 强度下运行，比传统光学材料的非线性阈值低七个数量级。展望大型语言模型，我们估计了非线性限制的光功率，它随模型大小呈次线性缩放。我们的结果表明，量子纳米光子学可能为可持续人工智能推理提供一条途径。</w:t>
      </w:r>
    </w:p>
    <w:p>
      <w:pPr>
        <w:spacing w:before="0" w:after="200" w:lineRule="auto" w:line="276"/>
      </w:pPr>
      <w:r>
        <w:rPr>
          <w:b/>
        </w:rPr>
        <w:t xml:space="preserve">Abstract (EN): </w:t>
      </w:r>
      <w:r>
        <w:t>The rapid scaling of deep neural networks comes at the cost of unsustainable power consumption. While optical neural networks offer an alternative, their capabilities remain constrained by the lack of efficient optical nonlinearities. To address this, we propose an optical neural computing architecture by embedding quantum emitters in inverse-designed nanophotonic structures. Due to their saturability, quantum emitters exhibit exceptionally strong nonlinearity compared with conventional materials. Using physics-aware training, we numerically demonstrate that the proposed architecture can solve complex tasks, including nonlinear classification and reinforcement learning, within all-optical neural networks. To enable fair comparison across different platforms, we introduce a framework that quantitatively links nonlinearity to a network’s expressive power. Analysis shows that our quantum activation operates at nW/μm2 intensity, which is seven orders of magnitude below the nonlinearity threshold of conventional optical materials. Looking ahead to large language models, we estimate the nonlinearity-limited optical power, which scales sublinearly with model size. Our results indicate that quantum nanophotonics may provide a route toward sustainable AI inference.</w:t>
      </w:r>
    </w:p>
    <w:p>
      <w:pPr>
        <w:spacing w:before="120" w:after="120"/>
      </w:pPr>
      <w:r>
        <w:rPr>
          <w:sz w:val="18"/>
        </w:rPr>
        <w:t>——————————————————————————————————————————————————————————————————————</w:t>
      </w:r>
    </w:p>
    <w:p>
      <w:pPr>
        <w:spacing w:before="160" w:after="40" w:line="240" w:lineRule="auto"/>
      </w:pPr>
      <w:r>
        <w:rPr>
          <w:b/>
        </w:rPr>
        <w:t xml:space="preserve">[575] </w:t>
      </w:r>
      <w:hyperlink r:id="rId1581">
        <w:r>
          <w:rPr>
            <w:color w:val="1155CC"/>
            <w:u w:val="single"/>
          </w:rPr>
          <w:t>通过基于折纸的机械钻头自锁非易失性编码超表面</w:t>
        </w:r>
      </w:hyperlink>
    </w:p>
    <w:p>
      <w:pPr>
        <w:spacing w:before="0" w:after="80"/>
      </w:pPr>
      <w:r>
        <w:rPr>
          <w:i/>
          <w:sz w:val="20"/>
        </w:rPr>
        <w:t>EN: Self-locking non-volatile coding metasurfaces via origami-based mechanical bits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数字编码超表面彻底改变了电磁 (EM) 操纵，但基于有源组件的典型可调谐方法却存在“波动性”。虽然机械调制提供了一种潜在的解决方案，但当前的实现通常缺乏固有的状态锁定功能，使得它们容易受到环境干扰和驱动错误的影响。受机械位（MB）概念的启发，本文提出了一种由基于 Kresling 折纸的 MB 实现的自锁非易失性编码超表面平台。在这里，单个元原子的机械双稳定性能够实现稳健的二元几何重构，并具有受内在能量势垒保护的不同状态。基于这一概念，建立并分析了考虑压缩扭转耦合运动的等效电流模型，以设计高效且宽带的 1 位 EM 单元。通过将定制的金属图案集成到多材料 3D 打印桁架变体阵列上，提出并实验演示了透射型和反射型原型，通过近场全息成像和远场光束控制展现了可靠的波前操纵能力。这些结果将机械逻辑和电磁信息处理联系起来，建立了一个通用的物理范例，用于构建能够适应复杂环境的低功耗、高度鲁棒的编码超表面。</w:t>
      </w:r>
    </w:p>
    <w:p>
      <w:pPr>
        <w:spacing w:before="0" w:after="200" w:lineRule="auto" w:line="276"/>
      </w:pPr>
      <w:r>
        <w:rPr>
          <w:b/>
        </w:rPr>
        <w:t xml:space="preserve">Abstract (EN): </w:t>
      </w:r>
      <w:r>
        <w:t>Digital coding metasurfaces have revolutionized electromagnetic (EM) manipulation, yet typical tunable approaches based on active components suffer from “volatility”. While mechanical modulation provides a potential solution, current implementations generally lack inherent state-locking capabilities, rendering them vulnerable to environmental disturbances and actuation errors. Inspired by the concept of mechanical bits (MBs), this paper presents a self-locking non-volatile coding metasurface platform enabled by Kresling origami-based MBs. Here, the mechanical bi-stability of individual meta-atoms enables robust binary geometric reconfiguration, with distinct states protected by intrinsic energy barriers. Building upon this concept, equivalent current models accounting for the compression-torsion coupling motion are established and analyzed to design efficient and broadband 1-bit EM units. By integrating tailored metallic patterns onto a multi-material 3D-printed truss-variant array, both transmission- and reflection-type prototypes are proposed and experimentally demonstrated, exhibiting reliable wavefront manipulation capabilities through near-field holographic imaging and far-field beam steering. These results bridge mechanical logic and EM information processing, establishing a universal physical paradigm for constructing low-power, highly robust coding metasurfaces resilient to complex environments.</w:t>
      </w:r>
    </w:p>
    <w:p>
      <w:pPr>
        <w:spacing w:before="120" w:after="120"/>
      </w:pPr>
      <w:r>
        <w:rPr>
          <w:sz w:val="18"/>
        </w:rPr>
        <w:t>——————————————————————————————————————————————————————————————————————</w:t>
      </w:r>
    </w:p>
    <w:p>
      <w:pPr>
        <w:spacing w:before="160" w:after="40" w:line="240" w:lineRule="auto"/>
      </w:pPr>
      <w:r>
        <w:rPr>
          <w:b/>
        </w:rPr>
        <w:t xml:space="preserve">[576] </w:t>
      </w:r>
      <w:hyperlink r:id="rId1582">
        <w:r>
          <w:rPr>
            <w:color w:val="1155CC"/>
            <w:u w:val="single"/>
          </w:rPr>
          <w:t>揭示增材制造镍高温合金的 3D 应变和碳化物结构</w:t>
        </w:r>
      </w:hyperlink>
    </w:p>
    <w:p>
      <w:pPr>
        <w:spacing w:before="0" w:after="80"/>
      </w:pPr>
      <w:r>
        <w:rPr>
          <w:i/>
          <w:sz w:val="20"/>
        </w:rPr>
        <w:t>EN: Revealing 3D strain and carbide architectures in additively manufactured Ni superalloys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激光增材制造 (LAM) 诱导的定向凝固在镍基高温合金中形成复杂的微观结构，具有柱状晶、蜂窝状亚晶和碳化物。使用扫描 3D X 射线衍射 (S3DXRD)，我们揭示了与细胞亚晶网络和初生立方 MC 碳化物耦合的取向和晶间应变关系。我们分析了通过定向能量沉积 (DED) 生产的 ABD-900AM 合金中 82 个 γ 晶粒和 37,000 多个碳化物的 3D 取向和弹性应变场。冷却引起的溶质偏析在 γ 相中产生体积晶格参数图案，从而改变残余应力场。富含 Ti、Ta 和 Nb 的碳化物优先在这些高溶质区域中形成，与母体 γ 晶粒表现出弱的取向关系。这些结果提供了第一个将增材制造的镍高温合金中的快速凝固偏析、变形不均匀性和碳化物结构联系起来的无损 3D 研究。这些见解为 LAM 工艺参数优化和耦合空间控制结构性能的合理化提供了重要的细节。</w:t>
      </w:r>
    </w:p>
    <w:p>
      <w:pPr>
        <w:spacing w:before="0" w:after="200" w:lineRule="auto" w:line="276"/>
      </w:pPr>
      <w:r>
        <w:rPr>
          <w:b/>
        </w:rPr>
        <w:t xml:space="preserve">Abstract (EN): </w:t>
      </w:r>
      <w:r>
        <w:t>Laser Additive Manufacturing (LAM)-induced directional solidification creates complex microstructures in nickel-based superalloys, featuring columnar grains with cellular sub-grains and carbides. Using Scanning 3D X-ray Diffraction (S3DXRD), we reveal orientation and intergranular strain relationships coupled to cellular sub-grain networks and primary cubic MC carbides. We analyzed 3D orientation and elastic strain fields across 82 γ grains and 37,000+ carbides in an ABD-900AM alloy produced via Directed Energy Deposition (DED). Cooling-induced solute segregation creates volumetric lattice parameter patterning in the γ phase, altering residual stress fields. Ti-, Ta-, and Nb-rich carbides form preferentially in these high-solute regions, exhibiting weak orientation relationships with parent γ grains. These results provide the first non-destructive 3D study linking rapid solidification segregation, deformation heterogeneity, and carbide architectures in additively manufactured Ni-superalloys. These insights provide crucial detail to rationalise LAM process parameter optimisation and the coupled spatially governed structural performance.</w:t>
      </w:r>
    </w:p>
    <w:p>
      <w:pPr>
        <w:spacing w:before="120" w:after="120"/>
      </w:pPr>
      <w:r>
        <w:rPr>
          <w:sz w:val="18"/>
        </w:rPr>
        <w:t>——————————————————————————————————————————————————————————————————————</w:t>
      </w:r>
    </w:p>
    <w:p>
      <w:pPr>
        <w:spacing w:before="160" w:after="40" w:line="240" w:lineRule="auto"/>
      </w:pPr>
      <w:r>
        <w:rPr>
          <w:b/>
        </w:rPr>
        <w:t xml:space="preserve">[577] </w:t>
      </w:r>
      <w:hyperlink r:id="rId1583">
        <w:r>
          <w:rPr>
            <w:color w:val="1155CC"/>
            <w:u w:val="single"/>
          </w:rPr>
          <w:t>厄米量子反常霍尔系统中边缘传输的非厄米拓扑</w:t>
        </w:r>
      </w:hyperlink>
    </w:p>
    <w:p>
      <w:pPr>
        <w:spacing w:before="0" w:after="80"/>
      </w:pPr>
      <w:r>
        <w:rPr>
          <w:i/>
          <w:sz w:val="20"/>
        </w:rPr>
        <w:t>EN: Non-Hermitian topology from edge transport in Hermitian quantum anomalous Hall systems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非厄米物理学以异常点和集肤效应等现象而闻名，在依赖控制增益和损耗的工程系统中得到了最显着的实现。在这里，我们证明它也可以作为全局厄米量子反常霍尔系统的固有输运响应自然出现，而不需要外部非厄米工程。我们证明，单向手征边缘模式和扩散法向边缘模式之间的相互作用会引起连续介质 Hatano-Nelson 模型描述的内在非互易输运。因此，非厄米集肤效应直接编码在实验上可访问的霍尔棒可观测值中：电化学势和局部散热获得手性相关的指数空间分布，而纵向电导随系统尺寸呈指数衰减，并且霍尔电导保持量子化。使用 Landauer-Büttiker 模拟，我们确认了这些传输特征，并将磁性拓扑绝缘体确定为固有非厄米传输响应的现实平台。我们的结果将非厄米拓扑与介观输运联系起来，为固态系统中的非厄米拓扑器件开辟了一条途径。</w:t>
      </w:r>
    </w:p>
    <w:p>
      <w:pPr>
        <w:spacing w:before="0" w:after="200" w:lineRule="auto" w:line="276"/>
      </w:pPr>
      <w:r>
        <w:rPr>
          <w:b/>
        </w:rPr>
        <w:t xml:space="preserve">Abstract (EN): </w:t>
      </w:r>
      <w:r>
        <w:t>Non-Hermitian physics, known for phenomena like exceptional points and the skin effect, has been most prominently realized in engineered systems relying on controlled gain and loss. Here we show that it can also arise naturally as an intrinsic transport response of a globally Hermitian quantum anomalous Hall system, without the need for external non-Hermitian engineering. We show that the interplay between unidirectional chiral edge modes and diffusive normal edge modes induces intrinsic non-reciprocal transport described by a continuum Hatano-Nelson model. Consequently, the non-Hermitian skin effect is encoded directly in experimentally accessible Hall-bar observables: the electrochemical potential and local heat dissipation acquire chirality-dependent exponential spatial profiles, while the longitudinal conductance decays exponentially with system size and the Hall conductance remains quantized. Using Landauer–Büttiker simulations, we confirm these transport signatures and identify magnetic topological insulators as a realistic platform for an intrinsic non-Hermitian transport response. Our results bridge non-Hermitian topology with mesoscopic transport, opening a pathway toward non-Hermitian topological devices in solid-state systems.</w:t>
      </w:r>
    </w:p>
    <w:p>
      <w:pPr>
        <w:spacing w:before="120" w:after="120"/>
      </w:pPr>
      <w:r>
        <w:rPr>
          <w:sz w:val="18"/>
        </w:rPr>
        <w:t>——————————————————————————————————————————————————————————————————————</w:t>
      </w:r>
    </w:p>
    <w:p>
      <w:pPr>
        <w:spacing w:before="160" w:after="40" w:line="240" w:lineRule="auto"/>
      </w:pPr>
      <w:r>
        <w:rPr>
          <w:b/>
        </w:rPr>
        <w:t xml:space="preserve">[578] </w:t>
      </w:r>
      <w:hyperlink r:id="rId1584">
        <w:r>
          <w:rPr>
            <w:color w:val="1155CC"/>
            <w:u w:val="single"/>
          </w:rPr>
          <w:t>小行星贝努碱盐水中难熔星尘的逐渐破坏</w:t>
        </w:r>
      </w:hyperlink>
    </w:p>
    <w:p>
      <w:pPr>
        <w:spacing w:before="0" w:after="80"/>
      </w:pPr>
      <w:r>
        <w:rPr>
          <w:i/>
          <w:sz w:val="20"/>
        </w:rPr>
        <w:t>EN: Gradual Destruction of Refractory Stardust in Alkali Brines on Asteroid Bennu</w:t>
      </w:r>
    </w:p>
    <w:p>
      <w:pPr>
        <w:spacing w:before="0" w:after="120"/>
      </w:pPr>
      <w:r>
        <w:rPr>
          <w:b/>
        </w:rPr>
        <w:t xml:space="preserve">Source: </w:t>
      </w:r>
      <w:r>
        <w:t>Earth and environmental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碳质小行星保存着太阳前颗粒——早于太阳系的难熔星尘——记录了它们的恒星起源以及随后在其母体小行星上的变化。在这里，我们研究了奥西里斯-雷克斯任务从小行星本努返回的样本中斑驳颗粒中太阳前颗粒和同位素异常有机物的分布。尽管斑驳的样本含有与其他贝努样本相似的碳和氮同位素组成的有机物，但它们缺乏前太阳系硅酸盐或氧化物颗粒，并且显示出前太阳系碳化硅丰度显着降低。在这项工作中，我们表明这些发现与低温、氧化性碱性盐水在后期蚀变过程中碳化硅颗粒的缓慢破坏是一致的。这些盐水与蒸发盐的形成同时发生，选择性地消除了化学上稳定的前太阳相，同时保留了同位素异常的有机物。这表明演化出的水性液体可以从根本上改变原始小行星的太阳前记录。</w:t>
      </w:r>
    </w:p>
    <w:p>
      <w:pPr>
        <w:spacing w:before="0" w:after="200" w:lineRule="auto" w:line="276"/>
      </w:pPr>
      <w:r>
        <w:rPr>
          <w:b/>
        </w:rPr>
        <w:t xml:space="preserve">Abstract (EN): </w:t>
      </w:r>
      <w:r>
        <w:t>Carbonaceous asteroids preserve presolar grains—refractory stardust that predates the Solar System—recording both their stellar origins and subsequent alteration on their parent asteroids. Here we examine the distribution of presolar grains and isotopically anomalous organic matter in mottled particles from samples returned by the OSIRIS-REx mission from asteroid Bennu. Although the mottled samples contain organic matter with carbon and nitrogen isotopic compositions similar to those of other Bennu samples, they lack presolar silicate or oxide grains and show a markedly reduced abundance of presolar silicon carbide. In this work, we show that these findings are consistent with the slow destruction of silicon carbide grains during late-stage alteration by a low-temperature, oxidizing, alkaline brine. These brines, coinciding with evaporite salt formation, selectively erased chemically robust presolar phases while preserving isotopically anomalous organic matter. This shows that evolved aqueous fluids can fundamentally alter the presolar record of primitive asteroids.</w:t>
      </w:r>
    </w:p>
    <w:p>
      <w:pPr>
        <w:spacing w:before="120" w:after="120"/>
      </w:pPr>
      <w:r>
        <w:rPr>
          <w:sz w:val="18"/>
        </w:rPr>
        <w:t>——————————————————————————————————————————————————————————————————————</w:t>
      </w:r>
    </w:p>
    <w:p>
      <w:pPr>
        <w:spacing w:before="160" w:after="40" w:line="240" w:lineRule="auto"/>
      </w:pPr>
      <w:r>
        <w:rPr>
          <w:b/>
        </w:rPr>
        <w:t xml:space="preserve">[579] </w:t>
      </w:r>
      <w:hyperlink r:id="rId1585">
        <w:r>
          <w:rPr>
            <w:color w:val="1155CC"/>
            <w:u w:val="single"/>
          </w:rPr>
          <w:t>通过人体颅内血管周围网络进行模拟溶质运输</w:t>
        </w:r>
      </w:hyperlink>
    </w:p>
    <w:p>
      <w:pPr>
        <w:spacing w:before="0" w:after="80"/>
      </w:pPr>
      <w:r>
        <w:rPr>
          <w:i/>
          <w:sz w:val="20"/>
        </w:rPr>
        <w:t>EN: In-silico solute transport via perivascular networks in the human intracranial space</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颅内溶质转运机制对于人类大脑健康至关重要。然而，我们对它们相互作用的理解仍然不完整，部分原因是整合跨尺度、物种之间和不同模式的见解的复杂性。在这项工作中，我们结合了混合维数学模型、多模态磁共振图像和高性能计算，提出了一个计算框架，用于计算溶质在蛛网膜下腔、脑室系统和脑实质（包括表面血管周围空间）中的时空扩散。为了说明适用性，我们模拟了一系列与鞘内示踪剂注射相关的场景，包括脑脊液产生、颅内搏动、血管周围液体流动和结构的变化。这个公开可用的框架允许评估不同运输机制的综合效应，从血管介观尺度到器官级宏观尺度，跨秒到小时的时间尺度，在特定主题的几何形状中。</w:t>
      </w:r>
    </w:p>
    <w:p>
      <w:pPr>
        <w:spacing w:before="0" w:after="200" w:lineRule="auto" w:line="276"/>
      </w:pPr>
      <w:r>
        <w:rPr>
          <w:b/>
        </w:rPr>
        <w:t xml:space="preserve">Abstract (EN): </w:t>
      </w:r>
      <w:r>
        <w:t>The mechanisms of intracranial solute transport are fundamental to human brain health. However, our understanding of their interplay remains incomplete, in part due to the complexity of integrating insights across scales, between species, and from different modalities. In this work, we combine mixed-dimensional mathematical modeling, multi-modal magnetic resonance images, and high performance computing to present a computational framework for calculating the spatiotemporal spreading of a solute across the subarachnoid space, ventricular system, and brain parenchyma, including surface perivascular spaces. To illustrate applicability, we simulate a series of scenarios relating to intrathecal tracer injections, including variations in cerebrospinal fluid production, intracranial pulsatility, perivascular fluid flow and -structure. This openly available framework allows for evaluating the integrated effect of different transport mechanisms, bridging from the vascular mesoscale to the organ-level macroscale and across time scales of seconds to hours, in subject-specific geometries.</w:t>
      </w:r>
    </w:p>
    <w:p>
      <w:pPr>
        <w:spacing w:before="120" w:after="120"/>
      </w:pPr>
      <w:r>
        <w:rPr>
          <w:sz w:val="18"/>
        </w:rPr>
        <w:t>——————————————————————————————————————————————————————————————————————</w:t>
      </w:r>
    </w:p>
    <w:p>
      <w:pPr>
        <w:spacing w:before="160" w:after="40" w:line="240" w:lineRule="auto"/>
      </w:pPr>
      <w:r>
        <w:rPr>
          <w:b/>
        </w:rPr>
        <w:t xml:space="preserve">[580] </w:t>
      </w:r>
      <w:hyperlink r:id="rId1586">
        <w:r>
          <w:rPr>
            <w:color w:val="1155CC"/>
            <w:u w:val="single"/>
          </w:rPr>
          <w:t>螺环 γ- 与 δ-内酰胺对映选择性合成中催化剂控制的区域发散</w:t>
        </w:r>
      </w:hyperlink>
    </w:p>
    <w:p>
      <w:pPr>
        <w:spacing w:before="0" w:after="80"/>
      </w:pPr>
      <w:r>
        <w:rPr>
          <w:i/>
          <w:sz w:val="20"/>
        </w:rPr>
        <w:t>EN: Catalyst-controlled regiodivergence in enantioselective synthesis of spirocyclic γ- versus δ-lactams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我们报告了一种区域发散策略，用于从单个环炔束缚的β-酮酰胺前体催化不对称合成对映体富集的螺环γ-和δ-内酰胺。重要的是，只需在 Cu(I)/Pyrabox 和 Ni(II)/Box 之间切换催化剂系统，就可以在 5-exo-dig 和 6-endo-dig 模式之间精确切换环化，从而允许直接和高度立体选择性地获得 γ-内酰胺或 δ-内酰胺螺环，每个螺环都具有具有挑战性的四元螺立体中心。该方法表现出广泛的官能团兼容性，并允许克级合成。机理实验和DFT计算表明，区域选择性源于金属配位模式或金属与配体的联合调控，而立体控制则由配体与底物之间的空间位阻控制。这种实用且原子经济的方法为特殊螺环药效团的发散合成提供了强大的平台。</w:t>
      </w:r>
    </w:p>
    <w:p>
      <w:pPr>
        <w:spacing w:before="0" w:after="200" w:lineRule="auto" w:line="276"/>
      </w:pPr>
      <w:r>
        <w:rPr>
          <w:b/>
        </w:rPr>
        <w:t xml:space="preserve">Abstract (EN): </w:t>
      </w:r>
      <w:r>
        <w:t>We report a regiodivergent strategy for the catalytic asymmetric synthesis of enantioenriched spirocyclic γ- and δ-lactams from a single cyclic alkyne-tethered β-ketoamide precursor. Critically, simply switching the catalyst system between Cu(I)/Pyrabox and Ni(II)/Box enables precise toggling of the cyclization between 5-exo-dig and 6-endo-dig modes, allowing direct and highly stereoselective access to either γ-lactam or δ-lactam spirocycles, each bearing a challenging quaternary spiro-stereocenter. The method exhibits broad functional group compatibility and allows for gram-scale synthesis. Mechanistic experiments and DFT calculations reveal that regioselectivity arises from the mode of metal coordination or the joint regulation by metal and ligand, whereas stereocontrol is governed by steric hindrance between the ligand and the substrate. This practical and atom-economical approach provides a powerful platform for the divergent synthesis of privileged spirocyclic pharmacophores.</w:t>
      </w:r>
    </w:p>
    <w:p>
      <w:pPr>
        <w:spacing w:before="120" w:after="120"/>
      </w:pPr>
      <w:r>
        <w:rPr>
          <w:sz w:val="18"/>
        </w:rPr>
        <w:t>——————————————————————————————————————————————————————————————————————</w:t>
      </w:r>
    </w:p>
    <w:p>
      <w:pPr>
        <w:spacing w:before="160" w:after="40" w:line="240" w:lineRule="auto"/>
      </w:pPr>
      <w:r>
        <w:rPr>
          <w:b/>
        </w:rPr>
        <w:t xml:space="preserve">[581] </w:t>
      </w:r>
      <w:hyperlink r:id="rId1587">
        <w:r>
          <w:rPr>
            <w:color w:val="1155CC"/>
            <w:u w:val="single"/>
          </w:rPr>
          <w:t>无环 1,5-二烯的可编程区域发散光驱动环化解锁刚性双环结构</w:t>
        </w:r>
      </w:hyperlink>
    </w:p>
    <w:p>
      <w:pPr>
        <w:spacing w:before="0" w:after="80"/>
      </w:pPr>
      <w:r>
        <w:rPr>
          <w:i/>
          <w:sz w:val="20"/>
        </w:rPr>
        <w:t>EN: Programmable regiodivergent light-driven cyclization of acyclic 1,5-dienes unlocks rigid bicyclic architectures</w:t>
      </w:r>
    </w:p>
    <w:p>
      <w:pPr>
        <w:spacing w:before="0" w:after="120"/>
      </w:pPr>
      <w:r>
        <w:rPr>
          <w:b/>
        </w:rPr>
        <w:t xml:space="preserve">Source: </w:t>
      </w:r>
      <w:r>
        <w:t>Nature Chemistry</w:t>
      </w:r>
      <w:r>
        <w:t xml:space="preserve">    </w:t>
      </w:r>
      <w:r>
        <w:rPr>
          <w:b/>
        </w:rPr>
        <w:t xml:space="preserve">Pub date: </w:t>
      </w:r>
      <w:r>
        <w:t>2026-08-27 00:00:00+00:00</w:t>
      </w:r>
      <w:r>
        <w:t xml:space="preserve">    </w:t>
      </w:r>
      <w:r>
        <w:rPr>
          <w:b/>
        </w:rPr>
        <w:t xml:space="preserve">DOI: </w:t>
      </w:r>
      <w:hyperlink r:id="rId1588">
        <w:r>
          <w:rPr>
            <w:color w:val="1155CC"/>
            <w:u w:val="single"/>
          </w:rPr>
          <w:t>10.1038/s41557-026-02238-y</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控制自由基环化中的区域选择性仍然是合成化学中的一个主要挑战，阻碍了从简单的无环前体有效组装出紧张的刚性双环结构。在这里，我们表明，可见光介导的氮杂-1,5-二烯分子内[2 + 2]光环加成可以成功克服控制自由基环化的经典“五法则”选择性。通过调整易于去除的酰胺 N-取代基的电子特性，我们重新编程了初始能量转移驱动的环化事件，与通常动力学上有利的 5-</w:t>
      </w:r>
      <w:r>
        <w:t>exo</w:t>
      </w:r>
      <w:r>
        <w:t xml:space="preserve"> </w:t>
      </w:r>
      <w:r>
        <w:t>-触发到6-</w:t>
      </w:r>
      <w:r>
        <w:t>内切</w:t>
      </w:r>
      <w:r>
        <w:t xml:space="preserve"> </w:t>
      </w:r>
      <w:r>
        <w:t>-trig途径。因此，可以选择性地引导密切相关的底物生成桥联双环[2.1.1]或尚未充分开发的稠合双环[2.2.0]结构，这两种结构都提供丰富的下游衍生化潜力。此外，对这种转变的广泛计算研究揭示了电子效应的复杂相互作用如何控制反应区域选择性。总的来说，这项工作建立了一种可编程的、光驱动的环化策略，能够在统一的反应流形内精确、选择性地构建不同的双环框架。</w:t>
      </w:r>
    </w:p>
    <w:p>
      <w:pPr>
        <w:spacing w:before="0" w:after="200" w:lineRule="auto" w:line="276"/>
      </w:pPr>
      <w:r>
        <w:rPr>
          <w:b/>
        </w:rPr>
        <w:t xml:space="preserve">Abstract (EN): </w:t>
      </w:r>
      <w:r>
        <w:t>Controlling regioselectivity in radical cyclizations remains a major challenge in synthetic chemistry, hindering the efficient assembly of strained, rigid bicyclic architectures from simple acyclic precursors. Here we show that a visible-light-mediated intramolecular [2 + 2] photocycloaddition of aza-1,5-dienes can successfully overcome the classical ‘rule-of-five’ selectivity governing radical cyclizations. By tuning the electronic properties of an easily removable amide N-substituent, we reprogram the initial energy-transfer-driven cyclization event, diverging from the usually kinetically favoured 5-</w:t>
      </w:r>
      <w:r>
        <w:t>exo</w:t>
      </w:r>
      <w:r>
        <w:t xml:space="preserve"> </w:t>
      </w:r>
      <w:r>
        <w:t>-trig to the 6-</w:t>
      </w:r>
      <w:r>
        <w:t>endo</w:t>
      </w:r>
      <w:r>
        <w:t xml:space="preserve"> </w:t>
      </w:r>
      <w:r>
        <w:t>-trig pathway. As a result, closely related substrates can be selectively directed to generate either bridged bicyclo[2.1.1] or vastly underexplored fused bicyclo[2.2.0] architectures, both of which offer rich downstream derivatization potential. Furthermore, an extensive computational study of this transformation revealed how the intricate interplay of electronic effects controls reaction regioselectivity. Overall, this work establishes a programmable, light-driven cyclization strategy that enables precise and selective construction of distinct bicyclic frameworks within a unified reaction manifold.</w:t>
      </w:r>
    </w:p>
    <w:p>
      <w:pPr>
        <w:spacing w:before="120" w:after="120"/>
      </w:pPr>
      <w:r>
        <w:rPr>
          <w:sz w:val="18"/>
        </w:rPr>
        <w:t>——————————————————————————————————————————————————————————————————————</w:t>
      </w:r>
    </w:p>
    <w:p>
      <w:pPr>
        <w:spacing w:before="160" w:after="40" w:line="240" w:lineRule="auto"/>
      </w:pPr>
      <w:r>
        <w:rPr>
          <w:b/>
        </w:rPr>
        <w:t xml:space="preserve">[582] </w:t>
      </w:r>
      <w:hyperlink r:id="rId1589">
        <w:r>
          <w:rPr>
            <w:color w:val="1155CC"/>
            <w:u w:val="single"/>
          </w:rPr>
          <w:t>基于脆性材料的全可拉伸有机发光二极管</w:t>
        </w:r>
      </w:hyperlink>
    </w:p>
    <w:p>
      <w:pPr>
        <w:spacing w:before="0" w:after="80"/>
      </w:pPr>
      <w:r>
        <w:rPr>
          <w:i/>
          <w:sz w:val="20"/>
        </w:rPr>
        <w:t>EN: Brittle materials-based fully stretchable organic light-emitting diodes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可拉伸小分子有机发光二极管（OLED）因固有脆性小分子有机半导体（SMOS）在机械变形下的随机裂纹和效率下降而受到阻碍，严重限制了其实际应用。在这里，我们提出了一种基于分层架构的界面应力调节策略。与可拉伸光电子学中传统的裂纹抑制范例不同，我们的策略采用主动裂纹工程来引导受控纳米裂纹的形成，从而能够制造与本质上脆性的SMOS兼容的纳米裂纹、完全可拉伸的OLED，同时实现高效率和优异的拉伸性。该器件的最大亮度为16,050 cd/m2，电流效率为85.7 cd/A，外量子效率为24.7%，拉伸应变为250%。在复杂变形下保持稳定运行，同时该策略展示了多色发射的广泛普适性。这项工作提供了将脆性高性能 SMOS 集成到可拉伸显示器中的总体策略，推动了可穿戴和共形电子产品的发展。</w:t>
      </w:r>
    </w:p>
    <w:p>
      <w:pPr>
        <w:spacing w:before="0" w:after="200" w:lineRule="auto" w:line="276"/>
      </w:pPr>
      <w:r>
        <w:rPr>
          <w:b/>
        </w:rPr>
        <w:t xml:space="preserve">Abstract (EN): </w:t>
      </w:r>
      <w:r>
        <w:t>Stretchable small-molecule organic light-emitting diodes (OLEDs) are hampered by random cracking and efficiency degradation of inherently brittle small-molecule organic semiconductors (SMOS) under mechanical deformation, severely limiting their practical application. Herein, we propose an interfacial stress regulation strategy based on a hierarchical architecture. Departing from the conventional crack-suppression paradigm in stretchable optoelectronics, our strategy employs active crack engineering to guide controlled nanocrack formation, enabling the fabrication of nanocracked, fully stretchable OLEDs compatible with inherently brittle SMOS while achieving both high efficiency and excellent stretchability. The devices achieve a maximum brightness of 16,050 cd/m2, current efficiency of 85.7 cd/A, external quantum efficiency of 24.7%, and 250% tensile strain. Stable operation is maintained under complex deformations, while the strategy demonstrates broad universality for multicolor emission. This work offers a general strategy for integrating brittle high-performance SMOS into stretchable displays, advancing the development of wearable and conformal electronics.</w:t>
      </w:r>
    </w:p>
    <w:p>
      <w:pPr>
        <w:spacing w:before="120" w:after="120"/>
      </w:pPr>
      <w:r>
        <w:rPr>
          <w:sz w:val="18"/>
        </w:rPr>
        <w:t>——————————————————————————————————————————————————————————————————————</w:t>
      </w:r>
    </w:p>
    <w:p>
      <w:pPr>
        <w:spacing w:before="160" w:after="40" w:line="240" w:lineRule="auto"/>
      </w:pPr>
      <w:r>
        <w:rPr>
          <w:b/>
        </w:rPr>
        <w:t xml:space="preserve">[583] </w:t>
      </w:r>
      <w:hyperlink r:id="rId1590">
        <w:r>
          <w:rPr>
            <w:color w:val="1155CC"/>
            <w:u w:val="single"/>
          </w:rPr>
          <w:t>硬件实现的自适应剪枝神经网络</w:t>
        </w:r>
      </w:hyperlink>
    </w:p>
    <w:p>
      <w:pPr>
        <w:spacing w:before="0" w:after="80"/>
      </w:pPr>
      <w:r>
        <w:rPr>
          <w:i/>
          <w:sz w:val="20"/>
        </w:rPr>
        <w:t>EN: A hardware-implemented adaptive pruning neural network</w:t>
      </w:r>
    </w:p>
    <w:p>
      <w:pPr>
        <w:spacing w:before="0" w:after="120"/>
      </w:pPr>
      <w:r>
        <w:rPr>
          <w:b/>
        </w:rPr>
        <w:t xml:space="preserve">Source: </w:t>
      </w:r>
      <w:r>
        <w:t>National Science Review Advance Access</w:t>
      </w:r>
      <w:r>
        <w:t xml:space="preserve">    </w:t>
      </w:r>
      <w:r>
        <w:rPr>
          <w:b/>
        </w:rPr>
        <w:t xml:space="preserve">Pub date: </w:t>
      </w:r>
      <w:r>
        <w:t>2026-08-27 00:00:00+00:00</w:t>
      </w:r>
      <w:r>
        <w:t xml:space="preserve">    </w:t>
      </w:r>
      <w:r>
        <w:rPr>
          <w:b/>
        </w:rPr>
        <w:t xml:space="preserve">DOI: </w:t>
      </w:r>
      <w:hyperlink r:id="rId1591">
        <w:r>
          <w:rPr>
            <w:color w:val="1155CC"/>
            <w:u w:val="single"/>
          </w:rPr>
          <w:t>10.1093/nsr/nwag547</w:t>
        </w:r>
      </w:hyperlink>
    </w:p>
    <w:p>
      <w:pPr>
        <w:spacing w:before="0" w:after="120"/>
      </w:pPr>
      <w:r>
        <w:rPr>
          <w:b/>
        </w:rPr>
        <w:t xml:space="preserve">Notes: </w:t>
      </w:r>
      <w:r>
        <w:t>abstract_source=rss_oup</w:t>
      </w:r>
    </w:p>
    <w:p>
      <w:pPr>
        <w:spacing w:before="0" w:after="80" w:lineRule="auto" w:line="276"/>
      </w:pPr>
      <w:r>
        <w:rPr>
          <w:b/>
        </w:rPr>
        <w:t xml:space="preserve">摘要（ZH）: </w:t>
      </w:r>
      <w:r>
        <w:t>随着人工智能（AI）应用的快速增长，对低延迟、高能效的边缘计算硬件有着迫切的需求。人脑是一种高度并行且稀疏连接的架构，能够以极低的功耗高效处理复杂的任务，这种能力严重依赖于神经发育过程中的突触修剪。然而，当前的神经形态硬件尽管能够模拟人脑执行人工智能任务，但缺乏评估突触连接重要性的内在机制，因此无法实现类脑自适应突触修剪。在这里，我们演示了一种基于硅基铁电双极场效应晶体管（Fe-AmFET）交叉阵列的自适应修剪卷积神经网络（APCNN）。 Si Fe-AmFET 存储器中的可重构双极传输使单个器件能够实现正和负突触权重，同时本质上评估连接重要性，从而使交叉开关阵列能够执行乘法累加 (MAC) 操作、非易失性权重存储和网络内的原位内核修剪。我们的研究表明，该网络在 Fashion-MNIST 数据集上实现了 89.58% 的超高内核剪枝率，精度下降可以忽略不计，同时推理参数、MAC 操作和核心功耗（包括阵列和读出电路）分别减少了 92.2%、97.5% 和 92.4%。</w:t>
      </w:r>
    </w:p>
    <w:p>
      <w:pPr>
        <w:spacing w:before="0" w:after="200" w:lineRule="auto" w:line="276"/>
      </w:pPr>
      <w:r>
        <w:rPr>
          <w:b/>
        </w:rPr>
        <w:t xml:space="preserve">Abstract (EN): </w:t>
      </w:r>
      <w:r>
        <w:t>With the rapid growth of artificial intelligence (AI) applications, there is an urgent demand for edge computing hardware with low latency and high energy efficiency. The human brain, a highly parallel and sparsely connected architecture, can efficiently process complex tasks at exceptionally low power consumption, a capability that critically relies on synaptic pruning during neural development. However, current neuromorphic hardware, despite its capability to emulate the human brain for AI tasks, lacks an inherent mechanism to assess the importance of synaptic connections and thus cannot achieve brain-like adaptive synaptic pruning. Here, we demonstrate an adaptive pruning convolutional neural network (APCNN) based on Si-based ferroelectric ambipolar field-effect transistor (Fe-AmFET) crossbar arrays. The reconfigurable ambipolar transport in the Si Fe-AmFET memories enables a single device to implement both positive and negative synaptic weights while intrinsically evaluating connection importance, thereby enabling the crossbar arrays to perform multiply-accumulate (MAC) operations, nonvolatile weight storage, and in situ kernel pruning within the network. Our studies indicate that the network achieves an ultrahigh kernel pruning ratio of 89.58% with negligible accuracy degradation on the Fashion-MNIST dataset, while reducing inference parameters, MAC operations, and core power consumption (including the array and readout circuits) by 92.2%, 97.5%, and 92.4%, respectively.</w:t>
      </w:r>
    </w:p>
    <w:p>
      <w:pPr>
        <w:spacing w:before="120" w:after="120"/>
      </w:pPr>
      <w:r>
        <w:rPr>
          <w:sz w:val="18"/>
        </w:rPr>
        <w:t>——————————————————————————————————————————————————————————————————————</w:t>
      </w:r>
    </w:p>
    <w:p>
      <w:pPr>
        <w:spacing w:before="160" w:after="40" w:line="240" w:lineRule="auto"/>
      </w:pPr>
      <w:r>
        <w:rPr>
          <w:b/>
        </w:rPr>
        <w:t xml:space="preserve">[584] </w:t>
      </w:r>
      <w:hyperlink r:id="rId1592">
        <w:r>
          <w:rPr>
            <w:color w:val="1155CC"/>
            <w:u w:val="single"/>
          </w:rPr>
          <w:t>光纤电子学：在单根光纤上集成逻辑、光电检测和无线通信</w:t>
        </w:r>
      </w:hyperlink>
    </w:p>
    <w:p>
      <w:pPr>
        <w:spacing w:before="0" w:after="80"/>
      </w:pPr>
      <w:r>
        <w:rPr>
          <w:i/>
          <w:sz w:val="20"/>
        </w:rPr>
        <w:t>EN: Fiber Electronics: Integrating Logic, Photodetection, and Wireless Communication on a Single Optical Fiber</w:t>
      </w:r>
    </w:p>
    <w:p>
      <w:pPr>
        <w:spacing w:before="0" w:after="120"/>
      </w:pPr>
      <w:r>
        <w:rPr>
          <w:b/>
        </w:rPr>
        <w:t xml:space="preserve">Source: </w:t>
      </w:r>
      <w:r>
        <w:t>National Science Review Advance Access</w:t>
      </w:r>
      <w:r>
        <w:t xml:space="preserve">    </w:t>
      </w:r>
      <w:r>
        <w:rPr>
          <w:b/>
        </w:rPr>
        <w:t xml:space="preserve">Pub date: </w:t>
      </w:r>
      <w:r>
        <w:t>2026-08-27 00:00:00+00:00</w:t>
      </w:r>
      <w:r>
        <w:t xml:space="preserve">    </w:t>
      </w:r>
      <w:r>
        <w:rPr>
          <w:b/>
        </w:rPr>
        <w:t xml:space="preserve">DOI: </w:t>
      </w:r>
      <w:hyperlink r:id="rId1593">
        <w:r>
          <w:rPr>
            <w:color w:val="1155CC"/>
            <w:u w:val="single"/>
          </w:rPr>
          <w:t>10.1093/nsr/nwag550</w:t>
        </w:r>
      </w:hyperlink>
    </w:p>
    <w:p>
      <w:pPr>
        <w:spacing w:before="0" w:after="120"/>
      </w:pPr>
      <w:r>
        <w:rPr>
          <w:b/>
        </w:rPr>
        <w:t xml:space="preserve">Notes: </w:t>
      </w:r>
      <w:r>
        <w:t>abstract_source=rss_oup</w:t>
      </w:r>
    </w:p>
    <w:p>
      <w:pPr>
        <w:spacing w:before="0" w:after="80" w:lineRule="auto" w:line="276"/>
      </w:pPr>
      <w:r>
        <w:rPr>
          <w:b/>
        </w:rPr>
        <w:t xml:space="preserve">摘要（ZH）: </w:t>
      </w:r>
      <w:r>
        <w:t>光纤支撑着全球信息基础设施，但它们的作用在很大程度上仍然是被动的——仅限于引导光而不是处理光。信号调制、检测和逻辑操作仍然由外部芯片执行，由于光电转换损耗、耦合复杂性和互连功率开销而施加了基本限制。在这里，我们提出了一种集成光纤电子架构，将有源光电功能直接集成到光纤上。我们展示了在 D 形光纤的侧面抛光表面上实现的多功能电子光子系统，该系统结合了碳基逻辑电路、光电探测器、光控逆变器和无线接口模块。该单片平台可实现光纤逻辑操作、传感以及与周围环境的交互。集成器件表现出出色的性能：增益为 32 的数字逆变器、工作频率为千赫兹的五级环形振荡器以及探测灵敏度为 3.82 × 1016 琼斯的光电探测器。此外，还实现了光控逻辑响应、温度传感、亚米级无线电力和射频信号传输。这些结果为光纤内的有源电子和光电集成建立了概念验证，代表着超越无源传输介质向能够传输、传感、计算和自主能源操作的智能分布式光纤网络迈出的重要一步。</w:t>
      </w:r>
    </w:p>
    <w:p>
      <w:pPr>
        <w:spacing w:before="0" w:after="200" w:lineRule="auto" w:line="276"/>
      </w:pPr>
      <w:r>
        <w:rPr>
          <w:b/>
        </w:rPr>
        <w:t xml:space="preserve">Abstract (EN): </w:t>
      </w:r>
      <w:r>
        <w:t>Optical fibers underpin the global information infrastructure, yet their role has remained largely passive—restricted to guiding light rather than processing it. Signal modulation, detection, and logic operations are still performed by external chips, imposing fundamental limits due to optical-electrical conversion losses, coupling complexity, and interconnection power overheads. Here, we propose an integrated fiber-electronics architecture that directly integrates active optoelectronic functionalities onto optical fibers. We demonstrate a multifunctional electronic-photonic system realized on the side-polished surface of a D-shaped optical fiber, incorporating carbon-based logic circuits, photodetectors, optically controlled inverters, and wireless-interface modules. This monolithic platform enables on-fiber logic operation, sensing, and interaction with the surrounding environment. The integrated devices exhibit outstanding performance: a digital inverter with a gain of 32, a five-stage ring oscillator operating at kilohertz frequencies, and a photodetector with a detectivity of 3.82 × 1016 Jones. Furthermore, optically controlled logic responses, temperature sensing, and sub-meter-scale wireless power and radio-frequency signal transmission are achieved. These results establish a proof-of-concept for active electronic and optoelectronic integration within optical fibers, representing a significant step beyond passive transmission media toward intelligent, distributed fiber networks capable of transmission, sensing, computation, and autonomous energy operation.</w:t>
      </w:r>
    </w:p>
    <w:p>
      <w:pPr>
        <w:spacing w:before="120" w:after="120"/>
      </w:pPr>
      <w:r>
        <w:rPr>
          <w:sz w:val="18"/>
        </w:rPr>
        <w:t>——————————————————————————————————————————————————————————————————————</w:t>
      </w:r>
    </w:p>
    <w:p>
      <w:pPr>
        <w:spacing w:before="160" w:after="40" w:line="240" w:lineRule="auto"/>
      </w:pPr>
      <w:r>
        <w:rPr>
          <w:b/>
        </w:rPr>
        <w:t xml:space="preserve">[585] </w:t>
      </w:r>
      <w:hyperlink r:id="rId1594">
        <w:r>
          <w:rPr>
            <w:color w:val="1155CC"/>
            <w:u w:val="single"/>
          </w:rPr>
          <w:t>用于生物共轭的硫代碳酰氟连接</w:t>
        </w:r>
      </w:hyperlink>
    </w:p>
    <w:p>
      <w:pPr>
        <w:spacing w:before="0" w:after="80"/>
      </w:pPr>
      <w:r>
        <w:rPr>
          <w:i/>
          <w:sz w:val="20"/>
        </w:rPr>
        <w:t>EN: Thiocarbonyl fluoride ligation for bioconjugation</w:t>
      </w:r>
    </w:p>
    <w:p>
      <w:pPr>
        <w:spacing w:before="0" w:after="120"/>
      </w:pPr>
      <w:r>
        <w:rPr>
          <w:b/>
        </w:rPr>
        <w:t xml:space="preserve">Source: </w:t>
      </w:r>
      <w:r>
        <w:t>National Science Review Advance Access</w:t>
      </w:r>
      <w:r>
        <w:t xml:space="preserve">    </w:t>
      </w:r>
      <w:r>
        <w:rPr>
          <w:b/>
        </w:rPr>
        <w:t xml:space="preserve">Pub date: </w:t>
      </w:r>
      <w:r>
        <w:t>2026-08-27 00:00:00+00:00</w:t>
      </w:r>
      <w:r>
        <w:t xml:space="preserve">    </w:t>
      </w:r>
      <w:r>
        <w:rPr>
          <w:b/>
        </w:rPr>
        <w:t xml:space="preserve">DOI: </w:t>
      </w:r>
      <w:hyperlink r:id="rId1595">
        <w:r>
          <w:rPr>
            <w:color w:val="1155CC"/>
            <w:u w:val="single"/>
          </w:rPr>
          <w:t>10.1093/nsr/nwag537</w:t>
        </w:r>
      </w:hyperlink>
    </w:p>
    <w:p>
      <w:pPr>
        <w:spacing w:before="0" w:after="120"/>
      </w:pPr>
      <w:r>
        <w:rPr>
          <w:b/>
        </w:rPr>
        <w:t xml:space="preserve">Notes: </w:t>
      </w:r>
      <w:r>
        <w:t>abstract_source=rss_oup</w:t>
      </w:r>
    </w:p>
    <w:p>
      <w:pPr>
        <w:spacing w:before="0" w:after="80" w:lineRule="auto" w:line="276"/>
      </w:pPr>
      <w:r>
        <w:rPr>
          <w:b/>
        </w:rPr>
        <w:t xml:space="preserve">摘要（ZH）: </w:t>
      </w:r>
      <w:r>
        <w:t>点击化学已成为分子连接的革命性技术，能够简化生命科学和药物发现所必需的功能化学结构的构建。通过两代点击化学、铜(I)催化叠氮化物-炔环加成(CuAAC)三唑环化和硫(VI)氟化物交换(SuFEx)，取得了突破性的成就。近乎完美的反应总是对“反应性-可用性-功能性”三部曲有着巨大的需求。在此，我们开发了用于硫代羰基功能化生物共轭的硫代羰基氟化物交换方案。关键CF2 = S衍生的连接枢纽是通过元素硫（S8）和原位生成的二氟卡宾之间的轻松耦合进行战略设计的。这种双边中继氟化物交换使得不同 S 之间的连接成为可能。</w:t>
      </w:r>
    </w:p>
    <w:p>
      <w:pPr>
        <w:spacing w:before="0" w:after="200" w:lineRule="auto" w:line="276"/>
      </w:pPr>
      <w:r>
        <w:rPr>
          <w:b/>
        </w:rPr>
        <w:t xml:space="preserve">Abstract (EN): </w:t>
      </w:r>
      <w:r>
        <w:t>Click chemistry has emerged as a transformative technology for molecular linkage, enabling the streamlined construction of functional chemical architectures essential for life science and drug discovery. Groundbreaking achievement has been established through two generations of click chemistry, copper(I)-catalyzed azide–alkyne cycloaddition (CuAAC) triazole annulation and sulfur(VI) fluoride exchange (SuFEx). Near-perfect reactions are always with great demand for ‘reactivity-availability-functionality’ trilogy. Herein, we developed a thiocarbonyl fluoride exchange protocol for thiocarbonyl-functionalized bioconjugations. Pivotal CF2= S-derived connective hubs were strategically designed via facile coupling between elemental sulfur (S8) and difluorocarbene generated in situ. This bilateral relay fluoride exchange enabled ligation across diverse S</w:t>
      </w:r>
    </w:p>
    <w:p>
      <w:pPr>
        <w:spacing w:before="120" w:after="120"/>
      </w:pPr>
      <w:r>
        <w:rPr>
          <w:sz w:val="18"/>
        </w:rPr>
        <w:t>——————————————————————————————————————————————————————————————————————</w:t>
      </w:r>
    </w:p>
    <w:p>
      <w:pPr>
        <w:spacing w:before="160" w:after="40" w:line="240" w:lineRule="auto"/>
      </w:pPr>
      <w:r>
        <w:rPr>
          <w:b/>
        </w:rPr>
        <w:t xml:space="preserve">[586] </w:t>
      </w:r>
      <w:hyperlink r:id="rId1596">
        <w:r>
          <w:rPr>
            <w:color w:val="1155CC"/>
            <w:u w:val="single"/>
          </w:rPr>
          <w:t>为什么厄尔尼诺现象越来越强？ 1000年珊瑚记录表明气候变化</w:t>
        </w:r>
      </w:hyperlink>
    </w:p>
    <w:p>
      <w:pPr>
        <w:spacing w:before="0" w:after="80"/>
      </w:pPr>
      <w:r>
        <w:rPr>
          <w:i/>
          <w:sz w:val="20"/>
        </w:rPr>
        <w:t>EN: Why are El Niños getting stronger? 1000-year-coral record points to climate change</w:t>
      </w:r>
    </w:p>
    <w:p>
      <w:pPr>
        <w:spacing w:before="0" w:after="120"/>
      </w:pPr>
      <w:r>
        <w:rPr>
          <w:b/>
        </w:rPr>
        <w:t xml:space="preserve">Source: </w:t>
      </w:r>
      <w:r>
        <w:t>Nature</w:t>
      </w:r>
      <w:r>
        <w:t xml:space="preserve">    </w:t>
      </w:r>
      <w:r>
        <w:rPr>
          <w:b/>
        </w:rPr>
        <w:t xml:space="preserve">Pub date: </w:t>
      </w:r>
      <w:r>
        <w:t>2026-08-27 00:00:00+00:00</w:t>
      </w:r>
      <w:r>
        <w:t xml:space="preserve">    </w:t>
      </w:r>
      <w:r>
        <w:rPr>
          <w:b/>
        </w:rPr>
        <w:t xml:space="preserve">DOI: </w:t>
      </w:r>
      <w:hyperlink r:id="rId1597">
        <w:r>
          <w:rPr>
            <w:color w:val="1155CC"/>
            <w:u w:val="single"/>
          </w:rPr>
          <w:t>10.1038/d41586-026-02717-9</w:t>
        </w:r>
      </w:hyperlink>
    </w:p>
    <w:p>
      <w:pPr>
        <w:spacing w:before="0" w:after="120"/>
      </w:pPr>
      <w:r>
        <w:rPr>
          <w:b/>
        </w:rPr>
        <w:t xml:space="preserve">Notes: </w:t>
      </w:r>
      <w:r>
        <w:t>abstract_source=rss_nature</w:t>
      </w:r>
    </w:p>
    <w:p>
      <w:pPr>
        <w:spacing w:before="0" w:after="80" w:lineRule="auto" w:line="276"/>
      </w:pPr>
      <w:r>
        <w:rPr>
          <w:b/>
        </w:rPr>
        <w:t xml:space="preserve">摘要（ZH）: </w:t>
      </w:r>
      <w:r>
        <w:t>太平洋海面温度的重建进一步证明人为变暖正在加剧厄尔尼诺现象。</w:t>
      </w:r>
    </w:p>
    <w:p>
      <w:pPr>
        <w:spacing w:before="0" w:after="200" w:lineRule="auto" w:line="276"/>
      </w:pPr>
      <w:r>
        <w:rPr>
          <w:b/>
        </w:rPr>
        <w:t xml:space="preserve">Abstract (EN): </w:t>
      </w:r>
      <w:r>
        <w:t>A reconstruction of Pacific Ocean sea surface temperatures adds to the evidence that human-caused warming is boosting El Niño events.</w:t>
      </w:r>
    </w:p>
    <w:p>
      <w:pPr>
        <w:spacing w:before="120" w:after="120"/>
      </w:pPr>
      <w:r>
        <w:rPr>
          <w:sz w:val="18"/>
        </w:rPr>
        <w:t>——————————————————————————————————————————————————————————————————————</w:t>
      </w:r>
    </w:p>
    <w:p>
      <w:pPr>
        <w:spacing w:before="160" w:after="40" w:line="240" w:lineRule="auto"/>
      </w:pPr>
      <w:r>
        <w:rPr>
          <w:b/>
        </w:rPr>
        <w:t xml:space="preserve">[587] </w:t>
      </w:r>
      <w:hyperlink r:id="rId1598">
        <w:r>
          <w:rPr>
            <w:color w:val="1155CC"/>
            <w:u w:val="single"/>
          </w:rPr>
          <w:t>罗马望远镜即将把行星搜寻提升到一个新的水平</w:t>
        </w:r>
      </w:hyperlink>
    </w:p>
    <w:p>
      <w:pPr>
        <w:spacing w:before="0" w:after="80"/>
      </w:pPr>
      <w:r>
        <w:rPr>
          <w:i/>
          <w:sz w:val="20"/>
        </w:rPr>
        <w:t>EN: The Roman telescope is about to take planet-hunting to the next level</w:t>
      </w:r>
    </w:p>
    <w:p>
      <w:pPr>
        <w:spacing w:before="0" w:after="120"/>
      </w:pPr>
      <w:r>
        <w:rPr>
          <w:b/>
        </w:rPr>
        <w:t xml:space="preserve">Source: </w:t>
      </w:r>
      <w:r>
        <w:t>Nature</w:t>
      </w:r>
      <w:r>
        <w:t xml:space="preserve">    </w:t>
      </w:r>
      <w:r>
        <w:rPr>
          <w:b/>
        </w:rPr>
        <w:t xml:space="preserve">Pub date: </w:t>
      </w:r>
      <w:r>
        <w:t>2026-08-27 00:00:00+00:00</w:t>
      </w:r>
      <w:r>
        <w:t xml:space="preserve">    </w:t>
      </w:r>
      <w:r>
        <w:rPr>
          <w:b/>
        </w:rPr>
        <w:t xml:space="preserve">DOI: </w:t>
      </w:r>
      <w:hyperlink r:id="rId1599">
        <w:r>
          <w:rPr>
            <w:color w:val="1155CC"/>
            <w:u w:val="single"/>
          </w:rPr>
          <w:t>10.1038/d41586-026-02662-7</w:t>
        </w:r>
      </w:hyperlink>
    </w:p>
    <w:p>
      <w:pPr>
        <w:spacing w:before="0" w:after="120"/>
      </w:pPr>
      <w:r>
        <w:rPr>
          <w:b/>
        </w:rPr>
        <w:t xml:space="preserve">Notes: </w:t>
      </w:r>
      <w:r>
        <w:t>abstract_source=rss_nature</w:t>
      </w:r>
    </w:p>
    <w:p>
      <w:pPr>
        <w:spacing w:before="0" w:after="80" w:lineRule="auto" w:line="276"/>
      </w:pPr>
      <w:r>
        <w:rPr>
          <w:b/>
        </w:rPr>
        <w:t xml:space="preserve">摘要（ZH）: </w:t>
      </w:r>
      <w:r>
        <w:t>美国国家航空航天局 (NASA) 的南希·格雷斯·罗马太空望远镜即将发射，它可以发现的遥远世界数量是迄今为止已探测到的 40 倍。</w:t>
      </w:r>
    </w:p>
    <w:p>
      <w:pPr>
        <w:spacing w:before="0" w:after="200" w:lineRule="auto" w:line="276"/>
      </w:pPr>
      <w:r>
        <w:rPr>
          <w:b/>
        </w:rPr>
        <w:t xml:space="preserve">Abstract (EN): </w:t>
      </w:r>
      <w:r>
        <w:t>NASA’s Nancy Grace Roman Space Telescope, set to launch shortly, could find 40 times the number of distant worlds as have been detected so far.</w:t>
      </w:r>
    </w:p>
    <w:p>
      <w:pPr>
        <w:spacing w:before="120" w:after="120"/>
      </w:pPr>
      <w:r>
        <w:rPr>
          <w:sz w:val="18"/>
        </w:rPr>
        <w:t>——————————————————————————————————————————————————————————————————————</w:t>
      </w:r>
    </w:p>
    <w:p>
      <w:pPr>
        <w:spacing w:before="160" w:after="40" w:line="240" w:lineRule="auto"/>
      </w:pPr>
      <w:r>
        <w:rPr>
          <w:b/>
        </w:rPr>
        <w:t xml:space="preserve">[588] </w:t>
      </w:r>
      <w:hyperlink r:id="rId1600">
        <w:r>
          <w:rPr>
            <w:color w:val="1155CC"/>
            <w:u w:val="single"/>
          </w:rPr>
          <w:t>女性面临地下研究禁令——以下是使系统现代化的方法</w:t>
        </w:r>
      </w:hyperlink>
    </w:p>
    <w:p>
      <w:pPr>
        <w:spacing w:before="0" w:after="80"/>
      </w:pPr>
      <w:r>
        <w:rPr>
          <w:i/>
          <w:sz w:val="20"/>
        </w:rPr>
        <w:t>EN: Women face bans on research underground — here’s how to modernize the system</w:t>
      </w:r>
    </w:p>
    <w:p>
      <w:pPr>
        <w:spacing w:before="0" w:after="120"/>
      </w:pPr>
      <w:r>
        <w:rPr>
          <w:b/>
        </w:rPr>
        <w:t xml:space="preserve">Source: </w:t>
      </w:r>
      <w:r>
        <w:t>Nature</w:t>
      </w:r>
      <w:r>
        <w:t xml:space="preserve">    </w:t>
      </w:r>
      <w:r>
        <w:rPr>
          <w:b/>
        </w:rPr>
        <w:t xml:space="preserve">Pub date: </w:t>
      </w:r>
      <w:r>
        <w:t>2026-08-27 00:00:00+00:00</w:t>
      </w:r>
      <w:r>
        <w:t xml:space="preserve">    </w:t>
      </w:r>
      <w:r>
        <w:rPr>
          <w:b/>
        </w:rPr>
        <w:t xml:space="preserve">DOI: </w:t>
      </w:r>
      <w:hyperlink r:id="rId1601">
        <w:r>
          <w:rPr>
            <w:color w:val="1155CC"/>
            <w:u w:val="single"/>
          </w:rPr>
          <w:t>10.1038/d41586-026-02679-y</w:t>
        </w:r>
      </w:hyperlink>
    </w:p>
    <w:p>
      <w:pPr>
        <w:spacing w:before="0" w:after="120"/>
      </w:pPr>
      <w:r>
        <w:rPr>
          <w:b/>
        </w:rPr>
        <w:t xml:space="preserve">Notes: </w:t>
      </w:r>
      <w:r>
        <w:t>abstract_source=rss_nature</w:t>
      </w:r>
    </w:p>
    <w:p>
      <w:pPr>
        <w:spacing w:before="0" w:after="80" w:lineRule="auto" w:line="276"/>
      </w:pPr>
      <w:r>
        <w:rPr>
          <w:b/>
        </w:rPr>
        <w:t xml:space="preserve">摘要（ZH）: </w:t>
      </w:r>
      <w:r>
        <w:t>在许多国家，女性工程师被禁止进入深矿井进行研究。区分风险可以在保护安全的同时增加准入。</w:t>
      </w:r>
    </w:p>
    <w:p>
      <w:pPr>
        <w:spacing w:before="0" w:after="200" w:lineRule="auto" w:line="276"/>
      </w:pPr>
      <w:r>
        <w:rPr>
          <w:b/>
        </w:rPr>
        <w:t xml:space="preserve">Abstract (EN): </w:t>
      </w:r>
      <w:r>
        <w:t>In many countries, female engineers are barred from entering deep mines to carry out studies. Differentiating risks can increase access while protecting safety.</w:t>
      </w:r>
    </w:p>
    <w:p>
      <w:pPr>
        <w:spacing w:before="120" w:after="120"/>
      </w:pPr>
      <w:r>
        <w:rPr>
          <w:sz w:val="18"/>
        </w:rPr>
        <w:t>——————————————————————————————————————————————————————————————————————</w:t>
      </w:r>
    </w:p>
    <w:p>
      <w:pPr>
        <w:spacing w:before="160" w:after="40" w:line="240" w:lineRule="auto"/>
      </w:pPr>
      <w:r>
        <w:rPr>
          <w:b/>
        </w:rPr>
        <w:t xml:space="preserve">[589] </w:t>
      </w:r>
      <w:hyperlink r:id="rId1602">
        <w:r>
          <w:rPr>
            <w:color w:val="1155CC"/>
            <w:u w:val="single"/>
          </w:rPr>
          <w:t>冰川崩塌导致尼泊尔致命的山洪爆发——这是即将发生的事情的征兆吗？</w:t>
        </w:r>
      </w:hyperlink>
    </w:p>
    <w:p>
      <w:pPr>
        <w:spacing w:before="0" w:after="80"/>
      </w:pPr>
      <w:r>
        <w:rPr>
          <w:i/>
          <w:sz w:val="20"/>
        </w:rPr>
        <w:t>EN: Glacier collapse caused Nepal’s deadly flash flood — a sign of things to come?</w:t>
      </w:r>
    </w:p>
    <w:p>
      <w:pPr>
        <w:spacing w:before="0" w:after="120"/>
      </w:pPr>
      <w:r>
        <w:rPr>
          <w:b/>
        </w:rPr>
        <w:t xml:space="preserve">Source: </w:t>
      </w:r>
      <w:r>
        <w:t>Nature</w:t>
      </w:r>
      <w:r>
        <w:t xml:space="preserve">    </w:t>
      </w:r>
      <w:r>
        <w:rPr>
          <w:b/>
        </w:rPr>
        <w:t xml:space="preserve">Pub date: </w:t>
      </w:r>
      <w:r>
        <w:t>2026-08-27 00:00:00+00:00</w:t>
      </w:r>
      <w:r>
        <w:t xml:space="preserve">    </w:t>
      </w:r>
      <w:r>
        <w:rPr>
          <w:b/>
        </w:rPr>
        <w:t xml:space="preserve">DOI: </w:t>
      </w:r>
      <w:hyperlink r:id="rId1603">
        <w:r>
          <w:rPr>
            <w:color w:val="1155CC"/>
            <w:u w:val="single"/>
          </w:rPr>
          <w:t>10.1038/d41586-026-02716-w</w:t>
        </w:r>
      </w:hyperlink>
    </w:p>
    <w:p>
      <w:pPr>
        <w:spacing w:before="0" w:after="120"/>
      </w:pPr>
      <w:r>
        <w:rPr>
          <w:b/>
        </w:rPr>
        <w:t xml:space="preserve">Notes: </w:t>
      </w:r>
      <w:r>
        <w:t>abstract_source=rss_nature</w:t>
      </w:r>
    </w:p>
    <w:p>
      <w:pPr>
        <w:spacing w:before="0" w:after="80" w:lineRule="auto" w:line="276"/>
      </w:pPr>
      <w:r>
        <w:rPr>
          <w:b/>
        </w:rPr>
        <w:t xml:space="preserve">摘要（ZH）: </w:t>
      </w:r>
      <w:r>
        <w:t>全球变暖使高海拔地区变得不稳定，并可能引发更频繁的山体滑坡和洪水。</w:t>
      </w:r>
    </w:p>
    <w:p>
      <w:pPr>
        <w:spacing w:before="0" w:after="200" w:lineRule="auto" w:line="276"/>
      </w:pPr>
      <w:r>
        <w:rPr>
          <w:b/>
        </w:rPr>
        <w:t xml:space="preserve">Abstract (EN): </w:t>
      </w:r>
      <w:r>
        <w:t>Global warming is making high-altitude regions unstable, and could trigger more frequent landslides and floods.</w:t>
      </w:r>
    </w:p>
    <w:p>
      <w:pPr>
        <w:spacing w:before="120" w:after="120"/>
      </w:pPr>
      <w:r>
        <w:rPr>
          <w:sz w:val="18"/>
        </w:rPr>
        <w:t>——————————————————————————————————————————————————————————————————————</w:t>
      </w:r>
    </w:p>
    <w:p>
      <w:pPr>
        <w:spacing w:before="160" w:after="40" w:line="240" w:lineRule="auto"/>
      </w:pPr>
      <w:r>
        <w:rPr>
          <w:b/>
        </w:rPr>
        <w:t xml:space="preserve">[590] </w:t>
      </w:r>
      <w:hyperlink r:id="rId1604">
        <w:r>
          <w:rPr>
            <w:color w:val="1155CC"/>
            <w:u w:val="single"/>
          </w:rPr>
          <w:t>“机器人奥运会”揭示了类人机器人的快速进步 - 但障碍仍然存在</w:t>
        </w:r>
      </w:hyperlink>
    </w:p>
    <w:p>
      <w:pPr>
        <w:spacing w:before="0" w:after="80"/>
      </w:pPr>
      <w:r>
        <w:rPr>
          <w:i/>
          <w:sz w:val="20"/>
        </w:rPr>
        <w:t>EN: ‘Robot Olympics’ reveal humanoids' rapid progress — but hurdles remain</w:t>
      </w:r>
    </w:p>
    <w:p>
      <w:pPr>
        <w:spacing w:before="0" w:after="120"/>
      </w:pPr>
      <w:r>
        <w:rPr>
          <w:b/>
        </w:rPr>
        <w:t xml:space="preserve">Source: </w:t>
      </w:r>
      <w:r>
        <w:t>Nature</w:t>
      </w:r>
      <w:r>
        <w:t xml:space="preserve">    </w:t>
      </w:r>
      <w:r>
        <w:rPr>
          <w:b/>
        </w:rPr>
        <w:t xml:space="preserve">Pub date: </w:t>
      </w:r>
      <w:r>
        <w:t>2026-08-27 00:00:00+00:00</w:t>
      </w:r>
      <w:r>
        <w:t xml:space="preserve">    </w:t>
      </w:r>
      <w:r>
        <w:rPr>
          <w:b/>
        </w:rPr>
        <w:t xml:space="preserve">DOI: </w:t>
      </w:r>
      <w:hyperlink r:id="rId1605">
        <w:r>
          <w:rPr>
            <w:color w:val="1155CC"/>
            <w:u w:val="single"/>
          </w:rPr>
          <w:t>10.1038/d41586-026-02713-z</w:t>
        </w:r>
      </w:hyperlink>
    </w:p>
    <w:p>
      <w:pPr>
        <w:spacing w:before="0" w:after="120"/>
      </w:pPr>
      <w:r>
        <w:rPr>
          <w:b/>
        </w:rPr>
        <w:t xml:space="preserve">Notes: </w:t>
      </w:r>
      <w:r>
        <w:t>abstract_source=rss_nature</w:t>
      </w:r>
    </w:p>
    <w:p>
      <w:pPr>
        <w:spacing w:before="0" w:after="80" w:lineRule="auto" w:line="276"/>
      </w:pPr>
      <w:r>
        <w:rPr>
          <w:b/>
        </w:rPr>
        <w:t xml:space="preserve">摘要（ZH）: </w:t>
      </w:r>
      <w:r>
        <w:t>人形机器人在短跑等体育赛事中打破了记录，但在钉钉子等实际任务中却表现不佳。</w:t>
      </w:r>
    </w:p>
    <w:p>
      <w:pPr>
        <w:spacing w:before="0" w:after="200" w:lineRule="auto" w:line="276"/>
      </w:pPr>
      <w:r>
        <w:rPr>
          <w:b/>
        </w:rPr>
        <w:t xml:space="preserve">Abstract (EN): </w:t>
      </w:r>
      <w:r>
        <w:t>Humanoid robots broke records at sporting events such as sprints, but struggled at practical tasks such as hammering nails.</w:t>
      </w:r>
    </w:p>
    <w:p>
      <w:pPr>
        <w:spacing w:before="120" w:after="120"/>
      </w:pPr>
      <w:r>
        <w:rPr>
          <w:sz w:val="18"/>
        </w:rPr>
        <w:t>——————————————————————————————————————————————————————————————————————</w:t>
      </w:r>
    </w:p>
    <w:p>
      <w:pPr>
        <w:spacing w:before="160" w:after="40" w:line="240" w:lineRule="auto"/>
      </w:pPr>
      <w:r>
        <w:rPr>
          <w:b/>
        </w:rPr>
        <w:t xml:space="preserve">[591] </w:t>
      </w:r>
      <w:hyperlink r:id="rId1606">
        <w:r>
          <w:rPr>
            <w:color w:val="1155CC"/>
            <w:u w:val="single"/>
          </w:rPr>
          <w:t>动物与微生物的伙伴关系可以追溯到复杂生命的黎明</w:t>
        </w:r>
      </w:hyperlink>
    </w:p>
    <w:p>
      <w:pPr>
        <w:spacing w:before="0" w:after="80"/>
      </w:pPr>
      <w:r>
        <w:rPr>
          <w:i/>
          <w:sz w:val="20"/>
        </w:rPr>
        <w:t>EN: Animal-microbe partnerships date back to the dawn of complex life</w:t>
      </w:r>
    </w:p>
    <w:p>
      <w:pPr>
        <w:spacing w:before="0" w:after="120"/>
      </w:pPr>
      <w:r>
        <w:rPr>
          <w:b/>
        </w:rPr>
        <w:t xml:space="preserve">Source: </w:t>
      </w:r>
      <w:r>
        <w:t>Nature</w:t>
      </w:r>
      <w:r>
        <w:t xml:space="preserve">    </w:t>
      </w:r>
      <w:r>
        <w:rPr>
          <w:b/>
        </w:rPr>
        <w:t xml:space="preserve">Pub date: </w:t>
      </w:r>
      <w:r>
        <w:t>2026-08-27 00:00:00+00:00</w:t>
      </w:r>
      <w:r>
        <w:t xml:space="preserve">    </w:t>
      </w:r>
      <w:r>
        <w:rPr>
          <w:b/>
        </w:rPr>
        <w:t xml:space="preserve">DOI: </w:t>
      </w:r>
      <w:hyperlink r:id="rId1607">
        <w:r>
          <w:rPr>
            <w:color w:val="1155CC"/>
            <w:u w:val="single"/>
          </w:rPr>
          <w:t>10.1038/d41586-026-02629-8</w:t>
        </w:r>
      </w:hyperlink>
    </w:p>
    <w:p>
      <w:pPr>
        <w:spacing w:before="0" w:after="120"/>
      </w:pPr>
      <w:r>
        <w:rPr>
          <w:b/>
        </w:rPr>
        <w:t xml:space="preserve">Notes: </w:t>
      </w:r>
      <w:r>
        <w:t>abstract_source=rss_nature</w:t>
      </w:r>
    </w:p>
    <w:p>
      <w:pPr>
        <w:spacing w:before="0" w:after="80" w:lineRule="auto" w:line="276"/>
      </w:pPr>
      <w:r>
        <w:rPr>
          <w:b/>
        </w:rPr>
        <w:t xml:space="preserve">摘要（ZH）: </w:t>
      </w:r>
      <w:r>
        <w:t>地球化学线索表明，埃迪卡拉时期的蠕虫状生物受益于与细菌的共生。</w:t>
      </w:r>
    </w:p>
    <w:p>
      <w:pPr>
        <w:spacing w:before="0" w:after="200" w:lineRule="auto" w:line="276"/>
      </w:pPr>
      <w:r>
        <w:rPr>
          <w:b/>
        </w:rPr>
        <w:t xml:space="preserve">Abstract (EN): </w:t>
      </w:r>
      <w:r>
        <w:t>Geochemical clues hint that worm-like creatures in the Ediacaran period benefited from symbiosis with bacteria.</w:t>
      </w:r>
    </w:p>
    <w:p>
      <w:pPr>
        <w:spacing w:before="120" w:after="120"/>
      </w:pPr>
      <w:r>
        <w:rPr>
          <w:sz w:val="18"/>
        </w:rPr>
        <w:t>——————————————————————————————————————————————————————————————————————</w:t>
      </w:r>
    </w:p>
    <w:p>
      <w:pPr>
        <w:spacing w:before="160" w:after="40" w:line="240" w:lineRule="auto"/>
      </w:pPr>
      <w:r>
        <w:rPr>
          <w:b/>
        </w:rPr>
        <w:t xml:space="preserve">[592] </w:t>
      </w:r>
      <w:hyperlink r:id="rId1608">
        <w:r>
          <w:rPr>
            <w:color w:val="1155CC"/>
            <w:u w:val="single"/>
          </w:rPr>
          <w:t>探索植入式脑机接口的医疗之路</w:t>
        </w:r>
      </w:hyperlink>
    </w:p>
    <w:p>
      <w:pPr>
        <w:spacing w:before="0" w:after="80"/>
      </w:pPr>
      <w:r>
        <w:rPr>
          <w:i/>
          <w:sz w:val="20"/>
        </w:rPr>
        <w:t>EN: Exploring the medical road for implantable brain-computer interfaces</w:t>
      </w:r>
    </w:p>
    <w:p>
      <w:pPr>
        <w:spacing w:before="0" w:after="120"/>
      </w:pPr>
      <w:r>
        <w:rPr>
          <w:b/>
        </w:rPr>
        <w:t xml:space="preserve">Source: </w:t>
      </w:r>
      <w:r>
        <w:t>National Science Review Advance Access</w:t>
      </w:r>
      <w:r>
        <w:t xml:space="preserve">    </w:t>
      </w:r>
      <w:r>
        <w:rPr>
          <w:b/>
        </w:rPr>
        <w:t xml:space="preserve">Pub date: </w:t>
      </w:r>
      <w:r>
        <w:t>2026-08-27 00:00:00+00:00</w:t>
      </w:r>
      <w:r>
        <w:t xml:space="preserve">    </w:t>
      </w:r>
      <w:r>
        <w:rPr>
          <w:b/>
        </w:rPr>
        <w:t xml:space="preserve">DOI: </w:t>
      </w:r>
      <w:hyperlink r:id="rId1609">
        <w:r>
          <w:rPr>
            <w:color w:val="1155CC"/>
            <w:u w:val="single"/>
          </w:rPr>
          <w:t>10.1093/nsr/nwag543</w:t>
        </w:r>
      </w:hyperlink>
    </w:p>
    <w:p>
      <w:pPr>
        <w:spacing w:before="0" w:after="120"/>
      </w:pPr>
      <w:r>
        <w:rPr>
          <w:b/>
        </w:rPr>
        <w:t xml:space="preserve">Notes: </w:t>
      </w:r>
      <w:r>
        <w:t>abstract_source=crossref</w:t>
      </w:r>
    </w:p>
    <w:p>
      <w:pPr>
        <w:spacing w:before="0" w:after="80" w:lineRule="auto" w:line="276"/>
      </w:pPr>
      <w:r>
        <w:rPr>
          <w:b/>
        </w:rPr>
        <w:t xml:space="preserve">摘要（ZH）: </w:t>
      </w:r>
      <w:r>
        <w:t>本文探讨了优先考虑神经恢复的医疗植入式脑机接口，并以功能替代作为解决潜在功能障碍和功能缺陷的补充策略。</w:t>
      </w:r>
    </w:p>
    <w:p>
      <w:pPr>
        <w:spacing w:before="0" w:after="200" w:lineRule="auto" w:line="276"/>
      </w:pPr>
      <w:r>
        <w:rPr>
          <w:b/>
        </w:rPr>
        <w:t xml:space="preserve">Abstract (EN): </w:t>
      </w:r>
      <w:r>
        <w:t>This article explores medical implantable brain-computer interfaces that prioritize neural restoration, with functional substitution as a complementary strategy to address both underlying dysfunction and functional deficits.</w:t>
      </w:r>
    </w:p>
    <w:p>
      <w:pPr>
        <w:spacing w:before="120" w:after="120"/>
      </w:pPr>
      <w:r>
        <w:rPr>
          <w:sz w:val="18"/>
        </w:rPr>
        <w:t>——————————————————————————————————————————————————————————————————————</w:t>
      </w:r>
    </w:p>
    <w:p>
      <w:pPr>
        <w:spacing w:before="160" w:after="40" w:line="240" w:lineRule="auto"/>
      </w:pPr>
      <w:r>
        <w:rPr>
          <w:b/>
        </w:rPr>
        <w:t xml:space="preserve">[593] </w:t>
      </w:r>
      <w:hyperlink r:id="rId1610">
        <w:r>
          <w:rPr>
            <w:color w:val="1155CC"/>
            <w:u w:val="single"/>
          </w:rPr>
          <w:t>控制二维堆栈中的类铁电门控</w:t>
        </w:r>
      </w:hyperlink>
    </w:p>
    <w:p>
      <w:pPr>
        <w:spacing w:before="0" w:after="80"/>
      </w:pPr>
      <w:r>
        <w:rPr>
          <w:i/>
          <w:sz w:val="20"/>
        </w:rPr>
        <w:t>EN: Controlling ferroelectric-like gating in two‑dimensional stacks</w:t>
      </w:r>
    </w:p>
    <w:p>
      <w:pPr>
        <w:spacing w:before="0" w:after="120"/>
      </w:pPr>
      <w:r>
        <w:rPr>
          <w:b/>
        </w:rPr>
        <w:t xml:space="preserve">Source: </w:t>
      </w:r>
      <w:r>
        <w:t>Nature Materials</w:t>
      </w:r>
      <w:r>
        <w:t xml:space="preserve">    </w:t>
      </w:r>
      <w:r>
        <w:rPr>
          <w:b/>
        </w:rPr>
        <w:t xml:space="preserve">Pub date: </w:t>
      </w:r>
      <w:r>
        <w:t>2026-08-27 00:00:00+00:00</w:t>
      </w:r>
      <w:r>
        <w:t xml:space="preserve">    </w:t>
      </w:r>
      <w:r>
        <w:rPr>
          <w:b/>
        </w:rPr>
        <w:t xml:space="preserve">DOI: </w:t>
      </w:r>
      <w:hyperlink r:id="rId1611">
        <w:r>
          <w:rPr>
            <w:color w:val="1155CC"/>
            <w:u w:val="single"/>
          </w:rPr>
          <w:t>10.1038/s41563-026-02719-y</w:t>
        </w:r>
      </w:hyperlink>
    </w:p>
    <w:p>
      <w:pPr>
        <w:spacing w:before="0" w:after="120"/>
      </w:pPr>
      <w:r>
        <w:rPr>
          <w:b/>
        </w:rPr>
        <w:t xml:space="preserve">Notes: </w:t>
      </w:r>
      <w:r>
        <w:t>abstract_source=rss_nature</w:t>
      </w:r>
    </w:p>
    <w:p>
      <w:pPr>
        <w:spacing w:before="0" w:after="80" w:lineRule="auto" w:line="276"/>
      </w:pPr>
      <w:r>
        <w:rPr>
          <w:b/>
        </w:rPr>
        <w:t xml:space="preserve">摘要（ZH）: </w:t>
      </w:r>
      <w:r>
        <w:t>封装在六方氮化硼中的石墨烯有时会表现出令人费解的铁电样记忆效应。一个可旋转装置表明，可以通过扭转两个六方氮化硼层使其偏离完美排列来打开和关闭这种效应，解决了争论并提出了关于扭转范德华堆栈中界面极性的微观起源的基本问题。</w:t>
      </w:r>
    </w:p>
    <w:p>
      <w:pPr>
        <w:spacing w:before="0" w:after="200" w:lineRule="auto" w:line="276"/>
      </w:pPr>
      <w:r>
        <w:rPr>
          <w:b/>
        </w:rPr>
        <w:t xml:space="preserve">Abstract (EN): </w:t>
      </w:r>
      <w:r>
        <w:t>Graphene encapsulated in hexagonal boron nitride sometimes shows a puzzling ferroelectric-like memory effect. A rotatable device reveals that this effect can be turned on and off by twisting the two hexagonal boron nitride layers away from perfect alignment, resolving debates and raising fundamental questions about the microscopic origin of interface polarity in twisted van der Waals stacks.</w:t>
      </w:r>
    </w:p>
    <w:p>
      <w:pPr>
        <w:spacing w:before="120" w:after="120"/>
      </w:pPr>
      <w:r>
        <w:rPr>
          <w:sz w:val="18"/>
        </w:rPr>
        <w:t>——————————————————————————————————————————————————————————————————————</w:t>
      </w:r>
    </w:p>
    <w:p>
      <w:pPr>
        <w:spacing w:before="160" w:after="40" w:line="240" w:lineRule="auto"/>
      </w:pPr>
      <w:r>
        <w:rPr>
          <w:b/>
        </w:rPr>
        <w:t xml:space="preserve">[594] </w:t>
      </w:r>
      <w:hyperlink r:id="rId1612">
        <w:r>
          <w:rPr>
            <w:color w:val="1155CC"/>
            <w:u w:val="single"/>
          </w:rPr>
          <w:t>脂质网络交联水凝胶通过脂质运动控制多个长度尺度的材料动力学</w:t>
        </w:r>
      </w:hyperlink>
    </w:p>
    <w:p>
      <w:pPr>
        <w:spacing w:before="0" w:after="80"/>
      </w:pPr>
      <w:r>
        <w:rPr>
          <w:i/>
          <w:sz w:val="20"/>
        </w:rPr>
        <w:t>EN: Lipid network crosslinked hydrogels control material dynamics across multiple length scales through lipid movement</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跨长度尺度的网络动态控制是天然材料的一个特征，难以在合成水凝胶中复制。受到以脂质为结构元素的生物材料的启发，我们推出了脂质网络交联（LINC）水凝胶，它利用自组装脂质体中单个脂质的流动性作为共价网络交联点。与具有同等刚度的纯聚合物水凝胶相比，这些移动的共价交联将水凝胶应力松弛率提高了 20 倍以上。脂质体设计参数，包括表面功能化程度和尾部饱和度，提供了一种独立控制宏观储能模量和应力松弛行为的方法。最后，我们将细胞粘附配体放置到移动性较高或移动性较低的网络元件上。 LINC 水凝胶中的人类神经祖细胞响应纳米级配体动力学而显着改变其表型。这些结果将 LINC 水凝胶确立为仿生材料，利用宏观聚合物网络内的纳米级脂质流动性来控制多个长度尺度的动力学。</w:t>
      </w:r>
    </w:p>
    <w:p>
      <w:pPr>
        <w:spacing w:before="0" w:after="200" w:lineRule="auto" w:line="276"/>
      </w:pPr>
      <w:r>
        <w:rPr>
          <w:b/>
        </w:rPr>
        <w:t xml:space="preserve">Abstract (EN): </w:t>
      </w:r>
      <w:r>
        <w:t>Control over network dynamics across length scales is a feature of natural materials challenging to replicate in synthetic hydrogels. Taking inspiration from biological materials that feature lipids as structural elements, we introduce Lipid Network Crosslinked (LINC) hydrogels that exploit the mobility of individual lipids within self-assembled liposomes as covalent, network-crosslinking points. These mobile, covalent crosslinks increase hydrogel stress relaxation rates over 20-fold compared to polymer-only hydrogels with equivalent stiffness. Liposome design parameters, including degree of surface functionalization and tail saturation, provide a means to independently control the macroscale storage moduli and stress relaxation behavior. Finally, we place cell-adhesive ligands onto more mobile or less mobile network elements. Human neural progenitor cells within LINC hydrogels significantly alter their phenotype in response to nanoscale ligand dynamics. These results establish LINC hydrogels as biomimetic materials that leverage nanoscale lipid mobility within a macroscale polymeric network to control dynamics at multiple length scales.</w:t>
      </w:r>
    </w:p>
    <w:p>
      <w:pPr>
        <w:spacing w:before="120" w:after="120"/>
      </w:pPr>
      <w:r>
        <w:rPr>
          <w:sz w:val="18"/>
        </w:rPr>
        <w:t>——————————————————————————————————————————————————————————————————————</w:t>
      </w:r>
    </w:p>
    <w:p>
      <w:pPr>
        <w:spacing w:before="160" w:after="40" w:line="240" w:lineRule="auto"/>
      </w:pPr>
      <w:r>
        <w:rPr>
          <w:b/>
        </w:rPr>
        <w:t xml:space="preserve">[595] </w:t>
      </w:r>
      <w:hyperlink r:id="rId1613">
        <w:r>
          <w:rPr>
            <w:color w:val="1155CC"/>
            <w:u w:val="single"/>
          </w:rPr>
          <w:t>各向异性变形机器人物质可实现多种集体行为</w:t>
        </w:r>
      </w:hyperlink>
    </w:p>
    <w:p>
      <w:pPr>
        <w:spacing w:before="0" w:after="80"/>
      </w:pPr>
      <w:r>
        <w:rPr>
          <w:i/>
          <w:sz w:val="20"/>
        </w:rPr>
        <w:t>EN: Anisotropic shape-shifting robotic matter enabling versatile collective behaviors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集体机器人系统可以通过个体机器人之间的本地交互表现出紧急行为，但大多数现有平台依赖于复杂的个体或复杂的控制策略来实现不同的功能。在这里，我们展示了 TriHex，这是一种极简机器人单元，能够使用单电机驱动在三角形和六边形之间进行形状转换。尽管很简单，但 TriHex 单元的集合通过两个控制维度表现出显着的行为多样性：系统配置和单个单元的变形阶段。通过调整这些参数，可以对静态镶嵌装配体的刚度进行编程。在离散组件中，系统在类固体和类液体状态之间转换，并实现可编程粘度。当以预先设计的相位差排列成蜂窝结构时，该系统实现了可控的孔隙率。此外，形状的变化可以实现协调的集体运动、重新配置以及物体抓取和运输的集成能力。开发的分析模型和数值模拟可以成功捕获和预测 TriHex 集体的行为。这项工作表明，复杂的集体行为可以从相对简单的单个单元中产生，为设计可扩展和自适应的机器人物质提供了见解。</w:t>
      </w:r>
    </w:p>
    <w:p>
      <w:pPr>
        <w:spacing w:before="0" w:after="200" w:lineRule="auto" w:line="276"/>
      </w:pPr>
      <w:r>
        <w:rPr>
          <w:b/>
        </w:rPr>
        <w:t xml:space="preserve">Abstract (EN): </w:t>
      </w:r>
      <w:r>
        <w:t>Collective robotic systems can exhibit emergent behaviors through local interactions among individual robots, yet most existing platforms rely on sophisticated individuals or complex control strategies to achieve diverse functionalities. Here, we present TriHex, a minimalist robotic unit capable of shape-shifting between triangular and hexagonal shapes using single-motor actuation. Despite its simplicity, collectives of TriHex units display remarkable behavioral diversity through two control dimensions: system configuration and individual unit’s shape-shifting phase. By adjusting these parameters, a static tessellated assembly’s stiffness can be programmed. In discrete assemblies, the system transitions between solid-like and liquid-like states and achieves programmable viscosity. When arranged in cellular configurations with a pre-designed phase difference, the system realizes controllable porosity. Additionally, shape changes enable coordinated collective locomotion, reconfiguration and integrating capabilities of object gripping and transportation. Analytical models and numerical simulations are developed that successfully capture and predict the TriHex collective’s behavior. This work demonstrates that complex collective behaviors can emerge from relatively simple individual units, offering insights for designing scalable and adaptive robotic matter.</w:t>
      </w:r>
    </w:p>
    <w:p>
      <w:pPr>
        <w:spacing w:before="120" w:after="120"/>
      </w:pPr>
      <w:r>
        <w:rPr>
          <w:sz w:val="18"/>
        </w:rPr>
        <w:t>——————————————————————————————————————————————————————————————————————</w:t>
      </w:r>
    </w:p>
    <w:p>
      <w:pPr>
        <w:spacing w:before="160" w:after="40" w:line="240" w:lineRule="auto"/>
      </w:pPr>
      <w:r>
        <w:rPr>
          <w:b/>
        </w:rPr>
        <w:t xml:space="preserve">[596] </w:t>
      </w:r>
      <w:hyperlink r:id="rId1614">
        <w:r>
          <w:rPr>
            <w:color w:val="1155CC"/>
            <w:u w:val="single"/>
          </w:rPr>
          <w:t>3D 导电非晶不饱和配体 MIL-68(Fe) MOF 作为室温 H2S 化学电阻传感器</w:t>
        </w:r>
      </w:hyperlink>
    </w:p>
    <w:p>
      <w:pPr>
        <w:spacing w:before="0" w:after="80"/>
      </w:pPr>
      <w:r>
        <w:rPr>
          <w:i/>
          <w:sz w:val="20"/>
        </w:rPr>
        <w:t>EN: A 3D conductive amorphous unsaturated-ligand MIL-68(Fe) MOF as room-temperature H2S chemiresistive sensor</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同时实现具有高选择性、灵敏度和稳定性的化学电阻气体传感器仍然是一个重大挑战。在这项研究中，受生物系统中H2S特异性催化酶的启发，我们通过原位热感应构建了一种非晶态不饱和配体MIL-68(Fe) 3D MOF。在不引入外在催化或导电成分的情况下，这种 MOF 改性策略在框架本身内产生不饱和 Fe 原子。这些原子具有催化和导电位点的双重功能，从而克服了传统3D MOF固有的低电导率，并能够直接构建用于室温分子嗅觉传感的化学电阻传感器。靶向水吸附协同催化机制绕过了传统氧吸附工艺的局限性，实现了前所未有的综合性能，包括指纹级选择性（针对29种干扰气体）、卓越的灵敏度系数（~83/ppm）、超低的测量下限（1 ppb）、快速气敏响应/恢复特性（~30 s/73 s）以及优异的室温长期稳定性。</w:t>
      </w:r>
    </w:p>
    <w:p>
      <w:pPr>
        <w:spacing w:before="0" w:after="200" w:lineRule="auto" w:line="276"/>
      </w:pPr>
      <w:r>
        <w:rPr>
          <w:b/>
        </w:rPr>
        <w:t xml:space="preserve">Abstract (EN): </w:t>
      </w:r>
      <w:r>
        <w:t>Simultaneously achieving chemiresistive gas sensors with high selectivity, sensitivity, and stability remains a significant challenge. In this study, inspired by the H2S-specific catalytic enzymes in biological systems, we construct an amorphous unsaturated-ligand MIL-68(Fe) 3D MOF via in situ thermal induction. Without the introduction of extrinsic catalytic or conductive components, this MOF modification strategy creates unsaturated Fe atoms within the framework itself. These atoms function dually as catalytic and conductive sites, thereby overcoming the inherent low conductivity of conventional 3D MOFs and enabling the direct construction of chemiresistive sensor for room-temperature molecular olfactory sensing. The targeted water-adsorption-coordinated catalytic mechanism bypasses the limitations of traditional oxygen adsorption processes to achieve unprecedented comprehensive performance, including fingerprint-level selectivity (against 29 interfering gases), superior sensitivity coefficient (~83/ppm), ultra-low measured lower limit (1 ppb), rapid gas sensing response/recovery characteristics (~30 s/73 s), and excellent long-term stability at room temperature.</w:t>
      </w:r>
    </w:p>
    <w:p>
      <w:pPr>
        <w:spacing w:before="120" w:after="120"/>
      </w:pPr>
      <w:r>
        <w:rPr>
          <w:sz w:val="18"/>
        </w:rPr>
        <w:t>——————————————————————————————————————————————————————————————————————</w:t>
      </w:r>
    </w:p>
    <w:p>
      <w:pPr>
        <w:spacing w:before="160" w:after="40" w:line="240" w:lineRule="auto"/>
      </w:pPr>
      <w:r>
        <w:rPr>
          <w:b/>
        </w:rPr>
        <w:t xml:space="preserve">[597] </w:t>
      </w:r>
      <w:hyperlink r:id="rId1615">
        <w:r>
          <w:rPr>
            <w:color w:val="1155CC"/>
            <w:u w:val="single"/>
          </w:rPr>
          <w:t>受限剪切诱导结构离散化使重入超排斥金属成为可能</w:t>
        </w:r>
      </w:hyperlink>
    </w:p>
    <w:p>
      <w:pPr>
        <w:spacing w:before="0" w:after="80"/>
      </w:pPr>
      <w:r>
        <w:rPr>
          <w:i/>
          <w:sz w:val="20"/>
        </w:rPr>
        <w:t>EN: Confined shear-induced structure discretization enables re-entrant super-repellent metals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凹入结构是实现强大的拒液性的基础，特别是对于低表面张力的液体。然而，现有的制造技术常常面临机械耐久性、基板几何兼容性、大面积加工和快速生产之间的权衡。金属以其固有的坚固性提供了一种有前途的基材，但金属凹角结构的直接高效加工仍然是一个重大挑战。在这里，我们提出了一种一步式机械切割策略，称为受限剪切诱导结构离散化（CSSD），可直接在平面和弯曲金属表面上制造高密度凹入结构。通过设计洞穴梯形复合刀具，我们在超精密金刚石车削过程中实现了从连续脊到离散凹角单元的受控过渡。由此产生的金属表面对多种液体保持超排斥性的 Cassie-Baxter 状态，表现出 161.7 ± 2.2° 的水接触角，表明不润湿行为。值得注意的是，这种方法可以实现快速、大面积制造，在高达 1.5 × 104 mm2 的区域内材料去除率为 1.068 mm3 s−1。经过 1000 次磨损循环后，凹入纹理仍保留足够的结构特征，以恢复超疏水性。这种几何引导策略揭示了离散微结构可扩展制造的机制，并为将该方法扩展到其他加工模式提供了有用的指导。</w:t>
      </w:r>
    </w:p>
    <w:p>
      <w:pPr>
        <w:spacing w:before="0" w:after="200" w:lineRule="auto" w:line="276"/>
      </w:pPr>
      <w:r>
        <w:rPr>
          <w:b/>
        </w:rPr>
        <w:t xml:space="preserve">Abstract (EN): </w:t>
      </w:r>
      <w:r>
        <w:t>Re-entrant structures are fundamental to achieving robust liquid repellency, especially for low-surface-tension liquids. However, existing fabrication techniques often face a trade-off among mechanical durability, substrate geometry compatibility, large-area processing, and rapid production. Metals, with their inherent robustness, offer a promising substrate, but direct and efficient machining of metallic re-entrant structures remains a significant challenge. Here, we present a one-step mechanical cutting strategy, termed confined shear-induced structure discretization (CSSD), to directly fabricate high-density re-entrant architectures on planar and curved metallic surfaces. By designing a cave-trapezoid composite tool, we achieve a controlled transition from continuous ridges to discrete re-entrant units during ultra-precision diamond turning. The resulting metallic surfaces sustain a super-repellent Cassie–Baxter state for a broad range of liquids, exhibiting a water contact angle of 161.7 ± 2.2°, indicating non-wetting behavior. Notably, this approach enables rapid, large-area manufacturing, with a material removal rate of 1.068 mm3 s−1 over areas up to 1.5 × 104 mm2. The re-entrant textures retain sufficient structural features after 1000 abrasion cycles to recover superhydrophobicity. This geometry-guided strategy reveals a mechanism for the scalable fabrication of discrete microstructures and offers useful guidance for extending the approach to other machining modalities.</w:t>
      </w:r>
    </w:p>
    <w:p>
      <w:pPr>
        <w:spacing w:before="120" w:after="120"/>
      </w:pPr>
      <w:r>
        <w:rPr>
          <w:sz w:val="18"/>
        </w:rPr>
        <w:t>——————————————————————————————————————————————————————————————————————</w:t>
      </w:r>
    </w:p>
    <w:p>
      <w:pPr>
        <w:spacing w:before="160" w:after="40" w:line="240" w:lineRule="auto"/>
      </w:pPr>
      <w:r>
        <w:rPr>
          <w:b/>
        </w:rPr>
        <w:t xml:space="preserve">[598] </w:t>
      </w:r>
      <w:hyperlink r:id="rId1616">
        <w:r>
          <w:rPr>
            <w:color w:val="1155CC"/>
            <w:u w:val="single"/>
          </w:rPr>
          <w:t>直接观察冲击诱导的钙钛矿、钙钛矿的形成</w:t>
        </w:r>
      </w:hyperlink>
    </w:p>
    <w:p>
      <w:pPr>
        <w:spacing w:before="0" w:after="80"/>
      </w:pPr>
      <w:r>
        <w:rPr>
          <w:i/>
          <w:sz w:val="20"/>
        </w:rPr>
        <w:t>EN: Direct observation of shock-induced formation of davemaoite, Ca-perovskite</w:t>
      </w:r>
    </w:p>
    <w:p>
      <w:pPr>
        <w:spacing w:before="0" w:after="120"/>
      </w:pPr>
      <w:r>
        <w:rPr>
          <w:b/>
        </w:rPr>
        <w:t xml:space="preserve">Source: </w:t>
      </w:r>
      <w:r>
        <w:t>Earth and environmental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钙钛矿结构硅酸盐是地球下地幔的关键矿物，在冲击陨石中也被鉴定为 (Mg,Fe)SiO3-钙钛矿相，即桥石。相比之下，CaSiO3-钙钛矿（davemaoite）从未在陨石中被发现，只能从深地幔钻石中的稀有包裹体中发现。这种对比凸显了一个根本性的差距：虽然天然样品在冲击条件下提供了硅酸盐钙钛矿的间接证据，但实验室动态压缩实验尚未直接捕获 MgSiO3 或 CaSiO3 中的钙钛矿转变，这可能是由于纳秒时间尺度施加的动力学限制。在这里，我们展示了动态压缩下 CaSiO3-钙钛矿形成的原位原子尺度观察。利用 SACLA 的纳秒激光驱动冲击和超快 X 射线衍射 (XRD)，我们追踪了 CaSiO3 从低压相到非晶态的转变，并最终转变为高于 ~91(10) GPa 的达维茂石，这表明了在纳秒时间尺度上实现重构结晶的无序-有序转变途径。释放后，davemaoite 通过短暂的低对称性相发生非晶化。这些观测结果为动态载荷下硅酸盐钙钛矿的形成提供了直接的结构证据，解决了长期存在的实验问题，并将动态压缩确立为探测与地球和富含钙的系外行星内部相关的深部地幔矿物的有效途径。</w:t>
      </w:r>
    </w:p>
    <w:p>
      <w:pPr>
        <w:spacing w:before="0" w:after="200" w:lineRule="auto" w:line="276"/>
      </w:pPr>
      <w:r>
        <w:rPr>
          <w:b/>
        </w:rPr>
        <w:t xml:space="preserve">Abstract (EN): </w:t>
      </w:r>
      <w:r>
        <w:t>Perovskite-structured silicates are key minerals of Earth’s lower mantle and have also been identified in shocked meteorites as the (Mg,Fe)SiO3-perovskite phase, bridgmanite. In contrast, CaSiO3-perovskite (davemaoite) has never been found in meteorites and is known only from rare inclusions in deep-mantle diamonds. This contrast highlights a fundamental gap: while natural samples provide indirect evidence for silicate perovskites under shock conditions, laboratory dynamic compression experiments have yet to directly capture perovskite transitions in either MgSiO3 or CaSiO3, likely due to kinetic limitations imposed by nanosecond timescales. Here we present the in situ, atomic-scale observations of CaSiO3-perovskite formation under dynamic compression. Using nanosecond laser-driven shocks and ultrafast X-ray diffraction (XRD) at SACLA, we tracked the transformation of CaSiO3 from low-pressure phases to an amorphous state, and ultimately to davemaoite above ~91(10) GPa, suggesting a disorder–order transformation pathway toward reconstructive crystallization on nanosecond timescales. Upon release, davemaoite undergoes amorphization via a transient low-symmetry phase. These observations provide direct structural evidence for silicate perovskite formation under dynamic loading, resolving a long-standing experimental problem and establishing dynamic compression as an effective route to probe deep-mantle minerals relevant to Earth and Ca-rich exoplanet interiors.</w:t>
      </w:r>
    </w:p>
    <w:p>
      <w:pPr>
        <w:spacing w:before="120" w:after="120"/>
      </w:pPr>
      <w:r>
        <w:rPr>
          <w:sz w:val="18"/>
        </w:rPr>
        <w:t>——————————————————————————————————————————————————————————————————————</w:t>
      </w:r>
    </w:p>
    <w:p>
      <w:pPr>
        <w:spacing w:before="160" w:after="40" w:line="240" w:lineRule="auto"/>
      </w:pPr>
      <w:r>
        <w:rPr>
          <w:b/>
        </w:rPr>
        <w:t xml:space="preserve">[599] </w:t>
      </w:r>
      <w:hyperlink r:id="rId1617">
        <w:r>
          <w:rPr>
            <w:color w:val="1155CC"/>
            <w:u w:val="single"/>
          </w:rPr>
          <w:t>中微子失踪之谜的解决方案</w:t>
        </w:r>
      </w:hyperlink>
    </w:p>
    <w:p>
      <w:pPr>
        <w:spacing w:before="0" w:after="80"/>
      </w:pPr>
      <w:r>
        <w:rPr>
          <w:i/>
          <w:sz w:val="20"/>
        </w:rPr>
        <w:t>EN: A solution to the mystery of the missing neutrinos</w:t>
      </w:r>
    </w:p>
    <w:p>
      <w:pPr>
        <w:spacing w:before="0" w:after="120"/>
      </w:pPr>
      <w:r>
        <w:rPr>
          <w:b/>
        </w:rPr>
        <w:t xml:space="preserve">Source: </w:t>
      </w:r>
      <w:r>
        <w:t>Nature</w:t>
      </w:r>
      <w:r>
        <w:t xml:space="preserve">    </w:t>
      </w:r>
      <w:r>
        <w:rPr>
          <w:b/>
        </w:rPr>
        <w:t xml:space="preserve">Pub date: </w:t>
      </w:r>
      <w:r>
        <w:t>2026-08-27 00:00:00+00:00</w:t>
      </w:r>
      <w:r>
        <w:t xml:space="preserve">    </w:t>
      </w:r>
      <w:r>
        <w:rPr>
          <w:b/>
        </w:rPr>
        <w:t xml:space="preserve">DOI: </w:t>
      </w:r>
      <w:hyperlink r:id="rId1618">
        <w:r>
          <w:rPr>
            <w:color w:val="1155CC"/>
            <w:u w:val="single"/>
          </w:rPr>
          <w:t>10.1038/d41586-026-02628-9</w:t>
        </w:r>
      </w:hyperlink>
    </w:p>
    <w:p>
      <w:pPr>
        <w:spacing w:before="0" w:after="120"/>
      </w:pPr>
      <w:r>
        <w:rPr>
          <w:b/>
        </w:rPr>
        <w:t xml:space="preserve">Notes: </w:t>
      </w:r>
      <w:r>
        <w:t>abstract_source=nature_html</w:t>
      </w:r>
    </w:p>
    <w:p>
      <w:pPr>
        <w:spacing w:before="0" w:after="80" w:lineRule="auto" w:line="276"/>
      </w:pPr>
      <w:r>
        <w:rPr>
          <w:b/>
        </w:rPr>
        <w:t xml:space="preserve">摘要（ZH）: </w:t>
      </w:r>
      <w:r>
        <w:t>讲座的准备工作促使一位科学家在“镓异常”中找出漏洞。</w:t>
      </w:r>
    </w:p>
    <w:p>
      <w:pPr>
        <w:spacing w:before="0" w:after="200" w:lineRule="auto" w:line="276"/>
      </w:pPr>
      <w:r>
        <w:rPr>
          <w:b/>
        </w:rPr>
        <w:t xml:space="preserve">Abstract (EN): </w:t>
      </w:r>
      <w:r>
        <w:t>Lecture preparations prompt a scientist to poke holes in the ‘gallium anomaly’.</w:t>
      </w:r>
    </w:p>
    <w:p>
      <w:pPr>
        <w:spacing w:before="120" w:after="120"/>
      </w:pPr>
      <w:r>
        <w:rPr>
          <w:sz w:val="18"/>
        </w:rPr>
        <w:t>——————————————————————————————————————————————————————————————————————</w:t>
      </w:r>
    </w:p>
    <w:p>
      <w:pPr>
        <w:spacing w:before="160" w:after="40" w:line="240" w:lineRule="auto"/>
      </w:pPr>
      <w:r>
        <w:rPr>
          <w:b/>
        </w:rPr>
        <w:t xml:space="preserve">[600] </w:t>
      </w:r>
      <w:hyperlink r:id="rId1619">
        <w:r>
          <w:rPr>
            <w:color w:val="1155CC"/>
            <w:u w:val="single"/>
          </w:rPr>
          <w:t>用于有机合成机理探索的自动过渡态生成</w:t>
        </w:r>
      </w:hyperlink>
    </w:p>
    <w:p>
      <w:pPr>
        <w:spacing w:before="0" w:after="80"/>
      </w:pPr>
      <w:r>
        <w:rPr>
          <w:i/>
          <w:sz w:val="20"/>
        </w:rPr>
        <w:t>EN: Automated transition state generation for mechanistic exploration in organic synthesis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准确生成复杂的 3D 分子结构是计算化学中的一项基本挑战。过渡态（TS）是决定反应动力学的瞬态结构，例证了这一挑战，因为它们的计算仍然是阐明反应机制的主要瓶颈。虽然生成式人工智能在自动化 TS 生成方面显示出了希望，但现有方法很大程度上局限于简单的系统，难以应对过渡金属催化等复杂结构。在这里，我们展示了通用 TS 生成的统一框架，包括包含 4,391 个跨越 42 个元素和不同化学转化的高质量结构的 UniTS-Lib 库，以及使用定制设计的更高阶等变网络从 2D 反应物图生成 3D TS 配置的 UniTS-Gen 扩散模型。验证表明 UniTS-Gen 对看不见的化学系统具有卓越的准确性和强大的泛化能力。我们表明，UniTS-Gen 提供了可靠的初始猜测，并通过定位动力学上有利的构象来加速发现。这项工作为有机合成及其他领域的自动化机理研究提供了一个可扩展和可转移的解决方案。</w:t>
      </w:r>
    </w:p>
    <w:p>
      <w:pPr>
        <w:spacing w:before="0" w:after="200" w:lineRule="auto" w:line="276"/>
      </w:pPr>
      <w:r>
        <w:rPr>
          <w:b/>
        </w:rPr>
        <w:t xml:space="preserve">Abstract (EN): </w:t>
      </w:r>
      <w:r>
        <w:t>Accurate generation of intricate 3D molecular structures is a fundamental challenge in computational chemistry. Transition states (TS), the transient structures that dictate reaction kinetics, exemplify this challenge, as their calculation remains a major bottleneck in elucidating reaction mechanisms. While generative AI has shown promise in automating TS generation, existing methods are largely confined to simple systems, struggling with the complex structures like those in transition metal catalysis. Here we show a unified framework for general-purpose TS generation, comprising the UniTS-Lib library of 4,391 high-quality structures spanning 42 elements and diverse chemical transformations, coupled with the UniTS-Gen diffusion model that generates 3D TS configurations from 2D reactant graphs using a custom-designed higher-degree equivariant network. Validation demonstrates UniTS-Gen’s superior accuracy and robust generalization to unseen chemical systems. We show that UniTS-Gen provides reliable initial guesses and accelerates discovery by locating kinetically favored conformations. This work provides a scalable and transferable solution for automating mechanistic studies in organic synthesis and beyond.</w:t>
      </w:r>
    </w:p>
    <w:p>
      <w:pPr>
        <w:spacing w:before="120" w:after="120"/>
      </w:pPr>
      <w:r>
        <w:rPr>
          <w:sz w:val="18"/>
        </w:rPr>
        <w:t>——————————————————————————————————————————————————————————————————————</w:t>
      </w:r>
    </w:p>
    <w:p>
      <w:pPr>
        <w:spacing w:before="160" w:after="40" w:line="240" w:lineRule="auto"/>
      </w:pPr>
      <w:r>
        <w:rPr>
          <w:b/>
        </w:rPr>
        <w:t xml:space="preserve">[601] </w:t>
      </w:r>
      <w:hyperlink r:id="rId1620">
        <w:r>
          <w:rPr>
            <w:color w:val="1155CC"/>
            <w:u w:val="single"/>
          </w:rPr>
          <w:t>埃迪卡拉海洋的海洋磷梯度逆转</w:t>
        </w:r>
      </w:hyperlink>
    </w:p>
    <w:p>
      <w:pPr>
        <w:spacing w:before="0" w:after="80"/>
      </w:pPr>
      <w:r>
        <w:rPr>
          <w:i/>
          <w:sz w:val="20"/>
        </w:rPr>
        <w:t>EN: Reversed marine phosphorus gradient in the Ediacaran Ocean</w:t>
      </w:r>
    </w:p>
    <w:p>
      <w:pPr>
        <w:spacing w:before="0" w:after="120"/>
      </w:pPr>
      <w:r>
        <w:rPr>
          <w:b/>
        </w:rPr>
        <w:t xml:space="preserve">Source: </w:t>
      </w:r>
      <w:r>
        <w:t>Earth and environmental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埃迪卡拉纪（635-539Ma）见证了早期动物的出现、海洋快速氧化和海洋磷可用性的上升。然而，这些发展之间的关系仍然存在激烈争论。在这里，我们提供了来自华南不同沉积环境的七个埃迪卡拉纪剖面的高分辨率碳酸盐相关磷酸盐（CAP）数据。与现代海洋相反，我们的测量揭示了磷 (P) 梯度的倒转，深度处磷的利用率较低。通过将这些数据与定量生物地球化学模型相结合，我们表明，浅水磷输入的增加推动了大陆架生产力的提高和底层水缺氧，而缺乏磷的远端海洋从上到下逐渐氧化，为早期后生动物的进化提供了一个氧化生态位——深海摇篮。我们的研究建立了一个概念框架，将地球早期历史中的营养动态、海洋氧合和进化创新联系起来。</w:t>
      </w:r>
    </w:p>
    <w:p>
      <w:pPr>
        <w:spacing w:before="0" w:after="200" w:lineRule="auto" w:line="276"/>
      </w:pPr>
      <w:r>
        <w:rPr>
          <w:b/>
        </w:rPr>
        <w:t xml:space="preserve">Abstract (EN): </w:t>
      </w:r>
      <w:r>
        <w:t>The Ediacaran Period (635–539 Ma) witnessed the emergence of early animals, rapid oceanic oxygenation, and rising oceanic P availability. However, the relationships among these developments remain intensely debated. Here, we present high-resolution carbonate-associated phosphate (CAP) data from seven Ediacaran sections spanning diverse depositional environments across South China. Contrary to the modern ocean, our measurements reveal an inverted phosphorus (P) gradient, with lower P availability at depth. By integrating these data with a quantitative biogeochemical model, we show that increasing shallow-water P inputs drove enhanced productivity and bottom-water anoxia on continental shelves, while P-starved distal oceans became progressively oxygenated from the top downward, providing an oxygenated niche—a deep-ocean cradle—for early metazoan evolution. Our study establishes a conceptual framework linking nutrient dynamics, marine oxygenation, and evolutionary innovation in Earth’s early history.</w:t>
      </w:r>
    </w:p>
    <w:p>
      <w:pPr>
        <w:spacing w:before="120" w:after="120"/>
      </w:pPr>
      <w:r>
        <w:rPr>
          <w:sz w:val="18"/>
        </w:rPr>
        <w:t>——————————————————————————————————————————————————————————————————————</w:t>
      </w:r>
    </w:p>
    <w:p>
      <w:pPr>
        <w:spacing w:before="160" w:after="40" w:line="240" w:lineRule="auto"/>
      </w:pPr>
      <w:r>
        <w:rPr>
          <w:b/>
        </w:rPr>
        <w:t xml:space="preserve">[602] </w:t>
      </w:r>
      <w:hyperlink r:id="rId1621">
        <w:r>
          <w:rPr>
            <w:color w:val="1155CC"/>
            <w:u w:val="single"/>
          </w:rPr>
          <w:t>地球大氧化期间氧合动力学的营养控制</w:t>
        </w:r>
      </w:hyperlink>
    </w:p>
    <w:p>
      <w:pPr>
        <w:spacing w:before="0" w:after="80"/>
      </w:pPr>
      <w:r>
        <w:rPr>
          <w:i/>
          <w:sz w:val="20"/>
        </w:rPr>
        <w:t>EN: A nutrient control on oxygenation dynamics during Earth’s Great Oxidation Episode</w:t>
      </w:r>
    </w:p>
    <w:p>
      <w:pPr>
        <w:spacing w:before="0" w:after="120"/>
      </w:pPr>
      <w:r>
        <w:rPr>
          <w:b/>
        </w:rPr>
        <w:t xml:space="preserve">Source: </w:t>
      </w:r>
      <w:r>
        <w:t>Earth and environmental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地球大气中氧气含量的首次上升发生在大约从大约 1000 年开始的一段较长时期内。 2.43 至 20.6 亿年前的大氧化期 (GOE)。 GOE 的特点是极端的气候不稳定，这可能影响了主要限制性营养素磷的生物利用度。在这里，我们研究了南非德兰士瓦超级集团记录的 GOE 最后两个冰川期的磷循环。利用磷相分配方法，我们表明，在冰川作用后，风化引起的磷流入增强，刺激了氧合，沉积物磷的循环受到硫酸盐有效性和海洋氧化还原状态的反馈驱动波动的控制。生物地球化学模型表明，在地球向持续含氧大气的长期过渡过程中，这种动态相互作用导致了大气含氧量的严重不稳定。</w:t>
      </w:r>
    </w:p>
    <w:p>
      <w:pPr>
        <w:spacing w:before="0" w:after="200" w:lineRule="auto" w:line="276"/>
      </w:pPr>
      <w:r>
        <w:rPr>
          <w:b/>
        </w:rPr>
        <w:t xml:space="preserve">Abstract (EN): </w:t>
      </w:r>
      <w:r>
        <w:t>Earth’s first rise in atmospheric oxygen occurred over a protracted period from ca. 2.43 to 2.06 billion years ago during the Great Oxidation Episode (GOE). The GOE was marked by extreme climatic instability, which likely impacted the bioavailability of the principal limiting nutrient, phosphorus. Here, we investigate phosphorus cycling across the final two glaciations of the GOE, as documented by the Transvaal Supergroup, South Africa. Utilising a phosphorus phase partitioning approach, we show that following an enhanced weathering-induced phosphorus influx that stimulated oxygenation in the aftermath of glaciation, sedimentary phosphorus recycling was controlled by feedback-driven fluctuations in sulphate availability and oceanic redox state. Biogeochemical modelling suggests that this dynamic interplay drove major instability in atmospheric oxygen levels during Earth’s protracted transition to a persistently oxygenated atmosphere.</w:t>
      </w:r>
    </w:p>
    <w:p>
      <w:pPr>
        <w:spacing w:before="120" w:after="120"/>
      </w:pPr>
      <w:r>
        <w:rPr>
          <w:sz w:val="18"/>
        </w:rPr>
        <w:t>——————————————————————————————————————————————————————————————————————</w:t>
      </w:r>
    </w:p>
    <w:p>
      <w:pPr>
        <w:spacing w:before="160" w:after="40" w:line="240" w:lineRule="auto"/>
      </w:pPr>
      <w:r>
        <w:rPr>
          <w:b/>
        </w:rPr>
        <w:t xml:space="preserve">[603] </w:t>
      </w:r>
      <w:hyperlink r:id="rId1622">
        <w:r>
          <w:rPr>
            <w:color w:val="1155CC"/>
            <w:u w:val="single"/>
          </w:rPr>
          <w:t>在电力驱动的无废物系统中持续形成运动并破坏凝聚层</w:t>
        </w:r>
      </w:hyperlink>
    </w:p>
    <w:p>
      <w:pPr>
        <w:spacing w:before="0" w:after="80"/>
      </w:pPr>
      <w:r>
        <w:rPr>
          <w:i/>
          <w:sz w:val="20"/>
        </w:rPr>
        <w:t>EN: Sustained formation movement and destruction of coacervates in a waste-free system driven by electricity</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瞬态分隔和运动是生命的基础，也是复杂化学系统发展的里程碑。在这种情况下，凝聚层被提议作为隔室，但驱使它们失去平衡的努力使用放能反应，而放能反应受到废物积累的限制。在这里，我们提出了一种使用电势作为能源来瞬时形成和运动凝聚层的策略。在双电极系统中，含半胱氨酸肽的氧化增加其多价性，导致阳极上络合和凝聚层形成。电化学形成的凝聚层通过电泳移动到阴极，并在阴极通过电催化还原而溶解。该系统达到稳定状态，其中凝聚层在细胞的不同区域同时形成、移动和溶解。由于不产生废物，这种不平衡状态可以长时间维持而不会衰减。瞬时形成和运动与分区的结合为电力驱动的主动运输打开了大门。</w:t>
      </w:r>
    </w:p>
    <w:p>
      <w:pPr>
        <w:spacing w:before="0" w:after="200" w:lineRule="auto" w:line="276"/>
      </w:pPr>
      <w:r>
        <w:rPr>
          <w:b/>
        </w:rPr>
        <w:t xml:space="preserve">Abstract (EN): </w:t>
      </w:r>
      <w:r>
        <w:t>Transient compartmentalization and motion are fundamental to life, and milestones in the development of complex chemical systems. Coacervates have been proposed as compartments in this context, but efforts to drive them out-of-equilibrium use exergonic reactions, which are limited by waste accumulation. Here, we present a strategy for the transient formation and movement of coacervates, using an electric potential as energy source. In a two-electrode system, the oxidation of a cysteine-containing peptide increases its multivalency, leading to complexation and coacervate formation on the anode. The electrochemically-formed coacervates move by electrophoresis to the cathode, where they dissolve by electrocatalytic reduction. The system reaches a steady state in which coacervates are simultaneously forming, moving, and dissolving in different regions of the cell. Since no waste is generated, this out-of-equilibrium regime is sustained for long times without decaying. The combination of transient formation and movement with compartmentalization opens the door for electricity-driven active transport.</w:t>
      </w:r>
    </w:p>
    <w:p>
      <w:pPr>
        <w:spacing w:before="120" w:after="120"/>
      </w:pPr>
      <w:r>
        <w:rPr>
          <w:sz w:val="18"/>
        </w:rPr>
        <w:t>——————————————————————————————————————————————————————————————————————</w:t>
      </w:r>
    </w:p>
    <w:p>
      <w:pPr>
        <w:spacing w:before="160" w:after="40" w:line="240" w:lineRule="auto"/>
      </w:pPr>
      <w:r>
        <w:rPr>
          <w:b/>
        </w:rPr>
        <w:t xml:space="preserve">[604] </w:t>
      </w:r>
      <w:hyperlink r:id="rId1623">
        <w:r>
          <w:rPr>
            <w:color w:val="1155CC"/>
            <w:u w:val="single"/>
          </w:rPr>
          <w:t>天然硅铸造平台上的精密高速带孔量子逻辑</w:t>
        </w:r>
      </w:hyperlink>
    </w:p>
    <w:p>
      <w:pPr>
        <w:spacing w:before="0" w:after="80"/>
      </w:pPr>
      <w:r>
        <w:rPr>
          <w:i/>
          <w:sz w:val="20"/>
        </w:rPr>
        <w:t>EN: Precision high-speed quantum logic with holes on a natural silicon foundry platform</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门定义量子点中的硅自旋量子位利用现有的半导体基础设施，并为变革性量子技术提供可扩展的路径。硅中的自旋孔提供紧凑的全电气控制，同时保留了量子点量子位架构的显着特征。然而，由于对无序性和更复杂的自旋物理的敏感性增加，硅空穴自旋量子位不如电子先进。在这里，我们展示了高达 99.8% 的单量子位门保真度和 240 的双量子位门品质因数，表明物理保真度极限为 99.7%。这些结果代表了迄今为止天然硅中报道的最高性能，这是通过快速量子位控制、交换脉冲和工业级制造实现的。值得注意的是，我们在与用于高度可重复、高保真电子自旋量子位的设备几乎相同的设备中实现了这些结果。通过同位素纯化和进一步的器件级优化，硅空穴自旋量子位有望为量子 CMOS 架构解锁新的操作机制。</w:t>
      </w:r>
    </w:p>
    <w:p>
      <w:pPr>
        <w:spacing w:before="0" w:after="200" w:lineRule="auto" w:line="276"/>
      </w:pPr>
      <w:r>
        <w:rPr>
          <w:b/>
        </w:rPr>
        <w:t xml:space="preserve">Abstract (EN): </w:t>
      </w:r>
      <w:r>
        <w:t>Silicon spin qubits in gate-defined quantum dots leverage established semiconductor infrastructure and offer a scalable path toward transformative quantum technologies. Holes spins in silicon offer compact all-electrical control, whilst retaining the salient features of a quantum dot qubit architecture. However, silicon hole spin qubits are not as advanced as electrons, due to increased susceptibility to disorder and more complex spin physics. Here we demonstrate single-qubit gate fidelities up to 99.8% and a two-qubit gate quality factor of 240, indicating a physical fidelity limit of 99.7%. These results represent the highest performance reported in natural silicon to date, made possible by fast qubit control, exchange pulsing, and industrial-grade fabrication. Notably, we achieve these results in a near-identical device as used for highly reproducible, high-fidelity electron spin qubits. With isotopic purification and further device-level optimisations, silicon hole spin qubits are poised to unlock a new operation regime for quantum CMOS architectures.</w:t>
      </w:r>
    </w:p>
    <w:p>
      <w:pPr>
        <w:spacing w:before="120" w:after="120"/>
      </w:pPr>
      <w:r>
        <w:rPr>
          <w:sz w:val="18"/>
        </w:rPr>
        <w:t>——————————————————————————————————————————————————————————————————————</w:t>
      </w:r>
    </w:p>
    <w:p>
      <w:pPr>
        <w:spacing w:before="160" w:after="40" w:line="240" w:lineRule="auto"/>
      </w:pPr>
      <w:r>
        <w:rPr>
          <w:b/>
        </w:rPr>
        <w:t xml:space="preserve">[605] </w:t>
      </w:r>
      <w:hyperlink r:id="rId1624">
        <w:r>
          <w:rPr>
            <w:color w:val="1155CC"/>
            <w:u w:val="single"/>
          </w:rPr>
          <w:t>通过机器学习解决实验差异的根本原因</w:t>
        </w:r>
      </w:hyperlink>
    </w:p>
    <w:p>
      <w:pPr>
        <w:spacing w:before="0" w:after="80"/>
      </w:pPr>
      <w:r>
        <w:rPr>
          <w:i/>
          <w:sz w:val="20"/>
        </w:rPr>
        <w:t>EN: Resolving root causes of experiment discrepancies guided by machine learning</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科学家依靠准确的实验数据来解释自然，然后利用这些知识来满足人类需求。然而，如果不了解根本原因，同一可观察到的实验之间的差异可能会阻碍科学进步。在这里，我们开发了一个解决数据差异的过程，首先使用贝叶斯机器学习将差异与编码实验过程的许多潜在偏差元数据特征中的少数联系起来。该机器学习输出引导人类专家通过模拟历史实验的可疑方面或设计现代实验来解决悬而未决的问题来研究差异原因。然后，研究结果导致拒绝或纠正基于坚实科学基础的历史数据。这一过程在快速发射的中子能谱（252Cf，一种值得信赖的核物理标准）中得到了证明。它将实验 252Cf 谱中的扩散减少了多达 6 倍。</w:t>
      </w:r>
    </w:p>
    <w:p>
      <w:pPr>
        <w:spacing w:before="0" w:after="200" w:lineRule="auto" w:line="276"/>
      </w:pPr>
      <w:r>
        <w:rPr>
          <w:b/>
        </w:rPr>
        <w:t xml:space="preserve">Abstract (EN): </w:t>
      </w:r>
      <w:r>
        <w:t>Scientists rely on accurate experimental data to explain nature and then harness this knowledge for applications addressing human needs. However, discrepancies between experiments of the same observable can impede scientific progress if one does not understand the underlying causes. Here, we developed a process that unravels data discrepancies by first using Bayesian machine learning to relate discrepancies to few of many, potentially biasing metadata features that encode experiment procedures. This machine learning output guides human experts to study discrepancy causes by simulating suspicious aspects of historical experiments or designing modern ones to address open questions. The study findings then lead to rejecting or correcting historical data on firm scientific bases. This process is demonstrated for the energy spectrum of neutrons emitted promptly (252Cf, a trusted nuclear physics Standard. It reduces the spread in experimental 252Cf spectra by up to a factor of 6.</w:t>
      </w:r>
    </w:p>
    <w:p>
      <w:pPr>
        <w:spacing w:before="120" w:after="120"/>
      </w:pPr>
      <w:r>
        <w:rPr>
          <w:sz w:val="18"/>
        </w:rPr>
        <w:t>——————————————————————————————————————————————————————————————————————</w:t>
      </w:r>
    </w:p>
    <w:p>
      <w:pPr>
        <w:spacing w:before="160" w:after="40" w:line="240" w:lineRule="auto"/>
      </w:pPr>
      <w:r>
        <w:rPr>
          <w:b/>
        </w:rPr>
        <w:t xml:space="preserve">[606] </w:t>
      </w:r>
      <w:hyperlink r:id="rId1625">
        <w:r>
          <w:rPr>
            <w:color w:val="1155CC"/>
            <w:u w:val="single"/>
          </w:rPr>
          <w:t>探测宏观自旋液体的预定义拓扑扇区内的空间和时间磁相关性</w:t>
        </w:r>
      </w:hyperlink>
    </w:p>
    <w:p>
      <w:pPr>
        <w:spacing w:before="0" w:after="80"/>
      </w:pPr>
      <w:r>
        <w:rPr>
          <w:i/>
          <w:sz w:val="20"/>
        </w:rPr>
        <w:t>EN: Probing magnetic correlations in space and time within predefined topological sectors of a macroscopic spin liquid</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三角形伊辛反铁磁体的残余熵密度和临界相关性绝对为零，是二维自旋液体的原型。它的基态被划分为由包裹晶格边界的全局自旋翻转事件连接的拓扑扇区，并且在磁涨落仅限于主导扇区的热力学极限中变得统计上无关。到目前为止，这些特性主要是从理论角度进行研究的，人们可能想知道它们可以在多大程度上转化为真实材料。在这里，我们展示了在人工宏观实现的开创性三角形伊辛反铁磁体中获得的实验观察结果，该反铁磁体由毫米大小的 NdFeB 圆柱体晶格组成，通过机械振动器启动。具体来说，我们证明了可以通过实验达到该模型的极低能量物理和真实基态。此外，我们能够在空间和时间上探测基态流形的手动预选口袋内的磁性，这些口袋可以很好地近似模拟不同拓扑扇区的行为。我们的方法为肉眼可视化和手动操纵与受挫磁性和统计物理模型相关的多体现象开辟了新途径。</w:t>
      </w:r>
    </w:p>
    <w:p>
      <w:pPr>
        <w:spacing w:before="0" w:after="200" w:lineRule="auto" w:line="276"/>
      </w:pPr>
      <w:r>
        <w:rPr>
          <w:b/>
        </w:rPr>
        <w:t xml:space="preserve">Abstract (EN): </w:t>
      </w:r>
      <w:r>
        <w:t>The triangular Ising antiferromagnet, with its residual entropy density and critical correlations at absolute zero, is the archetype of a two-dimensional spin liquid. Its ground state is partitioned into topological sectors connected by global spin flip events that wrap the lattice boundaries, and become statistically irrelevant in the thermodynamic limit where magnetic fluctuations are restricted to the dominant sector. Thus far, these properties have been mainly investigated from a theoretical perspective, and one might wonder to what extent they can be transposed to real materials. Here, we present experimental observations obtained in an artificial, macroscopic realisation of the seminal triangular Ising antiferromagnet that consists of a lattice of millimeter-sized NdFeB cylinders put into motion by a mechanical shaker. Specifically, we demonstrate that the very-low-energy physics and the true ground state of this model can be reached experimentally. Besides, we are able to probe, in space and time, the magnetic properties within manually preselected pockets of the ground-state manifold that emulate, to a good approximation, the behaviour in distinct topological sectors. Our approach opens new avenues for naked-eye visualisation and hand manipulation of many-body phenomena associated to frustrated magnetism and models of statistical physics.</w:t>
      </w:r>
    </w:p>
    <w:p>
      <w:pPr>
        <w:spacing w:before="120" w:after="120"/>
      </w:pPr>
      <w:r>
        <w:rPr>
          <w:sz w:val="18"/>
        </w:rPr>
        <w:t>——————————————————————————————————————————————————————————————————————</w:t>
      </w:r>
    </w:p>
    <w:p>
      <w:pPr>
        <w:spacing w:before="160" w:after="40" w:line="240" w:lineRule="auto"/>
      </w:pPr>
      <w:r>
        <w:rPr>
          <w:b/>
        </w:rPr>
        <w:t xml:space="preserve">[607] </w:t>
      </w:r>
      <w:hyperlink r:id="rId1626">
        <w:r>
          <w:rPr>
            <w:color w:val="1155CC"/>
            <w:u w:val="single"/>
          </w:rPr>
          <w:t>带有分子间隔物的门孔反向传输程序可快速净化微污染物</w:t>
        </w:r>
      </w:hyperlink>
    </w:p>
    <w:p>
      <w:pPr>
        <w:spacing w:before="0" w:after="80"/>
      </w:pPr>
      <w:r>
        <w:rPr>
          <w:i/>
          <w:sz w:val="20"/>
        </w:rPr>
        <w:t>EN: Gating hole back-transfer with molecular spacers programs rapid micropollutant decontamination</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精确控制氧气活化以产生活性氧 (ROS) 以按需去除微污染物仍然具有挑战性。在这里，我们开发了一种自下而上的分子方法来系统地定制二噻吩基间隔基（烯烃/烷基/苯），从模型片段、无定形聚合物到高结晶共价有机框架（COF）。我们观察到苯桥联噻吩单元的有序组装促进了长程电子传输，从而抑制了光生电子空穴对的空间重组。这些效应协同降低氧吸附势垒，有效产生超氧自由基作为主要活性氧，随后形成单线态氧。因此，通过优化的 Tapt-BDD COF 催化剂去除水中的对乙酰氨基酚可实现 0.80 min−1 的反应速率常数。片段（COF 的局部重复单元结构）的降解率提高了 63-95 倍，聚合物（无序 COF）的降解率提高了 5-8 倍。此外，所提出的系统在复杂的废水处理场景和连续运行下表现出高效的保留能力。这项工作建立了一种用于环境催化的间隔基定向超分子预组织策略。</w:t>
      </w:r>
    </w:p>
    <w:p>
      <w:pPr>
        <w:spacing w:before="0" w:after="200" w:lineRule="auto" w:line="276"/>
      </w:pPr>
      <w:r>
        <w:rPr>
          <w:b/>
        </w:rPr>
        <w:t xml:space="preserve">Abstract (EN): </w:t>
      </w:r>
      <w:r>
        <w:t>Precise control of oxygen activation to generate reactive oxygen species (ROS) for on-demand micropollutant removal remains challenging. Herein, we develop a bottom-up molecular approach to systematically tailor dithienyl spacers (alkene/alkyl/benzene), from model fragments, amorphous polymers to high crystalline covalent-organic frameworks (COFs). We observe that the ordered assembly of benzene-bridged bithiophene units facilitates long-range electron transport, thereby suppressing the spatial recombination of photogenerated electron–hole pairs. These effects synergically reduce the oxygen adsorption barrier, efficiently generating superoxide radicals as the dominant ROS, with subsequent singlet-oxygen formation. Therefore, the removal of acetaminophen in water via the optimized Tapt-BDD COF catalyst achieves a reaction rate constant of 0.80 min−1. The degradation rates are enhanced by 63–95 fold over fragments (local repeating unit structure of the COF) and 5–8 fold over polymers (disordered COFs). Additionally, the proposed system demonstrates efficient retention in complex wastewater treatment scenarios, and under continuous operation. This work establishes a strategy of spacer-directed supermolecule preorganization for environmental catalysis.</w:t>
      </w:r>
    </w:p>
    <w:p>
      <w:pPr>
        <w:spacing w:before="120" w:after="120"/>
      </w:pPr>
      <w:r>
        <w:rPr>
          <w:sz w:val="18"/>
        </w:rPr>
        <w:t>——————————————————————————————————————————————————————————————————————</w:t>
      </w:r>
    </w:p>
    <w:p>
      <w:pPr>
        <w:spacing w:before="160" w:after="40" w:line="240" w:lineRule="auto"/>
      </w:pPr>
      <w:r>
        <w:rPr>
          <w:b/>
        </w:rPr>
        <w:t xml:space="preserve">[608] </w:t>
      </w:r>
      <w:hyperlink r:id="rId1627">
        <w:r>
          <w:rPr>
            <w:color w:val="1155CC"/>
            <w:u w:val="single"/>
          </w:rPr>
          <w:t>通过实用的双射编码实现密度最优的 DNA 存储</w:t>
        </w:r>
      </w:hyperlink>
    </w:p>
    <w:p>
      <w:pPr>
        <w:spacing w:before="0" w:after="80"/>
      </w:pPr>
      <w:r>
        <w:rPr>
          <w:i/>
          <w:sz w:val="20"/>
        </w:rPr>
        <w:t>EN: Towards density-optimal DNA storage with practical bijective coding</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DNA 存储因其高密度和长寿命而成为解决数据爆炸的有前景的解决方案。然而，现有的编码方法很难有效地避免容易出错的序列，同时保留可用的序列，从而导致低密度和高拷贝数。在这里，我们展示了思源码，一种实现理论上最佳密度的 DNA 存储编解码器。我们的方法以一对一的方式将二进制数据映射到几乎所有合适的低错误序列，使用我们的数据结构来分类和避免容易出错的模式。这允许在非常严格的生化限制下以最小的冗余进行操作。实验证明，每个核苷酸的存储密度为 1.66 位，每克 DNA 的容量为 41 艾字节，每条链仅使用 6 个副本即可实现完美的数据检索。在商用硬件上，编码和解码速度约为每秒 1 兆字节，与早期的 USB 闪存驱动器相当。这些结果使 DNA 存储更接近实际部署。</w:t>
      </w:r>
    </w:p>
    <w:p>
      <w:pPr>
        <w:spacing w:before="0" w:after="200" w:lineRule="auto" w:line="276"/>
      </w:pPr>
      <w:r>
        <w:rPr>
          <w:b/>
        </w:rPr>
        <w:t xml:space="preserve">Abstract (EN): </w:t>
      </w:r>
      <w:r>
        <w:t>DNA storage is a promising solution to data explosion due to its high density and longevity. However, existing coding methods struggle to efficiently avoid error-prone sequences while retaining usable ones, leading to low density and high copy numbers. Here we show Siyuan Code, a DNA storage codec that achieves theoretically optimal density. Our method maps binary data to nearly all suitable low-error sequences in a one-to-one manner, using our data structure to catalog and avoid error-prone patterns. This allows operation under very strict biochemical constraints with minimal redundancy. Experiments demonstrate a storage density of 1.66 bits per nucleotide and a capacity of 41 exabytes per gram of DNA, with perfect data retrieval using only six copies per strand. Encoding and decoding speeds reach approximately 1 megabyte per second on commodity hardware, comparable to early USB flash drives. These results bring DNA storage closer to practical deployment.</w:t>
      </w:r>
    </w:p>
    <w:p>
      <w:pPr>
        <w:spacing w:before="120" w:after="120"/>
      </w:pPr>
      <w:r>
        <w:rPr>
          <w:sz w:val="18"/>
        </w:rPr>
        <w:t>——————————————————————————————————————————————————————————————————————</w:t>
      </w:r>
    </w:p>
    <w:p>
      <w:pPr>
        <w:spacing w:before="160" w:after="40" w:line="240" w:lineRule="auto"/>
      </w:pPr>
      <w:r>
        <w:rPr>
          <w:b/>
        </w:rPr>
        <w:t xml:space="preserve">[609] </w:t>
      </w:r>
      <w:hyperlink r:id="rId1628">
        <w:r>
          <w:rPr>
            <w:color w:val="1155CC"/>
            <w:u w:val="single"/>
          </w:rPr>
          <w:t>具有不可约笛卡尔自然张量的原子机器学习</w:t>
        </w:r>
      </w:hyperlink>
    </w:p>
    <w:p>
      <w:pPr>
        <w:spacing w:before="0" w:after="80"/>
      </w:pPr>
      <w:r>
        <w:rPr>
          <w:i/>
          <w:sz w:val="20"/>
        </w:rPr>
        <w:t>EN: Atomistic machine learning with irreducible Cartesian natural tensors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原子机器学习是在原子尺度上准确有效地研究材料行为的强大工具。虽然已经尝试直接在笛卡尔空间内构建模型，但他们在提供基于不可约表示（广泛使用的球形模型的核心特征）的系统框架方面面临挑战。在这里，我们提出笛卡尔自然张量网络来克服这些限制，从而为原子机器学习提供一个通用的、保持对称的框架。我们提出了一种使用笛卡尔自然张量的不可约表示理论，包括它们的构造、它们的乘积，以及分解和重建高阶物理张量的系统方案。利用这种机器，我们为材料和分子系统开发了等变机器学习原子间势，其性能与领先的球形模型相当。它进一步捕获了从低阶偶极矩到具有复杂对称性的高阶张量（例如弹性常数张量）的张量的准确结构-性质关系。</w:t>
      </w:r>
    </w:p>
    <w:p>
      <w:pPr>
        <w:spacing w:before="0" w:after="200" w:lineRule="auto" w:line="276"/>
      </w:pPr>
      <w:r>
        <w:rPr>
          <w:b/>
        </w:rPr>
        <w:t xml:space="preserve">Abstract (EN): </w:t>
      </w:r>
      <w:r>
        <w:t>Atomistic machine learning is a powerful tool for accurate and efficient investigation of material behavior at the atomic scale. While attempts have been made to construct models directly within Cartesian space, they face challenges in providing a systematic framework based on irreducible representations—a core feature of widely used spherical models. Here we propose Cartesian Natural Tensor Networks to overcome these limitations and thus offer a general, symmetry-preserving framework for atomistic machine learning. We present a theory of irreducible representations using Cartesian natural tensors, comprising their construction, their products, and a systematic scheme to decompose and reconstruct high-rank physical tensors. Leveraging this machinery, we develop equivariant machine learning interatomic potentials for materials and molecular systems with performance on par with leading spherical models. It further captures accurate structure–property relationships for tensorial quantities ranging from low-rank dipole moments to high-rank tensors with complex symmetries, such as the elastic constant tensor.</w:t>
      </w:r>
    </w:p>
    <w:p>
      <w:pPr>
        <w:spacing w:before="120" w:after="120"/>
      </w:pPr>
      <w:r>
        <w:rPr>
          <w:sz w:val="18"/>
        </w:rPr>
        <w:t>——————————————————————————————————————————————————————————————————————</w:t>
      </w:r>
    </w:p>
    <w:p>
      <w:pPr>
        <w:spacing w:before="160" w:after="40" w:line="240" w:lineRule="auto"/>
      </w:pPr>
      <w:r>
        <w:rPr>
          <w:b/>
        </w:rPr>
        <w:t xml:space="preserve">[610] </w:t>
      </w:r>
      <w:hyperlink r:id="rId1629">
        <w:r>
          <w:rPr>
            <w:color w:val="1155CC"/>
            <w:u w:val="single"/>
          </w:rPr>
          <w:t>用于长期神经记录的伞型可拉伸电极阵列</w:t>
        </w:r>
      </w:hyperlink>
    </w:p>
    <w:p>
      <w:pPr>
        <w:spacing w:before="0" w:after="80"/>
      </w:pPr>
      <w:r>
        <w:rPr>
          <w:i/>
          <w:sz w:val="20"/>
        </w:rPr>
        <w:t>EN: Umbrella-type stretchable electrode arrays for long-term neural recording</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柔性植入式神经电极因其具有数周或数月的长期单单元记录能力而受到广泛研究。然而，在长达数年的时间里对相同神经元群进行高密度稳定记录仍然具有挑战性。在这里，我们通过开发伞型可拉伸电极阵列来应对这一挑战，该电极阵列固定在周围的脑组织上，形成无缝的神经电子接口。我们证明，伞型可拉伸电极阵列创建了一个神经电子接口，减少了探针漂移和神经胶质增生，可以在 80 周（约 1.5 年）内稳定地跟踪头部固定小鼠中的相同神经元群。我们还证明，可以在 20 周内持续记录小鼠初级视觉皮层中的方向选择性神经元群。具有长期记录能力的伞型可拉伸电极阵列为基础神经科学研究和临床脑机接口系统带来了巨大的希望。</w:t>
      </w:r>
    </w:p>
    <w:p>
      <w:pPr>
        <w:spacing w:before="0" w:after="200" w:lineRule="auto" w:line="276"/>
      </w:pPr>
      <w:r>
        <w:rPr>
          <w:b/>
        </w:rPr>
        <w:t xml:space="preserve">Abstract (EN): </w:t>
      </w:r>
      <w:r>
        <w:t>Flexible implantable neural electrodes have been studied extensively due to their chronic single-unit recording capability over weeks or months. However, high-density stable recording of the same neuronal ensembles over years-long periods remains challenging. Here we address this challenge by developing umbrella-type stretchable electrode arrays, which are anchored to surrounding brain tissue, forming a seamless neuroelectronic interface. We show that the umbrella-type stretchable electrode arrays create a neuroelectronic interface with reduced probe drift and gliosis that can stably track the same neuronal ensembles in head-fixed mice over 80 weeks (approximately 1.5 years). We also demonstrate that orientation-selective neuronal populations in the mouse primary visual cortex can be consistently recorded over 20 weeks. The umbrella-type stretchable electrode arrays with long-term recording capabilities hold significant promise for both fundamental neuroscience research and clinical brain-machine interface systems.</w:t>
      </w:r>
    </w:p>
    <w:p>
      <w:pPr>
        <w:spacing w:before="120" w:after="120"/>
      </w:pPr>
      <w:r>
        <w:rPr>
          <w:sz w:val="18"/>
        </w:rPr>
        <w:t>——————————————————————————————————————————————————————————————————————</w:t>
      </w:r>
    </w:p>
    <w:p>
      <w:pPr>
        <w:spacing w:before="160" w:after="40" w:line="240" w:lineRule="auto"/>
      </w:pPr>
      <w:r>
        <w:rPr>
          <w:b/>
        </w:rPr>
        <w:t xml:space="preserve">[611] </w:t>
      </w:r>
      <w:hyperlink r:id="rId1630">
        <w:r>
          <w:rPr>
            <w:color w:val="1155CC"/>
            <w:u w:val="single"/>
          </w:rPr>
          <w:t>通过半导体阀调节液态金属以实现高度可拉伸的拓扑电路</w:t>
        </w:r>
      </w:hyperlink>
    </w:p>
    <w:p>
      <w:pPr>
        <w:spacing w:before="0" w:after="80"/>
      </w:pPr>
      <w:r>
        <w:rPr>
          <w:i/>
          <w:sz w:val="20"/>
        </w:rPr>
        <w:t>EN: Regulated liquid metal via semiconductor valve toward highly stretchable topological circuits</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具有复杂电路和三维 (3D) 结构的可穿戴电子产品对于电子皮肤和软机器人等先进的下一代柔性技术不可或缺。然而，制造 3D 柔性电子产品仍然具有挑战性，主要是因为难以获得具有精确电流控制和复杂拓扑结构的高可拉伸材料。这项工作报告了一种通过界面势垒工程构建的液态金属单向导电半导体阀（LM-SV），以实现柔软、复杂的拓扑电路。 LM-SV 具有超高的拉伸性（~1000% 应变）、在 500% 应变下超过 1000 个循环的强大单向导电性，以及在宽温度 (− 5–100 °C) 和频率 (1 Hz – 5 MHz) 范围内稳定运行。开关电压 (0.43—0.80 V) 可通过 LM 复合调制方便地调节。利用这些功能，LM-SV 电路可以从 2D 布局拓扑重新配置为具有实时功能切换的 3D 架构。此外，无线供电的可拉伸逻辑电路展示了这种 LM-SV 策略在先进柔性电子系统中的潜力。</w:t>
      </w:r>
    </w:p>
    <w:p>
      <w:pPr>
        <w:spacing w:before="0" w:after="200" w:lineRule="auto" w:line="276"/>
      </w:pPr>
      <w:r>
        <w:rPr>
          <w:b/>
        </w:rPr>
        <w:t xml:space="preserve">Abstract (EN): </w:t>
      </w:r>
      <w:r>
        <w:t>Wearable electronics with complex circuits and three-dimensional (3D) structure are indispensable to advanced next-generation flexible technologies like e-skins and soft robotics. However, fabricating 3D flexible electronics remains challenging, primarily due to the difficulty in obtaining highly stretchable materials with precise current control and complex topological structures. This work reports a unidirectional conductive semiconductor valve in liquid metals (LM-SV) constructed via interfacial barrier engineering to enable soft, complex topological circuits. The LM-SV exhibits ultrahigh stretchability (~1000% strain), robust unidirectional conductivity over 1000 cycles at 500% strain, and stable operation across wide temperature ( − 5–100 °C) and frequency (1 Hz – 5 MHz) ranges. Switching voltages (0.43—0.80 V) are conveniently tunable through LM composition modulation. Leveraging these features, LM-SV circuits can be topologically reconfigured from 2D layouts into 3D architectures with real-time functional switching. Furthermore, a wirelessly powered stretchable logic circuit demonstrates the potential of this LM-SV strategy for advanced flexible electronic systems.</w:t>
      </w:r>
    </w:p>
    <w:p>
      <w:pPr>
        <w:spacing w:before="120" w:after="120"/>
      </w:pPr>
      <w:r>
        <w:rPr>
          <w:sz w:val="18"/>
        </w:rPr>
        <w:t>——————————————————————————————————————————————————————————————————————</w:t>
      </w:r>
    </w:p>
    <w:p>
      <w:pPr>
        <w:spacing w:before="160" w:after="40" w:line="240" w:lineRule="auto"/>
      </w:pPr>
      <w:r>
        <w:rPr>
          <w:b/>
        </w:rPr>
        <w:t xml:space="preserve">[612] </w:t>
      </w:r>
      <w:hyperlink r:id="rId1631">
        <w:r>
          <w:rPr>
            <w:color w:val="1155CC"/>
            <w:u w:val="single"/>
          </w:rPr>
          <w:t>现场观测揭示冰岛-法罗群岛溢流</w:t>
        </w:r>
      </w:hyperlink>
    </w:p>
    <w:p>
      <w:pPr>
        <w:spacing w:before="0" w:after="80"/>
      </w:pPr>
      <w:r>
        <w:rPr>
          <w:i/>
          <w:sz w:val="20"/>
        </w:rPr>
        <w:t>EN: Iceland-Faroe overflow revealed by in-situ observations</w:t>
      </w:r>
    </w:p>
    <w:p>
      <w:pPr>
        <w:spacing w:before="0" w:after="120"/>
      </w:pPr>
      <w:r>
        <w:rPr>
          <w:b/>
        </w:rPr>
        <w:t xml:space="preserve">Source: </w:t>
      </w:r>
      <w:r>
        <w:t>Earth and environmental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跨越冰岛-法罗海脊的溢流是大西洋经向翻转环流深缘的重要贡献者。尽管经过数十年的观察，溢出的强度、稳定性和确切路径仍然不确定。在这里，我们展示了沿约 300 公里长的山脊顶部进行的数项长达一年的专门水流观测结果。这些观察结果表明，山脊中部的溢出量很大，两端的溢出量较小。这些观测结果支持这样的假设：大西洋上层海水流入挪威海，两端的​​溢流受到抑制。相比之下，大西洋流入流经过中心部分的逆反射，使得溢流能够穿过那里的山脊，显然是沿着两条主要路径的脉动流。现有数据无法准确估计体积运输，但它们表明这些路径很可能提供与先前发布的估计一致的溢出量。</w:t>
      </w:r>
    </w:p>
    <w:p>
      <w:pPr>
        <w:spacing w:before="0" w:after="200" w:lineRule="auto" w:line="276"/>
      </w:pPr>
      <w:r>
        <w:rPr>
          <w:b/>
        </w:rPr>
        <w:t xml:space="preserve">Abstract (EN): </w:t>
      </w:r>
      <w:r>
        <w:t>Overflow across the Iceland-Faroe Ridge is an important contributor to the deep limb of the Atlantic Meridional Overturning Circulation. Despite decades of observations, the strength, stability, and exact pathways of the overflow have remained uncertain. Here, we present results from several dedicated year-long current observations along the ~300 km long ridge crest. These observations reveal strong overflow at the central parts of the ridge with smaller contributions across both ends. The observations support the hypothesis that overflow is inhibited at both ends by upper-layer inflow of Atlantic water to the Norwegian Sea. In contrast, retroflection of Atlantic inflow over the central parts, allows the overflow to cross the ridge there, apparently as pulsating flow along two main pathways. The available data do not allow accurate estimates of volume transport, but they indicate that these pathways may well supply overflow in amounts consistent with previously published estimates.</w:t>
      </w:r>
    </w:p>
    <w:p>
      <w:pPr>
        <w:spacing w:before="120" w:after="120"/>
      </w:pPr>
      <w:r>
        <w:rPr>
          <w:sz w:val="18"/>
        </w:rPr>
        <w:t>——————————————————————————————————————————————————————————————————————</w:t>
      </w:r>
    </w:p>
    <w:p>
      <w:pPr>
        <w:spacing w:before="160" w:after="40" w:line="240" w:lineRule="auto"/>
      </w:pPr>
      <w:r>
        <w:rPr>
          <w:b/>
        </w:rPr>
        <w:t xml:space="preserve">[613] </w:t>
      </w:r>
      <w:hyperlink r:id="rId1632">
        <w:r>
          <w:rPr>
            <w:color w:val="1155CC"/>
            <w:u w:val="single"/>
          </w:rPr>
          <w:t>3D 打印设计师彩色路由器，具有低折射率，适用于低光成像</w:t>
        </w:r>
      </w:hyperlink>
    </w:p>
    <w:p>
      <w:pPr>
        <w:spacing w:before="0" w:after="80"/>
      </w:pPr>
      <w:r>
        <w:rPr>
          <w:i/>
          <w:sz w:val="20"/>
        </w:rPr>
        <w:t>EN: 3D printed designer color routers with low refractive index for low-light imaging</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由于传统拜耳滤色镜固有的有损滤光机制，支撑现代技术的彩色成像系统在低光条件下仍然会受到影响。尽管与互补金属氧化物半导体传感器集成的拜耳型滤光片仍然是主导架构，但它们通常仅传输约 30% 的入射白光，导致弱照明下图像出现噪声。彩色路由器提供了一种替代方案，将光的不同光谱分量重定向到近场中相应的光电二极管。虽然最近基于高折射率超表面的彩色路由器已显示出前景，但低折射率材料尽管具有更高的透射率和具有成本效益的大规模生产潜力，但在很大程度上仍未得到开发。在这里，我们展示了使用低折射率 IP-L 树脂 (n ≈ 1.5) 的逆向设计、双光子聚合 3D 打印像素级彩色路由器。彩色路由器在可见光谱范围内的模拟透射率约为 87%，实验透射率约为 70%。单色传感器成像进一步证实了色彩保真度的提高和曝光时间的缩短，凸显了它们作为下一代高效成像平台的潜力。</w:t>
      </w:r>
    </w:p>
    <w:p>
      <w:pPr>
        <w:spacing w:before="0" w:after="200" w:lineRule="auto" w:line="276"/>
      </w:pPr>
      <w:r>
        <w:rPr>
          <w:b/>
        </w:rPr>
        <w:t xml:space="preserve">Abstract (EN): </w:t>
      </w:r>
      <w:r>
        <w:t>Color imaging systems that underpin modern technologies still suffer in low-light conditions because of the inherently lossy filtering mechanism of conventional Bayer color filters. Although Bayer-type filters integrated with complementary metal–oxide–semiconductor sensors remain the dominant architecture, they typically transmit only about 30% of incident white light, leading to noisy images under weak illumination. Color routers offer an alternative by redirecting different spectral components of light to corresponding photodiodes in the near field. While recent color routers based on high-refractive-index metasurfaces have shown promise, low-refractive-index materials remain largely unexplored despite their potential for higher transmittance and cost-effective mass production. Here, we demonstrate inverse-designed, two-photon-polymerization 3D-printed pixel-level color routers using low-index IP-L resin (n ≈ 1.5). The color routers achieve transmittance of ~87% in simulation and ~70% experimentally across the visible spectrum. Monochrome-sensor imaging further confirms improved color fidelity and shorter exposure times, highlighting their potential for next-generation high-efficiency imaging platforms.</w:t>
      </w:r>
    </w:p>
    <w:p>
      <w:pPr>
        <w:spacing w:before="120" w:after="120"/>
      </w:pPr>
      <w:r>
        <w:rPr>
          <w:sz w:val="18"/>
        </w:rPr>
        <w:t>——————————————————————————————————————————————————————————————————————</w:t>
      </w:r>
    </w:p>
    <w:p>
      <w:pPr>
        <w:spacing w:before="160" w:after="40" w:line="240" w:lineRule="auto"/>
      </w:pPr>
      <w:r>
        <w:rPr>
          <w:b/>
        </w:rPr>
        <w:t xml:space="preserve">[614] </w:t>
      </w:r>
      <w:hyperlink r:id="rId1633">
        <w:r>
          <w:rPr>
            <w:color w:val="1155CC"/>
            <w:u w:val="single"/>
          </w:rPr>
          <w:t>三重态对发射的长程二维激子敏化</w:t>
        </w:r>
      </w:hyperlink>
    </w:p>
    <w:p>
      <w:pPr>
        <w:spacing w:before="0" w:after="80"/>
      </w:pPr>
      <w:r>
        <w:rPr>
          <w:i/>
          <w:sz w:val="20"/>
        </w:rPr>
        <w:t>EN: Long-range two-dimensional exciton sensitization of triplet-pair emission</w:t>
      </w:r>
    </w:p>
    <w:p>
      <w:pPr>
        <w:spacing w:before="0" w:after="120"/>
      </w:pPr>
      <w:r>
        <w:rPr>
          <w:b/>
        </w:rPr>
        <w:t xml:space="preserve">Source: </w:t>
      </w:r>
      <w:r>
        <w:t>Physical sciences : Nature Communications subject feeds</w:t>
      </w:r>
      <w:r>
        <w:t xml:space="preserve">    </w:t>
      </w:r>
      <w:r>
        <w:rPr>
          <w:b/>
        </w:rPr>
        <w:t xml:space="preserve">Pub date: </w:t>
      </w:r>
      <w:r>
        <w:t>2026-08-27 00:00:00+00:00</w:t>
      </w:r>
    </w:p>
    <w:p>
      <w:pPr>
        <w:spacing w:before="0" w:after="120"/>
      </w:pPr>
      <w:r>
        <w:rPr>
          <w:b/>
        </w:rPr>
        <w:t xml:space="preserve">Notes: </w:t>
      </w:r>
      <w:r>
        <w:t>abstract_source=nature_html</w:t>
      </w:r>
    </w:p>
    <w:p>
      <w:pPr>
        <w:spacing w:before="0" w:after="80" w:lineRule="auto" w:line="276"/>
      </w:pPr>
      <w:r>
        <w:rPr>
          <w:b/>
        </w:rPr>
        <w:t xml:space="preserve">摘要（ZH）: </w:t>
      </w:r>
      <w:r>
        <w:t>单线态裂变产生的自旋纠缠三重态对态在量子信息应用中很有前景，但其光学暗度严重限制了光谱获取和光学读出。在这里，我们证明单层 WS2 可以作为单重态裂变分子 6,13-​​双（三异丙基甲硅烷基乙炔基）-四甲基并五苯（TCPS）中三重态对发射的长程激子敏化剂。 WS2 中的强激子共振和自旋轨道分裂谷介导长程激子能量转移到三重态对流形中，从而将三重态对发射增强两个数量级以上。这种增强源于 WS2 的异常大的激子跃迁偶极矩，这使得能够在混合界面上实现有效的偶极-偶极耦合。温度依赖性和时间分辨光谱揭示了超快皮秒能量转移。与距离相关的测量表明，在 100 nm 范围内的有效传输与经典的福斯特标度不一致，而是表明辐射、近场辅助耦合具有浅的 ~ 1/d 依赖性。这些结果建立了杂化分子/过渡金属二硫族化物异质结构中的长程三重态对敏化机制，并提供了将相关多激子态耦合到光学活性激子材料的途径。</w:t>
      </w:r>
    </w:p>
    <w:p>
      <w:pPr>
        <w:spacing w:before="0" w:after="200" w:lineRule="auto" w:line="276"/>
      </w:pPr>
      <w:r>
        <w:rPr>
          <w:b/>
        </w:rPr>
        <w:t xml:space="preserve">Abstract (EN): </w:t>
      </w:r>
      <w:r>
        <w:t>The spin-entangled triplet-pair state produced by singlet fission is promising for quantum information applications, but its optical darkness severely limits spectroscopic access and optical readout. Here we show that monolayer WS2 can act as a long-range excitonic sensitizer for triplet-pair emission in the singlet-fission molecule 6,13-bis(triisopropylsilylethynyl)-tetramethyl pentacene (TCPS). Strong excitonic resonances and spin–orbit–split valleys in WS2 mediate long-range excitonic energy transfer into the triplet-pair manifold, enhancing triplet-pair emission by more than two orders of magnitude. This enhancement arises from the exceptionally large exciton transition dipole moment of WS2, which enables efficient dipole–dipole coupling across the hybrid interface. Temperature-dependent and time-resolved spectroscopy reveals ultrafast picosecond energy transfer. Distance-dependent measurements demonstrate efficient transfer beyond 100 nm, inconsistent with classical Förster scaling and instead indicative of radiative, near-field–assisted coupling with a shallow ~ 1/d dependence. These results establish a mechanism for long-range triplet-pair sensitization in hybrid molecular/transition-metal dichalcogenide heterostructures and provide a route for coupling correlated multiexciton states to optically active excitonic materials.</w:t>
      </w:r>
    </w:p>
    <w:p>
      <w:pPr>
        <w:spacing w:before="120" w:after="120"/>
      </w:pPr>
      <w:r>
        <w:rPr>
          <w:sz w:val="18"/>
        </w:rPr>
        <w:t>——————————————————————————————————————————————————————————————————————</w:t>
      </w:r>
    </w:p>
    <w:p>
      <w:pPr>
        <w:spacing w:before="160" w:after="40" w:line="240" w:lineRule="auto"/>
      </w:pPr>
      <w:r>
        <w:rPr>
          <w:b/>
        </w:rPr>
        <w:t xml:space="preserve">[615] </w:t>
      </w:r>
      <w:hyperlink r:id="rId1634">
        <w:r>
          <w:rPr>
            <w:color w:val="1155CC"/>
            <w:u w:val="single"/>
          </w:rPr>
          <w:t>3D液晶框架封闭双隔室</w:t>
        </w:r>
      </w:hyperlink>
    </w:p>
    <w:p>
      <w:pPr>
        <w:spacing w:before="0" w:after="80"/>
      </w:pPr>
      <w:r>
        <w:rPr>
          <w:i/>
          <w:sz w:val="20"/>
        </w:rPr>
        <w:t>EN: 3D Liquid Crystal Framework Enclosing Dual Compartments</w:t>
      </w:r>
    </w:p>
    <w:p>
      <w:pPr>
        <w:spacing w:before="0" w:after="120"/>
      </w:pPr>
      <w:r>
        <w:rPr>
          <w:b/>
        </w:rPr>
        <w:t xml:space="preserve">Source: </w:t>
      </w:r>
      <w:r>
        <w:t>Wiley: Angewandte Chemie International Edition: Table of Contents</w:t>
      </w:r>
      <w:r>
        <w:t xml:space="preserve">    </w:t>
      </w:r>
      <w:r>
        <w:rPr>
          <w:b/>
        </w:rPr>
        <w:t xml:space="preserve">Pub date: </w:t>
      </w:r>
      <w:r>
        <w:t>2026-08-27 04:25:27+00:00</w:t>
      </w:r>
      <w:r>
        <w:t xml:space="preserve">    </w:t>
      </w:r>
      <w:r>
        <w:rPr>
          <w:b/>
        </w:rPr>
        <w:t xml:space="preserve">DOI: </w:t>
      </w:r>
      <w:hyperlink r:id="rId1635">
        <w:r>
          <w:rPr>
            <w:color w:val="1155CC"/>
            <w:u w:val="single"/>
          </w:rPr>
          <w:t>10.1002/anie.7487332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新的3D有序液晶（LC）相，其中烷基和氟烷基侧链被限制在四方框架的单独拉伸八面体笼内，芳香棒的支柱通过其氢键末端作为柔性铰链保持在一起。这是多色胶束液晶的第一个例子，预示着软动态双室框架的发展，也能够进行马氏体型相变。</w:t>
      </w:r>
    </w:p>
    <w:p>
      <w:pPr>
        <w:spacing w:before="0" w:after="200" w:lineRule="auto" w:line="276"/>
      </w:pPr>
      <w:r>
        <w:rPr>
          <w:b/>
        </w:rPr>
        <w:t xml:space="preserve">Abstract (EN): </w:t>
      </w:r>
      <w:r>
        <w:t>We report a new 3D‐ordered liquid‐crystal (LC) phase where alkyl and fluoroalkyl side‐chains are confined within separate stretched octahedral cages of a tetragonal framework with struts of aromatic rods held together by their hydrogen‐bonded ends acting as flexible hinges. This is the first example of a multicolor micellar LC heralding the development of soft and dynamic dual‐compartment frameworks, also capable of a martensitic‐type phase transition.</w:t>
      </w:r>
    </w:p>
    <w:p>
      <w:pPr>
        <w:spacing w:before="120" w:after="120"/>
      </w:pPr>
      <w:r>
        <w:rPr>
          <w:sz w:val="18"/>
        </w:rPr>
        <w:t>——————————————————————————————————————————————————————————————————————</w:t>
      </w:r>
    </w:p>
    <w:p>
      <w:pPr>
        <w:spacing w:before="160" w:after="40" w:line="240" w:lineRule="auto"/>
      </w:pPr>
      <w:r>
        <w:rPr>
          <w:b/>
        </w:rPr>
        <w:t xml:space="preserve">[616] </w:t>
      </w:r>
      <w:hyperlink r:id="rId1636">
        <w:r>
          <w:rPr>
            <w:color w:val="1155CC"/>
            <w:u w:val="single"/>
          </w:rPr>
          <w:t>分子铁催化剂高选择性丙酮电还原：茂钴作为电化学介体的作用</w:t>
        </w:r>
      </w:hyperlink>
    </w:p>
    <w:p>
      <w:pPr>
        <w:spacing w:before="0" w:after="80"/>
      </w:pPr>
      <w:r>
        <w:rPr>
          <w:i/>
          <w:sz w:val="20"/>
        </w:rPr>
        <w:t>EN: Highly Selective Acetone Electroreduction by Molecular Iron Catalysts: Role of Cobaltocene as Electrochemical Mediator</w:t>
      </w:r>
    </w:p>
    <w:p>
      <w:pPr>
        <w:spacing w:before="0" w:after="120"/>
      </w:pPr>
      <w:r>
        <w:rPr>
          <w:b/>
        </w:rPr>
        <w:t xml:space="preserve">Source: </w:t>
      </w:r>
      <w:r>
        <w:t>Wiley: Angewandte Chemie International Edition: Table of Contents</w:t>
      </w:r>
      <w:r>
        <w:t xml:space="preserve">    </w:t>
      </w:r>
      <w:r>
        <w:rPr>
          <w:b/>
        </w:rPr>
        <w:t xml:space="preserve">Pub date: </w:t>
      </w:r>
      <w:r>
        <w:t>2026-08-27 04:26:46+00:00</w:t>
      </w:r>
      <w:r>
        <w:t xml:space="preserve">    </w:t>
      </w:r>
      <w:r>
        <w:rPr>
          <w:b/>
        </w:rPr>
        <w:t xml:space="preserve">DOI: </w:t>
      </w:r>
      <w:hyperlink r:id="rId1637">
        <w:r>
          <w:rPr>
            <w:color w:val="1155CC"/>
            <w:u w:val="single"/>
          </w:rPr>
          <w:t>10.1002/anie.3858091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羰基还原提供了一种在液体燃料中储存可再生能源的方法。然而，分子过渡金属氢化物催化剂质子化产生的竞争性析氢和电极上的直接酸还原都限制了羰基电氢化的法拉第效率。我们报道了一系列适合丙酮在纯底物中电还原为异丙醇的铁环戊二烯酮转移氢化催化剂。以二茂钴作为净氢化物转移介体，我们表明串联催化系统对丙酮还原具有高度选择性</w:t>
      </w:r>
      <w:r>
        <w:t xml:space="preserve"> </w:t>
      </w:r>
      <w:r>
        <w:t>我</w:t>
      </w:r>
      <w:r>
        <w:t xml:space="preserve"> </w:t>
      </w:r>
      <w:r>
        <w:t>PrOH 不释放气态氢气。这证明了二茂钴作为电化学可再生质子耦合电子转移（PCET）介体的普遍适用性，可提高电催化羰基还原的过电势和法拉第效率。</w:t>
      </w:r>
    </w:p>
    <w:p>
      <w:pPr>
        <w:spacing w:before="0" w:after="200" w:lineRule="auto" w:line="276"/>
      </w:pPr>
      <w:r>
        <w:rPr>
          <w:b/>
        </w:rPr>
        <w:t xml:space="preserve">Abstract (EN): </w:t>
      </w:r>
      <w:r>
        <w:t>Electrocatalytic carbonyl reduction provides an approach to store renewable energy in liquid fuels. However, competing hydrogen evolution from protonation of molecular transition metal hydride catalysts and direct acid reduction at the electrode both limit the Faradaic efficiency for carbonyl electrohydrogenation. We report a series of iron cyclopentadienone transfer hydrogenation catalysts adapted to acetone electroreduction to isopropanol in neat substrate. With cobaltocene as a net‐hydride transfer mediator, we show that the tandem catalytic system is highly selective for acetone reduction to</w:t>
      </w:r>
      <w:r>
        <w:t xml:space="preserve"> </w:t>
      </w:r>
      <w:r>
        <w:t>i</w:t>
      </w:r>
      <w:r>
        <w:t xml:space="preserve"> </w:t>
      </w:r>
      <w:r>
        <w:t>PrOH without the release of gaseous hydrogen. This demonstrates the generalizability of cobaltocene as an electrochemically regenerable proton coupled electron transfer (PCET) mediator for improving overpotential and Faradaic efficiency of electrocatalytic carbonyl reduction.</w:t>
      </w:r>
    </w:p>
    <w:p>
      <w:pPr>
        <w:spacing w:before="120" w:after="120"/>
      </w:pPr>
      <w:r>
        <w:rPr>
          <w:sz w:val="18"/>
        </w:rPr>
        <w:t>——————————————————————————————————————————————————————————————————————</w:t>
      </w:r>
    </w:p>
    <w:p>
      <w:pPr>
        <w:spacing w:before="160" w:after="40" w:line="240" w:lineRule="auto"/>
      </w:pPr>
      <w:r>
        <w:rPr>
          <w:b/>
        </w:rPr>
        <w:t xml:space="preserve">[617] </w:t>
      </w:r>
      <w:hyperlink r:id="rId1638">
        <w:r>
          <w:rPr>
            <w:color w:val="1155CC"/>
            <w:u w:val="single"/>
          </w:rPr>
          <w:t>金承赫</w:t>
        </w:r>
      </w:hyperlink>
    </w:p>
    <w:p>
      <w:pPr>
        <w:spacing w:before="0" w:after="80"/>
      </w:pPr>
      <w:r>
        <w:rPr>
          <w:i/>
          <w:sz w:val="20"/>
        </w:rPr>
        <w:t>EN: Seung‐Hyeok Kim</w:t>
      </w:r>
    </w:p>
    <w:p>
      <w:pPr>
        <w:spacing w:before="0" w:after="120"/>
      </w:pPr>
      <w:r>
        <w:rPr>
          <w:b/>
        </w:rPr>
        <w:t xml:space="preserve">Source: </w:t>
      </w:r>
      <w:r>
        <w:t>Wiley: Angewandte Chemie International Edition: Table of Contents</w:t>
      </w:r>
      <w:r>
        <w:t xml:space="preserve">    </w:t>
      </w:r>
      <w:r>
        <w:rPr>
          <w:b/>
        </w:rPr>
        <w:t xml:space="preserve">Pub date: </w:t>
      </w:r>
      <w:r>
        <w:t>2026-08-27 04:32:00+00:00</w:t>
      </w:r>
      <w:r>
        <w:t xml:space="preserve">    </w:t>
      </w:r>
      <w:r>
        <w:rPr>
          <w:b/>
        </w:rPr>
        <w:t xml:space="preserve">DOI: </w:t>
      </w:r>
      <w:hyperlink r:id="rId1639">
        <w:r>
          <w:rPr>
            <w:color w:val="1155CC"/>
            <w:u w:val="single"/>
          </w:rPr>
          <w:t>10.1002/anie.5224426</w:t>
        </w:r>
      </w:hyperlink>
    </w:p>
    <w:p>
      <w:pPr>
        <w:spacing w:before="0" w:after="120"/>
      </w:pPr>
      <w:r>
        <w:rPr>
          <w:b/>
        </w:rPr>
        <w:t xml:space="preserve">Notes: </w:t>
      </w:r>
      <w:r>
        <w:t>abstract_source=pubmed</w:t>
      </w:r>
    </w:p>
    <w:p>
      <w:pPr>
        <w:spacing w:before="0" w:after="80" w:lineRule="auto" w:line="276"/>
      </w:pPr>
      <w:r>
        <w:rPr>
          <w:b/>
        </w:rPr>
        <w:t xml:space="preserve">摘要（ZH）: </w:t>
      </w:r>
      <w:r>
        <w:t>“我的第一个实验是在 22 岁时制作电池电极……如果我能获得一种超能力，那就是在组装电池后立即看到未来数百或数千次循环的能力……”在他的简介中了解更多关于 Seung-Hyeok Kim 的信息。</w:t>
      </w:r>
    </w:p>
    <w:p>
      <w:pPr>
        <w:spacing w:before="0" w:after="200" w:lineRule="auto" w:line="276"/>
      </w:pPr>
      <w:r>
        <w:rPr>
          <w:b/>
        </w:rPr>
        <w:t xml:space="preserve">Abstract (EN): </w:t>
      </w:r>
      <w:r>
        <w:t>"My first experiment was making a battery electrode when I was 22 years old … If I could be granted a superpower, it would be the ability to instantly see hundreds or thousands of cycles into the future as soon as I assemble a battery cell…" Find out more about Seung-Hyeok Kim in his Introducing… Profile.</w:t>
      </w:r>
    </w:p>
    <w:p>
      <w:pPr>
        <w:spacing w:before="120" w:after="120"/>
      </w:pPr>
      <w:r>
        <w:rPr>
          <w:sz w:val="18"/>
        </w:rPr>
        <w:t>——————————————————————————————————————————————————————————————————————</w:t>
      </w:r>
    </w:p>
    <w:p>
      <w:pPr>
        <w:spacing w:before="160" w:after="40" w:line="240" w:lineRule="auto"/>
      </w:pPr>
      <w:r>
        <w:rPr>
          <w:b/>
        </w:rPr>
        <w:t xml:space="preserve">[618] </w:t>
      </w:r>
      <w:hyperlink r:id="rId1640">
        <w:r>
          <w:rPr>
            <w:color w:val="1155CC"/>
            <w:u w:val="single"/>
          </w:rPr>
          <w:t>共价有机框架的可调谐刺激响应发光显示振动诱导发射</w:t>
        </w:r>
      </w:hyperlink>
    </w:p>
    <w:p>
      <w:pPr>
        <w:spacing w:before="0" w:after="80"/>
      </w:pPr>
      <w:r>
        <w:rPr>
          <w:i/>
          <w:sz w:val="20"/>
        </w:rPr>
        <w:t>EN: Tunable Stimuli‐Responsive Luminescence From Covalent Organic Frameworks Displaying Vibration‐Induced Emission</w:t>
      </w:r>
    </w:p>
    <w:p>
      <w:pPr>
        <w:spacing w:before="0" w:after="120"/>
      </w:pPr>
      <w:r>
        <w:rPr>
          <w:b/>
        </w:rPr>
        <w:t xml:space="preserve">Source: </w:t>
      </w:r>
      <w:r>
        <w:t>Wiley: Angewandte Chemie International Edition: Table of Contents</w:t>
      </w:r>
      <w:r>
        <w:t xml:space="preserve">    </w:t>
      </w:r>
      <w:r>
        <w:rPr>
          <w:b/>
        </w:rPr>
        <w:t xml:space="preserve">Pub date: </w:t>
      </w:r>
      <w:r>
        <w:t>2026-08-27 04:38:33+00:00</w:t>
      </w:r>
      <w:r>
        <w:t xml:space="preserve">    </w:t>
      </w:r>
      <w:r>
        <w:rPr>
          <w:b/>
        </w:rPr>
        <w:t xml:space="preserve">DOI: </w:t>
      </w:r>
      <w:hyperlink r:id="rId1641">
        <w:r>
          <w:rPr>
            <w:color w:val="1155CC"/>
            <w:u w:val="single"/>
          </w:rPr>
          <w:t>10.1002/anie.8220560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引入将分子运动与光学输出耦合的动态组件为开发刺激响应发光共价有机框架（COF）提供了一种有前景的策略。振动诱导发射（VIE）分子是特别有吸引力的动态发光体，因为它们的激发态弯曲到平面的构象演化能够实现双发射、大斯托克斯位移和环境调节荧光。然而，基于VIE的COF尚未见报道。在此，我们报告了两种基于 VIE 的三维 COF，JUC-735 和 JUC-736，它们由对称的 N,N'-二苯基二氢二苯并[a,c]吩嗪 (DPAC) 衍生的具有鞍形构象的构件构建而成。两种 COF 均表现出高结晶度、热稳定性和明确的孔隙率。光物理研究表明，DPAC 的激发态构象演化在这些晶体环境中仍然有效，导致溶液中具有异常大斯托克斯位移的双重发射（&gt; 300 nm；14526 cm</w:t>
      </w:r>
      <w:r>
        <w:t xml:space="preserve"> </w:t>
      </w:r>
      <w:r>
        <w:t>-</w:t>
      </w:r>
      <w:r>
        <w:rPr>
          <w:vertAlign w:val="subscript"/>
        </w:rPr>
        <w:t>1</w:t>
      </w:r>
      <w:r>
        <w:t>适用于 JUC-735 和 14272 厘米</w:t>
      </w:r>
      <w:r>
        <w:t xml:space="preserve"> </w:t>
      </w:r>
      <w:r>
        <w:t>-</w:t>
      </w:r>
      <w:r>
        <w:rPr>
          <w:vertAlign w:val="subscript"/>
        </w:rPr>
        <w:t>1</w:t>
      </w:r>
      <w:r>
        <w:t>对于 JUC-736）。这种动态发射行为进一步实现了对聚集、粘度和压力的可调发光响应。值得注意的是，JUC-736 在聚集、近白光发射调谐和可逆多色压电荧光变色下表现出更明显的双发射调制，而 JUC-735 主要表现出强度更高的长波长发射调制。</w:t>
      </w:r>
    </w:p>
    <w:p>
      <w:pPr>
        <w:spacing w:before="0" w:after="200" w:lineRule="auto" w:line="276"/>
      </w:pPr>
      <w:r>
        <w:rPr>
          <w:b/>
        </w:rPr>
        <w:t xml:space="preserve">Abstract (EN): </w:t>
      </w:r>
      <w:r>
        <w:t>Introducing dynamic components that couple molecular motion with optical output offers a promising strategy for developing stimuli‐responsive luminescent covalent organic frameworks (COFs). Vibration‐induced emission (VIE) molecules are particularly attractive dynamic luminophores, as their excited‐state bent‐to‐planar conformational evolution enables dual emission, large Stokes shifts, and environment‐regulated fluorescence. However, VIE‐based COFs have not yet been reported. Herein, we report two VIE‐based three‐dimensional COFs, JUC‐735 and JUC‐736, constructed from a symmetric N,N’‐diphenyl‐dihydrodibenzo[a,c]phenazine (DPAC)‐derived building block with a saddle‐shaped conformation. Both COFs exhibit high crystallinity, thermal stability, and well‐defined porosity. Photophysical studies reveal that the excited‐state conformational evolution of DPAC remains operative in these crystalline environments, leading to dual emission with exceptionally large Stokes shifts in solution (&amp;gt; 300 nm; 14526 cm</w:t>
      </w:r>
      <w:r>
        <w:t xml:space="preserve"> </w:t>
      </w:r>
      <w:r>
        <w:t>−</w:t>
      </w:r>
      <w:r>
        <w:rPr>
          <w:vertAlign w:val="subscript"/>
        </w:rPr>
        <w:t>1</w:t>
      </w:r>
      <w:r>
        <w:t>for JUC‐735 and 14272 cm</w:t>
      </w:r>
      <w:r>
        <w:t xml:space="preserve"> </w:t>
      </w:r>
      <w:r>
        <w:t>−</w:t>
      </w:r>
      <w:r>
        <w:rPr>
          <w:vertAlign w:val="subscript"/>
        </w:rPr>
        <w:t>1</w:t>
      </w:r>
      <w:r>
        <w:t>for JUC‐736). This dynamic emission behavior further enables tunable luminescence responses to aggregation, viscosity, and pressure. Notably, JUC‐736 shows more pronounced dual‐emission modulation under aggregation, near‐white‐light emission tuning, and reversible multicolor piezofluorochromism, whereas JUC‐735 mainly exhibits long‐wavelength emission modulation with higher intensity sensitivity. These results highlight the important role of the local framework environment in regulating the stimuli‐responsive emission behavior of dynamic chromophores, providing a working strategy for designing multi‐stimuli‐responsive luminescent COF materials.</w:t>
      </w:r>
    </w:p>
    <w:p>
      <w:pPr>
        <w:spacing w:before="120" w:after="120"/>
      </w:pPr>
      <w:r>
        <w:rPr>
          <w:sz w:val="18"/>
        </w:rPr>
        <w:t>——————————————————————————————————————————————————————————————————————</w:t>
      </w:r>
    </w:p>
    <w:p>
      <w:pPr>
        <w:spacing w:before="160" w:after="40" w:line="240" w:lineRule="auto"/>
      </w:pPr>
      <w:r>
        <w:rPr>
          <w:b/>
        </w:rPr>
        <w:t xml:space="preserve">[619] </w:t>
      </w:r>
      <w:hyperlink r:id="rId1642">
        <w:r>
          <w:rPr>
            <w:color w:val="1155CC"/>
            <w:u w:val="single"/>
          </w:rPr>
          <w:t>通过高效非对映选择性合成螺旋手性四齿 Pt(II) 发射体用于高性能深蓝色 CP-PhOLED</w:t>
        </w:r>
      </w:hyperlink>
    </w:p>
    <w:p>
      <w:pPr>
        <w:spacing w:before="0" w:after="80"/>
      </w:pPr>
      <w:r>
        <w:rPr>
          <w:i/>
          <w:sz w:val="20"/>
        </w:rPr>
        <w:t>EN: Helically Chiral Tetradentate Pt(II) Emitters via Efficient Diastereoselective Synthesis for High‐Performance Deep‐Blue CP‐PhOLEDs</w:t>
      </w:r>
    </w:p>
    <w:p>
      <w:pPr>
        <w:spacing w:before="0" w:after="120"/>
      </w:pPr>
      <w:r>
        <w:rPr>
          <w:b/>
        </w:rPr>
        <w:t xml:space="preserve">Source: </w:t>
      </w:r>
      <w:r>
        <w:t>Wiley: Angewandte Chemie International Edition: Table of Contents</w:t>
      </w:r>
      <w:r>
        <w:t xml:space="preserve">    </w:t>
      </w:r>
      <w:r>
        <w:rPr>
          <w:b/>
        </w:rPr>
        <w:t xml:space="preserve">Pub date: </w:t>
      </w:r>
      <w:r>
        <w:t>2026-08-27 04:39:35+00:00</w:t>
      </w:r>
      <w:r>
        <w:t xml:space="preserve">    </w:t>
      </w:r>
      <w:r>
        <w:rPr>
          <w:b/>
        </w:rPr>
        <w:t xml:space="preserve">DOI: </w:t>
      </w:r>
      <w:hyperlink r:id="rId1643">
        <w:r>
          <w:rPr>
            <w:color w:val="1155CC"/>
            <w:u w:val="single"/>
          </w:rPr>
          <w:t>10.1002/anie.9624904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由于手性磷光发射体的手性 HPLC 分辨率困难、稳定性差、色纯度低和亮度有限，具有窄带深蓝色发射的高效圆偏振磷光有机发光二极管（CP-PhOLED）仍然是一个艰巨的挑战。在此，我们报告了一种新颖的中心手性自适应诱导螺旋手性（CAIH）策略，用于螺旋手性四齿 Pt(II) 发射体的非对映选择性合成。通过引入廉价且光学纯的</w:t>
      </w:r>
      <w:r>
        <w:t xml:space="preserve"> </w:t>
      </w:r>
      <w:r>
        <w:t>R-</w:t>
      </w:r>
      <w:r>
        <w:t>/</w:t>
      </w:r>
      <w:r>
        <w:t>S-</w:t>
      </w:r>
      <w:r>
        <w:t>氨基醇衍生的中心手性单元转化为刚性</w:t>
      </w:r>
      <w:r>
        <w:t xml:space="preserve"> </w:t>
      </w:r>
      <w:r>
        <w:t>氮</w:t>
      </w:r>
      <w:r>
        <w:t xml:space="preserve"> </w:t>
      </w:r>
      <w:r>
        <w:t>‐杂环卡宾（NHC）基配体，并使用二异丙基苯基来抑制分子间相互作用，两对发射体（</w:t>
      </w:r>
      <w:r>
        <w:t xml:space="preserve"> </w:t>
      </w:r>
      <w:r>
        <w:t>中号</w:t>
      </w:r>
      <w:r>
        <w:t xml:space="preserve"> </w:t>
      </w:r>
      <w:r>
        <w:t>‐/</w:t>
      </w:r>
      <w:r>
        <w:t>磷</w:t>
      </w:r>
      <w:r>
        <w:t xml:space="preserve"> </w:t>
      </w:r>
      <w:r>
        <w:t>‐PtCP1 和</w:t>
      </w:r>
      <w:r>
        <w:t xml:space="preserve"> </w:t>
      </w:r>
      <w:r>
        <w:t>中号</w:t>
      </w:r>
      <w:r>
        <w:t xml:space="preserve"> </w:t>
      </w:r>
      <w:r>
        <w:t>‐/</w:t>
      </w:r>
      <w:r>
        <w:t>磷</w:t>
      </w:r>
      <w:r>
        <w:t xml:space="preserve"> </w:t>
      </w:r>
      <w:r>
        <w:t>‐PtCP2) 以克为单位获得。这些非对映异构体表现出优异的 CP 发光特性和不对称因子 (|</w:t>
      </w:r>
      <w:r>
        <w:t xml:space="preserve"> </w:t>
      </w:r>
      <w:r>
        <w:t>克</w:t>
      </w:r>
      <w:r>
        <w:t xml:space="preserve"> </w:t>
      </w:r>
      <w:r>
        <w:t>PL</w:t>
      </w:r>
      <w:r>
        <w:t xml:space="preserve"> </w:t>
      </w:r>
      <w:r>
        <w:t>|= 10</w:t>
      </w:r>
      <w:r>
        <w:t xml:space="preserve"> </w:t>
      </w:r>
      <w:r>
        <w:t>−3</w:t>
      </w:r>
      <w:r>
        <w:t xml:space="preserve"> </w:t>
      </w:r>
      <w:r>
        <w:t>），超纯深蓝色发射（</w:t>
      </w:r>
      <w:r>
        <w:t xml:space="preserve"> </w:t>
      </w:r>
      <w:r>
        <w:t>λ</w:t>
      </w:r>
      <w:r>
        <w:t xml:space="preserve"> </w:t>
      </w:r>
      <w:r>
        <w:t>PL</w:t>
      </w:r>
      <w:r>
        <w:t xml:space="preserve"> </w:t>
      </w:r>
      <w:r>
        <w:t>/FWHM ≈ 456/20 nm), 光致发光量子效率 (</w:t>
      </w:r>
      <w:r>
        <w:t xml:space="preserve"> </w:t>
      </w:r>
      <w:r>
        <w:t>Φ</w:t>
      </w:r>
      <w:r>
        <w:t xml:space="preserve"> </w:t>
      </w:r>
      <w:r>
        <w:t>PL</w:t>
      </w:r>
      <w:r>
        <w:t xml:space="preserve"> </w:t>
      </w:r>
      <w:r>
        <w:t>）值高达99%，配置高</w:t>
      </w:r>
    </w:p>
    <w:p>
      <w:pPr>
        <w:spacing w:before="0" w:after="200" w:lineRule="auto" w:line="276"/>
      </w:pPr>
      <w:r>
        <w:rPr>
          <w:b/>
        </w:rPr>
        <w:t xml:space="preserve">Abstract (EN): </w:t>
      </w:r>
      <w:r>
        <w:t>Highly efficient circularly polarized phosphorescent organic light‐emitting diodes (CP‐PhOLEDs) with narrowband deep‐blue emission remain a formidable challenge, owing to the difficult chiral HPLC resolution, poor stability, low color purity, and limited brightness of chiral phosphorescent emitters. Herein, we report a novel central chirality adaptively induced helical chirality (CAIH) strategy for the diastereoselective synthesis of helically chiral tetradentate Pt(II) emitters. By introducing inexpensive and optically pure</w:t>
      </w:r>
      <w:r>
        <w:t xml:space="preserve"> </w:t>
      </w:r>
      <w:r>
        <w:t>R‐</w:t>
      </w:r>
      <w:r>
        <w:t xml:space="preserve"> </w:t>
      </w:r>
      <w:r>
        <w:t>/</w:t>
      </w:r>
      <w:r>
        <w:t>S‐</w:t>
      </w:r>
      <w:r>
        <w:t xml:space="preserve"> </w:t>
      </w:r>
      <w:r>
        <w:t>amino alcohol‐derived centrally chiral units into a rigid</w:t>
      </w:r>
      <w:r>
        <w:t xml:space="preserve"> </w:t>
      </w:r>
      <w:r>
        <w:t>N</w:t>
      </w:r>
      <w:r>
        <w:t xml:space="preserve"> </w:t>
      </w:r>
      <w:r>
        <w:t>‐heterocyclic carbene (NHC)‐based ligand, and using a diisopropylphenyl group to suppress intermolecular interactions, two pairs of emitters (</w:t>
      </w:r>
      <w:r>
        <w:t xml:space="preserve"> </w:t>
      </w:r>
      <w:r>
        <w:t>M</w:t>
      </w:r>
      <w:r>
        <w:t xml:space="preserve"> </w:t>
      </w:r>
      <w:r>
        <w:t>‐/</w:t>
      </w:r>
      <w:r>
        <w:t>P</w:t>
      </w:r>
      <w:r>
        <w:t xml:space="preserve"> </w:t>
      </w:r>
      <w:r>
        <w:t>‐PtCP1 and</w:t>
      </w:r>
      <w:r>
        <w:t xml:space="preserve"> </w:t>
      </w:r>
      <w:r>
        <w:t>M</w:t>
      </w:r>
      <w:r>
        <w:t xml:space="preserve"> </w:t>
      </w:r>
      <w:r>
        <w:t>‐/</w:t>
      </w:r>
      <w:r>
        <w:t>P</w:t>
      </w:r>
      <w:r>
        <w:t xml:space="preserve"> </w:t>
      </w:r>
      <w:r>
        <w:t>‐PtCP2) were obtained on a gram scale. These diastereomers exhibit excellent CP luminescence properties with dissymmetry factor (|</w:t>
      </w:r>
      <w:r>
        <w:t xml:space="preserve"> </w:t>
      </w:r>
      <w:r>
        <w:t>g</w:t>
      </w:r>
      <w:r>
        <w:t xml:space="preserve"> </w:t>
      </w:r>
      <w:r>
        <w:t>PL</w:t>
      </w:r>
      <w:r>
        <w:t xml:space="preserve"> </w:t>
      </w:r>
      <w:r>
        <w:t>|= 10</w:t>
      </w:r>
      <w:r>
        <w:t xml:space="preserve"> </w:t>
      </w:r>
      <w:r>
        <w:t>−3</w:t>
      </w:r>
      <w:r>
        <w:t xml:space="preserve"> </w:t>
      </w:r>
      <w:r>
        <w:t>), ultrapure deep‐blue emissions (</w:t>
      </w:r>
      <w:r>
        <w:t xml:space="preserve"> </w:t>
      </w:r>
      <w:r>
        <w:t>λ</w:t>
      </w:r>
      <w:r>
        <w:t xml:space="preserve"> </w:t>
      </w:r>
      <w:r>
        <w:t>PL</w:t>
      </w:r>
      <w:r>
        <w:t xml:space="preserve"> </w:t>
      </w:r>
      <w:r>
        <w:t>/FWHM ≈ 456/20 nm), photoluminescence quantum efficiency (</w:t>
      </w:r>
      <w:r>
        <w:t xml:space="preserve"> </w:t>
      </w:r>
      <w:r>
        <w:t>Φ</w:t>
      </w:r>
      <w:r>
        <w:t xml:space="preserve"> </w:t>
      </w:r>
      <w:r>
        <w:t>PL</w:t>
      </w:r>
      <w:r>
        <w:t xml:space="preserve"> </w:t>
      </w:r>
      <w:r>
        <w:t>) values up to 99%, and high configurational stability. The</w:t>
      </w:r>
      <w:r>
        <w:t xml:space="preserve"> </w:t>
      </w:r>
      <w:r>
        <w:t>M</w:t>
      </w:r>
      <w:r>
        <w:t xml:space="preserve"> </w:t>
      </w:r>
      <w:r>
        <w:t>‐/</w:t>
      </w:r>
      <w:r>
        <w:t>P</w:t>
      </w:r>
      <w:r>
        <w:t xml:space="preserve"> </w:t>
      </w:r>
      <w:r>
        <w:t>‐PtCP1‐ and</w:t>
      </w:r>
      <w:r>
        <w:t xml:space="preserve"> </w:t>
      </w:r>
      <w:r>
        <w:t>M</w:t>
      </w:r>
      <w:r>
        <w:t xml:space="preserve"> </w:t>
      </w:r>
      <w:r>
        <w:t>‐/</w:t>
      </w:r>
      <w:r>
        <w:t>P</w:t>
      </w:r>
      <w:r>
        <w:t xml:space="preserve"> </w:t>
      </w:r>
      <w:r>
        <w:t>‐PtCP2‐based devices also display distinct mirror‐symmetric CPEL signals with |</w:t>
      </w:r>
      <w:r>
        <w:t xml:space="preserve"> </w:t>
      </w:r>
      <w:r>
        <w:t>g</w:t>
      </w:r>
      <w:r>
        <w:t xml:space="preserve"> </w:t>
      </w:r>
      <w:r>
        <w:t>EL</w:t>
      </w:r>
      <w:r>
        <w:t xml:space="preserve"> </w:t>
      </w:r>
      <w:r>
        <w:t>| values of 10</w:t>
      </w:r>
      <w:r>
        <w:t xml:space="preserve"> </w:t>
      </w:r>
      <w:r>
        <w:t>−4</w:t>
      </w:r>
      <w:r>
        <w:t xml:space="preserve"> </w:t>
      </w:r>
      <w:r>
        <w:t>. Impressively, the</w:t>
      </w:r>
      <w:r>
        <w:t xml:space="preserve"> </w:t>
      </w:r>
      <w:r>
        <w:t>P</w:t>
      </w:r>
      <w:r>
        <w:t xml:space="preserve"> </w:t>
      </w:r>
      <w:r>
        <w:t>‐PtCP1‐based device simultaneously achieves record‐high external quantum efficiency (EQE = 18.3% at 1000 cd m</w:t>
      </w:r>
      <w:r>
        <w:t xml:space="preserve"> </w:t>
      </w:r>
      <w:r>
        <w:t>−2</w:t>
      </w:r>
      <w:r>
        <w:t xml:space="preserve"> </w:t>
      </w:r>
      <w:r>
        <w:t>) and maximum brightness (</w:t>
      </w:r>
      <w:r>
        <w:t xml:space="preserve"> </w:t>
      </w:r>
      <w:r>
        <w:t>L</w:t>
      </w:r>
      <w:r>
        <w:t xml:space="preserve"> </w:t>
      </w:r>
      <w:r>
        <w:t>max</w:t>
      </w:r>
      <w:r>
        <w:t xml:space="preserve"> </w:t>
      </w:r>
      <w:r>
        <w:t>= 19933 cd m</w:t>
      </w:r>
      <w:r>
        <w:t xml:space="preserve"> </w:t>
      </w:r>
      <w:r>
        <w:t>−2</w:t>
      </w:r>
      <w:r>
        <w:t xml:space="preserve"> </w:t>
      </w:r>
      <w:r>
        <w:t>) values among reported CP‐OLEDs with CIE</w:t>
      </w:r>
      <w:r>
        <w:t xml:space="preserve"> </w:t>
      </w:r>
      <w:r>
        <w:t>y</w:t>
      </w:r>
      <w:r>
        <w:t xml:space="preserve"> </w:t>
      </w:r>
      <w:r>
        <w:t>&amp;lt; 0.12. This study provides valuable insight and new perspectives on the construction of stable helically chiral tetradentate Pt(II) emitters for high‐performance CP‐PhOLEDs.</w:t>
      </w:r>
    </w:p>
    <w:p>
      <w:pPr>
        <w:spacing w:before="120" w:after="120"/>
      </w:pPr>
      <w:r>
        <w:rPr>
          <w:sz w:val="18"/>
        </w:rPr>
        <w:t>——————————————————————————————————————————————————————————————————————</w:t>
      </w:r>
    </w:p>
    <w:p>
      <w:pPr>
        <w:spacing w:before="160" w:after="40" w:line="240" w:lineRule="auto"/>
      </w:pPr>
      <w:r>
        <w:rPr>
          <w:b/>
        </w:rPr>
        <w:t xml:space="preserve">[620] </w:t>
      </w:r>
      <w:hyperlink r:id="rId1644">
        <w:r>
          <w:rPr>
            <w:color w:val="1155CC"/>
            <w:u w:val="single"/>
          </w:rPr>
          <w:t>芳基锗烷的C─S键形成</w:t>
        </w:r>
      </w:hyperlink>
    </w:p>
    <w:p>
      <w:pPr>
        <w:spacing w:before="0" w:after="80"/>
      </w:pPr>
      <w:r>
        <w:rPr>
          <w:i/>
          <w:sz w:val="20"/>
        </w:rPr>
        <w:t>EN: C─S Bond Formation of Aryl Germanes</w:t>
      </w:r>
    </w:p>
    <w:p>
      <w:pPr>
        <w:spacing w:before="0" w:after="120"/>
      </w:pPr>
      <w:r>
        <w:rPr>
          <w:b/>
        </w:rPr>
        <w:t xml:space="preserve">Source: </w:t>
      </w:r>
      <w:r>
        <w:t>Wiley: Angewandte Chemie International Edition: Table of Contents</w:t>
      </w:r>
      <w:r>
        <w:t xml:space="preserve">    </w:t>
      </w:r>
      <w:r>
        <w:rPr>
          <w:b/>
        </w:rPr>
        <w:t xml:space="preserve">Pub date: </w:t>
      </w:r>
      <w:r>
        <w:t>2026-08-27 04:43:25+00:00</w:t>
      </w:r>
      <w:r>
        <w:t xml:space="preserve">    </w:t>
      </w:r>
      <w:r>
        <w:rPr>
          <w:b/>
        </w:rPr>
        <w:t xml:space="preserve">DOI: </w:t>
      </w:r>
      <w:hyperlink r:id="rId1645">
        <w:r>
          <w:rPr>
            <w:color w:val="1155CC"/>
            <w:u w:val="single"/>
          </w:rPr>
          <w:t>10.1002/anie.3776319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芳基锗烷已成为强大的正交偶联伙伴，但实现其功能化的化学仍处于起步阶段。在此，我们报道了芳基锗烷的第一个C─S键形成。与很大程度上依赖于过渡金属催化的预官能化芳烃的传统C-S交叉偶联相比，这种转变在室温下没有金属催化剂的情况下进行，并且可以耐受空气和湿气。该反应与常见的偶联反应正交，包括芳基卤化物和芳基硅烷，从而能够在多功能分子中进行选择性硫醇化。机理研究支持基于自由基的芳香族取代途径。</w:t>
      </w:r>
    </w:p>
    <w:p>
      <w:pPr>
        <w:spacing w:before="0" w:after="200" w:lineRule="auto" w:line="276"/>
      </w:pPr>
      <w:r>
        <w:rPr>
          <w:b/>
        </w:rPr>
        <w:t xml:space="preserve">Abstract (EN): </w:t>
      </w:r>
      <w:r>
        <w:t>Aryl germanes have emerged as robust and orthogonal coupling partners, but the chemistry enabling their functionalization is still in its infancy. Herein, we report the first C─S bond formation of aryl germanes. In contrast to conventional C─S cross‐couplings of prefunctionalized arenes that largely rely on transition‐metal catalysis, this transformation proceeds in the absence of a metal catalyst at room temperature and tolerates air and moisture. The reaction is orthogonal to common coupling handles, including aryl halides and aryl silanes, enabling selective thiolations in multifunctional molecules. Mechanistic studies support a radical‐based aromatic substitution pathway.</w:t>
      </w:r>
    </w:p>
    <w:p>
      <w:pPr>
        <w:spacing w:before="120" w:after="120"/>
      </w:pPr>
      <w:r>
        <w:rPr>
          <w:sz w:val="18"/>
        </w:rPr>
        <w:t>——————————————————————————————————————————————————————————————————————</w:t>
      </w:r>
    </w:p>
    <w:p>
      <w:pPr>
        <w:spacing w:before="160" w:after="40" w:line="240" w:lineRule="auto"/>
      </w:pPr>
      <w:r>
        <w:rPr>
          <w:b/>
        </w:rPr>
        <w:t xml:space="preserve">[621] </w:t>
      </w:r>
      <w:hyperlink r:id="rId1646">
        <w:r>
          <w:rPr>
            <w:color w:val="1155CC"/>
            <w:u w:val="single"/>
          </w:rPr>
          <w:t>在共价有机框架内构建高效的氧气捕获触角，用于光催化水净化</w:t>
        </w:r>
      </w:hyperlink>
    </w:p>
    <w:p>
      <w:pPr>
        <w:spacing w:before="0" w:after="80"/>
      </w:pPr>
      <w:r>
        <w:rPr>
          <w:i/>
          <w:sz w:val="20"/>
        </w:rPr>
        <w:t>EN: Constructing Highly Efficient Oxygen Capture Tentacles Within Covalent Organic Frameworks for Photocatalytic Water Purification</w:t>
      </w:r>
    </w:p>
    <w:p>
      <w:pPr>
        <w:spacing w:before="0" w:after="120"/>
      </w:pPr>
      <w:r>
        <w:rPr>
          <w:b/>
        </w:rPr>
        <w:t xml:space="preserve">Source: </w:t>
      </w:r>
      <w:r>
        <w:t>Wiley: Angewandte Chemie International Edition: Table of Contents</w:t>
      </w:r>
      <w:r>
        <w:t xml:space="preserve">    </w:t>
      </w:r>
      <w:r>
        <w:rPr>
          <w:b/>
        </w:rPr>
        <w:t xml:space="preserve">Pub date: </w:t>
      </w:r>
      <w:r>
        <w:t>2026-08-27 04:44:53+00:00</w:t>
      </w:r>
      <w:r>
        <w:t xml:space="preserve">    </w:t>
      </w:r>
      <w:r>
        <w:rPr>
          <w:b/>
        </w:rPr>
        <w:t xml:space="preserve">DOI: </w:t>
      </w:r>
      <w:hyperlink r:id="rId1647">
        <w:r>
          <w:rPr>
            <w:color w:val="1155CC"/>
            <w:u w:val="single"/>
          </w:rPr>
          <w:t>10.1002/anie.4430433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传质不足和电荷分离不足是限制共价有机框架（COF）用于水净化的光催化效率的两个关键因素。在这里，我们开发了一种简单的策略，通过用具有可调氧亲和力的烟酸/烟酸甲酯基团取代传统的吡啶基团，构建高效的氧捕获触手，同时促进COF中的氧传质和电荷分离。分子动力学模拟和原位表征表明，与COF-EP1中的吡啶基团和COF-EP2中的烟酸基团分别作为弱和中等氧捕获触手相比，COF-EP3中的烟酸甲酯基团由于其优异的氧亲和力而可以作为强氧捕获触手，可以增强氧相互作用能，从而促进氧传质。由于最佳的电荷极化，COF-EP3 中的烟酸甲酯基团还增强了内部电场，以促进电荷分离。因此，COF-EP3 对磺胺嘧啶具有出色的光催化降解性能（25 分钟内去除 99.5%，</w:t>
      </w:r>
      <w:r>
        <w:t xml:space="preserve"> </w:t>
      </w:r>
      <w:r>
        <w:t>k</w:t>
      </w:r>
      <w:r>
        <w:t xml:space="preserve"> </w:t>
      </w:r>
      <w:r>
        <w:t>= 0.21 分钟</w:t>
      </w:r>
      <w:r>
        <w:t xml:space="preserve"> </w:t>
      </w:r>
      <w:r>
        <w:t>−1</w:t>
      </w:r>
      <w:r>
        <w:t xml:space="preserve"> </w:t>
      </w:r>
      <w:r>
        <w:t>），比COF-EP1高16.2和2.8倍（</w:t>
      </w:r>
      <w:r>
        <w:t xml:space="preserve"> </w:t>
      </w:r>
      <w:r>
        <w:t>k</w:t>
      </w:r>
      <w:r>
        <w:t xml:space="preserve"> </w:t>
      </w:r>
      <w:r>
        <w:t>= 0.013 分钟</w:t>
      </w:r>
      <w:r>
        <w:t xml:space="preserve"> </w:t>
      </w:r>
      <w:r>
        <w:t>−1</w:t>
      </w:r>
      <w:r>
        <w:t xml:space="preserve"> </w:t>
      </w:r>
      <w:r>
        <w:t>) 和 COF-EP2 (</w:t>
      </w:r>
      <w:r>
        <w:t xml:space="preserve"> </w:t>
      </w:r>
      <w:r>
        <w:t>k</w:t>
      </w:r>
      <w:r>
        <w:t xml:space="preserve"> </w:t>
      </w:r>
      <w:r>
        <w:t>= 0.076 分钟</w:t>
      </w:r>
      <w:r>
        <w:t xml:space="preserve"> </w:t>
      </w:r>
      <w:r>
        <w:t>−1</w:t>
      </w:r>
      <w:r>
        <w:t xml:space="preserve"> </w:t>
      </w:r>
      <w:r>
        <w:t>), 分别</w:t>
      </w:r>
    </w:p>
    <w:p>
      <w:pPr>
        <w:spacing w:before="0" w:after="200" w:lineRule="auto" w:line="276"/>
      </w:pPr>
      <w:r>
        <w:rPr>
          <w:b/>
        </w:rPr>
        <w:t xml:space="preserve">Abstract (EN): </w:t>
      </w:r>
      <w:r>
        <w:t>Insufficient oxygen mass transfer and inadequate charge separation are two critical factors restricting the photocatalytic efficiency of covalent organic frameworks (COFs) for water purification. Here, we develop a facile strategy to simultaneously boost oxygen mass transfer and charge separation in COFs through constructing efficient oxygen capture tentacles via replacing conventional pyridine groups with nicotinic‐acid/methyl‐nicotinate groups, which have tunable oxygen affinity. Molecular dynamics simulations and in situ characterizations reveal that compared to pyridine groups in COF‐EP1 and nicotinic‐acid groups in COF‐EP2, respectively serving as weak and medium oxygen capture tentacles, methyl‐nicotinate groups in COF‐EP3 can serve as strong oxygen capture tentacles due to their superb oxygen affinity, which can enhance oxygen interaction energies and thus promote oxygen mass transfer. Owing to the optimal charge polarization, methyl‐nicotinate groups in COF‐EP3 also strengthen internal electric fields to facilitate charge separation. COF‐EP3 thus achieves exceptional photocatalytic degradation performance towards sulfadiazine (99.5% removal in 25 min,</w:t>
      </w:r>
      <w:r>
        <w:t xml:space="preserve"> </w:t>
      </w:r>
      <w:r>
        <w:t>k</w:t>
      </w:r>
      <w:r>
        <w:t xml:space="preserve"> </w:t>
      </w:r>
      <w:r>
        <w:t>= 0.21 min</w:t>
      </w:r>
      <w:r>
        <w:t xml:space="preserve"> </w:t>
      </w:r>
      <w:r>
        <w:t>−1</w:t>
      </w:r>
      <w:r>
        <w:t xml:space="preserve"> </w:t>
      </w:r>
      <w:r>
        <w:t>), which is 16.2 and 2.8 times higher than that of COF‐EP1 (</w:t>
      </w:r>
      <w:r>
        <w:t xml:space="preserve"> </w:t>
      </w:r>
      <w:r>
        <w:t>k</w:t>
      </w:r>
      <w:r>
        <w:t xml:space="preserve"> </w:t>
      </w:r>
      <w:r>
        <w:t>= 0.013 min</w:t>
      </w:r>
      <w:r>
        <w:t xml:space="preserve"> </w:t>
      </w:r>
      <w:r>
        <w:t>−1</w:t>
      </w:r>
      <w:r>
        <w:t xml:space="preserve"> </w:t>
      </w:r>
      <w:r>
        <w:t>) and COF‐EP2 (</w:t>
      </w:r>
      <w:r>
        <w:t xml:space="preserve"> </w:t>
      </w:r>
      <w:r>
        <w:t>k</w:t>
      </w:r>
      <w:r>
        <w:t xml:space="preserve"> </w:t>
      </w:r>
      <w:r>
        <w:t>= 0.076 min</w:t>
      </w:r>
      <w:r>
        <w:t xml:space="preserve"> </w:t>
      </w:r>
      <w:r>
        <w:t>−1</w:t>
      </w:r>
      <w:r>
        <w:t xml:space="preserve"> </w:t>
      </w:r>
      <w:r>
        <w:t>), respectively. Besides, COF‐EP3 exhibits high sulfadiazine degradation performance in complicated water matrices, continuous‐flow system, and scaled‐up reactor, demonstrating its practical application potential.</w:t>
      </w:r>
    </w:p>
    <w:p>
      <w:pPr>
        <w:spacing w:before="120" w:after="120"/>
      </w:pPr>
      <w:r>
        <w:rPr>
          <w:sz w:val="18"/>
        </w:rPr>
        <w:t>——————————————————————————————————————————————————————————————————————</w:t>
      </w:r>
    </w:p>
    <w:p>
      <w:pPr>
        <w:spacing w:before="160" w:after="40" w:line="240" w:lineRule="auto"/>
      </w:pPr>
      <w:r>
        <w:rPr>
          <w:b/>
        </w:rPr>
        <w:t xml:space="preserve">[622] </w:t>
      </w:r>
      <w:hyperlink r:id="rId1648">
        <w:r>
          <w:rPr>
            <w:color w:val="1155CC"/>
            <w:u w:val="single"/>
          </w:rPr>
          <w:t>石墨烯作为后石墨烯二维材料和异质结构的合成平台</w:t>
        </w:r>
      </w:hyperlink>
    </w:p>
    <w:p>
      <w:pPr>
        <w:spacing w:before="0" w:after="80"/>
      </w:pPr>
      <w:r>
        <w:rPr>
          <w:i/>
          <w:sz w:val="20"/>
        </w:rPr>
        <w:t>EN: Graphene as a Synthetic Platform for Post‐Graphene 2D Materials and Heterostructures</w:t>
      </w:r>
    </w:p>
    <w:p>
      <w:pPr>
        <w:spacing w:before="0" w:after="120"/>
      </w:pPr>
      <w:r>
        <w:rPr>
          <w:b/>
        </w:rPr>
        <w:t xml:space="preserve">Source: </w:t>
      </w:r>
      <w:r>
        <w:t>Wiley: Angewandte Chemie International Edition: Table of Contents</w:t>
      </w:r>
      <w:r>
        <w:t xml:space="preserve">    </w:t>
      </w:r>
      <w:r>
        <w:rPr>
          <w:b/>
        </w:rPr>
        <w:t xml:space="preserve">Pub date: </w:t>
      </w:r>
      <w:r>
        <w:t>2026-08-27 04:45:57+00:00</w:t>
      </w:r>
      <w:r>
        <w:t xml:space="preserve">    </w:t>
      </w:r>
      <w:r>
        <w:rPr>
          <w:b/>
        </w:rPr>
        <w:t xml:space="preserve">DOI: </w:t>
      </w:r>
      <w:hyperlink r:id="rId1649">
        <w:r>
          <w:rPr>
            <w:color w:val="1155CC"/>
            <w:u w:val="single"/>
          </w:rPr>
          <w:t>10.1002/anie.9317311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烯作为第一种分离和系统研究的二维材料的先驱作用推动了对其合成和应用的深入研究，同时加速了许多其他二维材料的发现和开发。最近在合成高质量石墨烯方面取得的进展，特别是通过化学气相沉积（CVD）方法，尤其重要，巩固了其作为推动整个二维材料领域研究的关键平台的地位。本综述总结了高质量石墨烯单晶和薄膜在合成和工程其他二维材料（包括传统无机和新兴有机二维材料）中的应用。我们特别关注石墨烯作为生长基底和外延模板的功能，以优化后石墨烯二维材料的制备，以及其在构建异质结构中的用途，从而拓宽应用前景并提高器件性能。我们进一步研究当前的挑战和未来的研究方向，旨在利用高质量石墨烯来实现后石墨烯二维材料及其异质结构的轻松合成，并精确控制成分、取向和界面相互作用。这些进步预计将使下一代电子学、光电子学、传感器、催化剂、自旋电子学等领域的高性能设备成为可能。</w:t>
      </w:r>
    </w:p>
    <w:p>
      <w:pPr>
        <w:spacing w:before="0" w:after="200" w:lineRule="auto" w:line="276"/>
      </w:pPr>
      <w:r>
        <w:rPr>
          <w:b/>
        </w:rPr>
        <w:t xml:space="preserve">Abstract (EN): </w:t>
      </w:r>
      <w:r>
        <w:t>Graphene's pioneering role as the first isolated and systematically studied 2D material has fueled intense research into its synthesis and applications, while simultaneously accelerating the discovery and development of numerous other 2D materials. Recent progress in synthesizing high‐quality graphene, especially through the chemical vapor deposition (CVD) method, has been particularly significant, solidifying its position as a critical platform for propelling research across the entire field of 2D materials. This review summarizes the applications of high‐quality graphene single crystals and films in synthesizing and engineering other 2D materials—including conventional inorganic and emerging organic 2D materials. We focus specifically on graphene's functions as a growth substrate and epitaxial template for optimizing the preparation of post‐graphene 2D materials, and on its use in constructing heterostructures that broaden application prospects and enhance device performance. We further examine current challenges and future research directions, aiming to leverage high‐quality graphene to achieve facile synthesis of post‐graphene 2D materials and their heterostructures with precise control over composition, orientation, and interfacial interactions. Such advances are anticipated to enable high‐performance devices in next‐generation electronics, optoelectronics, sensors, catalysts, spintronics, and beyond.</w:t>
      </w:r>
    </w:p>
    <w:p>
      <w:pPr>
        <w:spacing w:before="120" w:after="120"/>
      </w:pPr>
      <w:r>
        <w:rPr>
          <w:sz w:val="18"/>
        </w:rPr>
        <w:t>——————————————————————————————————————————————————————————————————————</w:t>
      </w:r>
    </w:p>
    <w:p>
      <w:pPr>
        <w:spacing w:before="160" w:after="40" w:line="240" w:lineRule="auto"/>
      </w:pPr>
      <w:r>
        <w:rPr>
          <w:b/>
        </w:rPr>
        <w:t xml:space="preserve">[623] </w:t>
      </w:r>
      <w:hyperlink r:id="rId1650">
        <w:r>
          <w:rPr>
            <w:color w:val="1155CC"/>
            <w:u w:val="single"/>
          </w:rPr>
          <w:t>通过 GSH 触发的半导体聚合物纳米探针的重组加速分子内非辐射衰变，用于可激活的 NIR-II 光治疗</w:t>
        </w:r>
      </w:hyperlink>
    </w:p>
    <w:p>
      <w:pPr>
        <w:spacing w:before="0" w:after="80"/>
      </w:pPr>
      <w:r>
        <w:rPr>
          <w:i/>
          <w:sz w:val="20"/>
        </w:rPr>
        <w:t>EN: Accelerating Intramolecular Nonradiative Decay via GSH‐Triggered Reassembly of Semiconducting Polymer Nanoprobes for Activatable NIR‐II Phototheranostics</w:t>
      </w:r>
    </w:p>
    <w:p>
      <w:pPr>
        <w:spacing w:before="0" w:after="120"/>
      </w:pPr>
      <w:r>
        <w:rPr>
          <w:b/>
        </w:rPr>
        <w:t xml:space="preserve">Source: </w:t>
      </w:r>
      <w:r>
        <w:t>Wiley: Angewandte Chemie International Edition: Table of Contents</w:t>
      </w:r>
      <w:r>
        <w:t xml:space="preserve">    </w:t>
      </w:r>
      <w:r>
        <w:rPr>
          <w:b/>
        </w:rPr>
        <w:t xml:space="preserve">Pub date: </w:t>
      </w:r>
      <w:r>
        <w:t>2026-08-27 04:49:34+00:00</w:t>
      </w:r>
      <w:r>
        <w:t xml:space="preserve">    </w:t>
      </w:r>
      <w:r>
        <w:rPr>
          <w:b/>
        </w:rPr>
        <w:t xml:space="preserve">DOI: </w:t>
      </w:r>
      <w:hyperlink r:id="rId1651">
        <w:r>
          <w:rPr>
            <w:color w:val="1155CC"/>
            <w:u w:val="single"/>
          </w:rPr>
          <w:t>10.1002/anie.2537165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可激活近红外-II (NIR-II) 光声和光热探针的开发对于推进针对深部疾病的精准光治疗具有重要意义。尽管我们在基于半导体聚合物纳米探针（SPN）的可激活NIR-II光声成像（PAI）和光热疗法（PTT）方面取得了初步成功，但这种设计策略仍然需要复杂且耗时的化学合成，将可激活基团纳入疏水性半导体骨架中，导致它们封装在纳米探针核心内，从而损害对生物环境中病理因素的响应能力。在此，我们报告了一种新型的可激活 SPN（SPN</w:t>
      </w:r>
      <w:r>
        <w:rPr>
          <w:vertAlign w:val="subscript"/>
        </w:rPr>
        <w:t>0</w:t>
      </w:r>
      <w:r>
        <w:t>），使谷胱甘肽 (GSH) 触发放大的 NIR-II PAI 和 PTT 的尺寸转变。 SPN</w:t>
      </w:r>
      <w:r>
        <w:rPr>
          <w:vertAlign w:val="subscript"/>
        </w:rPr>
        <w:t>0</w:t>
      </w:r>
      <w:r>
        <w:t>通过二酮吡咯并吡咯-噻二唑喹喔啉半导体聚合物与 GSH 响应性两亲基质的纳米沉淀制备。 GSH 激活后，SPN</w:t>
      </w:r>
      <w:r>
        <w:rPr>
          <w:vertAlign w:val="subscript"/>
        </w:rPr>
        <w:t>0</w:t>
      </w:r>
      <w:r>
        <w:t>经过重新组装过程以增加纳米颗粒的尺寸。激发态动力学研究表明，GSH 触发的重组加速了纳米探针的分子内非辐射衰变，这有助于增强 NIR-II 光声和光热性能。体外和体内研究表明，GSH 激活的 NIR-II PAI 和 PTT 对癌症具有高度特异性和生物安全性。</w:t>
      </w:r>
    </w:p>
    <w:p>
      <w:pPr>
        <w:spacing w:before="0" w:after="200" w:lineRule="auto" w:line="276"/>
      </w:pPr>
      <w:r>
        <w:rPr>
          <w:b/>
        </w:rPr>
        <w:t xml:space="preserve">Abstract (EN): </w:t>
      </w:r>
      <w:r>
        <w:t>The development of activatable near‐infrared‐II (NIR‐II) photoacoustic and photothermal probes is of great significance for advancing precision phototheranostics toward deep‐seated diseases. Despite our preliminary success in enabling semiconducting polymer nanoprobes (SPNs)‐based activatable NIR‐II photoacoustic imaging (PAI) and photothermal therapy (PTT), this design strategy still requires complicated and time‐consuming chemical syntheses to incorporate activatable groups into the hydrophobic semiconducting backbone, leading to their encapsulation within the nanoprobe core and consequently compromise the responsiveness toward pathological factors in biological environment. Herein, we report a novel activatable SPN (SPN</w:t>
      </w:r>
      <w:r>
        <w:rPr>
          <w:vertAlign w:val="subscript"/>
        </w:rPr>
        <w:t>0</w:t>
      </w:r>
      <w:r>
        <w:t>) that enables glutathione (GSH)‐triggered size transition for amplified NIR‐II PAI and PTT. The SPN</w:t>
      </w:r>
      <w:r>
        <w:rPr>
          <w:vertAlign w:val="subscript"/>
        </w:rPr>
        <w:t>0</w:t>
      </w:r>
      <w:r>
        <w:t>was prepared by nanoprecipitation of a diketopyrrolopyrrole‐thiadiazoloquinoxaline semiconducting polymer with a GSH‐responsive amphiphilic matrix. Upon GSH activation, the SPN</w:t>
      </w:r>
      <w:r>
        <w:rPr>
          <w:vertAlign w:val="subscript"/>
        </w:rPr>
        <w:t>0</w:t>
      </w:r>
      <w:r>
        <w:t>undergoes a reassembly process to increase the nanoparticle size. Excited‐state dynamics investigations reveal that GSH‐triggered reassembly accelerates intramolecular nonradiative decay in the nanoprobes, which contributes to the enhanced NIR‐II photoacoustic and photothermal performance. In vitro and in vivo studies demonstrate GSH‐activated NIR‐II PAI and PTT toward cancer with high specificity and biosafety. This reassembly strategy provides a convenient and efficient approach to construct activatable NIR‐II phototheranostic nano‐agents, advancing the development of precision medicine.</w:t>
      </w:r>
    </w:p>
    <w:p>
      <w:pPr>
        <w:spacing w:before="120" w:after="120"/>
      </w:pPr>
      <w:r>
        <w:rPr>
          <w:sz w:val="18"/>
        </w:rPr>
        <w:t>——————————————————————————————————————————————————————————————————————</w:t>
      </w:r>
    </w:p>
    <w:p>
      <w:pPr>
        <w:spacing w:before="160" w:after="40" w:line="240" w:lineRule="auto"/>
      </w:pPr>
      <w:r>
        <w:rPr>
          <w:b/>
        </w:rPr>
        <w:t xml:space="preserve">[624] </w:t>
      </w:r>
      <w:hyperlink r:id="rId1652">
        <w:r>
          <w:rPr>
            <w:color w:val="1155CC"/>
            <w:u w:val="single"/>
          </w:rPr>
          <w:t>天然层状材料的多刺激响应埃级二维通道</w:t>
        </w:r>
      </w:hyperlink>
    </w:p>
    <w:p>
      <w:pPr>
        <w:spacing w:before="0" w:after="80"/>
      </w:pPr>
      <w:r>
        <w:rPr>
          <w:i/>
          <w:sz w:val="20"/>
        </w:rPr>
        <w:t>EN: Multi‐Stimuli Responsive Angstrom‐Scale Two‐Dimensional Channels of Natural Layered Materials</w:t>
      </w:r>
    </w:p>
    <w:p>
      <w:pPr>
        <w:spacing w:before="0" w:after="120"/>
      </w:pPr>
      <w:r>
        <w:rPr>
          <w:b/>
        </w:rPr>
        <w:t xml:space="preserve">Source: </w:t>
      </w:r>
      <w:r>
        <w:t>Wiley: Advanced Materials: Table of Contents</w:t>
      </w:r>
      <w:r>
        <w:t xml:space="preserve">    </w:t>
      </w:r>
      <w:r>
        <w:rPr>
          <w:b/>
        </w:rPr>
        <w:t xml:space="preserve">Pub date: </w:t>
      </w:r>
      <w:r>
        <w:t>2026-08-27 05:41:02+00:00</w:t>
      </w:r>
      <w:r>
        <w:t xml:space="preserve">    </w:t>
      </w:r>
      <w:r>
        <w:rPr>
          <w:b/>
        </w:rPr>
        <w:t xml:space="preserve">DOI: </w:t>
      </w:r>
      <w:hyperlink r:id="rId1653">
        <w:r>
          <w:rPr>
            <w:color w:val="1155CC"/>
            <w:u w:val="single"/>
          </w:rPr>
          <w:t>10.1002/adma.74804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离子通道是自然界的奇迹，调节生物体内复杂和多功能的分子机制。由于实现并发多刺激响应能力的限制，在人工系统中模拟这种多功能性仍然是一个艰巨的挑战。在这里，我们报告了仿生和多响应二维（2D）离子通道，其通道高度为埃（Å）级，自然形成于蛭石（VM）粘土的层间通道内，其本身具有带负电的表面。 VM 离子通道表现出电流体动力离子传输，可以通过机械（压力）、化学（pH）和电（电压）刺激进行调节，从而复制生物通道的关键门控功能。在耦合电场和压力梯度下，通道显示出与刺激相关的流动电流极性反转，由表面电荷调制和有限空间内移动离子的重新分布控制。为了描述这种耦合效应，我们开发了一种改进的表面电荷调节（</w:t>
      </w:r>
      <w:r>
        <w:t xml:space="preserve"> </w:t>
      </w:r>
      <w:r>
        <w:t>可控硅</w:t>
      </w:r>
      <w:r>
        <w:t xml:space="preserve"> </w:t>
      </w:r>
      <w:r>
        <w:t>）模型，结合了电压、压力和浓度相关的电荷调制。这项研究为粘土矿物作为实现多刺激响应纳米流体系统的多功能平台奠定了基础，为自适应离子门控、生物传感、能量转换和治疗纳米流体开辟了新途径。</w:t>
      </w:r>
    </w:p>
    <w:p>
      <w:pPr>
        <w:spacing w:before="0" w:after="200" w:lineRule="auto" w:line="276"/>
      </w:pPr>
      <w:r>
        <w:rPr>
          <w:b/>
        </w:rPr>
        <w:t xml:space="preserve">Abstract (EN): </w:t>
      </w:r>
      <w:r>
        <w:t>Biological ion channels are nature's wonders that regulate complex and multifunctional molecular mechanisms in living things. Emulating such multifunctionality in artificial systems remains a formidable challenge due to the limitations in achieving concurrent multi‐stimuli responsiveness. Here, we report biomimetic and multi‐responsive two‐dimensional (2D) ion channels with Angstrom (Å)‐scale channel heights, naturally formed within the interlayer galleries of vermiculite (VM) clay, which inherently possesses negatively charged surfaces. The VM ion channels exhibit electrohydrodynamic ion transport that can be modulated by mechanical (pressure), chemical (pH), and electrical (voltage) stimuli, thereby replicating key gating functions of the biological channels. Under coupled electric field and pressure gradients, the channels display stimulus‐dependent polarity inversion of streaming current, governed by surface charge modulation and the redistribution of mobile ions within the confined spaces. To describe this coupled effect, we developed a modified surface charge regulation (</w:t>
      </w:r>
      <w:r>
        <w:t xml:space="preserve"> </w:t>
      </w:r>
      <w:r>
        <w:t>mSCR</w:t>
      </w:r>
      <w:r>
        <w:t xml:space="preserve"> </w:t>
      </w:r>
      <w:r>
        <w:t>) model that incorporates voltage‐, pressure‐, and concentration‐dependent charge modulation. This study lays the foundation for clay minerals to be utilized as versatile platforms for realizing multi‐stimuli responsive nanofluidic systems, opening new avenues for adaptive ionic gating, biosensing, energy conversion, and therapeutic nanofluidics.</w:t>
      </w:r>
    </w:p>
    <w:p>
      <w:pPr>
        <w:spacing w:before="120" w:after="120"/>
      </w:pPr>
      <w:r>
        <w:rPr>
          <w:sz w:val="18"/>
        </w:rPr>
        <w:t>——————————————————————————————————————————————————————————————————————</w:t>
      </w:r>
    </w:p>
    <w:p>
      <w:pPr>
        <w:spacing w:before="160" w:after="40" w:line="240" w:lineRule="auto"/>
      </w:pPr>
      <w:r>
        <w:rPr>
          <w:b/>
        </w:rPr>
        <w:t xml:space="preserve">[625] </w:t>
      </w:r>
      <w:hyperlink r:id="rId1654">
        <w:r>
          <w:rPr>
            <w:color w:val="1155CC"/>
            <w:u w:val="single"/>
          </w:rPr>
          <w:t>美国宇航局的罗马望远镜准备好全面观察宇宙</w:t>
        </w:r>
      </w:hyperlink>
    </w:p>
    <w:p>
      <w:pPr>
        <w:spacing w:before="0" w:after="80"/>
      </w:pPr>
      <w:r>
        <w:rPr>
          <w:i/>
          <w:sz w:val="20"/>
        </w:rPr>
        <w:t>EN: NASA’s Roman telescope readies a sweeping view of the universe</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55">
        <w:r>
          <w:rPr>
            <w:color w:val="1155CC"/>
            <w:u w:val="single"/>
          </w:rPr>
          <w:t>10.1126/science.ael8353</w:t>
        </w:r>
      </w:hyperlink>
    </w:p>
    <w:p>
      <w:pPr>
        <w:spacing w:before="0" w:after="120"/>
      </w:pPr>
      <w:r>
        <w:rPr>
          <w:b/>
        </w:rPr>
        <w:t xml:space="preserve">Notes: </w:t>
      </w:r>
      <w:r>
        <w:t>abstract_source=crossref</w:t>
      </w:r>
    </w:p>
    <w:p>
      <w:pPr>
        <w:spacing w:before="0" w:after="80" w:lineRule="auto" w:line="276"/>
      </w:pPr>
      <w:r>
        <w:rPr>
          <w:b/>
        </w:rPr>
        <w:t xml:space="preserve">摘要（ZH）: </w:t>
      </w:r>
      <w:r>
        <w:t>凭借哈勃望远镜敏锐的视野和100倍大的视野，天文台将快速扫描宇宙，寻找遥远的世界和暗能量的线索</w:t>
      </w:r>
    </w:p>
    <w:p>
      <w:pPr>
        <w:spacing w:before="0" w:after="200" w:lineRule="auto" w:line="276"/>
      </w:pPr>
      <w:r>
        <w:rPr>
          <w:b/>
        </w:rPr>
        <w:t xml:space="preserve">Abstract (EN): </w:t>
      </w:r>
      <w:r>
        <w:t>With Hubble’s sharp vision and a view 100 times larger, the observatory will rapidly scan the cosmos for distant worlds and clues to dark energy</w:t>
      </w:r>
    </w:p>
    <w:p>
      <w:pPr>
        <w:spacing w:before="120" w:after="120"/>
      </w:pPr>
      <w:r>
        <w:rPr>
          <w:sz w:val="18"/>
        </w:rPr>
        <w:t>——————————————————————————————————————————————————————————————————————</w:t>
      </w:r>
    </w:p>
    <w:p>
      <w:pPr>
        <w:spacing w:before="160" w:after="40" w:line="240" w:lineRule="auto"/>
      </w:pPr>
      <w:r>
        <w:rPr>
          <w:b/>
        </w:rPr>
        <w:t xml:space="preserve">[626] </w:t>
      </w:r>
      <w:hyperlink r:id="rId1656">
        <w:r>
          <w:rPr>
            <w:color w:val="1155CC"/>
            <w:u w:val="single"/>
          </w:rPr>
          <w:t>超越皱纹</w:t>
        </w:r>
      </w:hyperlink>
    </w:p>
    <w:p>
      <w:pPr>
        <w:spacing w:before="0" w:after="80"/>
      </w:pPr>
      <w:r>
        <w:rPr>
          <w:i/>
          <w:sz w:val="20"/>
        </w:rPr>
        <w:t>EN: Beyond wrinkles</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57">
        <w:r>
          <w:rPr>
            <w:color w:val="1155CC"/>
            <w:u w:val="single"/>
          </w:rPr>
          <w:t>10.1126/science.aeh4348</w:t>
        </w:r>
      </w:hyperlink>
    </w:p>
    <w:p>
      <w:pPr>
        <w:spacing w:before="0" w:after="120"/>
      </w:pPr>
      <w:r>
        <w:rPr>
          <w:b/>
        </w:rPr>
        <w:t xml:space="preserve">Notes: </w:t>
      </w:r>
      <w:r>
        <w:t>abstract_source=crossref</w:t>
      </w:r>
    </w:p>
    <w:p>
      <w:pPr>
        <w:spacing w:before="0" w:after="80" w:lineRule="auto" w:line="276"/>
      </w:pPr>
      <w:r>
        <w:rPr>
          <w:b/>
        </w:rPr>
        <w:t xml:space="preserve">摘要（ZH）: </w:t>
      </w:r>
      <w:r>
        <w:t>皮肤微生物群能否塑造健康衰老？</w:t>
      </w:r>
    </w:p>
    <w:p>
      <w:pPr>
        <w:spacing w:before="0" w:after="200" w:lineRule="auto" w:line="276"/>
      </w:pPr>
      <w:r>
        <w:rPr>
          <w:b/>
        </w:rPr>
        <w:t xml:space="preserve">Abstract (EN): </w:t>
      </w:r>
      <w:r>
        <w:t>Can the skin microbiome shape healthy aging?</w:t>
      </w:r>
    </w:p>
    <w:p>
      <w:pPr>
        <w:spacing w:before="120" w:after="120"/>
      </w:pPr>
      <w:r>
        <w:rPr>
          <w:sz w:val="18"/>
        </w:rPr>
        <w:t>——————————————————————————————————————————————————————————————————————</w:t>
      </w:r>
    </w:p>
    <w:p>
      <w:pPr>
        <w:spacing w:before="160" w:after="40" w:line="240" w:lineRule="auto"/>
      </w:pPr>
      <w:r>
        <w:rPr>
          <w:b/>
        </w:rPr>
        <w:t xml:space="preserve">[627] </w:t>
      </w:r>
      <w:hyperlink r:id="rId1658">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59">
        <w:r>
          <w:rPr>
            <w:color w:val="1155CC"/>
            <w:u w:val="single"/>
          </w:rPr>
          <w:t>10.1126/science.ael7895</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[628] </w:t>
      </w:r>
      <w:hyperlink r:id="rId1660">
        <w:r>
          <w:rPr>
            <w:color w:val="1155CC"/>
            <w:u w:val="single"/>
          </w:rPr>
          <w:t>照顾自己的同时也照顾别人</w:t>
        </w:r>
      </w:hyperlink>
    </w:p>
    <w:p>
      <w:pPr>
        <w:spacing w:before="0" w:after="80"/>
      </w:pPr>
      <w:r>
        <w:rPr>
          <w:i/>
          <w:sz w:val="20"/>
        </w:rPr>
        <w:t>EN: Caring for myself while caring for others</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61">
        <w:r>
          <w:rPr>
            <w:color w:val="1155CC"/>
            <w:u w:val="single"/>
          </w:rPr>
          <w:t>10.1126/science.ael7896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[629] </w:t>
      </w:r>
      <w:hyperlink r:id="rId1662">
        <w:r>
          <w:rPr>
            <w:color w:val="1155CC"/>
            <w:u w:val="single"/>
          </w:rPr>
          <w:t>弱相互作用下的原子有序化</w:t>
        </w:r>
      </w:hyperlink>
    </w:p>
    <w:p>
      <w:pPr>
        <w:spacing w:before="0" w:after="80"/>
      </w:pPr>
      <w:r>
        <w:rPr>
          <w:i/>
          <w:sz w:val="20"/>
        </w:rPr>
        <w:t>EN: Ordering atoms on weak interaction</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63">
        <w:r>
          <w:rPr>
            <w:color w:val="1155CC"/>
            <w:u w:val="single"/>
          </w:rPr>
          <w:t>10.1126/science.aek4631</w:t>
        </w:r>
      </w:hyperlink>
    </w:p>
    <w:p>
      <w:pPr>
        <w:spacing w:before="0" w:after="120"/>
      </w:pPr>
      <w:r>
        <w:rPr>
          <w:b/>
        </w:rPr>
        <w:t xml:space="preserve">Notes: </w:t>
      </w:r>
      <w:r>
        <w:t>abstract_source=crossref</w:t>
      </w:r>
    </w:p>
    <w:p>
      <w:pPr>
        <w:spacing w:before="0" w:after="80" w:lineRule="auto" w:line="276"/>
      </w:pPr>
      <w:r>
        <w:rPr>
          <w:b/>
        </w:rPr>
        <w:t xml:space="preserve">摘要（ZH）: </w:t>
      </w:r>
      <w:r>
        <w:t>范德华相互作用引导单晶金属在二维半导体上的生长</w:t>
      </w:r>
    </w:p>
    <w:p>
      <w:pPr>
        <w:spacing w:before="0" w:after="200" w:lineRule="auto" w:line="276"/>
      </w:pPr>
      <w:r>
        <w:rPr>
          <w:b/>
        </w:rPr>
        <w:t xml:space="preserve">Abstract (EN): </w:t>
      </w:r>
      <w:r>
        <w:t>Van der Waals interaction guides the growth of single-crystal metals on two-dimensional semiconductors</w:t>
      </w:r>
    </w:p>
    <w:p>
      <w:pPr>
        <w:spacing w:before="120" w:after="120"/>
      </w:pPr>
      <w:r>
        <w:rPr>
          <w:sz w:val="18"/>
        </w:rPr>
        <w:t>——————————————————————————————————————————————————————————————————————</w:t>
      </w:r>
    </w:p>
    <w:p>
      <w:pPr>
        <w:spacing w:before="160" w:after="40" w:line="240" w:lineRule="auto"/>
      </w:pPr>
      <w:r>
        <w:rPr>
          <w:b/>
        </w:rPr>
        <w:t xml:space="preserve">[630] </w:t>
      </w:r>
      <w:hyperlink r:id="rId1664">
        <w:r>
          <w:rPr>
            <w:color w:val="1155CC"/>
            <w:u w:val="single"/>
          </w:rPr>
          <w:t>重新考虑货物，重新考虑承运人</w:t>
        </w:r>
      </w:hyperlink>
    </w:p>
    <w:p>
      <w:pPr>
        <w:spacing w:before="0" w:after="80"/>
      </w:pPr>
      <w:r>
        <w:rPr>
          <w:i/>
          <w:sz w:val="20"/>
        </w:rPr>
        <w:t>EN: Rethink the cargo, rethink the carrier</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65">
        <w:r>
          <w:rPr>
            <w:color w:val="1155CC"/>
            <w:u w:val="single"/>
          </w:rPr>
          <w:t>10.1126/science.aek3835</w:t>
        </w:r>
      </w:hyperlink>
    </w:p>
    <w:p>
      <w:pPr>
        <w:spacing w:before="0" w:after="120"/>
      </w:pPr>
      <w:r>
        <w:rPr>
          <w:b/>
        </w:rPr>
        <w:t xml:space="preserve">Notes: </w:t>
      </w:r>
      <w:r>
        <w:t>abstract_source=crossref</w:t>
      </w:r>
    </w:p>
    <w:p>
      <w:pPr>
        <w:spacing w:before="0" w:after="80" w:lineRule="auto" w:line="276"/>
      </w:pPr>
      <w:r>
        <w:rPr>
          <w:b/>
        </w:rPr>
        <w:t xml:space="preserve">摘要（ZH）: </w:t>
      </w:r>
      <w:r>
        <w:t>新的转移 RNA 药物需要重新设计的脂质纳米粒子进行递送</w:t>
      </w:r>
    </w:p>
    <w:p>
      <w:pPr>
        <w:spacing w:before="0" w:after="200" w:lineRule="auto" w:line="276"/>
      </w:pPr>
      <w:r>
        <w:rPr>
          <w:b/>
        </w:rPr>
        <w:t xml:space="preserve">Abstract (EN): </w:t>
      </w:r>
      <w:r>
        <w:t>New transfer RNA medicines require redesigned lipid nanoparticles for delivery</w:t>
      </w:r>
    </w:p>
    <w:p>
      <w:pPr>
        <w:spacing w:before="120" w:after="120"/>
      </w:pPr>
      <w:r>
        <w:rPr>
          <w:sz w:val="18"/>
        </w:rPr>
        <w:t>——————————————————————————————————————————————————————————————————————</w:t>
      </w:r>
    </w:p>
    <w:p>
      <w:pPr>
        <w:spacing w:before="160" w:after="40" w:line="240" w:lineRule="auto"/>
      </w:pPr>
      <w:r>
        <w:rPr>
          <w:b/>
        </w:rPr>
        <w:t xml:space="preserve">[631] </w:t>
      </w:r>
      <w:hyperlink r:id="rId1666">
        <w:r>
          <w:rPr>
            <w:color w:val="1155CC"/>
            <w:u w:val="single"/>
          </w:rPr>
          <w:t>沙漠洪水凸显了气候变化适应方面的关键差距</w:t>
        </w:r>
      </w:hyperlink>
    </w:p>
    <w:p>
      <w:pPr>
        <w:spacing w:before="0" w:after="80"/>
      </w:pPr>
      <w:r>
        <w:rPr>
          <w:i/>
          <w:sz w:val="20"/>
        </w:rPr>
        <w:t>EN: Desert flooding highlights a critical gap in climate change adaptation</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67">
        <w:r>
          <w:rPr>
            <w:color w:val="1155CC"/>
            <w:u w:val="single"/>
          </w:rPr>
          <w:t>10.1126/science.aek8173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[632] </w:t>
      </w:r>
      <w:hyperlink r:id="rId1668">
        <w:r>
          <w:rPr>
            <w:color w:val="1155CC"/>
            <w:u w:val="single"/>
          </w:rPr>
          <w:t>珊瑚记录表明全球变暖正在加剧厄尔尼诺现象</w:t>
        </w:r>
      </w:hyperlink>
    </w:p>
    <w:p>
      <w:pPr>
        <w:spacing w:before="0" w:after="80"/>
      </w:pPr>
      <w:r>
        <w:rPr>
          <w:i/>
          <w:sz w:val="20"/>
        </w:rPr>
        <w:t>EN: Coral records suggest global warming is strengthening El Niño</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69">
        <w:r>
          <w:rPr>
            <w:color w:val="1155CC"/>
            <w:u w:val="single"/>
          </w:rPr>
          <w:t>10.1126/science.ael8351</w:t>
        </w:r>
      </w:hyperlink>
    </w:p>
    <w:p>
      <w:pPr>
        <w:spacing w:before="0" w:after="120"/>
      </w:pPr>
      <w:r>
        <w:rPr>
          <w:b/>
        </w:rPr>
        <w:t xml:space="preserve">Notes: </w:t>
      </w:r>
      <w:r>
        <w:t>abstract_source=crossref</w:t>
      </w:r>
    </w:p>
    <w:p>
      <w:pPr>
        <w:spacing w:before="0" w:after="80" w:lineRule="auto" w:line="276"/>
      </w:pPr>
      <w:r>
        <w:rPr>
          <w:b/>
        </w:rPr>
        <w:t xml:space="preserve">摘要（ZH）: </w:t>
      </w:r>
      <w:r>
        <w:t>这一发现预示着太平洋气候周期将带来更大的天气干扰</w:t>
      </w:r>
    </w:p>
    <w:p>
      <w:pPr>
        <w:spacing w:before="0" w:after="200" w:lineRule="auto" w:line="276"/>
      </w:pPr>
      <w:r>
        <w:rPr>
          <w:b/>
        </w:rPr>
        <w:t xml:space="preserve">Abstract (EN): </w:t>
      </w:r>
      <w:r>
        <w:t>Finding bodes greater weather disruptions from the Pacific climate cycle</w:t>
      </w:r>
    </w:p>
    <w:p>
      <w:pPr>
        <w:spacing w:before="120" w:after="120"/>
      </w:pPr>
      <w:r>
        <w:rPr>
          <w:sz w:val="18"/>
        </w:rPr>
        <w:t>——————————————————————————————————————————————————————————————————————</w:t>
      </w:r>
    </w:p>
    <w:p>
      <w:pPr>
        <w:spacing w:before="160" w:after="40" w:line="240" w:lineRule="auto"/>
      </w:pPr>
      <w:r>
        <w:rPr>
          <w:b/>
        </w:rPr>
        <w:t xml:space="preserve">[633] </w:t>
      </w:r>
      <w:hyperlink r:id="rId1670">
        <w:r>
          <w:rPr>
            <w:color w:val="1155CC"/>
            <w:u w:val="single"/>
          </w:rPr>
          <w:t>轨道炼金术</w:t>
        </w:r>
      </w:hyperlink>
    </w:p>
    <w:p>
      <w:pPr>
        <w:spacing w:before="0" w:after="80"/>
      </w:pPr>
      <w:r>
        <w:rPr>
          <w:i/>
          <w:sz w:val="20"/>
        </w:rPr>
        <w:t>EN: Orbital alchemy</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71">
        <w:r>
          <w:rPr>
            <w:color w:val="1155CC"/>
            <w:u w:val="single"/>
          </w:rPr>
          <w:t>10.1126/science.ael8347</w:t>
        </w:r>
      </w:hyperlink>
    </w:p>
    <w:p>
      <w:pPr>
        <w:spacing w:before="0" w:after="120"/>
      </w:pPr>
      <w:r>
        <w:rPr>
          <w:b/>
        </w:rPr>
        <w:t xml:space="preserve">Notes: </w:t>
      </w:r>
      <w:r>
        <w:t>abstract_source=crossref</w:t>
      </w:r>
    </w:p>
    <w:p>
      <w:pPr>
        <w:spacing w:before="0" w:after="80" w:lineRule="auto" w:line="276"/>
      </w:pPr>
      <w:r>
        <w:rPr>
          <w:b/>
        </w:rPr>
        <w:t xml:space="preserve">摘要（ZH）: </w:t>
      </w:r>
      <w:r>
        <w:t>成熟的太空实验室和更便宜的发射激发了在轨道上制造药物和组织的梦想</w:t>
      </w:r>
    </w:p>
    <w:p>
      <w:pPr>
        <w:spacing w:before="0" w:after="200" w:lineRule="auto" w:line="276"/>
      </w:pPr>
      <w:r>
        <w:rPr>
          <w:b/>
        </w:rPr>
        <w:t xml:space="preserve">Abstract (EN): </w:t>
      </w:r>
      <w:r>
        <w:t>Maturing space labs and cheaper launches fuel dreams of manufacturing drugs and tissues in orbit</w:t>
      </w:r>
    </w:p>
    <w:p>
      <w:pPr>
        <w:spacing w:before="120" w:after="120"/>
      </w:pPr>
      <w:r>
        <w:rPr>
          <w:sz w:val="18"/>
        </w:rPr>
        <w:t>——————————————————————————————————————————————————————————————————————</w:t>
      </w:r>
    </w:p>
    <w:p>
      <w:pPr>
        <w:spacing w:before="160" w:after="40" w:line="240" w:lineRule="auto"/>
      </w:pPr>
      <w:r>
        <w:rPr>
          <w:b/>
        </w:rPr>
        <w:t xml:space="preserve">[634] </w:t>
      </w:r>
      <w:hyperlink r:id="rId1672">
        <w:r>
          <w:rPr>
            <w:color w:val="1155CC"/>
            <w:u w:val="single"/>
          </w:rPr>
          <w:t>RNA结构预测的棘手问题</w:t>
        </w:r>
      </w:hyperlink>
    </w:p>
    <w:p>
      <w:pPr>
        <w:spacing w:before="0" w:after="80"/>
      </w:pPr>
      <w:r>
        <w:rPr>
          <w:i/>
          <w:sz w:val="20"/>
        </w:rPr>
        <w:t>EN: The knotty problem of RNA structure prediction</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73">
        <w:r>
          <w:rPr>
            <w:color w:val="1155CC"/>
            <w:u w:val="single"/>
          </w:rPr>
          <w:t>10.1126/science.aek4499</w:t>
        </w:r>
      </w:hyperlink>
    </w:p>
    <w:p>
      <w:pPr>
        <w:spacing w:before="0" w:after="120"/>
      </w:pPr>
      <w:r>
        <w:rPr>
          <w:b/>
        </w:rPr>
        <w:t xml:space="preserve">Notes: </w:t>
      </w:r>
      <w:r>
        <w:t>abstract_source=crossref</w:t>
      </w:r>
    </w:p>
    <w:p>
      <w:pPr>
        <w:spacing w:before="0" w:after="80" w:lineRule="auto" w:line="276"/>
      </w:pPr>
      <w:r>
        <w:rPr>
          <w:b/>
        </w:rPr>
        <w:t xml:space="preserve">摘要（ZH）: </w:t>
      </w:r>
      <w:r>
        <w:t>人工智能使 RNA 假结的设计成为可能</w:t>
      </w:r>
    </w:p>
    <w:p>
      <w:pPr>
        <w:spacing w:before="0" w:after="200" w:lineRule="auto" w:line="276"/>
      </w:pPr>
      <w:r>
        <w:rPr>
          <w:b/>
        </w:rPr>
        <w:t xml:space="preserve">Abstract (EN): </w:t>
      </w:r>
      <w:r>
        <w:t>Artificial intelligence enables the design of RNA pseudoknots</w:t>
      </w:r>
    </w:p>
    <w:p>
      <w:pPr>
        <w:spacing w:before="120" w:after="120"/>
      </w:pPr>
      <w:r>
        <w:rPr>
          <w:sz w:val="18"/>
        </w:rPr>
        <w:t>——————————————————————————————————————————————————————————————————————</w:t>
      </w:r>
    </w:p>
    <w:p>
      <w:pPr>
        <w:spacing w:before="160" w:after="40" w:line="240" w:lineRule="auto"/>
      </w:pPr>
      <w:r>
        <w:rPr>
          <w:b/>
        </w:rPr>
        <w:t xml:space="preserve">[635] </w:t>
      </w:r>
      <w:hyperlink r:id="rId1674">
        <w:r>
          <w:rPr>
            <w:color w:val="1155CC"/>
            <w:u w:val="single"/>
          </w:rPr>
          <w:t>呼吁为饱受战争蹂躏的苏丹埃尔奥贝德提供公共卫生支持</w:t>
        </w:r>
      </w:hyperlink>
    </w:p>
    <w:p>
      <w:pPr>
        <w:spacing w:before="0" w:after="80"/>
      </w:pPr>
      <w:r>
        <w:rPr>
          <w:i/>
          <w:sz w:val="20"/>
        </w:rPr>
        <w:t>EN: A plea for public health support for war-torn El Obeid, Sudan</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75">
        <w:r>
          <w:rPr>
            <w:color w:val="1155CC"/>
            <w:u w:val="single"/>
          </w:rPr>
          <w:t>10.1126/science.aej9417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[636] </w:t>
      </w:r>
      <w:hyperlink r:id="rId1676">
        <w:r>
          <w:rPr>
            <w:color w:val="1155CC"/>
            <w:u w:val="single"/>
          </w:rPr>
          <w:t>致命的蜱传病毒在欧洲蔓延</w:t>
        </w:r>
      </w:hyperlink>
    </w:p>
    <w:p>
      <w:pPr>
        <w:spacing w:before="0" w:after="80"/>
      </w:pPr>
      <w:r>
        <w:rPr>
          <w:i/>
          <w:sz w:val="20"/>
        </w:rPr>
        <w:t>EN: Deadly tick-borne virus gains ground in Europe</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77">
        <w:r>
          <w:rPr>
            <w:color w:val="1155CC"/>
            <w:u w:val="single"/>
          </w:rPr>
          <w:t>10.1126/science.ael8352</w:t>
        </w:r>
      </w:hyperlink>
    </w:p>
    <w:p>
      <w:pPr>
        <w:spacing w:before="0" w:after="120"/>
      </w:pPr>
      <w:r>
        <w:rPr>
          <w:b/>
        </w:rPr>
        <w:t xml:space="preserve">Notes: </w:t>
      </w:r>
      <w:r>
        <w:t>abstract_source=crossref</w:t>
      </w:r>
    </w:p>
    <w:p>
      <w:pPr>
        <w:spacing w:before="0" w:after="80" w:lineRule="auto" w:line="276"/>
      </w:pPr>
      <w:r>
        <w:rPr>
          <w:b/>
        </w:rPr>
        <w:t xml:space="preserve">摘要（ZH）: </w:t>
      </w:r>
      <w:r>
        <w:t>科索沃的监测经验可以帮助其他国家在人类病例出现之前做好准备</w:t>
      </w:r>
    </w:p>
    <w:p>
      <w:pPr>
        <w:spacing w:before="0" w:after="200" w:lineRule="auto" w:line="276"/>
      </w:pPr>
      <w:r>
        <w:rPr>
          <w:b/>
        </w:rPr>
        <w:t xml:space="preserve">Abstract (EN): </w:t>
      </w:r>
      <w:r>
        <w:t>Kosovo’s surveillance experience could help other countries prepare before human cases appear</w:t>
      </w:r>
    </w:p>
    <w:p>
      <w:pPr>
        <w:spacing w:before="120" w:after="120"/>
      </w:pPr>
      <w:r>
        <w:rPr>
          <w:sz w:val="18"/>
        </w:rPr>
        <w:t>——————————————————————————————————————————————————————————————————————</w:t>
      </w:r>
    </w:p>
    <w:p>
      <w:pPr>
        <w:spacing w:before="160" w:after="40" w:line="240" w:lineRule="auto"/>
      </w:pPr>
      <w:r>
        <w:rPr>
          <w:b/>
        </w:rPr>
        <w:t xml:space="preserve">[637] </w:t>
      </w:r>
      <w:hyperlink r:id="rId1678">
        <w:r>
          <w:rPr>
            <w:color w:val="1155CC"/>
            <w:u w:val="single"/>
          </w:rPr>
          <w:t>通过酯与两个卡宾的连续偶联进行铁催化的[1+1+1]环丙烷化</w:t>
        </w:r>
      </w:hyperlink>
    </w:p>
    <w:p>
      <w:pPr>
        <w:spacing w:before="0" w:after="80"/>
      </w:pPr>
      <w:r>
        <w:rPr>
          <w:i/>
          <w:sz w:val="20"/>
        </w:rPr>
        <w:t>EN: Iron-catalyzed [1+1+1] cyclopropanation by sequential coupling of an ester to two carbenes</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79">
        <w:r>
          <w:rPr>
            <w:color w:val="1155CC"/>
            <w:u w:val="single"/>
          </w:rPr>
          <w:t>10.1126/science.aej0194</w:t>
        </w:r>
      </w:hyperlink>
    </w:p>
    <w:p>
      <w:pPr>
        <w:spacing w:before="0" w:after="120"/>
      </w:pPr>
      <w:r>
        <w:rPr>
          <w:b/>
        </w:rPr>
        <w:t xml:space="preserve">Notes: </w:t>
      </w:r>
      <w:r>
        <w:t>abstract_source=crossref</w:t>
      </w:r>
    </w:p>
    <w:p>
      <w:pPr>
        <w:spacing w:before="0" w:after="80" w:lineRule="auto" w:line="276"/>
      </w:pPr>
      <w:r>
        <w:rPr>
          <w:b/>
        </w:rPr>
        <w:t xml:space="preserve">摘要（ZH）: </w:t>
      </w:r>
      <w:r>
        <w:t>传统的贵金属催化受益于充分表征的内球基本步骤，其中单个络合物在金属中心结合和联合底物。相比之下，贱金属催化剂最近显示出通过迭代外球反应进行交叉偶联转化的能力，其中产物键的形成是通过向配体而不是金属的连续添加而发生的。尽管双组分外球反应出现了多样性，但类似的多组分外球耦合仍然很少。在这项研究中，我们描述了通过两个卡宾和酯之间的迭代外球反应，铁催化的环丙醇的[1+1+1]合成。该反应最初通过无痕定向烯化反应立体、区域和化学选择性地生成硅烯醇醚，可进一步利用该烯醇醚实现先前方法无法实现的转化。</w:t>
      </w:r>
    </w:p>
    <w:p>
      <w:pPr>
        <w:spacing w:before="0" w:after="200" w:lineRule="auto" w:line="276"/>
      </w:pPr>
      <w:r>
        <w:rPr>
          <w:b/>
        </w:rPr>
        <w:t xml:space="preserve">Abstract (EN): </w:t>
      </w:r>
      <w:r>
        <w:t>Traditional precious metal catalysis benefits from well-characterized inner-sphere elementary steps in which a single complex binds and unites substrates at the metal center. By contrast, base metal catalysts have recently demonstrated competence in cross-coupling transformations through iterative outer-sphere reactions in which product bond formation occurs by serial additions to the ligand, not the metal. Despite the emerging diversity of two-component outer-sphere reactions, comparable multicomponent outer-sphere couplings remain rare. In this study, we describe an iron-catalyzed [1+1+1] synthesis of cyclopropanols through iterative outer-sphere reactions between two carbenes and an ester. This reaction initially generates silyl enol ethers stereo-, regio-, and chemoselectively through a traceless, directed olefination that can be further exploited to enable transformations unavailable to prior methods.</w:t>
      </w:r>
    </w:p>
    <w:p>
      <w:pPr>
        <w:spacing w:before="120" w:after="120"/>
      </w:pPr>
      <w:r>
        <w:rPr>
          <w:sz w:val="18"/>
        </w:rPr>
        <w:t>——————————————————————————————————————————————————————————————————————</w:t>
      </w:r>
    </w:p>
    <w:p>
      <w:pPr>
        <w:spacing w:before="160" w:after="40" w:line="240" w:lineRule="auto"/>
      </w:pPr>
      <w:r>
        <w:rPr>
          <w:b/>
        </w:rPr>
        <w:t xml:space="preserve">[638] </w:t>
      </w:r>
      <w:hyperlink r:id="rId1680">
        <w:r>
          <w:rPr>
            <w:color w:val="1155CC"/>
            <w:u w:val="single"/>
          </w:rPr>
          <w:t>多发性硬化症。斯瓦米纳坦：养活印度的人</w:t>
        </w:r>
      </w:hyperlink>
    </w:p>
    <w:p>
      <w:pPr>
        <w:spacing w:before="0" w:after="80"/>
      </w:pPr>
      <w:r>
        <w:rPr>
          <w:i/>
          <w:sz w:val="20"/>
        </w:rPr>
        <w:t>EN: M.S. Swaminathan: The Man Who Fed India</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81">
        <w:r>
          <w:rPr>
            <w:color w:val="1155CC"/>
            <w:u w:val="single"/>
          </w:rPr>
          <w:t>10.1126/science.ael0871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[639] </w:t>
      </w:r>
      <w:hyperlink r:id="rId1682">
        <w:r>
          <w:rPr>
            <w:color w:val="1155CC"/>
            <w:u w:val="single"/>
          </w:rPr>
          <w:t>SGLT2 抑制剂激活人类心脏中的泛酸激酶</w:t>
        </w:r>
      </w:hyperlink>
    </w:p>
    <w:p>
      <w:pPr>
        <w:spacing w:before="0" w:after="80"/>
      </w:pPr>
      <w:r>
        <w:rPr>
          <w:i/>
          <w:sz w:val="20"/>
        </w:rPr>
        <w:t>EN: SGLT2 inhibitors activate pantothenate kinase in the human heart</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83">
        <w:r>
          <w:rPr>
            <w:color w:val="1155CC"/>
            <w:u w:val="single"/>
          </w:rPr>
          <w:t>10.1126/science.aeh4856</w:t>
        </w:r>
      </w:hyperlink>
    </w:p>
    <w:p>
      <w:pPr>
        <w:spacing w:before="0" w:after="120"/>
      </w:pPr>
      <w:r>
        <w:rPr>
          <w:b/>
        </w:rPr>
        <w:t xml:space="preserve">Notes: </w:t>
      </w:r>
      <w:r>
        <w:t>abstract_source=crossref</w:t>
      </w:r>
    </w:p>
    <w:p>
      <w:pPr>
        <w:spacing w:before="0" w:after="80" w:lineRule="auto" w:line="276"/>
      </w:pPr>
      <w:r>
        <w:rPr>
          <w:b/>
        </w:rPr>
        <w:t xml:space="preserve">摘要（ZH）: </w:t>
      </w:r>
      <w:r>
        <w:t>钠-葡萄糖协同转运蛋白 2 抑制剂 (SGLT2i) 可降低心力衰竭的死亡率，但其药理学靶点仍不清楚。在这项研究中，我们发现 SGLT2i 直接激活泛酸激酶 1 (PANK1)，泛酸激酶 1 是辅酶 A (CoA) 合成中的限速酶。通过使用稳定同位素输注，我们确定 SGLT2i 激活 CoA 合成并广泛刺激人体心脏组织中的燃料使用。我们还证明，SGLT2i 在生理浓度下结合 PANK1，直接诱导构象变化并增加酶活性。计算机模型确定了 SGLT2i 与 PANK1 结合的位点，并通过氨基酸诱变证实了这一点。最后，我们证明 SGLT2i 介导的 PANK 激活对于增加人类心肌细胞的收缩性是必要且充分的。总之，我们证明了 PANK1 的脱靶激活和 SGLT2i 促进 CoA 合成，这可能解释了它们显着的临床益处。</w:t>
      </w:r>
    </w:p>
    <w:p>
      <w:pPr>
        <w:spacing w:before="0" w:after="200" w:lineRule="auto" w:line="276"/>
      </w:pPr>
      <w:r>
        <w:rPr>
          <w:b/>
        </w:rPr>
        <w:t xml:space="preserve">Abstract (EN): </w:t>
      </w:r>
      <w:r>
        <w:t>Sodium-glucose cotransporter 2 inhibitors (SGLT2i) reduce mortality in heart failure, but their pharmacological target remains unclear. In this study, we showed that SGLT2i directly activate pantothenate kinase 1 (PANK1), the rate-limiting enzyme in coenzyme A (CoA) synthesis. Using stable isotope infusions, we established that SGLT2i activate CoA synthesis and broadly stimulate fuel use in human cardiac tissue. We also demonstrated that SGLT2i bind PANK1 at physiological concentrations, directly inducing conformational changes and increasing enzymatic activity. In silico modeling identified the site of SGLT2i binding on PANK1, which was confirmed by amino acid mutagenesis. Finally, we showed that SGLT2i-mediated PANK activation is necessary and sufficient to increase contractility of human cardiomyocytes. In summary, we demonstrate off-target activation of PANK1 and promotion of CoA synthesis by SGLT2i, which may explain their marked clinical benefits.</w:t>
      </w:r>
    </w:p>
    <w:p>
      <w:pPr>
        <w:spacing w:before="120" w:after="120"/>
      </w:pPr>
      <w:r>
        <w:rPr>
          <w:sz w:val="18"/>
        </w:rPr>
        <w:t>——————————————————————————————————————————————————————————————————————</w:t>
      </w:r>
    </w:p>
    <w:p>
      <w:pPr>
        <w:spacing w:before="160" w:after="40" w:line="240" w:lineRule="auto"/>
      </w:pPr>
      <w:r>
        <w:rPr>
          <w:b/>
        </w:rPr>
        <w:t xml:space="preserve">[640] </w:t>
      </w:r>
      <w:hyperlink r:id="rId1684">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85">
        <w:r>
          <w:rPr>
            <w:color w:val="1155CC"/>
            <w:u w:val="single"/>
          </w:rPr>
          <w:t>10.1126/science.ael7894</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[641] </w:t>
      </w:r>
      <w:hyperlink r:id="rId1686">
        <w:r>
          <w:rPr>
            <w:color w:val="1155CC"/>
            <w:u w:val="single"/>
          </w:rPr>
          <w:t>镰状细胞病的历史和未来</w:t>
        </w:r>
      </w:hyperlink>
    </w:p>
    <w:p>
      <w:pPr>
        <w:spacing w:before="0" w:after="80"/>
      </w:pPr>
      <w:r>
        <w:rPr>
          <w:i/>
          <w:sz w:val="20"/>
        </w:rPr>
        <w:t>EN: The history and future of sickle cell disease</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87">
        <w:r>
          <w:rPr>
            <w:color w:val="1155CC"/>
            <w:u w:val="single"/>
          </w:rPr>
          <w:t>10.1126/science.aej0154</w:t>
        </w:r>
      </w:hyperlink>
    </w:p>
    <w:p>
      <w:pPr>
        <w:spacing w:before="0" w:after="120"/>
      </w:pPr>
      <w:r>
        <w:rPr>
          <w:b/>
        </w:rPr>
        <w:t xml:space="preserve">Notes: </w:t>
      </w:r>
      <w:r>
        <w:t>abstract_source=crossref</w:t>
      </w:r>
    </w:p>
    <w:p>
      <w:pPr>
        <w:spacing w:before="0" w:after="80" w:lineRule="auto" w:line="276"/>
      </w:pPr>
      <w:r>
        <w:rPr>
          <w:b/>
        </w:rPr>
        <w:t xml:space="preserve">摘要（ZH）: </w:t>
      </w:r>
      <w:r>
        <w:t>有前途的新基因疗法已经到来，但现在宣称医学上的胜利还为时过早</w:t>
      </w:r>
    </w:p>
    <w:p>
      <w:pPr>
        <w:spacing w:before="0" w:after="200" w:lineRule="auto" w:line="276"/>
      </w:pPr>
      <w:r>
        <w:rPr>
          <w:b/>
        </w:rPr>
        <w:t xml:space="preserve">Abstract (EN): </w:t>
      </w:r>
      <w:r>
        <w:t>Promising new gene therapies have arrived, but it is too soon to claim a medical victory</w:t>
      </w:r>
    </w:p>
    <w:p>
      <w:pPr>
        <w:spacing w:before="120" w:after="120"/>
      </w:pPr>
      <w:r>
        <w:rPr>
          <w:sz w:val="18"/>
        </w:rPr>
        <w:t>——————————————————————————————————————————————————————————————————————</w:t>
      </w:r>
    </w:p>
    <w:p>
      <w:pPr>
        <w:spacing w:before="160" w:after="40" w:line="240" w:lineRule="auto"/>
      </w:pPr>
      <w:r>
        <w:rPr>
          <w:b/>
        </w:rPr>
        <w:t xml:space="preserve">[642] </w:t>
      </w:r>
      <w:hyperlink r:id="rId1688">
        <w:r>
          <w:rPr>
            <w:color w:val="1155CC"/>
            <w:u w:val="single"/>
          </w:rPr>
          <w:t>儿童健康研究所新任所长与 MAHA 有联系</w:t>
        </w:r>
      </w:hyperlink>
    </w:p>
    <w:p>
      <w:pPr>
        <w:spacing w:before="0" w:after="80"/>
      </w:pPr>
      <w:r>
        <w:rPr>
          <w:i/>
          <w:sz w:val="20"/>
        </w:rPr>
        <w:t>EN: New chief of child health institute has MAHA ties</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89">
        <w:r>
          <w:rPr>
            <w:color w:val="1155CC"/>
            <w:u w:val="single"/>
          </w:rPr>
          <w:t>10.1126/science.ael8354</w:t>
        </w:r>
      </w:hyperlink>
    </w:p>
    <w:p>
      <w:pPr>
        <w:spacing w:before="0" w:after="120"/>
      </w:pPr>
      <w:r>
        <w:rPr>
          <w:b/>
        </w:rPr>
        <w:t xml:space="preserve">Notes: </w:t>
      </w:r>
      <w:r>
        <w:t>abstract_source=crossref</w:t>
      </w:r>
    </w:p>
    <w:p>
      <w:pPr>
        <w:spacing w:before="0" w:after="80" w:lineRule="auto" w:line="276"/>
      </w:pPr>
      <w:r>
        <w:rPr>
          <w:b/>
        </w:rPr>
        <w:t xml:space="preserve">摘要（ZH）: </w:t>
      </w:r>
      <w:r>
        <w:t>约翰·盖塔尼斯的任命引发了人们对政治正在推动领导层选择的担忧</w:t>
      </w:r>
    </w:p>
    <w:p>
      <w:pPr>
        <w:spacing w:before="0" w:after="200" w:lineRule="auto" w:line="276"/>
      </w:pPr>
      <w:r>
        <w:rPr>
          <w:b/>
        </w:rPr>
        <w:t xml:space="preserve">Abstract (EN): </w:t>
      </w:r>
      <w:r>
        <w:t>Appointment of John Gaitanis draws concern that politics is driving leadership picks</w:t>
      </w:r>
    </w:p>
    <w:p>
      <w:pPr>
        <w:spacing w:before="120" w:after="120"/>
      </w:pPr>
      <w:r>
        <w:rPr>
          <w:sz w:val="18"/>
        </w:rPr>
        <w:t>——————————————————————————————————————————————————————————————————————</w:t>
      </w:r>
    </w:p>
    <w:p>
      <w:pPr>
        <w:spacing w:before="160" w:after="40" w:line="240" w:lineRule="auto"/>
      </w:pPr>
      <w:r>
        <w:rPr>
          <w:b/>
        </w:rPr>
        <w:t xml:space="preserve">[643] </w:t>
      </w:r>
      <w:hyperlink r:id="rId1690">
        <w:r>
          <w:rPr>
            <w:color w:val="1155CC"/>
            <w:u w:val="single"/>
          </w:rPr>
          <w:t>隧道场效应晶体管表现出超越玻尔兹曼热电子极限的性能</w:t>
        </w:r>
      </w:hyperlink>
    </w:p>
    <w:p>
      <w:pPr>
        <w:spacing w:before="0" w:after="80"/>
      </w:pPr>
      <w:r>
        <w:rPr>
          <w:i/>
          <w:sz w:val="20"/>
        </w:rPr>
        <w:t>EN: Tunnel field-effect transistors exhibiting performance beyond the Boltzmann thermionic limit</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91">
        <w:r>
          <w:rPr>
            <w:color w:val="1155CC"/>
            <w:u w:val="single"/>
          </w:rPr>
          <w:t>10.1126/science.adx6059</w:t>
        </w:r>
      </w:hyperlink>
    </w:p>
    <w:p>
      <w:pPr>
        <w:spacing w:before="0" w:after="120"/>
      </w:pPr>
      <w:r>
        <w:rPr>
          <w:b/>
        </w:rPr>
        <w:t xml:space="preserve">Notes: </w:t>
      </w:r>
      <w:r>
        <w:t>abstract_source=crossref</w:t>
      </w:r>
    </w:p>
    <w:p>
      <w:pPr>
        <w:spacing w:before="0" w:after="80" w:lineRule="auto" w:line="276"/>
      </w:pPr>
      <w:r>
        <w:rPr>
          <w:b/>
        </w:rPr>
        <w:t xml:space="preserve">摘要（ZH）: </w:t>
      </w:r>
      <w:r>
        <w:t>国际器件和系统路线图 (IRDS) 已将隧道场效应晶体管 (TFET) 确定为最有前途的下一代逻辑器件，可实现驱动电压和功耗的可持续降低。展示可接受的亚玻尔兹曼极限导通电流（即</w:t>
      </w:r>
      <w:r>
        <w:t xml:space="preserve"> </w:t>
      </w:r>
      <w:r>
        <w:t>我</w:t>
      </w:r>
      <w:r>
        <w:rPr>
          <w:vertAlign w:val="subscript"/>
        </w:rPr>
        <w:t>60</w:t>
      </w:r>
      <w:r>
        <w:t>（TFET 切换到每十倍频程 60 毫伏的亚阈值摆幅水平时的电流水平）和电流开关比提出了巨大的挑战。我们报告了一种基于铋/硒化铟 (Bi/InSe) 异质结构的 TFET，该异质结构表现出</w:t>
      </w:r>
      <w:r>
        <w:t xml:space="preserve"> </w:t>
      </w:r>
      <w:r>
        <w:t>我</w:t>
      </w:r>
      <w:r>
        <w:rPr>
          <w:vertAlign w:val="subscript"/>
        </w:rPr>
        <w:t>60</w:t>
      </w:r>
      <w:r>
        <w:t>高达每微米约 10 微安，电流开关比 &gt;10</w:t>
      </w:r>
      <w:r>
        <w:rPr>
          <w:vertAlign w:val="subscript"/>
        </w:rPr>
        <w:t>7</w:t>
      </w:r>
      <w:r>
        <w:t>。我们将这种有前途的 TFET 归因于精确的材料设计、真空下制造的清洁界面以及基于亚阈值摆动物理学的能带工程。我们的结果展示了一种高性能的基本构建模块，可以满足下一代集成电路的 IRDS 要求。</w:t>
      </w:r>
    </w:p>
    <w:p>
      <w:pPr>
        <w:spacing w:before="0" w:after="200" w:lineRule="auto" w:line="276"/>
      </w:pPr>
      <w:r>
        <w:rPr>
          <w:b/>
        </w:rPr>
        <w:t xml:space="preserve">Abstract (EN): </w:t>
      </w:r>
      <w:r>
        <w:t>The International Roadmap for Devices and Systems (IRDS) has identified the tunnel field-effect transistor (TFET) as the most promising next-generation logic device that enables sustainable downscaling in driving voltage and power consumption. Demonstrating an acceptable sub–Boltzmann-limit ON current (namely</w:t>
      </w:r>
      <w:r>
        <w:t xml:space="preserve"> </w:t>
      </w:r>
      <w:r>
        <w:t>I</w:t>
      </w:r>
      <w:r>
        <w:rPr>
          <w:vertAlign w:val="subscript"/>
        </w:rPr>
        <w:t>60</w:t>
      </w:r>
      <w:r>
        <w:t>, the current level when a TFET switches to a subthreshold swing level of 60 millivolts per decade) and current-switching ratio has presented a formidable challenge. We report a TFET based on a bismuth/indium selenide (Bi/InSe) heterostructure that exhibits an</w:t>
      </w:r>
      <w:r>
        <w:t xml:space="preserve"> </w:t>
      </w:r>
      <w:r>
        <w:t>I</w:t>
      </w:r>
      <w:r>
        <w:rPr>
          <w:vertAlign w:val="subscript"/>
        </w:rPr>
        <w:t>60</w:t>
      </w:r>
      <w:r>
        <w:t>of up to ~10 microamperes per micrometer and a current-switching ratio of &amp;gt;10</w:t>
      </w:r>
      <w:r>
        <w:rPr>
          <w:vertAlign w:val="subscript"/>
        </w:rPr>
        <w:t>7</w:t>
      </w:r>
      <w:r>
        <w:t>. We attribute such promising TFETs to precise material design, clean interfaces fabricated under vacuum, and band engineering based on subthreshold swing physics. Our results demonstrate a high-performance basic building block that meets the IRDS requirements for next-generation integrated circuits.</w:t>
      </w:r>
    </w:p>
    <w:p>
      <w:pPr>
        <w:spacing w:before="120" w:after="120"/>
      </w:pPr>
      <w:r>
        <w:rPr>
          <w:sz w:val="18"/>
        </w:rPr>
        <w:t>——————————————————————————————————————————————————————————————————————</w:t>
      </w:r>
    </w:p>
    <w:p>
      <w:pPr>
        <w:spacing w:before="160" w:after="40" w:line="240" w:lineRule="auto"/>
      </w:pPr>
      <w:r>
        <w:rPr>
          <w:b/>
        </w:rPr>
        <w:t xml:space="preserve">[644] </w:t>
      </w:r>
      <w:hyperlink r:id="rId1692">
        <w:r>
          <w:rPr>
            <w:color w:val="1155CC"/>
            <w:u w:val="single"/>
          </w:rPr>
          <w:t>高效率、长寿命无铅钙钛矿发光二极管</w:t>
        </w:r>
      </w:hyperlink>
    </w:p>
    <w:p>
      <w:pPr>
        <w:spacing w:before="0" w:after="80"/>
      </w:pPr>
      <w:r>
        <w:rPr>
          <w:i/>
          <w:sz w:val="20"/>
        </w:rPr>
        <w:t>EN: High-efficiency, long-lived lead-free perovskite light-emitting diodes</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93">
        <w:r>
          <w:rPr>
            <w:color w:val="1155CC"/>
            <w:u w:val="single"/>
          </w:rPr>
          <w:t>10.1126/science.aeg8955</w:t>
        </w:r>
      </w:hyperlink>
    </w:p>
    <w:p>
      <w:pPr>
        <w:spacing w:before="0" w:after="120"/>
      </w:pPr>
      <w:r>
        <w:rPr>
          <w:b/>
        </w:rPr>
        <w:t xml:space="preserve">Notes: </w:t>
      </w:r>
      <w:r>
        <w:t>abstract_source=crossref</w:t>
      </w:r>
    </w:p>
    <w:p>
      <w:pPr>
        <w:spacing w:before="0" w:after="80" w:lineRule="auto" w:line="276"/>
      </w:pPr>
      <w:r>
        <w:rPr>
          <w:b/>
        </w:rPr>
        <w:t xml:space="preserve">摘要（ZH）: </w:t>
      </w:r>
      <w:r>
        <w:t>卤化锡钙钛矿发光二极管（PeLED）因其溶液可加工性和低毒性而具有前景，但效率低且稳定性差阻碍了实际应用。我们发现 CsSnI 中的电致发光失效</w:t>
      </w:r>
      <w:r>
        <w:rPr>
          <w:vertAlign w:val="subscript"/>
        </w:rPr>
        <w:t>3</w:t>
      </w:r>
      <w:r>
        <w:t>主要是由过量的空穴注入触发的电化学 Sn 驱动的</w:t>
      </w:r>
      <w:r>
        <w:t xml:space="preserve"> </w:t>
      </w:r>
      <w:r>
        <w:t>2+</w:t>
      </w:r>
      <w:r>
        <w:t xml:space="preserve"> </w:t>
      </w:r>
      <w:r>
        <w:t>氧化和不可逆相变到 Cs</w:t>
      </w:r>
      <w:r>
        <w:rPr>
          <w:vertAlign w:val="subscript"/>
        </w:rPr>
        <w:t>2</w:t>
      </w:r>
      <w:r>
        <w:t>碘化锡</w:t>
      </w:r>
      <w:r>
        <w:rPr>
          <w:vertAlign w:val="subscript"/>
        </w:rPr>
        <w:t>6</w:t>
      </w:r>
      <w:r>
        <w:t>。通过将甲脒掺杂与三苯基膦氧化物修饰相结合的双面优化策略来稳定钙钛矿晶格、抑制非辐射复合和平衡载流子传输，我们展示了高效的近红外PeLED。这些无铅器件在 963 纳米处实现了 21.2% 的峰值外部量子效率，最大辐射亮度为 195.8 瓦每球面度每平方米 (W sr</w:t>
      </w:r>
      <w:r>
        <w:t xml:space="preserve"> </w:t>
      </w:r>
      <w:r>
        <w:t>−1</w:t>
      </w:r>
      <w:r>
        <w:t xml:space="preserve"> </w:t>
      </w:r>
      <w:r>
        <w:t>米</w:t>
      </w:r>
      <w:r>
        <w:t xml:space="preserve"> </w:t>
      </w:r>
      <w:r>
        <w:t>−2</w:t>
      </w:r>
      <w:r>
        <w:t xml:space="preserve"> </w:t>
      </w:r>
      <w:r>
        <w:t>）。值得注意的是，工作半衰期在 7.1 W sr 时达到 920.5 小时</w:t>
      </w:r>
      <w:r>
        <w:t xml:space="preserve"> </w:t>
      </w:r>
      <w:r>
        <w:t>−1</w:t>
      </w:r>
      <w:r>
        <w:t xml:space="preserve"> </w:t>
      </w:r>
      <w:r>
        <w:t>米</w:t>
      </w:r>
      <w:r>
        <w:t xml:space="preserve"> </w:t>
      </w:r>
      <w:r>
        <w:t>−2</w:t>
      </w:r>
      <w:r>
        <w:t xml:space="preserve"> </w:t>
      </w:r>
      <w:r>
        <w:t>，为高性能无铅 PeLED 提供途径。</w:t>
      </w:r>
    </w:p>
    <w:p>
      <w:pPr>
        <w:spacing w:before="0" w:after="200" w:lineRule="auto" w:line="276"/>
      </w:pPr>
      <w:r>
        <w:rPr>
          <w:b/>
        </w:rPr>
        <w:t xml:space="preserve">Abstract (EN): </w:t>
      </w:r>
      <w:r>
        <w:t>Tin halide perovskite light-emitting diodes (PeLEDs) offer promise due to their solution processability and low toxicity, yet low efficiency and poor stability hinder practical use. We found that electroluminescence failure in CsSnI</w:t>
      </w:r>
      <w:r>
        <w:rPr>
          <w:vertAlign w:val="subscript"/>
        </w:rPr>
        <w:t>3</w:t>
      </w:r>
      <w:r>
        <w:t>is primarily driven by excessive hole injection–triggered electrochemical Sn</w:t>
      </w:r>
      <w:r>
        <w:t xml:space="preserve"> </w:t>
      </w:r>
      <w:r>
        <w:t>2+</w:t>
      </w:r>
      <w:r>
        <w:t xml:space="preserve"> </w:t>
      </w:r>
      <w:r>
        <w:t>oxidation and an irreversible phase transition to Cs</w:t>
      </w:r>
      <w:r>
        <w:rPr>
          <w:vertAlign w:val="subscript"/>
        </w:rPr>
        <w:t>2</w:t>
      </w:r>
      <w:r>
        <w:t>SnI</w:t>
      </w:r>
      <w:r>
        <w:rPr>
          <w:vertAlign w:val="subscript"/>
        </w:rPr>
        <w:t>6</w:t>
      </w:r>
      <w:r>
        <w:t>. Through a dual-side optimization strategy combining formamidine doping with triphenylphosphine oxide modification to stabilize the perovskite lattice, suppress nonradiative recombination, and balance carrier transport, we demonstrate highly efficient near-infrared PeLEDs. These lead-free devices achieve a peak external quantum efficiency of 21.2% at 963 nanometers and a maximum radiance of 195.8 watts per steradian per square meter (W sr</w:t>
      </w:r>
      <w:r>
        <w:t xml:space="preserve"> </w:t>
      </w:r>
      <w:r>
        <w:t>−1</w:t>
      </w:r>
      <w:r>
        <w:t xml:space="preserve"> </w:t>
      </w:r>
      <w:r>
        <w:t>m</w:t>
      </w:r>
      <w:r>
        <w:t xml:space="preserve"> </w:t>
      </w:r>
      <w:r>
        <w:t>−2</w:t>
      </w:r>
      <w:r>
        <w:t xml:space="preserve"> </w:t>
      </w:r>
      <w:r>
        <w:t>). Notably, the operating half-lifetime reaches 920.5 hours at 7.1 W sr</w:t>
      </w:r>
      <w:r>
        <w:t xml:space="preserve"> </w:t>
      </w:r>
      <w:r>
        <w:t>−1</w:t>
      </w:r>
      <w:r>
        <w:t xml:space="preserve"> </w:t>
      </w:r>
      <w:r>
        <w:t>m</w:t>
      </w:r>
      <w:r>
        <w:t xml:space="preserve"> </w:t>
      </w:r>
      <w:r>
        <w:t>−2</w:t>
      </w:r>
      <w:r>
        <w:t xml:space="preserve"> </w:t>
      </w:r>
      <w:r>
        <w:t>, providing pathways for high-performance lead-free PeLEDs.</w:t>
      </w:r>
    </w:p>
    <w:p>
      <w:pPr>
        <w:spacing w:before="120" w:after="120"/>
      </w:pPr>
      <w:r>
        <w:rPr>
          <w:sz w:val="18"/>
        </w:rPr>
        <w:t>——————————————————————————————————————————————————————————————————————</w:t>
      </w:r>
    </w:p>
    <w:p>
      <w:pPr>
        <w:spacing w:before="160" w:after="40" w:line="240" w:lineRule="auto"/>
      </w:pPr>
      <w:r>
        <w:rPr>
          <w:b/>
        </w:rPr>
        <w:t xml:space="preserve">[645] </w:t>
      </w:r>
      <w:hyperlink r:id="rId1694">
        <w:r>
          <w:rPr>
            <w:color w:val="1155CC"/>
            <w:u w:val="single"/>
          </w:rPr>
          <w:t>三方遗传冲突系统控制水稻杂交不育</w:t>
        </w:r>
      </w:hyperlink>
    </w:p>
    <w:p>
      <w:pPr>
        <w:spacing w:before="0" w:after="80"/>
      </w:pPr>
      <w:r>
        <w:rPr>
          <w:i/>
          <w:sz w:val="20"/>
        </w:rPr>
        <w:t>EN: A tripartite genetic conflict system controls hybrid sterility in rice</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95">
        <w:r>
          <w:rPr>
            <w:color w:val="1155CC"/>
            <w:u w:val="single"/>
          </w:rPr>
          <w:t>10.1126/science.aec5252</w:t>
        </w:r>
      </w:hyperlink>
    </w:p>
    <w:p>
      <w:pPr>
        <w:spacing w:before="0" w:after="120"/>
      </w:pPr>
      <w:r>
        <w:rPr>
          <w:b/>
        </w:rPr>
        <w:t xml:space="preserve">Notes: </w:t>
      </w:r>
      <w:r>
        <w:t>abstract_source=crossref</w:t>
      </w:r>
    </w:p>
    <w:p>
      <w:pPr>
        <w:spacing w:before="0" w:after="80" w:lineRule="auto" w:line="276"/>
      </w:pPr>
      <w:r>
        <w:rPr>
          <w:b/>
        </w:rPr>
        <w:t xml:space="preserve">摘要（ZH）: </w:t>
      </w:r>
      <w:r>
        <w:t>亚非杂交水稻种间可以大幅提高产量，但受到严重的杂交不育性的限制。我们确定</w:t>
      </w:r>
      <w:r>
        <w:t xml:space="preserve"> </w:t>
      </w:r>
      <w:r>
        <w:t>右轴3</w:t>
      </w:r>
      <w:r>
        <w:t xml:space="preserve"> </w:t>
      </w:r>
      <w:r>
        <w:t>作为控制该性状的主要数量性状基因座。</w:t>
      </w:r>
      <w:r>
        <w:t xml:space="preserve"> </w:t>
      </w:r>
      <w:r>
        <w:t>右轴3</w:t>
      </w:r>
      <w:r>
        <w:t xml:space="preserve"> </w:t>
      </w:r>
      <w:r>
        <w:t>编码由 MAO、DUN 和 JIA 组成的三方毒素解毒系统，其中 MAO 充当毒素，通过破坏线粒体功能来终止配子，而 DUN 和 JIA 充当解毒剂，中和 MAO 毒性，从而赋予非洲等位基因传递优势。我们证明解毒依赖于通过形成 JIA-DUN-MAO 三联蛋白复合物的选择性自噬。我们推断从头开始的起源</w:t>
      </w:r>
      <w:r>
        <w:t xml:space="preserve"> </w:t>
      </w:r>
      <w:r>
        <w:t>右轴3</w:t>
      </w:r>
      <w:r>
        <w:t xml:space="preserve"> </w:t>
      </w:r>
      <w:r>
        <w:t>在 AA 基因组水稻谱系中，阐明了遗传冲突在物种形成中的作用，并提出了利用亚洲和非洲水稻之间杂种优势的策略。</w:t>
      </w:r>
    </w:p>
    <w:p>
      <w:pPr>
        <w:spacing w:before="0" w:after="200" w:lineRule="auto" w:line="276"/>
      </w:pPr>
      <w:r>
        <w:rPr>
          <w:b/>
        </w:rPr>
        <w:t xml:space="preserve">Abstract (EN): </w:t>
      </w:r>
      <w:r>
        <w:t>Interspecific Asian–African hybrid rice could substantially boost yield but is limited by severe hybrid sterility. We identify</w:t>
      </w:r>
      <w:r>
        <w:t xml:space="preserve"> </w:t>
      </w:r>
      <w:r>
        <w:t>RHS3</w:t>
      </w:r>
      <w:r>
        <w:t xml:space="preserve"> </w:t>
      </w:r>
      <w:r>
        <w:t>as a major quantitative trait locus controlling this trait.</w:t>
      </w:r>
      <w:r>
        <w:t xml:space="preserve"> </w:t>
      </w:r>
      <w:r>
        <w:t>RHS3</w:t>
      </w:r>
      <w:r>
        <w:t xml:space="preserve"> </w:t>
      </w:r>
      <w:r>
        <w:t>encodes a tripartite toxin–antidote system composed of MAO, DUN, and JIA, in which MAO acts as a toxin that aborts gametes by disrupting mitochondrial function, whereas DUN and JIA function as antidotes that neutralize MAO toxicity, conferring a transmission advantage to the African allele. We demonstrate that detoxification relies on selective autophagy through formation of a tripartite JIA–DUN–MAO protein complex. We infer the de novo origin of</w:t>
      </w:r>
      <w:r>
        <w:t xml:space="preserve"> </w:t>
      </w:r>
      <w:r>
        <w:t>RHS3</w:t>
      </w:r>
      <w:r>
        <w:t xml:space="preserve"> </w:t>
      </w:r>
      <w:r>
        <w:t>in the AA-genome rice lineage, illustrating a role for genetic conflict in speciation and suggesting strategies to harness heterosis between Asian and African rice.</w:t>
      </w:r>
    </w:p>
    <w:p>
      <w:pPr>
        <w:spacing w:before="120" w:after="120"/>
      </w:pPr>
      <w:r>
        <w:rPr>
          <w:sz w:val="18"/>
        </w:rPr>
        <w:t>——————————————————————————————————————————————————————————————————————</w:t>
      </w:r>
    </w:p>
    <w:p>
      <w:pPr>
        <w:spacing w:before="160" w:after="40" w:line="240" w:lineRule="auto"/>
      </w:pPr>
      <w:r>
        <w:rPr>
          <w:b/>
        </w:rPr>
        <w:t xml:space="preserve">[646] </w:t>
      </w:r>
      <w:hyperlink r:id="rId1696">
        <w:r>
          <w:rPr>
            <w:color w:val="1155CC"/>
            <w:u w:val="single"/>
          </w:rPr>
          <w:t>二维半导体单晶金属触点的直接蒸发</w:t>
        </w:r>
      </w:hyperlink>
    </w:p>
    <w:p>
      <w:pPr>
        <w:spacing w:before="0" w:after="80"/>
      </w:pPr>
      <w:r>
        <w:rPr>
          <w:i/>
          <w:sz w:val="20"/>
        </w:rPr>
        <w:t>EN: Direct evaporation of single-crystal metal contacts for 2D semiconductors</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97">
        <w:r>
          <w:rPr>
            <w:color w:val="1155CC"/>
            <w:u w:val="single"/>
          </w:rPr>
          <w:t>10.1126/science.aee3132</w:t>
        </w:r>
      </w:hyperlink>
    </w:p>
    <w:p>
      <w:pPr>
        <w:spacing w:before="0" w:after="120"/>
      </w:pPr>
      <w:r>
        <w:rPr>
          <w:b/>
        </w:rPr>
        <w:t xml:space="preserve">Notes: </w:t>
      </w:r>
      <w:r>
        <w:t>abstract_source=crossref</w:t>
      </w:r>
    </w:p>
    <w:p>
      <w:pPr>
        <w:spacing w:before="0" w:after="80" w:lineRule="auto" w:line="276"/>
      </w:pPr>
      <w:r>
        <w:rPr>
          <w:b/>
        </w:rPr>
        <w:t xml:space="preserve">摘要（ZH）: </w:t>
      </w:r>
      <w:r>
        <w:t>金属接触仍然是二维 (2D) 半导体电子产品的关键瓶颈之一。我们开发了一种原子级分步蒸发方法，可以在具有干净界面的单层半导体上直接生长单晶金属。该方法获得了一个独特的生长动力学窗口，可抑制二次成核并促进横向聚结，从而使多种金属（包括铋、银、铟、金和钯）在二硫化钼（MoS</w:t>
      </w:r>
      <w:r>
        <w:rPr>
          <w:vertAlign w:val="subscript"/>
        </w:rPr>
        <w:t>2</w:t>
      </w:r>
      <w:r>
        <w:t>）和二硒化钨（WSe</w:t>
      </w:r>
      <w:r>
        <w:rPr>
          <w:vertAlign w:val="subscript"/>
        </w:rPr>
        <w:t>2</w:t>
      </w:r>
      <w:r>
        <w:t>）。单晶金属支持超薄传导，提供空间均匀的功函数，并表现出改进的热鲁棒性。作为接触，它们表现出最小的费米能级钉扎，接近肖特基-莫特极限。具有铋和钯触点，单层 MoS</w:t>
      </w:r>
      <w:r>
        <w:rPr>
          <w:vertAlign w:val="subscript"/>
        </w:rPr>
        <w:t>2</w:t>
      </w:r>
      <w:r>
        <w:t>和硒化钨</w:t>
      </w:r>
      <w:r>
        <w:rPr>
          <w:vertAlign w:val="subscript"/>
        </w:rPr>
        <w:t>2</w:t>
      </w:r>
      <w:r>
        <w:t>晶体管分别实现了 36 欧姆微米和 145 欧姆微米的超低 n 型和 p 型接触电阻，短沟道电流均高于每微米 1.1 毫安。</w:t>
      </w:r>
    </w:p>
    <w:p>
      <w:pPr>
        <w:spacing w:before="0" w:after="200" w:lineRule="auto" w:line="276"/>
      </w:pPr>
      <w:r>
        <w:rPr>
          <w:b/>
        </w:rPr>
        <w:t xml:space="preserve">Abstract (EN): </w:t>
      </w:r>
      <w:r>
        <w:t>Metal contacts remain one of the key bottlenecks in two-dimensional (2D) semiconductor electronics. We developed an atomic-scale step-by-step evaporation method to directly grow single-crystal metals on monolayer semiconductors with clean interfaces. This method accesses a distinct growth-kinetic window that suppresses secondary nucleation and promotes lateral coalescence, enabling van der Waals epitaxy of diverse metals—including bismuth, silver, indium, gold, and palladium—on molybdenum disulfide (MoS</w:t>
      </w:r>
      <w:r>
        <w:rPr>
          <w:vertAlign w:val="subscript"/>
        </w:rPr>
        <w:t>2</w:t>
      </w:r>
      <w:r>
        <w:t>) and tungsten diselenide (WSe</w:t>
      </w:r>
      <w:r>
        <w:rPr>
          <w:vertAlign w:val="subscript"/>
        </w:rPr>
        <w:t>2</w:t>
      </w:r>
      <w:r>
        <w:t>). The single-crystal metals support ultrathin conduction, provide spatially uniform work functions, and exhibit improved thermal robustness. As contacts, they show minimal Fermi-level pinning, approaching the Schottky–Mott limit. With bismuth and palladium contacts, monolayer MoS</w:t>
      </w:r>
      <w:r>
        <w:rPr>
          <w:vertAlign w:val="subscript"/>
        </w:rPr>
        <w:t>2</w:t>
      </w:r>
      <w:r>
        <w:t>and WSe</w:t>
      </w:r>
      <w:r>
        <w:rPr>
          <w:vertAlign w:val="subscript"/>
        </w:rPr>
        <w:t>2</w:t>
      </w:r>
      <w:r>
        <w:t>transistors achieved ultralow n- and p-type contact resistances of 36 and 145 ohm-micrometers, respectively, and short-channel currents both above 1.1 milliampere per micrometer.</w:t>
      </w:r>
    </w:p>
    <w:p>
      <w:pPr>
        <w:spacing w:before="120" w:after="120"/>
      </w:pPr>
      <w:r>
        <w:rPr>
          <w:sz w:val="18"/>
        </w:rPr>
        <w:t>——————————————————————————————————————————————————————————————————————</w:t>
      </w:r>
    </w:p>
    <w:p>
      <w:pPr>
        <w:spacing w:before="160" w:after="40" w:line="240" w:lineRule="auto"/>
      </w:pPr>
      <w:r>
        <w:rPr>
          <w:b/>
        </w:rPr>
        <w:t xml:space="preserve">[647] </w:t>
      </w:r>
      <w:hyperlink r:id="rId1698">
        <w:r>
          <w:rPr>
            <w:color w:val="1155CC"/>
            <w:u w:val="single"/>
          </w:rPr>
          <w:t>Hypervision：用于在线视频速率计算成像的片上高光谱微系统</w:t>
        </w:r>
      </w:hyperlink>
    </w:p>
    <w:p>
      <w:pPr>
        <w:spacing w:before="0" w:after="80"/>
      </w:pPr>
      <w:r>
        <w:rPr>
          <w:i/>
          <w:sz w:val="20"/>
        </w:rPr>
        <w:t>EN: Hypervision: An on-chip hyperspectral microsystem for online video-rate computational imaging</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699">
        <w:r>
          <w:rPr>
            <w:color w:val="1155CC"/>
            <w:u w:val="single"/>
          </w:rPr>
          <w:t>10.1126/science.aef8268</w:t>
        </w:r>
      </w:hyperlink>
    </w:p>
    <w:p>
      <w:pPr>
        <w:spacing w:before="0" w:after="120"/>
      </w:pPr>
      <w:r>
        <w:rPr>
          <w:b/>
        </w:rPr>
        <w:t xml:space="preserve">Notes: </w:t>
      </w:r>
      <w:r>
        <w:t>abstract_source=crossref</w:t>
      </w:r>
    </w:p>
    <w:p>
      <w:pPr>
        <w:spacing w:before="0" w:after="80" w:lineRule="auto" w:line="276"/>
      </w:pPr>
      <w:r>
        <w:rPr>
          <w:b/>
        </w:rPr>
        <w:t xml:space="preserve">摘要（ZH）: </w:t>
      </w:r>
      <w:r>
        <w:t>在这项工作中，我们解决了重建和处理大量空间光谱数据立方体所需的高光谱成像大规模计算的长期挑战。具体来说，我们设计了一个硬件加速器，作为一个神经处理单元 (NPU)，能够以 16 位整数 (INT16) 每秒进行 9.3 兆次运算，同时还采用了用于轻量级重建网络的拓扑感知结构化修剪策略。通过与我们的 HyperspecI 传感器集成，我们展示了一个完全独立的可见光-近红外高光谱微系统（约 950 克），既不需要外部电源，也不需要计算资源。该微系统以每秒 32.9 帧（512×512，61 通道）或每秒 24.6 帧（1024×1024，16 通道）的速度实现实时高光谱成像，并且仅消耗约 25.3 瓦（每瓦每秒 367 千兆操作）。智能驾驶和空对地监控中的应用演示凸显了其将计算高光谱成像从离线处理推进到集成在线感知的实际潜力。</w:t>
      </w:r>
    </w:p>
    <w:p>
      <w:pPr>
        <w:spacing w:before="0" w:after="200" w:lineRule="auto" w:line="276"/>
      </w:pPr>
      <w:r>
        <w:rPr>
          <w:b/>
        </w:rPr>
        <w:t xml:space="preserve">Abstract (EN): </w:t>
      </w:r>
      <w:r>
        <w:t>In this work, we tackled the long-standing challenge of the massive computation for hyperspectral imaging that is required to reconstruct and process large-volume spatial-spectral data cubes. Specifically, we designed a hardware accelerator, fabricated as a neural processing unit (NPU) capable of 9.3 tera operations per second at 16-bit integer (INT16), alongside a topology-aware structured pruning strategy for a lightweight reconstruction network. Through integration with our HyperspecI sensor, we demonstrate a fully standalone visible–near-infrared hyperspectral microsystem (~950 grams) that requires neither external power nor computing resources. The microsystem achieved real-time hyperspectral imaging at 32.9 frames per second (512×512, 61 channels) or 24.6 frames per second (1024×1024, 16 channels) and consumed only ~25.3 watts (367 giga–operations per second per watt). Application demonstrations in intelligent driving and air-to-ground monitoring highlight its practical potential advancing computational hyperspectral imaging from offline processing to integrated online perception.</w:t>
      </w:r>
    </w:p>
    <w:p>
      <w:pPr>
        <w:spacing w:before="120" w:after="120"/>
      </w:pPr>
      <w:r>
        <w:rPr>
          <w:sz w:val="18"/>
        </w:rPr>
        <w:t>——————————————————————————————————————————————————————————————————————</w:t>
      </w:r>
    </w:p>
    <w:p>
      <w:pPr>
        <w:spacing w:before="160" w:after="40" w:line="240" w:lineRule="auto"/>
      </w:pPr>
      <w:r>
        <w:rPr>
          <w:b/>
        </w:rPr>
        <w:t xml:space="preserve">[648] </w:t>
      </w:r>
      <w:hyperlink r:id="rId1700">
        <w:r>
          <w:rPr>
            <w:color w:val="1155CC"/>
            <w:u w:val="single"/>
          </w:rPr>
          <w:t>全球疾病研究获得历史性资金流入</w:t>
        </w:r>
      </w:hyperlink>
    </w:p>
    <w:p>
      <w:pPr>
        <w:spacing w:before="0" w:after="80"/>
      </w:pPr>
      <w:r>
        <w:rPr>
          <w:i/>
          <w:sz w:val="20"/>
        </w:rPr>
        <w:t>EN: Worldwide study of diseases gets historic funding influx</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701">
        <w:r>
          <w:rPr>
            <w:color w:val="1155CC"/>
            <w:u w:val="single"/>
          </w:rPr>
          <w:t>10.1126/science.ael8355</w:t>
        </w:r>
      </w:hyperlink>
    </w:p>
    <w:p>
      <w:pPr>
        <w:spacing w:before="0" w:after="120"/>
      </w:pPr>
      <w:r>
        <w:rPr>
          <w:b/>
        </w:rPr>
        <w:t xml:space="preserve">Notes: </w:t>
      </w:r>
      <w:r>
        <w:t>abstract_source=crossref</w:t>
      </w:r>
    </w:p>
    <w:p>
      <w:pPr>
        <w:spacing w:before="0" w:after="80" w:lineRule="auto" w:line="276"/>
      </w:pPr>
      <w:r>
        <w:rPr>
          <w:b/>
        </w:rPr>
        <w:t xml:space="preserve">摘要（ZH）: </w:t>
      </w:r>
      <w:r>
        <w:t>盖茨基金会承诺向一个经常因不透明而受到批评的项目提供 5.4 亿美元</w:t>
      </w:r>
    </w:p>
    <w:p>
      <w:pPr>
        <w:spacing w:before="0" w:after="200" w:lineRule="auto" w:line="276"/>
      </w:pPr>
      <w:r>
        <w:rPr>
          <w:b/>
        </w:rPr>
        <w:t xml:space="preserve">Abstract (EN): </w:t>
      </w:r>
      <w:r>
        <w:t>Gates Foundation pledges $540 million to a project often criticized for its opacity</w:t>
      </w:r>
    </w:p>
    <w:p>
      <w:pPr>
        <w:spacing w:before="120" w:after="120"/>
      </w:pPr>
      <w:r>
        <w:rPr>
          <w:sz w:val="18"/>
        </w:rPr>
        <w:t>——————————————————————————————————————————————————————————————————————</w:t>
      </w:r>
    </w:p>
    <w:p>
      <w:pPr>
        <w:spacing w:before="160" w:after="40" w:line="240" w:lineRule="auto"/>
      </w:pPr>
      <w:r>
        <w:rPr>
          <w:b/>
        </w:rPr>
        <w:t xml:space="preserve">[649] </w:t>
      </w:r>
      <w:hyperlink r:id="rId1702">
        <w:r>
          <w:rPr>
            <w:color w:val="1155CC"/>
            <w:u w:val="single"/>
          </w:rPr>
          <w:t>利用深度学习从头设计 RNA 假结</w:t>
        </w:r>
      </w:hyperlink>
    </w:p>
    <w:p>
      <w:pPr>
        <w:spacing w:before="0" w:after="80"/>
      </w:pPr>
      <w:r>
        <w:rPr>
          <w:i/>
          <w:sz w:val="20"/>
        </w:rPr>
        <w:t>EN: De novo design of RNA pseudoknots with deep learning</w:t>
      </w:r>
    </w:p>
    <w:p>
      <w:pPr>
        <w:spacing w:before="0" w:after="120"/>
      </w:pPr>
      <w:r>
        <w:rPr>
          <w:b/>
        </w:rPr>
        <w:t xml:space="preserve">Source: </w:t>
      </w:r>
      <w:r>
        <w:t>AAAS: Science: Table of Contents</w:t>
      </w:r>
      <w:r>
        <w:t xml:space="preserve">    </w:t>
      </w:r>
      <w:r>
        <w:rPr>
          <w:b/>
        </w:rPr>
        <w:t xml:space="preserve">Pub date: </w:t>
      </w:r>
      <w:r>
        <w:t>2026-08-27 06:00:13+00:00</w:t>
      </w:r>
      <w:r>
        <w:t xml:space="preserve">    </w:t>
      </w:r>
      <w:r>
        <w:rPr>
          <w:b/>
        </w:rPr>
        <w:t xml:space="preserve">DOI: </w:t>
      </w:r>
      <w:hyperlink r:id="rId1703">
        <w:r>
          <w:rPr>
            <w:color w:val="1155CC"/>
            <w:u w:val="single"/>
          </w:rPr>
          <w:t>10.1126/science.aeg6829</w:t>
        </w:r>
      </w:hyperlink>
    </w:p>
    <w:p>
      <w:pPr>
        <w:spacing w:before="0" w:after="120"/>
      </w:pPr>
      <w:r>
        <w:rPr>
          <w:b/>
        </w:rPr>
        <w:t xml:space="preserve">Notes: </w:t>
      </w:r>
      <w:r>
        <w:t>abstract_source=crossref</w:t>
      </w:r>
    </w:p>
    <w:p>
      <w:pPr>
        <w:spacing w:before="0" w:after="80" w:lineRule="auto" w:line="276"/>
      </w:pPr>
      <w:r>
        <w:rPr>
          <w:b/>
        </w:rPr>
        <w:t xml:space="preserve">摘要（ZH）: </w:t>
      </w:r>
      <w:r>
        <w:t>RNA 设计一直受到三维 (3D) 结构预测精度有限的阻碍。在这项研究中，我们表明，通过准确的从头设计假结二级结构，可以使用当前的深度学习工具生成复杂的 RNA 结构。在涉及 57 个假结的 Eterna 竞赛中，生成人工智能 (AI) 方法在解决大多数盲目挑战方面与经验丰富的人类设计师相匹配，并通过单核苷酸分辨率化学图谱、补偿诱变和冷冻电子显微镜进行评估。人工智能生成的分子具有精确的二级结构，形成有序的 3D 折叠，通过设计期间未建模的非规范三级相互作用稳定。成功是由基于先前化学图谱数据训练的 RNet 基础模型引导的，这表明一些困难的 RNA 设计任务可能在不首先解决 RNA 3D 结构预测的情况下很容易处理。</w:t>
      </w:r>
    </w:p>
    <w:p>
      <w:pPr>
        <w:spacing w:before="0" w:after="200" w:lineRule="auto" w:line="276"/>
      </w:pPr>
      <w:r>
        <w:rPr>
          <w:b/>
        </w:rPr>
        <w:t xml:space="preserve">Abstract (EN): </w:t>
      </w:r>
      <w:r>
        <w:t>RNA design has been hindered by the limited accuracy of three-dimensional (3D) structure prediction. In this study, we show that intricate RNA structures can be generated with current deep learning tools through accurate de novo design of pseudoknot secondary structures. In an Eterna competition involving 57 pseudoknots, generative artificial intelligence (AI) methods matched experienced human designers in solving most blind challenges, evaluated by single nucleotide–resolution chemical mapping, compensatory mutagenesis, and cryo–electron microscopy. AI-generated molecules with accurate secondary structures formed well-ordered 3D folds stabilized by noncanonical tertiary interactions not modeled during design. Success was guided by an RNet foundation model trained on prior chemical mapping data, suggesting that some difficult RNA design tasks may be tractable without first solving RNA 3D structure prediction.</w:t>
      </w:r>
    </w:p>
    <w:p>
      <w:pPr>
        <w:spacing w:before="120" w:after="120"/>
      </w:pPr>
      <w:r>
        <w:rPr>
          <w:sz w:val="18"/>
        </w:rPr>
        <w:t>——————————————————————————————————————————————————————————————————————</w:t>
      </w:r>
    </w:p>
    <w:p>
      <w:pPr>
        <w:spacing w:before="160" w:after="40" w:line="240" w:lineRule="auto"/>
      </w:pPr>
      <w:r>
        <w:rPr>
          <w:b/>
        </w:rPr>
        <w:t xml:space="preserve">[650] </w:t>
      </w:r>
      <w:hyperlink r:id="rId1704">
        <w:r>
          <w:rPr>
            <w:color w:val="1155CC"/>
            <w:u w:val="single"/>
          </w:rPr>
          <w:t>何塞·B·罗克</w:t>
        </w:r>
      </w:hyperlink>
    </w:p>
    <w:p>
      <w:pPr>
        <w:spacing w:before="0" w:after="80"/>
      </w:pPr>
      <w:r>
        <w:rPr>
          <w:i/>
          <w:sz w:val="20"/>
        </w:rPr>
        <w:t>EN: Jose B. Roque</w:t>
      </w:r>
    </w:p>
    <w:p>
      <w:pPr>
        <w:spacing w:before="0" w:after="120"/>
      </w:pPr>
      <w:r>
        <w:rPr>
          <w:b/>
        </w:rPr>
        <w:t xml:space="preserve">Source: </w:t>
      </w:r>
      <w:r>
        <w:t>Wiley: Angewandte Chemie International Edition: Table of Contents</w:t>
      </w:r>
      <w:r>
        <w:t xml:space="preserve">    </w:t>
      </w:r>
      <w:r>
        <w:rPr>
          <w:b/>
        </w:rPr>
        <w:t xml:space="preserve">Pub date: </w:t>
      </w:r>
      <w:r>
        <w:t>2026-08-27 06:15:51+00:00</w:t>
      </w:r>
      <w:r>
        <w:t xml:space="preserve">    </w:t>
      </w:r>
      <w:r>
        <w:rPr>
          <w:b/>
        </w:rPr>
        <w:t xml:space="preserve">DOI: </w:t>
      </w:r>
      <w:hyperlink r:id="rId1705">
        <w:r>
          <w:rPr>
            <w:color w:val="1155CC"/>
            <w:u w:val="single"/>
          </w:rPr>
          <w:t>10.1002/anie.3972904</w:t>
        </w:r>
      </w:hyperlink>
    </w:p>
    <w:p>
      <w:pPr>
        <w:spacing w:before="0" w:after="120"/>
      </w:pPr>
      <w:r>
        <w:rPr>
          <w:b/>
        </w:rPr>
        <w:t xml:space="preserve">Notes: </w:t>
      </w:r>
      <w:r>
        <w:t>abstract_source=pubmed</w:t>
      </w:r>
    </w:p>
    <w:p>
      <w:pPr>
        <w:spacing w:before="0" w:after="80" w:lineRule="auto" w:line="276"/>
      </w:pPr>
      <w:r>
        <w:rPr>
          <w:b/>
        </w:rPr>
        <w:t xml:space="preserve">摘要（ZH）: </w:t>
      </w:r>
      <w:r>
        <w:t>“我最喜欢的定理是哈蒙德公设，因为它是推理过渡态结构的一个有用的概念框架……我选择化学作为职业，因为它提供了追求具有真正影响力的具有挑战性和有意义的问题的自由……”在他的简介……简介中了解更多关于 Jose Roque 的信息。</w:t>
      </w:r>
    </w:p>
    <w:p>
      <w:pPr>
        <w:spacing w:before="0" w:after="200" w:lineRule="auto" w:line="276"/>
      </w:pPr>
      <w:r>
        <w:rPr>
          <w:b/>
        </w:rPr>
        <w:t xml:space="preserve">Abstract (EN): </w:t>
      </w:r>
      <w:r>
        <w:t>"My favorite theorem is the Hammond Postulate because it is a useful conceptual framework for reasoning about the structures of transition states… I chose chemistry as a career because it offers the freedom to pursue challenging and meaningful problems that can have real impact…" Find out more about Jose Roque in his Introducing… Profile.</w:t>
      </w:r>
    </w:p>
    <w:p>
      <w:pPr>
        <w:spacing w:before="120" w:after="120"/>
      </w:pPr>
      <w:r>
        <w:rPr>
          <w:sz w:val="18"/>
        </w:rPr>
        <w:t>——————————————————————————————————————————————————————————————————————</w:t>
      </w:r>
    </w:p>
    <w:p>
      <w:pPr>
        <w:spacing w:before="160" w:after="40" w:line="240" w:lineRule="auto"/>
      </w:pPr>
      <w:r>
        <w:rPr>
          <w:b/>
        </w:rPr>
        <w:t xml:space="preserve">[651] </w:t>
      </w:r>
      <w:hyperlink r:id="rId1706">
        <w:r>
          <w:rPr>
            <w:color w:val="1155CC"/>
            <w:u w:val="single"/>
          </w:rPr>
          <w:t>镍(0)催化的醛、磺酰胺和烯烃的对映选择性三组分亚氨基-烯型偶联</w:t>
        </w:r>
      </w:hyperlink>
    </w:p>
    <w:p>
      <w:pPr>
        <w:spacing w:before="0" w:after="80"/>
      </w:pPr>
      <w:r>
        <w:rPr>
          <w:i/>
          <w:sz w:val="20"/>
        </w:rPr>
        <w:t>EN: Nickel(0)‐Catalyzed Enantioselective Three‐Component Imino–Ene‐Type Coupling of Aldehydes, Sulfonamides, and Alkenes</w:t>
      </w:r>
    </w:p>
    <w:p>
      <w:pPr>
        <w:spacing w:before="0" w:after="120"/>
      </w:pPr>
      <w:r>
        <w:rPr>
          <w:b/>
        </w:rPr>
        <w:t xml:space="preserve">Source: </w:t>
      </w:r>
      <w:r>
        <w:t>Wiley: Angewandte Chemie International Edition: Table of Contents</w:t>
      </w:r>
      <w:r>
        <w:t xml:space="preserve">    </w:t>
      </w:r>
      <w:r>
        <w:rPr>
          <w:b/>
        </w:rPr>
        <w:t xml:space="preserve">Pub date: </w:t>
      </w:r>
      <w:r>
        <w:t>2026-08-27 06:21:25+00:00</w:t>
      </w:r>
      <w:r>
        <w:t xml:space="preserve">    </w:t>
      </w:r>
      <w:r>
        <w:rPr>
          <w:b/>
        </w:rPr>
        <w:t xml:space="preserve">DOI: </w:t>
      </w:r>
      <w:hyperlink r:id="rId1707">
        <w:r>
          <w:rPr>
            <w:color w:val="1155CC"/>
            <w:u w:val="single"/>
          </w:rPr>
          <w:t>10.1002/anie.8922921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对映体富集的高烯丙胺是生物活性分子中的常见基序，也是含氮分子合成中的通用中间体。我们报道了一种 Ni(0) 催化的醛、磺酰胺和末端烯烃的对映选择性氧化还原中性三组分偶联，可提供正式的亚氨基-烯型产物。通过原位磺酰亚胺生成和手性 SIPHOS-PE 亚磷酰胺配体，该反应提供</w:t>
      </w:r>
      <w:r>
        <w:t xml:space="preserve"> </w:t>
      </w:r>
      <w:r>
        <w:t>氮</w:t>
      </w:r>
      <w:r>
        <w:t xml:space="preserve"> </w:t>
      </w:r>
      <w:r>
        <w:t>‐磺酰基高烯丙胺具有高区域选择性和优异的对映选择性。该方法对于脂肪醛和烯丙芳衍生的末端烯烃最有效，同时也可以耐受官能化烯丙酯、膦酸烯丙酯、杂芳基烯烃和复杂分子衍生的底物。机理实验和 DFT 计算与涉及亚胺/烯烃氧化环化的镍环介导的途径一致。这项工作建立了一种氧化还原中性不对称烯烃-亚胺偶联流形，用于从容易获得的起始材料中三组分合成对映体富集的高烯丙胺。</w:t>
      </w:r>
    </w:p>
    <w:p>
      <w:pPr>
        <w:spacing w:before="0" w:after="200" w:lineRule="auto" w:line="276"/>
      </w:pPr>
      <w:r>
        <w:rPr>
          <w:b/>
        </w:rPr>
        <w:t xml:space="preserve">Abstract (EN): </w:t>
      </w:r>
      <w:r>
        <w:t>Enantioenriched homoallylic amines are common motifs in bioactive molecules and versatile intermediates in nitrogen‐containing molecule synthesis. We report a Ni(0)‐catalyzed enantioselective redox‐neutral three‐component coupling of aldehydes, sulfonamides, and terminal alkenes that provides formal imino–ene‐type products. Enabled by in situ sulfonyl imine generation and a chiral SIPHOS‐PE phosphoramidite ligand, the reaction furnishes</w:t>
      </w:r>
      <w:r>
        <w:t xml:space="preserve"> </w:t>
      </w:r>
      <w:r>
        <w:t>N</w:t>
      </w:r>
      <w:r>
        <w:t xml:space="preserve"> </w:t>
      </w:r>
      <w:r>
        <w:t>‐sulfonyl homoallylic amines with high regioselectivity and excellent enantioselectivity. The method is most effective for aliphatic aldehydes and allylarene‐derived terminal alkenes, while functionalized allyl esters, allyl phosphonates, heteroaryl alkenes, and complex‐molecule‐derived substrates are also tolerated. Mechanistic experiments and DFT calculations are consistent with a nickelacycle‐mediated pathway involving imine/alkene oxidative cyclization. This work establishes a redox‐neutral asymmetric alkene–imine coupling manifold for the three‐component synthesis of enantioenriched homoallylic amines from readily available starting materials.</w:t>
      </w:r>
    </w:p>
    <w:p>
      <w:pPr>
        <w:spacing w:before="120" w:after="120"/>
      </w:pPr>
      <w:r>
        <w:rPr>
          <w:sz w:val="18"/>
        </w:rPr>
        <w:t>——————————————————————————————————————————————————————————————————————</w:t>
      </w:r>
    </w:p>
    <w:p>
      <w:pPr>
        <w:spacing w:before="160" w:after="40" w:line="240" w:lineRule="auto"/>
      </w:pPr>
      <w:r>
        <w:rPr>
          <w:b/>
        </w:rPr>
        <w:t xml:space="preserve">[652] </w:t>
      </w:r>
      <w:hyperlink r:id="rId1708">
        <w:r>
          <w:rPr>
            <w:color w:val="1155CC"/>
            <w:u w:val="single"/>
          </w:rPr>
          <w:t>我应该留下还是应该离开——利用点击释放化学的一个被忽视的特征进行亲和标记</w:t>
        </w:r>
      </w:hyperlink>
    </w:p>
    <w:p>
      <w:pPr>
        <w:spacing w:before="0" w:after="80"/>
      </w:pPr>
      <w:r>
        <w:rPr>
          <w:i/>
          <w:sz w:val="20"/>
        </w:rPr>
        <w:t>EN: Should I Stay or Should I Go—Leveraging an Overlooked Feature of Click‐to‐Release Chemistry for Affinity Labeling</w:t>
      </w:r>
    </w:p>
    <w:p>
      <w:pPr>
        <w:spacing w:before="0" w:after="120"/>
      </w:pPr>
      <w:r>
        <w:rPr>
          <w:b/>
        </w:rPr>
        <w:t xml:space="preserve">Source: </w:t>
      </w:r>
      <w:r>
        <w:t>Wiley: Angewandte Chemie International Edition: Table of Contents</w:t>
      </w:r>
      <w:r>
        <w:t xml:space="preserve">    </w:t>
      </w:r>
      <w:r>
        <w:rPr>
          <w:b/>
        </w:rPr>
        <w:t xml:space="preserve">Pub date: </w:t>
      </w:r>
      <w:r>
        <w:t>2026-08-27 06:24:45+00:00</w:t>
      </w:r>
      <w:r>
        <w:t xml:space="preserve">    </w:t>
      </w:r>
      <w:r>
        <w:rPr>
          <w:b/>
        </w:rPr>
        <w:t xml:space="preserve">DOI: </w:t>
      </w:r>
      <w:hyperlink r:id="rId1709">
        <w:r>
          <w:rPr>
            <w:color w:val="1155CC"/>
            <w:u w:val="single"/>
          </w:rPr>
          <w:t>10.1002/anie.5715165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点击释放（C2R）化学广泛用于受控有效负载释放，但其瞬时中间体的反应性在很大程度上仍未被探索。在这里，我们表明在反应过程中形成了中间体</w:t>
      </w:r>
      <w:r>
        <w:t xml:space="preserve"> </w:t>
      </w:r>
      <w:r>
        <w:t>反式</w:t>
      </w:r>
      <w:r>
        <w:t xml:space="preserve"> </w:t>
      </w:r>
      <w:r>
        <w:t>带有释放四嗪（rTzs）的-环辛烯（TCO）附加的蛋白质靶向配体，以前被认为是被水快速猝灭的副产物，可以用作配体定向共价蛋白质标记的亲电子试剂。生物正交生成的二氢哒嗪甲基化物（DHP-甲基化物）能够进行亲和定向蛋白质标记，主要导致捕获靠近亲电子试剂生成位点的表面暴露的组氨酸残基，并揭示组氨酸偏向的共价修饰途径。将功能手柄合并到 rTz 平台中，可以通过正交缀合步骤进行模块化报告安装。荧光离去基团设计进一步允许直接光学报告亲电试剂生成消除事件和实时监测 DHP-甲基化物的形成。选择性标记保留在细胞裂解物中，并且可以转化为细胞环境，如表面表达靶标的共聚焦成像所证明的那样。这些发现建立了亲和标记的生物正交门控策略，并揭示了 rTz-TCO 点击释放化学的先前未被识别的功能维度。</w:t>
      </w:r>
    </w:p>
    <w:p>
      <w:pPr>
        <w:spacing w:before="0" w:after="200" w:lineRule="auto" w:line="276"/>
      </w:pPr>
      <w:r>
        <w:rPr>
          <w:b/>
        </w:rPr>
        <w:t xml:space="preserve">Abstract (EN): </w:t>
      </w:r>
      <w:r>
        <w:t>Click‐to‐release (C2R) chemistry is widely used for controlled payload liberation, yet the reactivity of its transient intermediates has remained largely unexplored. Here we show that an intermediate formed during the reaction of</w:t>
      </w:r>
      <w:r>
        <w:t xml:space="preserve"> </w:t>
      </w:r>
      <w:r>
        <w:t>trans</w:t>
      </w:r>
      <w:r>
        <w:t xml:space="preserve"> </w:t>
      </w:r>
      <w:r>
        <w:t>‐cyclooctene (TCO)‐appended protein‐targeting ligands with release tetrazines (rTzs), previously regarded as a byproduct rapidly quenched by water, can be exploited as an electrophile for ligand‐directed covalent protein labeling. The bioorthogonally generated dihydropyridazine methide (DHP‐methide) enables affinity‐directed protein labeling, resulting primarily in capture at surface‐exposed histidine residues proximal to the site of electrophile generation and revealing a histidine‐biased covalent modification pathway. Incorporation of functional handles into the rTz platform enables modular reporter installation via an orthogonal conjugation step. A fluorogenic leaving‐group design further allows direct optical reporting of the electrophile‐generating elimination event and real‐time monitoring of DHP‐methide formation. Selective labeling is retained in cell lysate and can be translated to a cellular context, as demonstrated by confocal imaging of surface‐expressed targets. These findings establish a bioorthogonally gated strategy for affinity labeling and reveal a previously unrecognized functional dimension of rTz–TCO click‐to‐release chemistry.</w:t>
      </w:r>
    </w:p>
    <w:p>
      <w:pPr>
        <w:spacing w:before="120" w:after="120"/>
      </w:pPr>
      <w:r>
        <w:rPr>
          <w:sz w:val="18"/>
        </w:rPr>
        <w:t>——————————————————————————————————————————————————————————————————————</w:t>
      </w:r>
    </w:p>
    <w:p>
      <w:pPr>
        <w:spacing w:before="160" w:after="40" w:line="240" w:lineRule="auto"/>
      </w:pPr>
      <w:r>
        <w:rPr>
          <w:b/>
        </w:rPr>
        <w:t xml:space="preserve">[653] </w:t>
      </w:r>
      <w:hyperlink r:id="rId1710">
        <w:r>
          <w:rPr>
            <w:color w:val="1155CC"/>
            <w:u w:val="single"/>
          </w:rPr>
          <w:t>转移反应途径：用于稳健 C=O 加氢的分流催化</w:t>
        </w:r>
      </w:hyperlink>
    </w:p>
    <w:p>
      <w:pPr>
        <w:spacing w:before="0" w:after="80"/>
      </w:pPr>
      <w:r>
        <w:rPr>
          <w:i/>
          <w:sz w:val="20"/>
        </w:rPr>
        <w:t>EN: Diverting Reaction Pathways: Shunt Catalysis for Robust C═O Hydrogenation</w:t>
      </w:r>
    </w:p>
    <w:p>
      <w:pPr>
        <w:spacing w:before="0" w:after="120"/>
      </w:pPr>
      <w:r>
        <w:rPr>
          <w:b/>
        </w:rPr>
        <w:t xml:space="preserve">Source: </w:t>
      </w:r>
      <w:r>
        <w:t>Wiley: Angewandte Chemie International Edition: Table of Contents</w:t>
      </w:r>
      <w:r>
        <w:t xml:space="preserve">    </w:t>
      </w:r>
      <w:r>
        <w:rPr>
          <w:b/>
        </w:rPr>
        <w:t xml:space="preserve">Pub date: </w:t>
      </w:r>
      <w:r>
        <w:t>2026-08-27 06:31:35+00:00</w:t>
      </w:r>
      <w:r>
        <w:t xml:space="preserve">    </w:t>
      </w:r>
      <w:r>
        <w:rPr>
          <w:b/>
        </w:rPr>
        <w:t xml:space="preserve">DOI: </w:t>
      </w:r>
      <w:hyperlink r:id="rId1711">
        <w:r>
          <w:rPr>
            <w:color w:val="1155CC"/>
            <w:u w:val="single"/>
          </w:rPr>
          <w:t>10.1002/anie.3975660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操纵反应物的溢出是控制反应途径和提高多相催化效率的关键策略，使反应物质能够自发地沿着动力学阻力最小的路径行驶。在这里，我们通过集成离散的 Ag/SiO 建立了“催化分流器”</w:t>
      </w:r>
      <w:r>
        <w:rPr>
          <w:vertAlign w:val="subscript"/>
        </w:rPr>
        <w:t>2</w:t>
      </w:r>
      <w:r>
        <w:t>和Ag/CeO</w:t>
      </w:r>
      <w:r>
        <w:rPr>
          <w:vertAlign w:val="subscript"/>
        </w:rPr>
        <w:t>2</w:t>
      </w:r>
      <w:r>
        <w:t>纳米单元转化为独特的Ag/CeO</w:t>
      </w:r>
      <w:r>
        <w:rPr>
          <w:vertAlign w:val="subscript"/>
        </w:rPr>
        <w:t>2</w:t>
      </w:r>
      <w:r>
        <w:t>||二氧化硅</w:t>
      </w:r>
      <w:r>
        <w:rPr>
          <w:vertAlign w:val="subscript"/>
        </w:rPr>
        <w:t>2</w:t>
      </w:r>
      <w:r>
        <w:t>该架构可解耦草酸二甲酯 (DMO) 加氢为乙醇酸甲酯 (MG) 过程中的竞争反应步骤。值得注意的是，Ag/CeO</w:t>
      </w:r>
      <w:r>
        <w:rPr>
          <w:vertAlign w:val="subscript"/>
        </w:rPr>
        <w:t>2</w:t>
      </w:r>
      <w:r>
        <w:t>具有明确的多面体银纳米颗粒具有催化惰性，因为带正电的银上具有压倒性的 C=O 吸附</w:t>
      </w:r>
      <w:r>
        <w:t xml:space="preserve"> </w:t>
      </w:r>
      <w:r>
        <w:t>δ+</w:t>
      </w:r>
      <w:r>
        <w:t xml:space="preserve"> </w:t>
      </w:r>
      <w:r>
        <w:t>网站。然而，与 Ag/SiO 机械集成</w:t>
      </w:r>
      <w:r>
        <w:rPr>
          <w:vertAlign w:val="subscript"/>
        </w:rPr>
        <w:t>2</w:t>
      </w:r>
      <w:r>
        <w:t>（具有球形银纳米粒子）解锁了前所未有的 C=O 氢化活性。在此特色配置中（Ag/CeO</w:t>
      </w:r>
      <w:r>
        <w:rPr>
          <w:vertAlign w:val="subscript"/>
        </w:rPr>
        <w:t>2</w:t>
      </w:r>
      <w:r>
        <w:t>||二氧化硅</w:t>
      </w:r>
      <w:r>
        <w:rPr>
          <w:vertAlign w:val="subscript"/>
        </w:rPr>
        <w:t>2</w:t>
      </w:r>
      <w:r>
        <w:t>），深入的表征和理论计算表明H</w:t>
      </w:r>
      <w:r>
        <w:rPr>
          <w:vertAlign w:val="subscript"/>
        </w:rPr>
        <w:t>2</w:t>
      </w:r>
      <w:r>
        <w:t>在金属银上被激活</w:t>
      </w:r>
      <w:r>
        <w:rPr>
          <w:vertAlign w:val="subscript"/>
        </w:rPr>
        <w:t>0</w:t>
      </w:r>
      <w:r>
        <w:t>(银/二氧化硅</w:t>
      </w:r>
      <w:r>
        <w:rPr>
          <w:vertAlign w:val="subscript"/>
        </w:rPr>
        <w:t>2</w:t>
      </w:r>
      <w:r>
        <w:t>部分）并有效溢出以激活 Ag 上预极化的 DMO</w:t>
      </w:r>
      <w:r>
        <w:t xml:space="preserve"> </w:t>
      </w:r>
      <w:r>
        <w:t>δ+</w:t>
      </w:r>
      <w:r>
        <w:t xml:space="preserve"> </w:t>
      </w:r>
      <w:r>
        <w:t>(银/氧化铈</w:t>
      </w:r>
    </w:p>
    <w:p>
      <w:pPr>
        <w:spacing w:before="0" w:after="200" w:lineRule="auto" w:line="276"/>
      </w:pPr>
      <w:r>
        <w:rPr>
          <w:b/>
        </w:rPr>
        <w:t xml:space="preserve">Abstract (EN): </w:t>
      </w:r>
      <w:r>
        <w:t>Manipulating the spillover of reactants represents a pivotal strategy to govern reaction pathways and boost the efficiency of heterogeneous catalysis, enabling reactive species to spontaneously navigate the path of least kinetic resistance. Herein, we establish a “catalytic shunt” by integrating discrete Ag/SiO</w:t>
      </w:r>
      <w:r>
        <w:rPr>
          <w:vertAlign w:val="subscript"/>
        </w:rPr>
        <w:t>2</w:t>
      </w:r>
      <w:r>
        <w:t>and Ag/CeO</w:t>
      </w:r>
      <w:r>
        <w:rPr>
          <w:vertAlign w:val="subscript"/>
        </w:rPr>
        <w:t>2</w:t>
      </w:r>
      <w:r>
        <w:t>nanounits into a unique Ag/CeO</w:t>
      </w:r>
      <w:r>
        <w:rPr>
          <w:vertAlign w:val="subscript"/>
        </w:rPr>
        <w:t>2</w:t>
      </w:r>
      <w:r>
        <w:t>||SiO</w:t>
      </w:r>
      <w:r>
        <w:rPr>
          <w:vertAlign w:val="subscript"/>
        </w:rPr>
        <w:t>2</w:t>
      </w:r>
      <w:r>
        <w:t>architecture that decouples competing reaction steps in dimethyl oxalate (DMO) hydrogenation to methyl glycolate (MG). Notably, Ag/CeO</w:t>
      </w:r>
      <w:r>
        <w:rPr>
          <w:vertAlign w:val="subscript"/>
        </w:rPr>
        <w:t>2</w:t>
      </w:r>
      <w:r>
        <w:t>with well‐defined polyhedral Ag nanoparticles is catalytically inert, due to overwhelming C═O adsorption on positively charged Ag</w:t>
      </w:r>
      <w:r>
        <w:t xml:space="preserve"> </w:t>
      </w:r>
      <w:r>
        <w:t>δ+</w:t>
      </w:r>
      <w:r>
        <w:t xml:space="preserve"> </w:t>
      </w:r>
      <w:r>
        <w:t>sites. However, mechanically integrating with Ag/SiO</w:t>
      </w:r>
      <w:r>
        <w:rPr>
          <w:vertAlign w:val="subscript"/>
        </w:rPr>
        <w:t>2</w:t>
      </w:r>
      <w:r>
        <w:t>(featuring spherical Ag NPs) unlocks unprecedented activity for C═O hydrogenation. In this featured configuration (Ag/CeO</w:t>
      </w:r>
      <w:r>
        <w:rPr>
          <w:vertAlign w:val="subscript"/>
        </w:rPr>
        <w:t>2</w:t>
      </w:r>
      <w:r>
        <w:t>||SiO</w:t>
      </w:r>
      <w:r>
        <w:rPr>
          <w:vertAlign w:val="subscript"/>
        </w:rPr>
        <w:t>2</w:t>
      </w:r>
      <w:r>
        <w:t>), in‐depth characterizations and theoretical calculations reveal that H</w:t>
      </w:r>
      <w:r>
        <w:rPr>
          <w:vertAlign w:val="subscript"/>
        </w:rPr>
        <w:t>2</w:t>
      </w:r>
      <w:r>
        <w:t>is activated on metallic Ag</w:t>
      </w:r>
      <w:r>
        <w:rPr>
          <w:vertAlign w:val="subscript"/>
        </w:rPr>
        <w:t>0</w:t>
      </w:r>
      <w:r>
        <w:t>(Ag/SiO</w:t>
      </w:r>
      <w:r>
        <w:rPr>
          <w:vertAlign w:val="subscript"/>
        </w:rPr>
        <w:t>2</w:t>
      </w:r>
      <w:r>
        <w:t>moieties) and efficiently spills over to activate DMO pre‐polarized on Ag</w:t>
      </w:r>
      <w:r>
        <w:t xml:space="preserve"> </w:t>
      </w:r>
      <w:r>
        <w:t>δ+</w:t>
      </w:r>
      <w:r>
        <w:t xml:space="preserve"> </w:t>
      </w:r>
      <w:r>
        <w:t>(Ag/CeO</w:t>
      </w:r>
      <w:r>
        <w:rPr>
          <w:vertAlign w:val="subscript"/>
        </w:rPr>
        <w:t>2</w:t>
      </w:r>
      <w:r>
        <w:t>subunits). Remarkably, even with only 5% of Ag nanoparticles on CeO</w:t>
      </w:r>
      <w:r>
        <w:rPr>
          <w:vertAlign w:val="subscript"/>
        </w:rPr>
        <w:t>2</w:t>
      </w:r>
      <w:r>
        <w:t>, the Ag/CeO</w:t>
      </w:r>
      <w:r>
        <w:rPr>
          <w:vertAlign w:val="subscript"/>
        </w:rPr>
        <w:t>2</w:t>
      </w:r>
      <w:r>
        <w:t>||SiO</w:t>
      </w:r>
      <w:r>
        <w:rPr>
          <w:vertAlign w:val="subscript"/>
        </w:rPr>
        <w:t>2</w:t>
      </w:r>
      <w:r>
        <w:t>system delivers a turnover frequency (TOF) 6‐fold higher than benchmark Ag/SiO</w:t>
      </w:r>
      <w:r>
        <w:rPr>
          <w:vertAlign w:val="subscript"/>
        </w:rPr>
        <w:t>2</w:t>
      </w:r>
      <w:r>
        <w:t>. The engineered configuration ensures ultra‐high H</w:t>
      </w:r>
      <w:r>
        <w:rPr>
          <w:vertAlign w:val="subscript"/>
        </w:rPr>
        <w:t>2</w:t>
      </w:r>
      <w:r>
        <w:t>utilization and enhanced thermal stability, maintaining robust stability over 1000 h. This spatial shunting strategy thus provides a powerful paradigm for the rational design of cooperative catalytic interfaces that circumvent competitive adsorption limits.</w:t>
      </w:r>
    </w:p>
    <w:p>
      <w:pPr>
        <w:spacing w:before="120" w:after="120"/>
      </w:pPr>
      <w:r>
        <w:rPr>
          <w:sz w:val="18"/>
        </w:rPr>
        <w:t>——————————————————————————————————————————————————————————————————————</w:t>
      </w:r>
    </w:p>
    <w:p>
      <w:pPr>
        <w:spacing w:before="160" w:after="40" w:line="240" w:lineRule="auto"/>
      </w:pPr>
      <w:r>
        <w:rPr>
          <w:b/>
        </w:rPr>
        <w:t xml:space="preserve">[654] </w:t>
      </w:r>
      <w:hyperlink r:id="rId1712">
        <w:r>
          <w:rPr>
            <w:color w:val="1155CC"/>
            <w:u w:val="single"/>
          </w:rPr>
          <w:t>镧催化剂实现内部和末端烯烃与 N-芳基吡唑的区域选择性加氢芳基化</w:t>
        </w:r>
      </w:hyperlink>
    </w:p>
    <w:p>
      <w:pPr>
        <w:spacing w:before="0" w:after="80"/>
      </w:pPr>
      <w:r>
        <w:rPr>
          <w:i/>
          <w:sz w:val="20"/>
        </w:rPr>
        <w:t>EN: Regioselective Hydroarylation of Internal and Terminal Alkenes With N‐Aryl Pyrazoles Enabled by Lanthanum Catalysts</w:t>
      </w:r>
    </w:p>
    <w:p>
      <w:pPr>
        <w:spacing w:before="0" w:after="120"/>
      </w:pPr>
      <w:r>
        <w:rPr>
          <w:b/>
        </w:rPr>
        <w:t xml:space="preserve">Source: </w:t>
      </w:r>
      <w:r>
        <w:t>Wiley: Angewandte Chemie International Edition: Table of Contents</w:t>
      </w:r>
      <w:r>
        <w:t xml:space="preserve">    </w:t>
      </w:r>
      <w:r>
        <w:rPr>
          <w:b/>
        </w:rPr>
        <w:t xml:space="preserve">Pub date: </w:t>
      </w:r>
      <w:r>
        <w:t>2026-08-27 06:32:54+00:00</w:t>
      </w:r>
      <w:r>
        <w:t xml:space="preserve">    </w:t>
      </w:r>
      <w:r>
        <w:rPr>
          <w:b/>
        </w:rPr>
        <w:t xml:space="preserve">DOI: </w:t>
      </w:r>
      <w:hyperlink r:id="rId1713">
        <w:r>
          <w:rPr>
            <w:color w:val="1155CC"/>
            <w:u w:val="single"/>
          </w:rPr>
          <w:t>10.1002/anie.5737595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吡唑与内烯烃的催化 C─H 烷基化是构建官能化吡唑的理想策略。然而，迄今为止，这种转化仍未得到充分探索，可能是由于内烯烃固有的低反应性和缺乏合适的催化剂。在这项研究中，我们描述了镧催化的高度区域选择性的C─H烷基化</w:t>
      </w:r>
      <w:r>
        <w:t xml:space="preserve"> </w:t>
      </w:r>
      <w:r>
        <w:t>氮</w:t>
      </w:r>
      <w:r>
        <w:t xml:space="preserve"> </w:t>
      </w:r>
      <w:r>
        <w:t>具有内部烯烃的-芳基吡唑。这一前所未有的转变成功的关键是使用阳离子咪唑啉-2-亚胺基镧催化剂，其较大的离子半径和较小的空间位阻提供了一个开放的配位环境，有利于空间要求高的内部烯烃与金属中心的配位以及随后的烯烃迁移插入。除了内部烯烃外，1,1-二取代苯乙烯和末端烯烃也适合该反应。该协议为合成新家族提供了一种简单且原子效率高的路线</w:t>
      </w:r>
      <w:r>
        <w:t xml:space="preserve"> </w:t>
      </w:r>
      <w:r>
        <w:t>氮</w:t>
      </w:r>
      <w:r>
        <w:t xml:space="preserve"> </w:t>
      </w:r>
      <w:r>
        <w:t>‐((</w:t>
      </w:r>
      <w:r>
        <w:t xml:space="preserve"> </w:t>
      </w:r>
      <w:r>
        <w:t>正位-</w:t>
      </w:r>
      <w:r>
        <w:t>烷基）芳基）吡唑衍生物（94 个实例，产率高达 99%，&gt;19:1 rr）。放大合成和进一步转化为刺猬酶抑制剂类似物凸显了该方法的潜在应用。结合实验和计算研究阐明了反应机理以及金属离子尺寸对限制周转的烯烃迁移插入步骤的影响。</w:t>
      </w:r>
    </w:p>
    <w:p>
      <w:pPr>
        <w:spacing w:before="0" w:after="200" w:lineRule="auto" w:line="276"/>
      </w:pPr>
      <w:r>
        <w:rPr>
          <w:b/>
        </w:rPr>
        <w:t xml:space="preserve">Abstract (EN): </w:t>
      </w:r>
      <w:r>
        <w:t>Catalytic C─H alkylation of pyrazoles with internal alkenes represents an ideal strategy for constructing functionalized pyrazoles. However, such a transformation has remained underexplored to date, likely due to the inherently low reactivity of internal alkenes and the lack of suitable catalysts. In this study, we describe a lanthanum‐catalyzed highly regioselective C─H alkylation of</w:t>
      </w:r>
      <w:r>
        <w:t xml:space="preserve"> </w:t>
      </w:r>
      <w:r>
        <w:t>N</w:t>
      </w:r>
      <w:r>
        <w:t xml:space="preserve"> </w:t>
      </w:r>
      <w:r>
        <w:t>‐aryl pyrazoles with internal alkenes. The key to success of this unprecedented transformation is the use of a cationic imidazolin‐2‐iminato lanthanum catalyst, whose large ionic radius and less steric hindrance provide an open coordination environment that facilitates the coordination of sterically demanding internal alkenes to the metal center and subsequent alkene migratory insertion. Besides internal alkenes, 1,1‐disubstituted styrenes and terminal alkenes were amenable to the reaction. This protocol offers a straightforward and atom‐efficient route for the synthesis of a new family of</w:t>
      </w:r>
      <w:r>
        <w:t xml:space="preserve"> </w:t>
      </w:r>
      <w:r>
        <w:t>N</w:t>
      </w:r>
      <w:r>
        <w:t xml:space="preserve"> </w:t>
      </w:r>
      <w:r>
        <w:t>‐((</w:t>
      </w:r>
      <w:r>
        <w:t xml:space="preserve"> </w:t>
      </w:r>
      <w:r>
        <w:t>ortho‐</w:t>
      </w:r>
      <w:r>
        <w:t xml:space="preserve"> </w:t>
      </w:r>
      <w:r>
        <w:t>alkyl)aryl) pyrazole derivatives (94 examples, up to 99% yield, &amp;gt;19:1 rr). The scale‐up synthesis and further transformation to hedgehog enzyme inhibitor analog highlight the potential application of this method. Combined experimental and computational studies elucidated the reaction mechanism and the influence of metal ion size on the turnover‐limiting alkene migratory insertion step.</w:t>
      </w:r>
    </w:p>
    <w:p>
      <w:pPr>
        <w:spacing w:before="120" w:after="120"/>
      </w:pPr>
      <w:r>
        <w:rPr>
          <w:sz w:val="18"/>
        </w:rPr>
        <w:t>——————————————————————————————————————————————————————————————————————</w:t>
      </w:r>
    </w:p>
    <w:p>
      <w:pPr>
        <w:spacing w:before="160" w:after="40" w:line="240" w:lineRule="auto"/>
      </w:pPr>
      <w:r>
        <w:rPr>
          <w:b/>
        </w:rPr>
        <w:t xml:space="preserve">[655] </w:t>
      </w:r>
      <w:hyperlink r:id="rId1714">
        <w:r>
          <w:rPr>
            <w:color w:val="1155CC"/>
            <w:u w:val="single"/>
          </w:rPr>
          <w:t>保持拓扑结构的离子单元取代使类闪锌矿磷化物实现优异的红外光学非线性</w:t>
        </w:r>
      </w:hyperlink>
    </w:p>
    <w:p>
      <w:pPr>
        <w:spacing w:before="0" w:after="80"/>
      </w:pPr>
      <w:r>
        <w:rPr>
          <w:i/>
          <w:sz w:val="20"/>
        </w:rPr>
        <w:t>EN: Topology‐Preserving Ionic‐Unit Substitution Enables Sphalerite‐Like Phosphides Achieving Superior Infrared Optical Nonlinearity</w:t>
      </w:r>
    </w:p>
    <w:p>
      <w:pPr>
        <w:spacing w:before="0" w:after="120"/>
      </w:pPr>
      <w:r>
        <w:rPr>
          <w:b/>
        </w:rPr>
        <w:t xml:space="preserve">Source: </w:t>
      </w:r>
      <w:r>
        <w:t>Wiley: Angewandte Chemie International Edition: Table of Contents</w:t>
      </w:r>
      <w:r>
        <w:t xml:space="preserve">    </w:t>
      </w:r>
      <w:r>
        <w:rPr>
          <w:b/>
        </w:rPr>
        <w:t xml:space="preserve">Pub date: </w:t>
      </w:r>
      <w:r>
        <w:t>2026-08-27 06:38:51+00:00</w:t>
      </w:r>
      <w:r>
        <w:t xml:space="preserve">    </w:t>
      </w:r>
      <w:r>
        <w:rPr>
          <w:b/>
        </w:rPr>
        <w:t xml:space="preserve">DOI: </w:t>
      </w:r>
      <w:hyperlink r:id="rId1715">
        <w:r>
          <w:rPr>
            <w:color w:val="1155CC"/>
            <w:u w:val="single"/>
          </w:rPr>
          <w:t>10.1002/anie.1280035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非中心对称（NCS）无机磷化物已成为红外（IR）非线性光学（NLO）应用的有希望的候选者；然而，它们的合理设计仍然具有挑战性，因为基本上不存在一般的结构生成原则。在这里，我们确定了闪锌矿晶格和 NCS A–X–M–P（A：碱土金属；X：卤素；M：ds 和 p 块元素）磷化物之间的拓扑关系。这种关系表明闪锌矿晶格内的特定共价簇可以被 A 取代</w:t>
      </w:r>
      <w:r>
        <w:rPr>
          <w:vertAlign w:val="subscript"/>
        </w:rPr>
        <w:t>4</w:t>
      </w:r>
      <w:r>
        <w:t>X 离子基序，同时保留四面体框架的闪锌矿状拓扑，并导致由通式 [A</w:t>
      </w:r>
      <w:r>
        <w:rPr>
          <w:vertAlign w:val="subscript"/>
        </w:rPr>
        <w:t>4</w:t>
      </w:r>
      <w:r>
        <w:t>X][M</w:t>
      </w:r>
      <w:r>
        <w:t xml:space="preserve"> </w:t>
      </w:r>
      <w:r>
        <w:t>n</w:t>
      </w:r>
      <w:r>
        <w:t xml:space="preserve"> </w:t>
      </w:r>
      <w:r>
        <w:t>磷</w:t>
      </w:r>
      <w:r>
        <w:t xml:space="preserve"> </w:t>
      </w:r>
      <w:r>
        <w:t>n+6</w:t>
      </w:r>
      <w:r>
        <w:t xml:space="preserve"> </w:t>
      </w:r>
      <w:r>
        <w:t>]。在此框架的基础上，我们预测碱土阳离子可以被立体化学活性孤对（SCALP）阳离子取代，以调节非线性光学性质。在这些原则的指导下，八种新的所需磷化物，[Ca</w:t>
      </w:r>
      <w:r>
        <w:rPr>
          <w:vertAlign w:val="subscript"/>
        </w:rPr>
        <w:t>4</w:t>
      </w:r>
      <w:r>
        <w:t>X][锌</w:t>
      </w:r>
      <w:r>
        <w:t xml:space="preserve"> </w:t>
      </w:r>
      <w:r>
        <w:t>1.5</w:t>
      </w:r>
      <w:r>
        <w:t xml:space="preserve"> </w:t>
      </w:r>
      <w:r>
        <w:t>硅</w:t>
      </w:r>
      <w:r>
        <w:t xml:space="preserve"> </w:t>
      </w:r>
      <w:r>
        <w:t>12.5</w:t>
      </w:r>
      <w:r>
        <w:t xml:space="preserve"> </w:t>
      </w:r>
      <w:r>
        <w:t>磷</w:t>
      </w:r>
      <w:r>
        <w:rPr>
          <w:vertAlign w:val="subscript"/>
        </w:rPr>
        <w:t>20</w:t>
      </w:r>
      <w:r>
        <w:t>], [钙</w:t>
      </w:r>
      <w:r>
        <w:t xml:space="preserve"> </w:t>
      </w:r>
      <w:r>
        <w:t>3.8</w:t>
      </w:r>
      <w:r>
        <w:t xml:space="preserve"> </w:t>
      </w:r>
      <w:r>
        <w:t>锗</w:t>
      </w:r>
      <w:r>
        <w:t xml:space="preserve"> </w:t>
      </w:r>
      <w:r>
        <w:t>0.2</w:t>
      </w:r>
      <w:r>
        <w:t xml:space="preserve"> </w:t>
      </w:r>
      <w:r>
        <w:t>X][硅</w:t>
      </w:r>
      <w:r>
        <w:rPr>
          <w:vertAlign w:val="subscript"/>
        </w:rPr>
        <w:t>11</w:t>
      </w:r>
      <w:r>
        <w:t>磷</w:t>
      </w:r>
      <w:r>
        <w:t xml:space="preserve"> </w:t>
      </w:r>
      <w:r>
        <w:t>17 号</w:t>
      </w:r>
      <w:r>
        <w:t xml:space="preserve"> </w:t>
      </w:r>
      <w:r>
        <w:t>], [钙</w:t>
      </w:r>
      <w:r>
        <w:t xml:space="preserve"> </w:t>
      </w:r>
      <w:r>
        <w:t>3.6</w:t>
      </w:r>
      <w:r>
        <w:t xml:space="preserve"> </w:t>
      </w:r>
      <w:r>
        <w:t>锡</w:t>
      </w:r>
    </w:p>
    <w:p>
      <w:pPr>
        <w:spacing w:before="0" w:after="200" w:lineRule="auto" w:line="276"/>
      </w:pPr>
      <w:r>
        <w:rPr>
          <w:b/>
        </w:rPr>
        <w:t xml:space="preserve">Abstract (EN): </w:t>
      </w:r>
      <w:r>
        <w:t>Non‐centrosymmetric (NCS) inorganic phosphides have emerged as promising candidates for infrared (IR) nonlinear optical (NLO) applications; however, their rational design remains challenging because general structure‐generation principles are largely absent. Here, we identify a topological relationship between sphalerite lattice and NCS A–X–M–P (A: alkaline earth metals; X: halogens; M: ds, and p block element) phosphides. This relationship holds that specific covalent clusters within the sphalerite lattice can be replaced by A</w:t>
      </w:r>
      <w:r>
        <w:rPr>
          <w:vertAlign w:val="subscript"/>
        </w:rPr>
        <w:t>4</w:t>
      </w:r>
      <w:r>
        <w:t>X ionic motifs while preserving the sphalerite‐like topology of tetrahedral framework, and leads to a phase‐evolution rule described by the general formula [A</w:t>
      </w:r>
      <w:r>
        <w:rPr>
          <w:vertAlign w:val="subscript"/>
        </w:rPr>
        <w:t>4</w:t>
      </w:r>
      <w:r>
        <w:t>X][M</w:t>
      </w:r>
      <w:r>
        <w:t xml:space="preserve"> </w:t>
      </w:r>
      <w:r>
        <w:t>n</w:t>
      </w:r>
      <w:r>
        <w:t xml:space="preserve"> </w:t>
      </w:r>
      <w:r>
        <w:t>P</w:t>
      </w:r>
      <w:r>
        <w:t xml:space="preserve"> </w:t>
      </w:r>
      <w:r>
        <w:t>n+6</w:t>
      </w:r>
      <w:r>
        <w:t xml:space="preserve"> </w:t>
      </w:r>
      <w:r>
        <w:t>]. Building upon this framework, we predict that alkaline‐earth cations can be substituted by stereochemically active lone‐pair (SCALP) cations to modulate NLO properties. Guided by these principles, eight new desired phosphides, [Ca</w:t>
      </w:r>
      <w:r>
        <w:rPr>
          <w:vertAlign w:val="subscript"/>
        </w:rPr>
        <w:t>4</w:t>
      </w:r>
      <w:r>
        <w:t>X][Zn</w:t>
      </w:r>
      <w:r>
        <w:t xml:space="preserve"> </w:t>
      </w:r>
      <w:r>
        <w:t>1.5</w:t>
      </w:r>
      <w:r>
        <w:t xml:space="preserve"> </w:t>
      </w:r>
      <w:r>
        <w:t>Si</w:t>
      </w:r>
      <w:r>
        <w:t xml:space="preserve"> </w:t>
      </w:r>
      <w:r>
        <w:t>12.5</w:t>
      </w:r>
      <w:r>
        <w:t xml:space="preserve"> </w:t>
      </w:r>
      <w:r>
        <w:t>P</w:t>
      </w:r>
      <w:r>
        <w:rPr>
          <w:vertAlign w:val="subscript"/>
        </w:rPr>
        <w:t>20</w:t>
      </w:r>
      <w:r>
        <w:t>], [Ca</w:t>
      </w:r>
      <w:r>
        <w:t xml:space="preserve"> </w:t>
      </w:r>
      <w:r>
        <w:t>3.8</w:t>
      </w:r>
      <w:r>
        <w:t xml:space="preserve"> </w:t>
      </w:r>
      <w:r>
        <w:t>Ge</w:t>
      </w:r>
      <w:r>
        <w:t xml:space="preserve"> </w:t>
      </w:r>
      <w:r>
        <w:t>0.2</w:t>
      </w:r>
      <w:r>
        <w:t xml:space="preserve"> </w:t>
      </w:r>
      <w:r>
        <w:t>X][Si</w:t>
      </w:r>
      <w:r>
        <w:rPr>
          <w:vertAlign w:val="subscript"/>
        </w:rPr>
        <w:t>11</w:t>
      </w:r>
      <w:r>
        <w:t>P</w:t>
      </w:r>
      <w:r>
        <w:rPr>
          <w:vertAlign w:val="subscript"/>
        </w:rPr>
        <w:t>17</w:t>
      </w:r>
      <w:r>
        <w:t>], [Ca</w:t>
      </w:r>
      <w:r>
        <w:t xml:space="preserve"> </w:t>
      </w:r>
      <w:r>
        <w:t>3.6</w:t>
      </w:r>
      <w:r>
        <w:t xml:space="preserve"> </w:t>
      </w:r>
      <w:r>
        <w:t>Sn</w:t>
      </w:r>
      <w:r>
        <w:t xml:space="preserve"> </w:t>
      </w:r>
      <w:r>
        <w:t>0.4</w:t>
      </w:r>
      <w:r>
        <w:t xml:space="preserve"> </w:t>
      </w:r>
      <w:r>
        <w:t>X][Si</w:t>
      </w:r>
      <w:r>
        <w:rPr>
          <w:vertAlign w:val="subscript"/>
        </w:rPr>
        <w:t>11</w:t>
      </w:r>
      <w:r>
        <w:t>P</w:t>
      </w:r>
      <w:r>
        <w:rPr>
          <w:vertAlign w:val="subscript"/>
        </w:rPr>
        <w:t>17</w:t>
      </w:r>
      <w:r>
        <w:t>], and [Ca</w:t>
      </w:r>
      <w:r>
        <w:t xml:space="preserve"> </w:t>
      </w:r>
      <w:r>
        <w:t>3.6</w:t>
      </w:r>
      <w:r>
        <w:t xml:space="preserve"> </w:t>
      </w:r>
      <w:r>
        <w:t>Pb</w:t>
      </w:r>
      <w:r>
        <w:t xml:space="preserve"> </w:t>
      </w:r>
      <w:r>
        <w:t>0.4</w:t>
      </w:r>
      <w:r>
        <w:t xml:space="preserve"> </w:t>
      </w:r>
      <w:r>
        <w:t>X][Si</w:t>
      </w:r>
      <w:r>
        <w:rPr>
          <w:vertAlign w:val="subscript"/>
        </w:rPr>
        <w:t>11</w:t>
      </w:r>
      <w:r>
        <w:t>P</w:t>
      </w:r>
      <w:r>
        <w:rPr>
          <w:vertAlign w:val="subscript"/>
        </w:rPr>
        <w:t>17</w:t>
      </w:r>
      <w:r>
        <w:t>] (X = Cl and Br) were successfully designed and synthesized via a lithium‐mediated solid‐state reaction. These materials exhibit strong SHG responses (1.2–2.3 × ZGP @ 2900 nm), tunable optical band gaps (1.42–2.02 eV), broad IR transparency range (up to ∼9.5 µm) and moderate birefringence (0.03–0.05 @ 2900 nm). This work establishes a predictive topological substitution principle for generating NCS phosphides and expands the chemical space of lone‐pair‐containing phosphides with promising infrared optical functionalities.</w:t>
      </w:r>
    </w:p>
    <w:p>
      <w:pPr>
        <w:spacing w:before="120" w:after="120"/>
      </w:pPr>
      <w:r>
        <w:rPr>
          <w:sz w:val="18"/>
        </w:rPr>
        <w:t>——————————————————————————————————————————————————————————————————————</w:t>
      </w:r>
    </w:p>
    <w:p>
      <w:pPr>
        <w:spacing w:before="160" w:after="40" w:line="240" w:lineRule="auto"/>
      </w:pPr>
      <w:r>
        <w:rPr>
          <w:b/>
        </w:rPr>
        <w:t xml:space="preserve">[656] </w:t>
      </w:r>
      <w:hyperlink r:id="rId1716">
        <w:r>
          <w:rPr>
            <w:color w:val="1155CC"/>
            <w:u w:val="single"/>
          </w:rPr>
          <w:t>d/p 带中心的轨道微调可实现高度优先的单电子氧激活</w:t>
        </w:r>
      </w:hyperlink>
    </w:p>
    <w:p>
      <w:pPr>
        <w:spacing w:before="0" w:after="80"/>
      </w:pPr>
      <w:r>
        <w:rPr>
          <w:i/>
          <w:sz w:val="20"/>
        </w:rPr>
        <w:t>EN: Orbital Fine‐Tuning of d/p‐Band Centers Enables Highly Preferential Single‐Electron Oxygen Activation</w:t>
      </w:r>
    </w:p>
    <w:p>
      <w:pPr>
        <w:spacing w:before="0" w:after="120"/>
      </w:pPr>
      <w:r>
        <w:rPr>
          <w:b/>
        </w:rPr>
        <w:t xml:space="preserve">Source: </w:t>
      </w:r>
      <w:r>
        <w:t>Wiley: Angewandte Chemie International Edition: Table of Contents</w:t>
      </w:r>
      <w:r>
        <w:t xml:space="preserve">    </w:t>
      </w:r>
      <w:r>
        <w:rPr>
          <w:b/>
        </w:rPr>
        <w:t xml:space="preserve">Pub date: </w:t>
      </w:r>
      <w:r>
        <w:t>2026-08-27 06:46:57+00:00</w:t>
      </w:r>
      <w:r>
        <w:t xml:space="preserve">    </w:t>
      </w:r>
      <w:r>
        <w:rPr>
          <w:b/>
        </w:rPr>
        <w:t xml:space="preserve">DOI: </w:t>
      </w:r>
      <w:hyperlink r:id="rId1717">
        <w:r>
          <w:rPr>
            <w:color w:val="1155CC"/>
            <w:u w:val="single"/>
          </w:rPr>
          <w:t>10.1002/anie.6084718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单电子光催化将分子氧还原为超氧自由基（O</w:t>
      </w:r>
      <w:r>
        <w:rPr>
          <w:vertAlign w:val="subscript"/>
        </w:rPr>
        <w:t>2</w:t>
      </w:r>
      <w:r>
        <w:t>•−</w:t>
      </w:r>
      <w:r>
        <w:t>）代表环境光化学中的速率决定步骤，但实现该途径的高选择性仍然是一个艰巨的挑战。在这里，我们引入了一种概念驱动的轨道杂交策略，通过氯掺杂精确调节聚合苯乙炔铜（PECu）的 d/p 轨道。 Cl 不是作为传统的杂原子掺杂剂，</w:t>
      </w:r>
      <w:r>
        <w:t xml:space="preserve"> </w:t>
      </w:r>
      <w:r>
        <w:t>-</w:t>
      </w:r>
      <w:r>
        <w:t>作为“轨道微调器”，增强了C≡C─Cu单元的配位极化并缩短了Cu─Cu阶梯间距，从而构建了有效的金属-金属电荷转移（MMCT）通道。这种界面电子工程显着改善了 d/p 带中心接近度 (Δ</w:t>
      </w:r>
      <w:r>
        <w:t xml:space="preserve"> </w:t>
      </w:r>
      <w:r>
        <w:t>ε</w:t>
      </w:r>
      <w:r>
        <w:t xml:space="preserve"> </w:t>
      </w:r>
      <w:r>
        <w:t>d-p</w:t>
      </w:r>
      <w:r>
        <w:t xml:space="preserve"> </w:t>
      </w:r>
      <w:r>
        <w:t>），从而优化O的吸附和活化</w:t>
      </w:r>
      <w:r>
        <w:rPr>
          <w:vertAlign w:val="subscript"/>
        </w:rPr>
        <w:t>2</w:t>
      </w:r>
      <w:r>
        <w:t>炔烃活性位点的中间体。优化的 PCC 光催化剂对 O2 表现出卓越的选择性</w:t>
      </w:r>
      <w:r>
        <w:rPr>
          <w:vertAlign w:val="subscript"/>
        </w:rPr>
        <w:t>2</w:t>
      </w:r>
      <w:r>
        <w:t>→ O</w:t>
      </w:r>
      <w:r>
        <w:rPr>
          <w:vertAlign w:val="subscript"/>
        </w:rPr>
        <w:t>2</w:t>
      </w:r>
      <w:r>
        <w:t>•−</w:t>
      </w:r>
      <w:r>
        <w:t>单电子还原途径，实现了 471.38 µmol/L 的超氧化物产率，显着增强了水净化性能。这项工作将传统的带中心工程从活性优化扩展到高度优先的单电子氧激活</w:t>
      </w:r>
    </w:p>
    <w:p>
      <w:pPr>
        <w:spacing w:before="0" w:after="200" w:lineRule="auto" w:line="276"/>
      </w:pPr>
      <w:r>
        <w:rPr>
          <w:b/>
        </w:rPr>
        <w:t xml:space="preserve">Abstract (EN): </w:t>
      </w:r>
      <w:r>
        <w:t>The single‐electron photocatalytic reduction of molecular oxygen to superoxide radicals (O</w:t>
      </w:r>
      <w:r>
        <w:rPr>
          <w:vertAlign w:val="subscript"/>
        </w:rPr>
        <w:t>2</w:t>
      </w:r>
      <w:r>
        <w:t>•−</w:t>
      </w:r>
      <w:r>
        <w:t>) represents the rate‐determining step in environmental photochemistry, yet achieving high selectivity toward this pathway remains a formidable challenge. Here, we introduce a conceptually driven orbital‐hybridization strategy to precisely regulate the d/p orbitals of polymeric phenylethynylcopper (PECu) through chlorine doping. Rather than acting as a conventional heteroatom dopant, Cl</w:t>
      </w:r>
      <w:r>
        <w:t xml:space="preserve"> </w:t>
      </w:r>
      <w:r>
        <w:t>−</w:t>
      </w:r>
      <w:r>
        <w:t>serves as an “orbital fine‐tuner”, enhancing the coordination polarization of C≡C─Cu units and shortening the Cu─Cu ladder spacing to construct an efficient metal–metal charge‐transfer (MMCT) channel. This interfacial electronic engineering markedly improved d/p‐band center proximity (Δ</w:t>
      </w:r>
      <w:r>
        <w:t xml:space="preserve"> </w:t>
      </w:r>
      <w:r>
        <w:t>ε</w:t>
      </w:r>
      <w:r>
        <w:t xml:space="preserve"> </w:t>
      </w:r>
      <w:r>
        <w:t>d‐p</w:t>
      </w:r>
      <w:r>
        <w:t xml:space="preserve"> </w:t>
      </w:r>
      <w:r>
        <w:t>), thereby optimizing the adsorption and activation of O</w:t>
      </w:r>
      <w:r>
        <w:rPr>
          <w:vertAlign w:val="subscript"/>
        </w:rPr>
        <w:t>2</w:t>
      </w:r>
      <w:r>
        <w:t>intermediates at alkyne active sites. The optimized PCC photocatalyst exhibits exceptional selectivity for the O</w:t>
      </w:r>
      <w:r>
        <w:rPr>
          <w:vertAlign w:val="subscript"/>
        </w:rPr>
        <w:t>2</w:t>
      </w:r>
      <w:r>
        <w:t>→ O</w:t>
      </w:r>
      <w:r>
        <w:rPr>
          <w:vertAlign w:val="subscript"/>
        </w:rPr>
        <w:t>2</w:t>
      </w:r>
      <w:r>
        <w:t>•−</w:t>
      </w:r>
      <w:r>
        <w:t>single‐electron reduction pathway, achieving a superoxide yield of 471.38 µmol/L and significantly enhanced water decontamination performance. This work extends conventional band‐center engineering from activity optimization to highly preferential single‐electron oxygen activation by identifying d/p‐band‐center proximity as a key electronic descriptor governing selective single‐electron O</w:t>
      </w:r>
      <w:r>
        <w:rPr>
          <w:vertAlign w:val="subscript"/>
        </w:rPr>
        <w:t>2</w:t>
      </w:r>
      <w:r>
        <w:t>reduction.</w:t>
      </w:r>
    </w:p>
    <w:p>
      <w:pPr>
        <w:spacing w:before="120" w:after="120"/>
      </w:pPr>
      <w:r>
        <w:rPr>
          <w:sz w:val="18"/>
        </w:rPr>
        <w:t>——————————————————————————————————————————————————————————————————————</w:t>
      </w:r>
    </w:p>
    <w:p>
      <w:pPr>
        <w:spacing w:before="160" w:after="40" w:line="240" w:lineRule="auto"/>
      </w:pPr>
      <w:r>
        <w:rPr>
          <w:b/>
        </w:rPr>
        <w:t xml:space="preserve">[657] </w:t>
      </w:r>
      <w:hyperlink r:id="rId1718">
        <w:r>
          <w:rPr>
            <w:color w:val="1155CC"/>
            <w:u w:val="single"/>
          </w:rPr>
          <w:t>非病毒传递化学修饰的 tRNA 可挽救囊性纤维化中的无义突变</w:t>
        </w:r>
      </w:hyperlink>
    </w:p>
    <w:p>
      <w:pPr>
        <w:spacing w:before="0" w:after="80"/>
      </w:pPr>
      <w:r>
        <w:rPr>
          <w:i/>
          <w:sz w:val="20"/>
        </w:rPr>
        <w:t>EN: Nonviral delivery of chemically modified tRNA rescues nonsense mutations in cystic fibrosis</w:t>
      </w:r>
    </w:p>
    <w:p>
      <w:pPr>
        <w:spacing w:before="0" w:after="120"/>
      </w:pPr>
      <w:r>
        <w:rPr>
          <w:b/>
        </w:rPr>
        <w:t xml:space="preserve">Source: </w:t>
      </w:r>
      <w:r>
        <w:t>AAAS: Science: Table of Contents</w:t>
      </w:r>
      <w:r>
        <w:t xml:space="preserve">    </w:t>
      </w:r>
      <w:r>
        <w:rPr>
          <w:b/>
        </w:rPr>
        <w:t xml:space="preserve">Pub date: </w:t>
      </w:r>
      <w:r>
        <w:t>2026-08-27 07:00:00+00:00</w:t>
      </w:r>
      <w:r>
        <w:t xml:space="preserve">    </w:t>
      </w:r>
      <w:r>
        <w:rPr>
          <w:b/>
        </w:rPr>
        <w:t xml:space="preserve">DOI: </w:t>
      </w:r>
      <w:hyperlink r:id="rId1719">
        <w:r>
          <w:rPr>
            <w:color w:val="1155CC"/>
            <w:u w:val="single"/>
          </w:rPr>
          <w:t>10.1126/science.aeb0054</w:t>
        </w:r>
      </w:hyperlink>
    </w:p>
    <w:p>
      <w:pPr>
        <w:spacing w:before="0" w:after="120"/>
      </w:pPr>
      <w:r>
        <w:rPr>
          <w:b/>
        </w:rPr>
        <w:t xml:space="preserve">Notes: </w:t>
      </w:r>
      <w:r>
        <w:t>abstract_source=crossref</w:t>
      </w:r>
    </w:p>
    <w:p>
      <w:pPr>
        <w:spacing w:before="0" w:after="80" w:lineRule="auto" w:line="276"/>
      </w:pPr>
      <w:r>
        <w:rPr>
          <w:b/>
        </w:rPr>
        <w:t xml:space="preserve">摘要（ZH）: </w:t>
      </w:r>
      <w:r>
        <w:t>抑制性转移 RNA (sup-tRNA) 可以通过促进提前终止密码子 (PTC) 的通读来挽救引起疾病的无义突变。它们的临床转化受到次优活性和体内递送效率低下的限制。在这项工作中，我们将sup-tRNA的位点特异性化学修饰与货物定制的肺脂质纳米颗粒（LNP）工程相结合，以克服这些障碍。并入N</w:t>
      </w:r>
      <w:r>
        <w:rPr>
          <w:vertAlign w:val="subscript"/>
        </w:rPr>
        <w:t>1</w:t>
      </w:r>
      <w:r>
        <w:t>su-tRNA 中的 β-甲基腺苷改善了 PTC 读取，增强了 tRNA 氨酰化，延长了功能持久性，并减少了先天免疫激活。高通量可电离脂质筛选和配方优化确定了一种sup-tRNA定制的LNP，它可以有效地将化学修饰的sup-tRNA递送至肺部。这种方法恢复了支气管上皮细胞、小鼠模型和患者来源的类器官中囊性纤维化跨膜电导调节因子（CFTR）的表达和功能。因此，LNP 递送的、化学工程化的 super-tRNA 代表了治疗无义突变的潜在治疗平台。</w:t>
      </w:r>
    </w:p>
    <w:p>
      <w:pPr>
        <w:spacing w:before="0" w:after="200" w:lineRule="auto" w:line="276"/>
      </w:pPr>
      <w:r>
        <w:rPr>
          <w:b/>
        </w:rPr>
        <w:t xml:space="preserve">Abstract (EN): </w:t>
      </w:r>
      <w:r>
        <w:t>Suppressor transfer RNAs (sup-tRNAs) can rescue disease-causing nonsense mutations by promoting readthrough of premature termination codons (PTCs). Their clinical translation is limited by suboptimal activity and inefficient in vivo delivery. In this work, we combined site-specific chemical modification of sup-tRNAs with cargo-tailored pulmonary lipid nanoparticle (LNP) engineering to overcome these barriers. Incorporation of N</w:t>
      </w:r>
      <w:r>
        <w:rPr>
          <w:vertAlign w:val="subscript"/>
        </w:rPr>
        <w:t>1</w:t>
      </w:r>
      <w:r>
        <w:t>-methyladenosine in sup-tRNAs improved PTC readthrough, enhanced tRNA aminoacylation, prolonged functional persistence, and reduced innate immune activation. High-throughput ionizable lipid screening and formulation optimization identified a sup-tRNA–tailored LNP that efficiently delivered chemically modified sup-tRNAs to the lung. This approach restored cystic fibrosis transmembrane conductance regulator (CFTR) expression and function in bronchial epithelial cells, mouse models, and patient-derived organoids. Thus, LNP-delivered, chemically engineered sup-tRNAs represent a potential therapeutic platform for treating nonsense mutations.</w:t>
      </w:r>
    </w:p>
    <w:p>
      <w:pPr>
        <w:spacing w:before="120" w:after="120"/>
      </w:pPr>
      <w:r>
        <w:rPr>
          <w:sz w:val="18"/>
        </w:rPr>
        <w:t>——————————————————————————————————————————————————————————————————————</w:t>
      </w:r>
    </w:p>
    <w:p>
      <w:pPr>
        <w:spacing w:before="160" w:after="40" w:line="240" w:lineRule="auto"/>
      </w:pPr>
      <w:r>
        <w:rPr>
          <w:b/>
        </w:rPr>
        <w:t xml:space="preserve">[658] </w:t>
      </w:r>
      <w:hyperlink r:id="rId1720">
        <w:r>
          <w:rPr>
            <w:color w:val="1155CC"/>
            <w:u w:val="single"/>
          </w:rPr>
          <w:t>基因组易感性与性染色体进化方向相关</w:t>
        </w:r>
      </w:hyperlink>
    </w:p>
    <w:p>
      <w:pPr>
        <w:spacing w:before="0" w:after="80"/>
      </w:pPr>
      <w:r>
        <w:rPr>
          <w:i/>
          <w:sz w:val="20"/>
        </w:rPr>
        <w:t>EN: Genomic predisposition is associated with the direction of sex chromosome evolution</w:t>
      </w:r>
    </w:p>
    <w:p>
      <w:pPr>
        <w:spacing w:before="0" w:after="120"/>
      </w:pPr>
      <w:r>
        <w:rPr>
          <w:b/>
        </w:rPr>
        <w:t xml:space="preserve">Source: </w:t>
      </w:r>
      <w:r>
        <w:t>AAAS: Science: Table of Contents</w:t>
      </w:r>
      <w:r>
        <w:t xml:space="preserve">    </w:t>
      </w:r>
      <w:r>
        <w:rPr>
          <w:b/>
        </w:rPr>
        <w:t xml:space="preserve">Pub date: </w:t>
      </w:r>
      <w:r>
        <w:t>2026-08-27 07:00:00+00:00</w:t>
      </w:r>
      <w:r>
        <w:t xml:space="preserve">    </w:t>
      </w:r>
      <w:r>
        <w:rPr>
          <w:b/>
        </w:rPr>
        <w:t xml:space="preserve">DOI: </w:t>
      </w:r>
      <w:hyperlink r:id="rId1721">
        <w:r>
          <w:rPr>
            <w:color w:val="1155CC"/>
            <w:u w:val="single"/>
          </w:rPr>
          <w:t>10.1126/science.aec3449</w:t>
        </w:r>
      </w:hyperlink>
    </w:p>
    <w:p>
      <w:pPr>
        <w:spacing w:before="0" w:after="120"/>
      </w:pPr>
      <w:r>
        <w:rPr>
          <w:b/>
        </w:rPr>
        <w:t xml:space="preserve">Notes: </w:t>
      </w:r>
      <w:r>
        <w:t>abstract_source=crossref</w:t>
      </w:r>
    </w:p>
    <w:p>
      <w:pPr>
        <w:spacing w:before="0" w:after="80" w:lineRule="auto" w:line="276"/>
      </w:pPr>
      <w:r>
        <w:rPr>
          <w:b/>
        </w:rPr>
        <w:t xml:space="preserve">摘要（ZH）: </w:t>
      </w:r>
      <w:r>
        <w:t>性染色体进化是脊椎动物中最具活力的基因组创新之一，但为什么一些谱系进化出 XY 而另一些谱系进化出 ZW 仍不清楚。利用 19 只壁虎的染色体水平基因组，我们发现壁虎性染色体独立起源于 16 条祖先染色体。它们的起源在时间和方向上都是非随机的。 11 个可确定的起源中，有 5 个与中新世中期气候转变附近（约 1000 万年前）一致。祖先基因内容与进化方向相关，睾丸丰富的区域倾向于进化为ZW，睾丸贫乏的区域倾向于进化为XY，这是在多个羊膜动物性染色体起源中观察到的模式。具有遗传性别决定作用的壁虎通过异配性别的上调反复进化出部分剂量平衡。因此，性染色体进化遵循祖先基因组倾向和环境背景的限制。</w:t>
      </w:r>
    </w:p>
    <w:p>
      <w:pPr>
        <w:spacing w:before="0" w:after="200" w:lineRule="auto" w:line="276"/>
      </w:pPr>
      <w:r>
        <w:rPr>
          <w:b/>
        </w:rPr>
        <w:t xml:space="preserve">Abstract (EN): </w:t>
      </w:r>
      <w:r>
        <w:t>Sex chromosome evolution is among the most dynamic genomic innovations in vertebrates, yet why some lineages evolve XY while others evolve ZW remains unclear. Using chromosome-level genomes from 19 geckos, we found that gecko sex chromosomes originated independently from 16 ancestral chromosomes. Their origins are nonrandom in both time and direction. Five of 11 datable origins coincide near the Middle Miocene Climatic Transition (~10 million years ago). Ancestral gene content is associated with the direction of evolution, with testis-enriched regions tending to evolve into ZW and testis-depleted regions into XY, a pattern observed across multiple amniote sex chromosome origins. Geckos with genetic sex determination repeatedly evolve partial dosage balance through up-regulation in the heterogametic sex. Sex chromosome evolution thus follows constraints from ancestral genomic predisposition and environmental context.</w:t>
      </w:r>
    </w:p>
    <w:p>
      <w:pPr>
        <w:spacing w:before="120" w:after="120"/>
      </w:pPr>
      <w:r>
        <w:rPr>
          <w:sz w:val="18"/>
        </w:rPr>
        <w:t>——————————————————————————————————————————————————————————————————————</w:t>
      </w:r>
    </w:p>
    <w:p>
      <w:pPr>
        <w:spacing w:before="160" w:after="40" w:line="240" w:lineRule="auto"/>
      </w:pPr>
      <w:r>
        <w:rPr>
          <w:b/>
        </w:rPr>
        <w:t xml:space="preserve">[659] </w:t>
      </w:r>
      <w:hyperlink r:id="rId1722">
        <w:r>
          <w:rPr>
            <w:color w:val="1155CC"/>
            <w:u w:val="single"/>
          </w:rPr>
          <w:t>自闭症突变重新连接蛋白质相互作用网络以驱动神经发育病理学</w:t>
        </w:r>
      </w:hyperlink>
    </w:p>
    <w:p>
      <w:pPr>
        <w:spacing w:before="0" w:after="80"/>
      </w:pPr>
      <w:r>
        <w:rPr>
          <w:i/>
          <w:sz w:val="20"/>
        </w:rPr>
        <w:t>EN: Autism mutations rewire protein interaction networks to drive neurodevelopmental pathology</w:t>
      </w:r>
    </w:p>
    <w:p>
      <w:pPr>
        <w:spacing w:before="0" w:after="120"/>
      </w:pPr>
      <w:r>
        <w:rPr>
          <w:b/>
        </w:rPr>
        <w:t xml:space="preserve">Source: </w:t>
      </w:r>
      <w:r>
        <w:t>AAAS: Science: Table of Contents</w:t>
      </w:r>
      <w:r>
        <w:t xml:space="preserve">    </w:t>
      </w:r>
      <w:r>
        <w:rPr>
          <w:b/>
        </w:rPr>
        <w:t xml:space="preserve">Pub date: </w:t>
      </w:r>
      <w:r>
        <w:t>2026-08-27 07:00:00+00:00</w:t>
      </w:r>
      <w:r>
        <w:t xml:space="preserve">    </w:t>
      </w:r>
      <w:r>
        <w:rPr>
          <w:b/>
        </w:rPr>
        <w:t xml:space="preserve">DOI: </w:t>
      </w:r>
      <w:hyperlink r:id="rId1723">
        <w:r>
          <w:rPr>
            <w:color w:val="1155CC"/>
            <w:u w:val="single"/>
          </w:rPr>
          <w:t>10.1126/science.ady4523</w:t>
        </w:r>
      </w:hyperlink>
    </w:p>
    <w:p>
      <w:pPr>
        <w:spacing w:before="0" w:after="120"/>
      </w:pPr>
      <w:r>
        <w:rPr>
          <w:b/>
        </w:rPr>
        <w:t xml:space="preserve">Notes: </w:t>
      </w:r>
      <w:r>
        <w:t>abstract_source=crossref</w:t>
      </w:r>
    </w:p>
    <w:p>
      <w:pPr>
        <w:spacing w:before="0" w:after="80" w:lineRule="auto" w:line="276"/>
      </w:pPr>
      <w:r>
        <w:rPr>
          <w:b/>
        </w:rPr>
        <w:t xml:space="preserve">摘要（ZH）: </w:t>
      </w:r>
      <w:r>
        <w:t>蛋白质-蛋白质相互作用（PPI）网络的系统图谱以及确定自闭症谱系障碍（ASD）中因果突变如何重新连接它们，为揭示疾病机制和治疗机会提供了强大的框架。使用亲和纯化-质谱法，我们系统地绘制了 100 个高置信度 ASD 基因的 PPI，揭示了 1800 多个相互作用。通过评估致病性错义突变的影响、利用 AlphaFold 并验证人源模型系统中的关键发现，我们发现了野生型状态下共享蛋白质复合物的显着收敛以及由独立突变驱动的收敛 PPI 重新布线。例如，FOXP1 中不同的患者来源变异破坏了其与 FOXP4 的相互作用，导致皮质神经发生和大脑类器官神经活动的变化。总体而言，这些发现将遗传变异与自闭症谱系障碍中的蛋白质网络和聚合性神经发育功能障碍联系起来。</w:t>
      </w:r>
    </w:p>
    <w:p>
      <w:pPr>
        <w:spacing w:before="0" w:after="200" w:lineRule="auto" w:line="276"/>
      </w:pPr>
      <w:r>
        <w:rPr>
          <w:b/>
        </w:rPr>
        <w:t xml:space="preserve">Abstract (EN): </w:t>
      </w:r>
      <w:r>
        <w:t>Systematic mapping of protein-protein interaction (PPI) networks and determining how causal mutations rewire them in autism spectrum disorder (ASD) provide a powerful framework for uncovering disease mechanisms and therapeutic opportunities. Using affinity purification–mass spectrometry, we systematically mapped PPIs for 100 high-confidence ASD genes, uncovering more than 1800 interactions. By assessing the impact of pathogenic missense mutations, leveraging AlphaFold, and validating key findings in human-derived model systems, we identified marked convergence onto shared protein complexes in the wild-type state and convergent PPI rewiring driven by independent mutations. For example, distinct patient-derived variants in FOXP1 disrupt its interactions with FOXP4, leading to changes in cortical neurogenesis and neural activity in brain organoids. Overall, these findings link genetic variation to protein networks and convergent neurodevelopmental dysfunction in ASD.</w:t>
      </w:r>
    </w:p>
    <w:p>
      <w:pPr>
        <w:spacing w:before="120" w:after="120"/>
      </w:pPr>
      <w:r>
        <w:rPr>
          <w:sz w:val="18"/>
        </w:rPr>
        <w:t>——————————————————————————————————————————————————————————————————————</w:t>
      </w:r>
    </w:p>
    <w:p>
      <w:pPr>
        <w:spacing w:before="160" w:after="40" w:line="240" w:lineRule="auto"/>
      </w:pPr>
      <w:r>
        <w:rPr>
          <w:b/>
        </w:rPr>
        <w:t xml:space="preserve">[660] </w:t>
      </w:r>
      <w:hyperlink r:id="rId1724">
        <w:r>
          <w:rPr>
            <w:color w:val="1155CC"/>
            <w:u w:val="single"/>
          </w:rPr>
          <w:t>斑马鱼丘脑皮质样电路的分层感觉处理</w:t>
        </w:r>
      </w:hyperlink>
    </w:p>
    <w:p>
      <w:pPr>
        <w:spacing w:before="0" w:after="80"/>
      </w:pPr>
      <w:r>
        <w:rPr>
          <w:i/>
          <w:sz w:val="20"/>
        </w:rPr>
        <w:t>EN: Hierarchical sensory processing in zebrafish thalamocortical-like circuits</w:t>
      </w:r>
    </w:p>
    <w:p>
      <w:pPr>
        <w:spacing w:before="0" w:after="120"/>
      </w:pPr>
      <w:r>
        <w:rPr>
          <w:b/>
        </w:rPr>
        <w:t xml:space="preserve">Source: </w:t>
      </w:r>
      <w:r>
        <w:t>AAAS: Science: Table of Contents</w:t>
      </w:r>
      <w:r>
        <w:t xml:space="preserve">    </w:t>
      </w:r>
      <w:r>
        <w:rPr>
          <w:b/>
        </w:rPr>
        <w:t xml:space="preserve">Pub date: </w:t>
      </w:r>
      <w:r>
        <w:t>2026-08-27 07:00:00+00:00</w:t>
      </w:r>
      <w:r>
        <w:t xml:space="preserve">    </w:t>
      </w:r>
      <w:r>
        <w:rPr>
          <w:b/>
        </w:rPr>
        <w:t xml:space="preserve">DOI: </w:t>
      </w:r>
      <w:hyperlink r:id="rId1725">
        <w:r>
          <w:rPr>
            <w:color w:val="1155CC"/>
            <w:u w:val="single"/>
          </w:rPr>
          <w:t>10.1126/science.aec2171</w:t>
        </w:r>
      </w:hyperlink>
    </w:p>
    <w:p>
      <w:pPr>
        <w:spacing w:before="0" w:after="120"/>
      </w:pPr>
      <w:r>
        <w:rPr>
          <w:b/>
        </w:rPr>
        <w:t xml:space="preserve">Notes: </w:t>
      </w:r>
      <w:r>
        <w:t>abstract_source=crossref</w:t>
      </w:r>
    </w:p>
    <w:p>
      <w:pPr>
        <w:spacing w:before="0" w:after="80" w:lineRule="auto" w:line="276"/>
      </w:pPr>
      <w:r>
        <w:rPr>
          <w:b/>
        </w:rPr>
        <w:t xml:space="preserve">摘要（ZH）: </w:t>
      </w:r>
      <w:r>
        <w:t>丘脑皮质投射塑造了哺乳动物皮质的功能区域化和并行感觉计算。然而，非哺乳动物脊椎动物丘脑皮质计算的原理仍未得到充分探索。在这项工作中，我们研究了斑马鱼大脑皮层（脊椎动物皮层的同源物）如何接收和处理感觉信息，以及其结构与其他脊椎动物的丘脑皮层回路的比较。我们发现肾小球前复合体（PG）是一种丘脑皮质样通路，是斑马鱼大脑皮层视觉和振动信息的主要来源。 PG 及其大脑皮层投射表现出感官特异性和地形组织的反应。相比之下，大脑皮层神经元表现出按地形组织的层次结构，范围从特定感觉到多模态和巧合检测非线性响应。我们的结果表明，跨地形组织的丘脑皮质样回路的感觉转换的层次结构反映了脊椎动物的趋同原则。</w:t>
      </w:r>
    </w:p>
    <w:p>
      <w:pPr>
        <w:spacing w:before="0" w:after="200" w:lineRule="auto" w:line="276"/>
      </w:pPr>
      <w:r>
        <w:rPr>
          <w:b/>
        </w:rPr>
        <w:t xml:space="preserve">Abstract (EN): </w:t>
      </w:r>
      <w:r>
        <w:t>Thalamocortical projections shape the functional regionalization and parallel sensory computations across the mammalian cortex. However, the principles of thalamocortical computations in nonmammalian vertebrates remain underexplored. In this work, we investigated how the zebrafish pallium, a homolog of the vertebrate cortex, receives and processes sensory information and how its architecture compares to thalamocortical circuits in other vertebrates. We revealed that the preglomerular complex (PG), a thalamocortical-like pathway, is the primary source of visual and vibrational information to the zebrafish pallium. PG and its pallial projections exhibit sensory-specific and topographically organized responses. By contrast, pallial neurons display topographically organized hierarchies, ranging from sensory-specific to multimodal and coincidence-detecting nonlinear responses. Our results suggest that hierarchies of sensory transformations across topographically organized thalamocortical-like circuits reflect a convergent principle across vertebrates.</w:t>
      </w:r>
    </w:p>
    <w:p>
      <w:pPr>
        <w:spacing w:before="120" w:after="120"/>
      </w:pPr>
      <w:r>
        <w:rPr>
          <w:sz w:val="18"/>
        </w:rPr>
        <w:t>——————————————————————————————————————————————————————————————————————</w:t>
      </w:r>
    </w:p>
    <w:p>
      <w:pPr>
        <w:spacing w:before="160" w:after="40" w:line="240" w:lineRule="auto"/>
      </w:pPr>
      <w:r>
        <w:rPr>
          <w:b/>
        </w:rPr>
        <w:t xml:space="preserve">[661] </w:t>
      </w:r>
      <w:hyperlink r:id="rId1726">
        <w:r>
          <w:rPr>
            <w:color w:val="1155CC"/>
            <w:u w:val="single"/>
          </w:rPr>
          <w:t>科学是基于假设的。哲学可以确保它们是正确的。</w:t>
        </w:r>
      </w:hyperlink>
    </w:p>
    <w:p>
      <w:pPr>
        <w:spacing w:before="0" w:after="80"/>
      </w:pPr>
      <w:r>
        <w:rPr>
          <w:i/>
          <w:sz w:val="20"/>
        </w:rPr>
        <w:t>EN: Science is based on assumptions. Philosophy can make sure they’re the right ones.</w:t>
      </w:r>
    </w:p>
    <w:p>
      <w:pPr>
        <w:spacing w:before="0" w:after="120"/>
      </w:pPr>
      <w:r>
        <w:rPr>
          <w:b/>
        </w:rPr>
        <w:t xml:space="preserve">Source: </w:t>
      </w:r>
      <w:r>
        <w:t>AAAS: Science: Table of Contents</w:t>
      </w:r>
      <w:r>
        <w:t xml:space="preserve">    </w:t>
      </w:r>
      <w:r>
        <w:rPr>
          <w:b/>
        </w:rPr>
        <w:t xml:space="preserve">Pub date: </w:t>
      </w:r>
      <w:r>
        <w:t>2026-08-27 07:00:00+00:00</w:t>
      </w:r>
      <w:r>
        <w:t xml:space="preserve">    </w:t>
      </w:r>
      <w:r>
        <w:rPr>
          <w:b/>
        </w:rPr>
        <w:t xml:space="preserve">DOI: </w:t>
      </w:r>
      <w:hyperlink r:id="rId1727">
        <w:r>
          <w:rPr>
            <w:color w:val="1155CC"/>
            <w:u w:val="single"/>
          </w:rPr>
          <w:t>10.1126/science.ael0147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[662] </w:t>
      </w:r>
      <w:hyperlink r:id="rId1728">
        <w:r>
          <w:rPr>
            <w:color w:val="1155CC"/>
            <w:u w:val="single"/>
          </w:rPr>
          <w:t>加拿大西部注入地震的前震生产力和破裂成核</w:t>
        </w:r>
      </w:hyperlink>
    </w:p>
    <w:p>
      <w:pPr>
        <w:spacing w:before="0" w:after="80"/>
      </w:pPr>
      <w:r>
        <w:rPr>
          <w:i/>
          <w:sz w:val="20"/>
        </w:rPr>
        <w:t>EN: Foreshock productivity and rupture nucleation in injection-induced earthquakes in western Canada</w:t>
      </w:r>
    </w:p>
    <w:p>
      <w:pPr>
        <w:spacing w:before="0" w:after="120"/>
      </w:pPr>
      <w:r>
        <w:rPr>
          <w:b/>
        </w:rPr>
        <w:t xml:space="preserve">Source: </w:t>
      </w:r>
      <w:r>
        <w:t>AAAS: Science: Table of Contents</w:t>
      </w:r>
      <w:r>
        <w:t xml:space="preserve">    </w:t>
      </w:r>
      <w:r>
        <w:rPr>
          <w:b/>
        </w:rPr>
        <w:t xml:space="preserve">Pub date: </w:t>
      </w:r>
      <w:r>
        <w:t>2026-08-27 07:00:00+00:00</w:t>
      </w:r>
      <w:r>
        <w:t xml:space="preserve">    </w:t>
      </w:r>
      <w:r>
        <w:rPr>
          <w:b/>
        </w:rPr>
        <w:t xml:space="preserve">DOI: </w:t>
      </w:r>
      <w:hyperlink r:id="rId1729">
        <w:r>
          <w:rPr>
            <w:color w:val="1155CC"/>
            <w:u w:val="single"/>
          </w:rPr>
          <w:t>10.1126/science.aed9893</w:t>
        </w:r>
      </w:hyperlink>
    </w:p>
    <w:p>
      <w:pPr>
        <w:spacing w:before="0" w:after="120"/>
      </w:pPr>
      <w:r>
        <w:rPr>
          <w:b/>
        </w:rPr>
        <w:t xml:space="preserve">Notes: </w:t>
      </w:r>
      <w:r>
        <w:t>abstract_source=crossref</w:t>
      </w:r>
    </w:p>
    <w:p>
      <w:pPr>
        <w:spacing w:before="0" w:after="80" w:lineRule="auto" w:line="276"/>
      </w:pPr>
      <w:r>
        <w:rPr>
          <w:b/>
        </w:rPr>
        <w:t xml:space="preserve">摘要（ZH）: </w:t>
      </w:r>
      <w:r>
        <w:t>前震活动是红绿灯协议 (TLP) 中的一个关键考虑因素，旨在减轻注入诱发地震 (IIE) 的地震风险。然而，人们对 IIE 前震的发震过程仍知之甚少。使用增强的加拿大西部目录（2014-2024），我们分析了 77 个 IIE 序列，以统计描述当地震级之前的前震模式（</w:t>
      </w:r>
      <w:r>
        <w:t xml:space="preserve"> </w:t>
      </w:r>
      <w:r>
        <w:t>中号</w:t>
      </w:r>
      <w:r>
        <w:t xml:space="preserve"> </w:t>
      </w:r>
      <w:r>
        <w:t>L</w:t>
      </w:r>
      <w:r>
        <w:t xml:space="preserve"> </w:t>
      </w:r>
      <w:r>
        <w:t>) ≥ 3次主震。我们发现 92% 的地震发生在前震之前，前震生产力和时空模式反映了流体注入、发震指数和断层应力状态之间的相互作用。序列特定分析阐明了三种成核模型：具有弱化源粗糙体的流体驱动预滑移、具有完整源粗糙体的流体驱动预滑移和流体驱动级联，强调了流体在主震破裂之前实现抗震滑移和事件间应力传递的核心作用。这些结果意味着 IIE 监测策略应根据前震生产力进行空间调节。</w:t>
      </w:r>
    </w:p>
    <w:p>
      <w:pPr>
        <w:spacing w:before="0" w:after="200" w:lineRule="auto" w:line="276"/>
      </w:pPr>
      <w:r>
        <w:rPr>
          <w:b/>
        </w:rPr>
        <w:t xml:space="preserve">Abstract (EN): </w:t>
      </w:r>
      <w:r>
        <w:t>Foreshock activity is a key consideration in traffic-light protocol (TLP) to mitigate seismic risk from injection-induced earthquakes (IIEs). However, the seismogenic processes of IIE foreshocks remain poorly understood. Using an enhanced western Canada catalog (2014–2024), we analyzed 77 IIE sequences to statistically delineate foreshock patterns before local magnitude (</w:t>
      </w:r>
      <w:r>
        <w:t xml:space="preserve"> </w:t>
      </w:r>
      <w:r>
        <w:t>M</w:t>
      </w:r>
      <w:r>
        <w:t xml:space="preserve"> </w:t>
      </w:r>
      <w:r>
        <w:t>L</w:t>
      </w:r>
      <w:r>
        <w:t xml:space="preserve"> </w:t>
      </w:r>
      <w:r>
        <w:t>) ≥ 3 mainshocks. We found that 92% are preceded by foreshocks and that foreshock productivity and spatiotemporal patterns reflect the interplay among fluid injection, the seismogenic index, and the fault stress state. Sequence-specific analyses elucidate three nucleation models: fluid-driven preslip with weakened source asperity, fluid-driven preslip with intact source asperity, and fluid-driven cascade, highlighting the central role of fluids in enabling aseismic slip and interevent stress transfer before mainshock rupture. These results imply that IIE monitoring strategies should be spatially conditioned according to foreshock productivity.</w:t>
      </w:r>
    </w:p>
    <w:p>
      <w:pPr>
        <w:spacing w:before="120" w:after="120"/>
      </w:pPr>
      <w:r>
        <w:rPr>
          <w:sz w:val="18"/>
        </w:rPr>
        <w:t>——————————————————————————————————————————————————————————————————————</w:t>
      </w:r>
    </w:p>
    <w:p>
      <w:pPr>
        <w:spacing w:before="160" w:after="40" w:line="240" w:lineRule="auto"/>
      </w:pPr>
      <w:r>
        <w:rPr>
          <w:b/>
        </w:rPr>
        <w:t xml:space="preserve">[663] </w:t>
      </w:r>
      <w:hyperlink r:id="rId1730">
        <w:r>
          <w:rPr>
            <w:color w:val="1155CC"/>
            <w:u w:val="single"/>
          </w:rPr>
          <w:t>研究文章“根通过感知局部 pH 梯度在腐烂区域周围导航”的勘误</w:t>
        </w:r>
      </w:hyperlink>
    </w:p>
    <w:p>
      <w:pPr>
        <w:spacing w:before="0" w:after="80"/>
      </w:pPr>
      <w:r>
        <w:rPr>
          <w:i/>
          <w:sz w:val="20"/>
        </w:rPr>
        <w:t>EN: Erratum for the Research Article “Roots navigate around decay regions by sensing local pH gradients”</w:t>
      </w:r>
    </w:p>
    <w:p>
      <w:pPr>
        <w:spacing w:before="0" w:after="120"/>
      </w:pPr>
      <w:r>
        <w:rPr>
          <w:b/>
        </w:rPr>
        <w:t xml:space="preserve">Source: </w:t>
      </w:r>
      <w:r>
        <w:t>AAAS: Science: Table of Contents</w:t>
      </w:r>
      <w:r>
        <w:t xml:space="preserve">    </w:t>
      </w:r>
      <w:r>
        <w:rPr>
          <w:b/>
        </w:rPr>
        <w:t xml:space="preserve">Pub date: </w:t>
      </w:r>
      <w:r>
        <w:t>2026-08-27 07:00:00+00:00</w:t>
      </w:r>
      <w:r>
        <w:t xml:space="preserve">    </w:t>
      </w:r>
      <w:r>
        <w:rPr>
          <w:b/>
        </w:rPr>
        <w:t xml:space="preserve">DOI: </w:t>
      </w:r>
      <w:hyperlink r:id="rId1731">
        <w:r>
          <w:rPr>
            <w:color w:val="1155CC"/>
            <w:u w:val="single"/>
          </w:rPr>
          <w:t>10.1126/science.ael6254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[664] </w:t>
      </w:r>
      <w:hyperlink r:id="rId1732">
        <w:r>
          <w:rPr>
            <w:color w:val="1155CC"/>
            <w:u w:val="single"/>
          </w:rPr>
          <w:t>坏死性凋亡至凋亡信号轴是炎症性肠病的基础</w:t>
        </w:r>
      </w:hyperlink>
    </w:p>
    <w:p>
      <w:pPr>
        <w:spacing w:before="0" w:after="80"/>
      </w:pPr>
      <w:r>
        <w:rPr>
          <w:i/>
          <w:sz w:val="20"/>
        </w:rPr>
        <w:t>EN: A necroptotic-to-apoptotic signaling axis underlies inflammatory bowel disease</w:t>
      </w:r>
    </w:p>
    <w:p>
      <w:pPr>
        <w:spacing w:before="0" w:after="120"/>
      </w:pPr>
      <w:r>
        <w:rPr>
          <w:b/>
        </w:rPr>
        <w:t xml:space="preserve">Source: </w:t>
      </w:r>
      <w:r>
        <w:t>AAAS: Science: Table of Contents</w:t>
      </w:r>
      <w:r>
        <w:t xml:space="preserve">    </w:t>
      </w:r>
      <w:r>
        <w:rPr>
          <w:b/>
        </w:rPr>
        <w:t xml:space="preserve">Pub date: </w:t>
      </w:r>
      <w:r>
        <w:t>2026-08-27 07:00:00+00:00</w:t>
      </w:r>
      <w:r>
        <w:t xml:space="preserve">    </w:t>
      </w:r>
      <w:r>
        <w:rPr>
          <w:b/>
        </w:rPr>
        <w:t xml:space="preserve">DOI: </w:t>
      </w:r>
      <w:hyperlink r:id="rId1733">
        <w:r>
          <w:rPr>
            <w:color w:val="1155CC"/>
            <w:u w:val="single"/>
          </w:rPr>
          <w:t>10.1126/science.aeh7112</w:t>
        </w:r>
      </w:hyperlink>
    </w:p>
    <w:p>
      <w:pPr>
        <w:spacing w:before="0" w:after="120"/>
      </w:pPr>
      <w:r>
        <w:rPr>
          <w:b/>
        </w:rPr>
        <w:t xml:space="preserve">Notes: </w:t>
      </w:r>
      <w:r>
        <w:t>abstract_source=crossref</w:t>
      </w:r>
    </w:p>
    <w:p>
      <w:pPr>
        <w:spacing w:before="0" w:after="80" w:lineRule="auto" w:line="276"/>
      </w:pPr>
      <w:r>
        <w:rPr>
          <w:b/>
        </w:rPr>
        <w:t xml:space="preserve">摘要（ZH）: </w:t>
      </w:r>
      <w:r>
        <w:t>炎症性肠病 (IBD) 是一种由细胞因子信号传导改变、免疫适应不良、生态失调和肠道屏障功能障碍引起的慢性疾病。尽管目前的治疗旨在纠正这些不平衡以诱导缓解，但大多数患者最终会复发，这表明关键的致病机制仍然存在。在这里，我们发现异常的上皮细胞死亡信号传导是 IBD 的一个基本特征，出现在缓解期和高级治疗的患者中。从机制上讲，新生炎症使上皮细胞进入 M1 巨噬细胞样转录状态，促进不依赖 RIPK1 的坏死性凋亡信号传导。该信号随后触发诱导型一氧化氮合酶辅助的吸收性上皮细胞线粒体凋亡和 PUMA 介导的肠道干细胞死亡。因此，异常的上皮细胞死亡信号传导代表了IBD的一个标志，它出现在粘膜病变发展的早期，尽管目前的治疗策略仍然存在，并且可以预测临床复发。</w:t>
      </w:r>
    </w:p>
    <w:p>
      <w:pPr>
        <w:spacing w:before="0" w:after="200" w:lineRule="auto" w:line="276"/>
      </w:pPr>
      <w:r>
        <w:rPr>
          <w:b/>
        </w:rPr>
        <w:t xml:space="preserve">Abstract (EN): </w:t>
      </w:r>
      <w:r>
        <w:t>Inflammatory bowel disease (IBD) is a chronic condition caused by altered cytokine signaling, maladaptive immunity, dysbiosis, and intestinal barrier dysfunction. Although current therapies aim to correct these imbalances to induce remission, most patients ultimately relapse, suggesting that key pathogenic mechanisms persist. Here, we identified aberrant epithelial cell death signaling as an underlying feature of IBD that arises in patients in remission and on advanced therapy. Mechanistically, nascent inflammation skewed epithelial cells into an M1-macrophage–like transcriptional state that promoted RIPK1-independent necroptotic signaling. This signaling then triggered inducible nitric oxide synthase–assisted mitochondrial apoptosis of absorptive epithelial cells and PUMA-mediated intestinal stem cell death. Thus, aberrant epithelial cell death signaling represents a hallmark of IBD that occurs early in mucosal lesion development, persists despite current therapeutic strategies, and predicts clinical relapse.</w:t>
      </w:r>
    </w:p>
    <w:p>
      <w:pPr>
        <w:spacing w:before="120" w:after="120"/>
      </w:pPr>
      <w:r>
        <w:rPr>
          <w:sz w:val="18"/>
        </w:rPr>
        <w:t>——————————————————————————————————————————————————————————————————————</w:t>
      </w:r>
    </w:p>
    <w:p>
      <w:pPr>
        <w:spacing w:before="160" w:after="40" w:line="240" w:lineRule="auto"/>
      </w:pPr>
      <w:r>
        <w:rPr>
          <w:b/>
        </w:rPr>
        <w:t xml:space="preserve">[665] </w:t>
      </w:r>
      <w:hyperlink r:id="rId1734">
        <w:r>
          <w:rPr>
            <w:color w:val="1155CC"/>
            <w:u w:val="single"/>
          </w:rPr>
          <w:t>ATLAS 探测器生产 $ZZγ$ 的证据</w:t>
        </w:r>
      </w:hyperlink>
    </w:p>
    <w:p>
      <w:pPr>
        <w:spacing w:before="0" w:after="80"/>
      </w:pPr>
      <w:r>
        <w:rPr>
          <w:i/>
          <w:sz w:val="20"/>
        </w:rPr>
        <w:t>EN: Evidence of $ZZγ$ Production with the ATLAS Detector</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35">
        <w:r>
          <w:rPr>
            <w:color w:val="1155CC"/>
            <w:u w:val="single"/>
          </w:rPr>
          <w:t>10.1103/jngg-1nf3</w:t>
        </w:r>
      </w:hyperlink>
    </w:p>
    <w:p>
      <w:pPr>
        <w:spacing w:before="0" w:after="120"/>
      </w:pPr>
      <w:r>
        <w:rPr>
          <w:b/>
        </w:rPr>
        <w:t xml:space="preserve">Notes: </w:t>
      </w:r>
      <w:r>
        <w:t>abstract_source=rss_description</w:t>
      </w:r>
    </w:p>
    <w:p>
      <w:pPr>
        <w:spacing w:before="0" w:after="80" w:lineRule="auto" w:line="276"/>
      </w:pPr>
      <w:r>
        <w:rPr>
          <w:b/>
        </w:rPr>
        <w:t xml:space="preserve">摘要（ZH）: </w:t>
      </w:r>
      <w:r>
        <w:t>作者：G. Aad 等人。 （ATLAS 合作）这封信提出了大型强子对撞机上的 ATLAS 探测器同时产生两个 $Z$ 玻色子和一个光子的第一个证据。该测量是使用 2015 年至 2018 年记录的质子-质子碰撞质心能量的完整 Run-2 数据集进行的……[Phys.莱特牧师。 137, 091804] 发布于 2026 年 8 月 27 日星期四</w:t>
      </w:r>
    </w:p>
    <w:p>
      <w:pPr>
        <w:spacing w:before="0" w:after="200" w:lineRule="auto" w:line="276"/>
      </w:pPr>
      <w:r>
        <w:rPr>
          <w:b/>
        </w:rPr>
        <w:t xml:space="preserve">Abstract (EN): </w:t>
      </w:r>
      <w:r>
        <w:t>Author(s): G. Aad et al. (ATLAS Collaboration)This Letter presents the first evidence of the simultaneous production of two $Z$ bosons and one photon with the ATLAS detector at the Large Hadron Collider. The measurement is performed using the full Run-2 dataset, recorded from 2015 to 2018, of proton-proton collisions at a center-of-mass energy …[Phys. Rev. Lett. 137, 091804] Published Thu Aug 27, 2026</w:t>
      </w:r>
    </w:p>
    <w:p>
      <w:pPr>
        <w:spacing w:before="120" w:after="120"/>
      </w:pPr>
      <w:r>
        <w:rPr>
          <w:sz w:val="18"/>
        </w:rPr>
        <w:t>——————————————————————————————————————————————————————————————————————</w:t>
      </w:r>
    </w:p>
    <w:p>
      <w:pPr>
        <w:spacing w:before="160" w:after="40" w:line="240" w:lineRule="auto"/>
      </w:pPr>
      <w:r>
        <w:rPr>
          <w:b/>
        </w:rPr>
        <w:t xml:space="preserve">[666] </w:t>
      </w:r>
      <w:hyperlink r:id="rId1736">
        <w:r>
          <w:rPr>
            <w:color w:val="1155CC"/>
            <w:u w:val="single"/>
          </w:rPr>
          <w:t>${D}^{0(+)}→\overline{K}{ℓ}^{+}{ν}_{ℓ}$ 跃迁中标量电流的第一个实验约束</w:t>
        </w:r>
      </w:hyperlink>
    </w:p>
    <w:p>
      <w:pPr>
        <w:spacing w:before="0" w:after="80"/>
      </w:pPr>
      <w:r>
        <w:rPr>
          <w:i/>
          <w:sz w:val="20"/>
        </w:rPr>
        <w:t>EN: First Experimental Constraint on the Scalar Current in the ${D}^{0(+)}→\overline{K}{ℓ}^{+}{ν}_{ℓ}$ Transition</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37">
        <w:r>
          <w:rPr>
            <w:color w:val="1155CC"/>
            <w:u w:val="single"/>
          </w:rPr>
          <w:t>10.1103/2ygw-n5b1</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Ablikim 等人。 （BESIII 合作）使用 $20.3\text{ }\text{ }{\mathrm{fb}}^{−1}$ 的 ${e}^{+}{e}^{−}$ 在 $\sqrt{s}=3.773\text{ }\text{ }\mathrm{GeV}$ 的质心能量处获取的碰撞数据，我们报告了标量电流的第一个实验约束${D}^{0(+)}→\overline{K}{ℓ}^{+}{ν}_{ℓ}$ 转换，基于…[Phys.莱特牧师。 137, 091803] 发布于 2026 年 8 月 27 日星期四</w:t>
      </w:r>
    </w:p>
    <w:p>
      <w:pPr>
        <w:spacing w:before="0" w:after="200" w:lineRule="auto" w:line="276"/>
      </w:pPr>
      <w:r>
        <w:rPr>
          <w:b/>
        </w:rPr>
        <w:t xml:space="preserve">Abstract (EN): </w:t>
      </w:r>
      <w:r>
        <w:t>Author(s): M. Ablikim et al. (BESIII Collaboration)Using $20.3\text{ }\text{ }{\mathrm{fb}}^{−1}$ of ${e}^{+}{e}^{−}$ collision data taken at the center-of-mass energy of $\sqrt{s}=3.773\text{ }\text{ }\mathrm{GeV}$, we report the first experimental constraint on the scalar current in the ${D}^{0(+)}→\overline{K}{ℓ}^{+}{ν}_{ℓ}$ transitions, based on…[Phys. Rev. Lett. 137, 091803] Published Thu Aug 27, 2026</w:t>
      </w:r>
    </w:p>
    <w:p>
      <w:pPr>
        <w:spacing w:before="120" w:after="120"/>
      </w:pPr>
      <w:r>
        <w:rPr>
          <w:sz w:val="18"/>
        </w:rPr>
        <w:t>——————————————————————————————————————————————————————————————————————</w:t>
      </w:r>
    </w:p>
    <w:p>
      <w:pPr>
        <w:spacing w:before="160" w:after="40" w:line="240" w:lineRule="auto"/>
      </w:pPr>
      <w:r>
        <w:rPr>
          <w:b/>
        </w:rPr>
        <w:t xml:space="preserve">[667] </w:t>
      </w:r>
      <w:hyperlink r:id="rId1738">
        <w:r>
          <w:rPr>
            <w:color w:val="1155CC"/>
            <w:u w:val="single"/>
          </w:rPr>
          <w:t>使用 H.E.S.S. 搜索暗物质湮灭的伽马射线谱线内星系巡天</w:t>
        </w:r>
      </w:hyperlink>
    </w:p>
    <w:p>
      <w:pPr>
        <w:spacing w:before="0" w:after="80"/>
      </w:pPr>
      <w:r>
        <w:rPr>
          <w:i/>
          <w:sz w:val="20"/>
        </w:rPr>
        <w:t>EN: Search for Gamma-Ray Spectral Lines from Dark Matter Annihilation with the H.E.S.S. Inner Galaxy Survey</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39">
        <w:r>
          <w:rPr>
            <w:color w:val="1155CC"/>
            <w:u w:val="single"/>
          </w:rPr>
          <w:t>10.1103/d8tj-55kc</w:t>
        </w:r>
      </w:hyperlink>
    </w:p>
    <w:p>
      <w:pPr>
        <w:spacing w:before="0" w:after="120"/>
      </w:pPr>
      <w:r>
        <w:rPr>
          <w:b/>
        </w:rPr>
        <w:t xml:space="preserve">Notes: </w:t>
      </w:r>
      <w:r>
        <w:t>abstract_source=rss_description</w:t>
      </w:r>
    </w:p>
    <w:p>
      <w:pPr>
        <w:spacing w:before="0" w:after="80" w:lineRule="auto" w:line="276"/>
      </w:pPr>
      <w:r>
        <w:rPr>
          <w:b/>
        </w:rPr>
        <w:t xml:space="preserve">摘要（ZH）: </w:t>
      </w:r>
      <w:r>
        <w:t>作者：F. Aharonian 等人。 （H.E.S.S. 合作）H.E.S.S. 对银河中心进行了 500 小时的调查望远镜阵列对 TeV 暗物质线湮灭截面设定了迄今为止最严格的限制。莱特牧师。 137, 091002] 发布于 2026 年 8 月 27 日星期四</w:t>
      </w:r>
    </w:p>
    <w:p>
      <w:pPr>
        <w:spacing w:before="0" w:after="200" w:lineRule="auto" w:line="276"/>
      </w:pPr>
      <w:r>
        <w:rPr>
          <w:b/>
        </w:rPr>
        <w:t xml:space="preserve">Abstract (EN): </w:t>
      </w:r>
      <w:r>
        <w:t>Author(s): F. Aharonian et al. (H.E.S.S. Collaboration)A 500-hour survey of the Galactic Center by the H.E.S.S. telescope array has set the most stringent limits to date on TeV dark matter line annihilation cross sections.[Phys. Rev. Lett. 137, 091002] Published Thu Aug 27, 2026</w:t>
      </w:r>
    </w:p>
    <w:p>
      <w:pPr>
        <w:spacing w:before="120" w:after="120"/>
      </w:pPr>
      <w:r>
        <w:rPr>
          <w:sz w:val="18"/>
        </w:rPr>
        <w:t>——————————————————————————————————————————————————————————————————————</w:t>
      </w:r>
    </w:p>
    <w:p>
      <w:pPr>
        <w:spacing w:before="160" w:after="40" w:line="240" w:lineRule="auto"/>
      </w:pPr>
      <w:r>
        <w:rPr>
          <w:b/>
        </w:rPr>
        <w:t xml:space="preserve">[668] </w:t>
      </w:r>
      <w:hyperlink r:id="rId1740">
        <w:r>
          <w:rPr>
            <w:color w:val="1155CC"/>
            <w:u w:val="single"/>
          </w:rPr>
          <w:t>一致性宇宙学的诊断一致性测试</w:t>
        </w:r>
      </w:hyperlink>
    </w:p>
    <w:p>
      <w:pPr>
        <w:spacing w:before="0" w:after="80"/>
      </w:pPr>
      <w:r>
        <w:rPr>
          <w:i/>
          <w:sz w:val="20"/>
        </w:rPr>
        <w:t>EN: Diagnostic Consistency Tests of the Concordance Cosmology</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41">
        <w:r>
          <w:rPr>
            <w:color w:val="1155CC"/>
            <w:u w:val="single"/>
          </w:rPr>
          <w:t>10.1103/x2m7-dtgd</w:t>
        </w:r>
      </w:hyperlink>
    </w:p>
    <w:p>
      <w:pPr>
        <w:spacing w:before="0" w:after="120"/>
      </w:pPr>
      <w:r>
        <w:rPr>
          <w:b/>
        </w:rPr>
        <w:t xml:space="preserve">Notes: </w:t>
      </w:r>
      <w:r>
        <w:t>abstract_source=rss_description</w:t>
      </w:r>
    </w:p>
    <w:p>
      <w:pPr>
        <w:spacing w:before="0" w:after="80" w:lineRule="auto" w:line="276"/>
      </w:pPr>
      <w:r>
        <w:rPr>
          <w:b/>
        </w:rPr>
        <w:t xml:space="preserve">摘要（ZH）: </w:t>
      </w:r>
      <w:r>
        <w:t>作者：S. M. Koksbang 和 A. Heinesen$\mathrm{Λ}$ 冷暗物质宇宙学模型面临着独立宇宙学探测器之间日益显着和强大的紧张关系，促使人们重新审视其基本假设。虽然广义相对论和暗能量的本质现在经常用宇宙学来测试……[物理学。莱特牧师。 137, 091001] 发布于 2026 年 8 月 27 日星期四</w:t>
      </w:r>
    </w:p>
    <w:p>
      <w:pPr>
        <w:spacing w:before="0" w:after="200" w:lineRule="auto" w:line="276"/>
      </w:pPr>
      <w:r>
        <w:rPr>
          <w:b/>
        </w:rPr>
        <w:t xml:space="preserve">Abstract (EN): </w:t>
      </w:r>
      <w:r>
        <w:t>Author(s): S. M. Koksbang and A. HeinesenThe $\mathrm{Λ}$ cold dark matter cosmological model faces increasingly significant and robust tensions among independent cosmological probes, prompting renewed scrutiny of its foundational assumptions. While general relativity and the nature of darkenergy are now routinely tested with cosmological …[Phys. Rev. Lett. 137, 091001] Published Thu Aug 27, 2026</w:t>
      </w:r>
    </w:p>
    <w:p>
      <w:pPr>
        <w:spacing w:before="120" w:after="120"/>
      </w:pPr>
      <w:r>
        <w:rPr>
          <w:sz w:val="18"/>
        </w:rPr>
        <w:t>——————————————————————————————————————————————————————————————————————</w:t>
      </w:r>
    </w:p>
    <w:p>
      <w:pPr>
        <w:spacing w:before="160" w:after="40" w:line="240" w:lineRule="auto"/>
      </w:pPr>
      <w:r>
        <w:rPr>
          <w:b/>
        </w:rPr>
        <w:t xml:space="preserve">[669] </w:t>
      </w:r>
      <w:hyperlink r:id="rId1742">
        <w:r>
          <w:rPr>
            <w:color w:val="1155CC"/>
            <w:u w:val="single"/>
          </w:rPr>
          <w:t>$U(1)$ 量子链路模型的二聚体、环路和基态部分的符号问题图景</w:t>
        </w:r>
      </w:hyperlink>
    </w:p>
    <w:p>
      <w:pPr>
        <w:spacing w:before="0" w:after="80"/>
      </w:pPr>
      <w:r>
        <w:rPr>
          <w:i/>
          <w:sz w:val="20"/>
        </w:rPr>
        <w:t>EN: Sign Problem Landscape of Dimer, Loop, and Ground-State Sectors of a $U(1)$ Quantum Link Model</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43">
        <w:r>
          <w:rPr>
            <w:color w:val="1155CC"/>
            <w:u w:val="single"/>
          </w:rPr>
          <w:t>10.1103/8zg2-cxc1</w:t>
        </w:r>
      </w:hyperlink>
    </w:p>
    <w:p>
      <w:pPr>
        <w:spacing w:before="0" w:after="120"/>
      </w:pPr>
      <w:r>
        <w:rPr>
          <w:b/>
        </w:rPr>
        <w:t xml:space="preserve">Notes: </w:t>
      </w:r>
      <w:r>
        <w:t>abstract_source=rss_description</w:t>
      </w:r>
    </w:p>
    <w:p>
      <w:pPr>
        <w:spacing w:before="0" w:after="80" w:lineRule="auto" w:line="276"/>
      </w:pPr>
      <w:r>
        <w:rPr>
          <w:b/>
        </w:rPr>
        <w:t xml:space="preserve">摘要（ZH）: </w:t>
      </w:r>
      <w:r>
        <w:t>作者：Pallabi Dey、Debasish Banerjee 和 Emilie Huffman 费米子符号问题对使用蒙特卡罗方法研究动态费米子物质场的晶格规范理论提出了巨大的挑战。最近为规范场制定了一种 meron 簇算法，该规范场表示为自旋 $1/2$ 量子链接，与交错 Fe 的单一风格相结合......[Phys。莱特牧师。 137, 090404] 发布于 2026 年 8 月 27 日星期四</w:t>
      </w:r>
    </w:p>
    <w:p>
      <w:pPr>
        <w:spacing w:before="0" w:after="200" w:lineRule="auto" w:line="276"/>
      </w:pPr>
      <w:r>
        <w:rPr>
          <w:b/>
        </w:rPr>
        <w:t xml:space="preserve">Abstract (EN): </w:t>
      </w:r>
      <w:r>
        <w:t>Author(s): Pallabi Dey, Debasish Banerjee, and Emilie HuffmanThe fermion sign problem poses a formidable challenge to the use of Monte Carlo methods for lattice gauge theories with dynamical fermionic matter fields. A meron-cluster algorithm recently formulated for gauge fields represented as spin-$1/2$ quantum links coupled to a single flavor of staggered fe…[Phys. Rev. Lett. 137, 090404] Published Thu Aug 27, 2026</w:t>
      </w:r>
    </w:p>
    <w:p>
      <w:pPr>
        <w:spacing w:before="120" w:after="120"/>
      </w:pPr>
      <w:r>
        <w:rPr>
          <w:sz w:val="18"/>
        </w:rPr>
        <w:t>——————————————————————————————————————————————————————————————————————</w:t>
      </w:r>
    </w:p>
    <w:p>
      <w:pPr>
        <w:spacing w:before="160" w:after="40" w:line="240" w:lineRule="auto"/>
      </w:pPr>
      <w:r>
        <w:rPr>
          <w:b/>
        </w:rPr>
        <w:t xml:space="preserve">[670] </w:t>
      </w:r>
      <w:hyperlink r:id="rId1744">
        <w:r>
          <w:rPr>
            <w:color w:val="1155CC"/>
            <w:u w:val="single"/>
          </w:rPr>
          <w:t>激光等离子体碰撞中相干增强的辐射摩擦</w:t>
        </w:r>
      </w:hyperlink>
    </w:p>
    <w:p>
      <w:pPr>
        <w:spacing w:before="0" w:after="80"/>
      </w:pPr>
      <w:r>
        <w:rPr>
          <w:i/>
          <w:sz w:val="20"/>
        </w:rPr>
        <w:t>EN: Coherently Enhanced Radiation Friction in Laser-Plasma Collisions</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45">
        <w:r>
          <w:rPr>
            <w:color w:val="1155CC"/>
            <w:u w:val="single"/>
          </w:rPr>
          <w:t>10.1103/xsg5-1848</w:t>
        </w:r>
      </w:hyperlink>
    </w:p>
    <w:p>
      <w:pPr>
        <w:spacing w:before="0" w:after="120"/>
      </w:pPr>
      <w:r>
        <w:rPr>
          <w:b/>
        </w:rPr>
        <w:t xml:space="preserve">Notes: </w:t>
      </w:r>
      <w:r>
        <w:t>abstract_source=rss_description</w:t>
      </w:r>
    </w:p>
    <w:p>
      <w:pPr>
        <w:spacing w:before="0" w:after="80" w:lineRule="auto" w:line="276"/>
      </w:pPr>
      <w:r>
        <w:rPr>
          <w:b/>
        </w:rPr>
        <w:t xml:space="preserve">摘要（ZH）: </w:t>
      </w:r>
      <w:r>
        <w:t>作者：E. G. Gelfer、A. M. Fedotov、M. P. Malakhov、O. Klimo 和 S. Weber 我们通过证明前向和后向辐射以及辐射摩擦在密集束中相干增强，重新考虑了相对论性带电粒子与激光脉冲正面碰撞中辐射摩擦的足迹。这开辟了一条观察辐射的途径……[物理。莱特牧师。 137, 095001] 发布于 2026 年 8 月 27 日星期四</w:t>
      </w:r>
    </w:p>
    <w:p>
      <w:pPr>
        <w:spacing w:before="0" w:after="200" w:lineRule="auto" w:line="276"/>
      </w:pPr>
      <w:r>
        <w:rPr>
          <w:b/>
        </w:rPr>
        <w:t xml:space="preserve">Abstract (EN): </w:t>
      </w:r>
      <w:r>
        <w:t>Author(s): E. G. Gelfer, A. M. Fedotov, M. P. Malakhov, O. Klimo, and S. WeberWe reconsider the footprints of radiation friction in a head-on collision of a bunch of relativistic charged particles with a laser pulse by demonstrating that forward and backward radiation and radiation friction are coherently enhanced in a dense bunch. This opens an avenue to observe radiation fr…[Phys. Rev. Lett. 137, 095001] Published Thu Aug 27, 2026</w:t>
      </w:r>
    </w:p>
    <w:p>
      <w:pPr>
        <w:spacing w:before="120" w:after="120"/>
      </w:pPr>
      <w:r>
        <w:rPr>
          <w:sz w:val="18"/>
        </w:rPr>
        <w:t>——————————————————————————————————————————————————————————————————————</w:t>
      </w:r>
    </w:p>
    <w:p>
      <w:pPr>
        <w:spacing w:before="160" w:after="40" w:line="240" w:lineRule="auto"/>
      </w:pPr>
      <w:r>
        <w:rPr>
          <w:b/>
        </w:rPr>
        <w:t xml:space="preserve">[671] </w:t>
      </w:r>
      <w:hyperlink r:id="rId1746">
        <w:r>
          <w:rPr>
            <w:color w:val="1155CC"/>
            <w:u w:val="single"/>
          </w:rPr>
          <w:t>无序量子玻璃的指数 $U(1)$ 对称破缺相</w:t>
        </w:r>
      </w:hyperlink>
    </w:p>
    <w:p>
      <w:pPr>
        <w:spacing w:before="0" w:after="80"/>
      </w:pPr>
      <w:r>
        <w:rPr>
          <w:i/>
          <w:sz w:val="20"/>
        </w:rPr>
        <w:t>EN: Exponential $U(1)$ Symmetry-Breaking Phase as a Disorder-Free Quantum Glass</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47">
        <w:r>
          <w:rPr>
            <w:color w:val="1155CC"/>
            <w:u w:val="single"/>
          </w:rPr>
          <w:t>10.1103/ryb5-8ntp</w:t>
        </w:r>
      </w:hyperlink>
    </w:p>
    <w:p>
      <w:pPr>
        <w:spacing w:before="0" w:after="120"/>
      </w:pPr>
      <w:r>
        <w:rPr>
          <w:b/>
        </w:rPr>
        <w:t xml:space="preserve">Notes: </w:t>
      </w:r>
      <w:r>
        <w:t>abstract_source=rss_description</w:t>
      </w:r>
    </w:p>
    <w:p>
      <w:pPr>
        <w:spacing w:before="0" w:after="80" w:lineRule="auto" w:line="276"/>
      </w:pPr>
      <w:r>
        <w:rPr>
          <w:b/>
        </w:rPr>
        <w:t xml:space="preserve">摘要（ZH）: </w:t>
      </w:r>
      <w:r>
        <w:t>作者：胡玉敏、韩兆宇、连彪我们研究了一维自旋量子击穿模型的相图，该模型具有指数 $U(1)$ 对称性，电荷单元衰减为 ${2}^{−j}$，位点位置为 $j$。通过精确对角化和密度矩阵重正化群，我们证明自旋 $S≥2$ 的模型表现出......[Phys.莱特牧师。 137, 096002] 发布于 2026 年 8 月 27 日星期四</w:t>
      </w:r>
    </w:p>
    <w:p>
      <w:pPr>
        <w:spacing w:before="0" w:after="200" w:lineRule="auto" w:line="276"/>
      </w:pPr>
      <w:r>
        <w:rPr>
          <w:b/>
        </w:rPr>
        <w:t xml:space="preserve">Abstract (EN): </w:t>
      </w:r>
      <w:r>
        <w:t>Author(s): Yu-Min Hu, Zhaoyu Han, and Biao LianWe study the phase diagram of a one-dimensional spin quantum breakdown model, which has an exponential $U(1)$ symmetry with charge unit decaying as ${2}^{−j}$ with site position $j$. By exact diagonalization and density matrix renormalization group, we show that the model with spin $S≥2$ exhibits an…[Phys. Rev. Lett. 137, 096002] Published Thu Aug 27, 2026</w:t>
      </w:r>
    </w:p>
    <w:p>
      <w:pPr>
        <w:spacing w:before="120" w:after="120"/>
      </w:pPr>
      <w:r>
        <w:rPr>
          <w:sz w:val="18"/>
        </w:rPr>
        <w:t>——————————————————————————————————————————————————————————————————————</w:t>
      </w:r>
    </w:p>
    <w:p>
      <w:pPr>
        <w:spacing w:before="160" w:after="40" w:line="240" w:lineRule="auto"/>
      </w:pPr>
      <w:r>
        <w:rPr>
          <w:b/>
        </w:rPr>
        <w:t xml:space="preserve">[672] </w:t>
      </w:r>
      <w:hyperlink r:id="rId1748">
        <w:r>
          <w:rPr>
            <w:color w:val="1155CC"/>
            <w:u w:val="single"/>
          </w:rPr>
          <w:t>$\mathrm{Graphene}/{\text{WSe}}_{2}$ 强层间杂化实现的 Kagomelike 能带</w:t>
        </w:r>
      </w:hyperlink>
    </w:p>
    <w:p>
      <w:pPr>
        <w:spacing w:before="0" w:after="80"/>
      </w:pPr>
      <w:r>
        <w:rPr>
          <w:i/>
          <w:sz w:val="20"/>
        </w:rPr>
        <w:t>EN: Kagomelike Bands in $\mathrm{Graphene}/{\text{WSe}}_{2}$ Heterostructure Realized by Strong Interlayer Hybridization</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49">
        <w:r>
          <w:rPr>
            <w:color w:val="1155CC"/>
            <w:u w:val="single"/>
          </w:rPr>
          <w:t>10.1103/jw4w-2jbm</w:t>
        </w:r>
      </w:hyperlink>
    </w:p>
    <w:p>
      <w:pPr>
        <w:spacing w:before="0" w:after="120"/>
      </w:pPr>
      <w:r>
        <w:rPr>
          <w:b/>
        </w:rPr>
        <w:t xml:space="preserve">Notes: </w:t>
      </w:r>
      <w:r>
        <w:t>abstract_source=rss_description</w:t>
      </w:r>
    </w:p>
    <w:p>
      <w:pPr>
        <w:spacing w:before="0" w:after="80" w:lineRule="auto" w:line="276"/>
      </w:pPr>
      <w:r>
        <w:rPr>
          <w:b/>
        </w:rPr>
        <w:t xml:space="preserve">摘要（ZH）: </w:t>
      </w:r>
      <w:r>
        <w:t>作者：张若涵、潘江辉、任亚宁、郝晨跃、何家奇、王晓亚、盛浩、张莫汉、周晓峰、董锐、冯季和何林在二维 (2D) 范德华 (vdW) 结构中，相邻层之间的扭转角已成为工程电子能带结构的关键参数。二维莫尔系统中大量相关和拓扑相位的发现生动地证明了这一点。 …[物理。莱特牧师。 137, 096201] 发布于 2026 年 8 月 27 日星期四</w:t>
      </w:r>
    </w:p>
    <w:p>
      <w:pPr>
        <w:spacing w:before="0" w:after="200" w:lineRule="auto" w:line="276"/>
      </w:pPr>
      <w:r>
        <w:rPr>
          <w:b/>
        </w:rPr>
        <w:t xml:space="preserve">Abstract (EN): </w:t>
      </w:r>
      <w:r>
        <w:t>Author(s): Ruo-Han Zhang, Jiang-Hui Pan, Ya-Ning Ren, Chen-Yue Hao, Jia-Qi He, Xiao-Ya Wang, Hao Sheng, Mo-Han Zhang, Xiao-Feng Zhou, Rui Dong, Ji Feng, and Lin HeIn two-dimensional (2D) van der Waals (vdW) structures, the twist angle between adjacent layers has emerged as a pivotal parameter for engineering electronic band structures. This is vividly exemplified by the discovery of an extensive array of correlated and topological phases in 2D moiré systems. …[Phys. Rev. Lett. 137, 096201] Published Thu Aug 27, 2026</w:t>
      </w:r>
    </w:p>
    <w:p>
      <w:pPr>
        <w:spacing w:before="120" w:after="120"/>
      </w:pPr>
      <w:r>
        <w:rPr>
          <w:sz w:val="18"/>
        </w:rPr>
        <w:t>——————————————————————————————————————————————————————————————————————</w:t>
      </w:r>
    </w:p>
    <w:p>
      <w:pPr>
        <w:spacing w:before="160" w:after="40" w:line="240" w:lineRule="auto"/>
      </w:pPr>
      <w:r>
        <w:rPr>
          <w:b/>
        </w:rPr>
        <w:t xml:space="preserve">[673] </w:t>
      </w:r>
      <w:hyperlink r:id="rId1750">
        <w:r>
          <w:rPr>
            <w:color w:val="1155CC"/>
            <w:u w:val="single"/>
          </w:rPr>
          <w:t>非厄米系统的非布洛赫边缘动力学</w:t>
        </w:r>
      </w:hyperlink>
    </w:p>
    <w:p>
      <w:pPr>
        <w:spacing w:before="0" w:after="80"/>
      </w:pPr>
      <w:r>
        <w:rPr>
          <w:i/>
          <w:sz w:val="20"/>
        </w:rPr>
        <w:t>EN: Non-Bloch Edge Dynamics of Non-Hermitian Systems</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51">
        <w:r>
          <w:rPr>
            <w:color w:val="1155CC"/>
            <w:u w:val="single"/>
          </w:rPr>
          <w:t>10.1103/ztpt-x9q3</w:t>
        </w:r>
      </w:hyperlink>
    </w:p>
    <w:p>
      <w:pPr>
        <w:spacing w:before="0" w:after="120"/>
      </w:pPr>
      <w:r>
        <w:rPr>
          <w:b/>
        </w:rPr>
        <w:t xml:space="preserve">Notes: </w:t>
      </w:r>
      <w:r>
        <w:t>abstract_source=rss_description</w:t>
      </w:r>
    </w:p>
    <w:p>
      <w:pPr>
        <w:spacing w:before="0" w:after="80" w:lineRule="auto" w:line="276"/>
      </w:pPr>
      <w:r>
        <w:rPr>
          <w:b/>
        </w:rPr>
        <w:t xml:space="preserve">摘要（ZH）: </w:t>
      </w:r>
      <w:r>
        <w:t>作者：薛文潭、胡玉民、宋飞和王忠非厄米趋肤效应极大地改变了非厄米系统的频谱和实时动态。我们研究了在非厄米晶格中初始化的波的边缘动力学，其中非厄米趋肤效应倾向于局部化状态，导致超出布洛赫图片的行为……[物理。莱特牧师。 137, 096403] 发布于 2026 年 8 月 27 日星期四</w:t>
      </w:r>
    </w:p>
    <w:p>
      <w:pPr>
        <w:spacing w:before="0" w:after="200" w:lineRule="auto" w:line="276"/>
      </w:pPr>
      <w:r>
        <w:rPr>
          <w:b/>
        </w:rPr>
        <w:t xml:space="preserve">Abstract (EN): </w:t>
      </w:r>
      <w:r>
        <w:t>Author(s): Wen-Tan Xue, Yu-Min Hu, Fei Song, and Zhong WangThe non-Hermitian skin effect dramatically alters both the spectrum and real-time dynamics of non-Hermitian systems. We investigate the edge dynamics of waves initialized in non-Hermitian lattices, where the non-Hermitian skin effect tends to localize states, leading to behavior beyond the Bloch pic…[Phys. Rev. Lett. 137, 096403] Published Thu Aug 27, 2026</w:t>
      </w:r>
    </w:p>
    <w:p>
      <w:pPr>
        <w:spacing w:before="120" w:after="120"/>
      </w:pPr>
      <w:r>
        <w:rPr>
          <w:sz w:val="18"/>
        </w:rPr>
        <w:t>——————————————————————————————————————————————————————————————————————</w:t>
      </w:r>
    </w:p>
    <w:p>
      <w:pPr>
        <w:spacing w:before="160" w:after="40" w:line="240" w:lineRule="auto"/>
      </w:pPr>
      <w:r>
        <w:rPr>
          <w:b/>
        </w:rPr>
        <w:t xml:space="preserve">[674] </w:t>
      </w:r>
      <w:hyperlink r:id="rId1752">
        <w:r>
          <w:rPr>
            <w:color w:val="1155CC"/>
            <w:u w:val="single"/>
          </w:rPr>
          <w:t>二维费米液体中的奇异三点密度相关性</w:t>
        </w:r>
      </w:hyperlink>
    </w:p>
    <w:p>
      <w:pPr>
        <w:spacing w:before="0" w:after="80"/>
      </w:pPr>
      <w:r>
        <w:rPr>
          <w:i/>
          <w:sz w:val="20"/>
        </w:rPr>
        <w:t>EN: Singular Three-Point Density Correlations in Two-Dimensional Fermi Liquids</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53">
        <w:r>
          <w:rPr>
            <w:color w:val="1155CC"/>
            <w:u w:val="single"/>
          </w:rPr>
          <w:t>10.1103/fq7x-srrg</w:t>
        </w:r>
      </w:hyperlink>
    </w:p>
    <w:p>
      <w:pPr>
        <w:spacing w:before="0" w:after="120"/>
      </w:pPr>
      <w:r>
        <w:rPr>
          <w:b/>
        </w:rPr>
        <w:t xml:space="preserve">Notes: </w:t>
      </w:r>
      <w:r>
        <w:t>abstract_source=rss_description</w:t>
      </w:r>
    </w:p>
    <w:p>
      <w:pPr>
        <w:spacing w:before="0" w:after="80" w:lineRule="auto" w:line="276"/>
      </w:pPr>
      <w:r>
        <w:rPr>
          <w:b/>
        </w:rPr>
        <w:t xml:space="preserve">摘要（ZH）: </w:t>
      </w:r>
      <w:r>
        <w:t>作者：Pok Man Tam 和 Charles L. Kane 所有二维费米液体通用的奇异密度相关性提供了一种使用量子气体显微镜测量表征费米液相的朗道参数的独立方法。莱特牧师。 137, 096504] 发布于 2026 年 8 月 27 日星期四</w:t>
      </w:r>
    </w:p>
    <w:p>
      <w:pPr>
        <w:spacing w:before="0" w:after="200" w:lineRule="auto" w:line="276"/>
      </w:pPr>
      <w:r>
        <w:rPr>
          <w:b/>
        </w:rPr>
        <w:t xml:space="preserve">Abstract (EN): </w:t>
      </w:r>
      <w:r>
        <w:t>Author(s): Pok Man Tam and Charles L. KaneA singular density correlation that is generic to all two-dimensional Fermi liquids offers an independent method for measuring the Landau parameters that characterize the Fermi-liquid phase using quantum-gas microscopy.[Phys. Rev. Lett. 137, 096504] Published Thu Aug 27, 2026</w:t>
      </w:r>
    </w:p>
    <w:p>
      <w:pPr>
        <w:spacing w:before="120" w:after="120"/>
      </w:pPr>
      <w:r>
        <w:rPr>
          <w:sz w:val="18"/>
        </w:rPr>
        <w:t>——————————————————————————————————————————————————————————————————————</w:t>
      </w:r>
    </w:p>
    <w:p>
      <w:pPr>
        <w:spacing w:before="160" w:after="40" w:line="240" w:lineRule="auto"/>
      </w:pPr>
      <w:r>
        <w:rPr>
          <w:b/>
        </w:rPr>
        <w:t xml:space="preserve">[675] </w:t>
      </w:r>
      <w:hyperlink r:id="rId1754">
        <w:r>
          <w:rPr>
            <w:color w:val="1155CC"/>
            <w:u w:val="single"/>
          </w:rPr>
          <w:t>揭示莫尔分数陈绝缘体中的集体模式</w:t>
        </w:r>
      </w:hyperlink>
    </w:p>
    <w:p>
      <w:pPr>
        <w:spacing w:before="0" w:after="80"/>
      </w:pPr>
      <w:r>
        <w:rPr>
          <w:i/>
          <w:sz w:val="20"/>
        </w:rPr>
        <w:t>EN: Shining Light on Collective Modes in Moiré Fractional Chern Insulators</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55">
        <w:r>
          <w:rPr>
            <w:color w:val="1155CC"/>
            <w:u w:val="single"/>
          </w:rPr>
          <w:t>10.1103/7sbg-yqhs</w:t>
        </w:r>
      </w:hyperlink>
    </w:p>
    <w:p>
      <w:pPr>
        <w:spacing w:before="0" w:after="120"/>
      </w:pPr>
      <w:r>
        <w:rPr>
          <w:b/>
        </w:rPr>
        <w:t xml:space="preserve">Notes: </w:t>
      </w:r>
      <w:r>
        <w:t>abstract_source=rss_description</w:t>
      </w:r>
    </w:p>
    <w:p>
      <w:pPr>
        <w:spacing w:before="0" w:after="80" w:lineRule="auto" w:line="276"/>
      </w:pPr>
      <w:r>
        <w:rPr>
          <w:b/>
        </w:rPr>
        <w:t xml:space="preserve">摘要（ZH）: </w:t>
      </w:r>
      <w:r>
        <w:t>作者：Nisarga Paul、Ahmed Abouelkomsan、Aidan Reddy 和 Liu Fu 我们表明，莫尔分数陈绝缘体 (FCI) 的集体激发和光学响应与朗道能级中标准分数量子霍尔 (FQH) 态的集体激发和光学响应截然不同。通过构建包含莫尔晶格效应的变分波函数，我们捕获了…[物理。莱特牧师。 137, 096505] 发布于 2026 年 8 月 27 日星期四</w:t>
      </w:r>
    </w:p>
    <w:p>
      <w:pPr>
        <w:spacing w:before="0" w:after="200" w:lineRule="auto" w:line="276"/>
      </w:pPr>
      <w:r>
        <w:rPr>
          <w:b/>
        </w:rPr>
        <w:t xml:space="preserve">Abstract (EN): </w:t>
      </w:r>
      <w:r>
        <w:t>Author(s): Nisarga Paul, Ahmed Abouelkomsan, Aidan Reddy, and Liang FuWe show that collective excitations and optical responses of moiré fractional Chern insulators (FCIs) drastically differ from those of standard fractional quantum Hall (FQH) states in a Landau level. By constructing a variational wave function that incorporates the moiré lattice effect, we capture t…[Phys. Rev. Lett. 137, 096505] Published Thu Aug 27, 2026</w:t>
      </w:r>
    </w:p>
    <w:p>
      <w:pPr>
        <w:spacing w:before="120" w:after="120"/>
      </w:pPr>
      <w:r>
        <w:rPr>
          <w:sz w:val="18"/>
        </w:rPr>
        <w:t>——————————————————————————————————————————————————————————————————————</w:t>
      </w:r>
    </w:p>
    <w:p>
      <w:pPr>
        <w:spacing w:before="160" w:after="40" w:line="240" w:lineRule="auto"/>
      </w:pPr>
      <w:r>
        <w:rPr>
          <w:b/>
        </w:rPr>
        <w:t xml:space="preserve">[676] </w:t>
      </w:r>
      <w:hyperlink r:id="rId1756">
        <w:r>
          <w:rPr>
            <w:color w:val="1155CC"/>
            <w:u w:val="single"/>
          </w:rPr>
          <w:t>通过周期性调制电子束探测原子</w:t>
        </w:r>
      </w:hyperlink>
    </w:p>
    <w:p>
      <w:pPr>
        <w:spacing w:before="0" w:after="80"/>
      </w:pPr>
      <w:r>
        <w:rPr>
          <w:i/>
          <w:sz w:val="20"/>
        </w:rPr>
        <w:t>EN: Probing Atoms by Periodically Modulated Electron Bunches</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57">
        <w:r>
          <w:rPr>
            <w:color w:val="1155CC"/>
            <w:u w:val="single"/>
          </w:rPr>
          <w:t>10.1103/6c49-6yt4</w:t>
        </w:r>
      </w:hyperlink>
    </w:p>
    <w:p>
      <w:pPr>
        <w:spacing w:before="0" w:after="120"/>
      </w:pPr>
      <w:r>
        <w:rPr>
          <w:b/>
        </w:rPr>
        <w:t xml:space="preserve">Notes: </w:t>
      </w:r>
      <w:r>
        <w:t>abstract_source=rss_description</w:t>
      </w:r>
    </w:p>
    <w:p>
      <w:pPr>
        <w:spacing w:before="0" w:after="80" w:lineRule="auto" w:line="276"/>
      </w:pPr>
      <w:r>
        <w:rPr>
          <w:b/>
        </w:rPr>
        <w:t xml:space="preserve">摘要（ZH）: </w:t>
      </w:r>
      <w:r>
        <w:t>作者：A. B. Voitkiv、E. Schneidmiller 和 T. Pfeifer 当穿过自由电子激光器中的波荡器时，密集的相对论电子束分裂成微束，获得周期性时空结构。我们表明，这种周期性调制束的场受到相干效应的巨大影响，从而产生了一种新颖的……[物理。莱特牧师。 137, 093201] 发布于 2026 年 8 月 27 日星期四</w:t>
      </w:r>
    </w:p>
    <w:p>
      <w:pPr>
        <w:spacing w:before="0" w:after="200" w:lineRule="auto" w:line="276"/>
      </w:pPr>
      <w:r>
        <w:rPr>
          <w:b/>
        </w:rPr>
        <w:t xml:space="preserve">Abstract (EN): </w:t>
      </w:r>
      <w:r>
        <w:t>Author(s): A. B. Voitkiv, E. Schneidmiller, and T. PfeiferWhen passing through an undulator in a free electron laser, dense bunches of relativistic electrons split into microbunches, attaining a periodic space-time structure. We show that the field of such periodically modulated bunches is tremendously influenced by coherence effects, resulting in a novel …[Phys. Rev. Lett. 137, 093201] Published Thu Aug 27, 2026</w:t>
      </w:r>
    </w:p>
    <w:p>
      <w:pPr>
        <w:spacing w:before="120" w:after="120"/>
      </w:pPr>
      <w:r>
        <w:rPr>
          <w:sz w:val="18"/>
        </w:rPr>
        <w:t>——————————————————————————————————————————————————————————————————————</w:t>
      </w:r>
    </w:p>
    <w:p>
      <w:pPr>
        <w:spacing w:before="160" w:after="40" w:line="240" w:lineRule="auto"/>
      </w:pPr>
      <w:r>
        <w:rPr>
          <w:b/>
        </w:rPr>
        <w:t xml:space="preserve">[677] </w:t>
      </w:r>
      <w:hyperlink r:id="rId1758">
        <w:r>
          <w:rPr>
            <w:color w:val="1155CC"/>
            <w:u w:val="single"/>
          </w:rPr>
          <w:t>通过 $^{150}\mathrm{Nd}(p,t)^{148}\mathrm{Nd}$ 反应研究 $^{148}\mathrm{Nd}$ 的激发态以及在 $N=88$ 时可能的低自旋双声子八极态的观察</w:t>
        </w:r>
      </w:hyperlink>
    </w:p>
    <w:p>
      <w:pPr>
        <w:spacing w:before="0" w:after="80"/>
      </w:pPr>
      <w:r>
        <w:rPr>
          <w:i/>
          <w:sz w:val="20"/>
        </w:rPr>
        <w:t>EN: Excited states of $^{148}\mathrm{Nd}$ studied via the $^{150}\mathrm{Nd}(p,t)^{148}\mathrm{Nd}$ reaction and the observation of possible low-spin two-phonon octupole states at $N=88$</w:t>
      </w:r>
    </w:p>
    <w:p>
      <w:pPr>
        <w:spacing w:before="0" w:after="120"/>
      </w:pPr>
      <w:r>
        <w:rPr>
          <w:b/>
        </w:rPr>
        <w:t xml:space="preserve">Source: </w:t>
      </w:r>
      <w:r>
        <w:t>Recent Articles in Phys. Rev. C</w:t>
      </w:r>
      <w:r>
        <w:t xml:space="preserve">    </w:t>
      </w:r>
      <w:r>
        <w:rPr>
          <w:b/>
        </w:rPr>
        <w:t xml:space="preserve">Pub date: </w:t>
      </w:r>
      <w:r>
        <w:t>2026-08-27 10:00:00+00:00</w:t>
      </w:r>
      <w:r>
        <w:t xml:space="preserve">    </w:t>
      </w:r>
      <w:r>
        <w:rPr>
          <w:b/>
        </w:rPr>
        <w:t xml:space="preserve">DOI: </w:t>
      </w:r>
      <w:hyperlink r:id="rId1759">
        <w:r>
          <w:rPr>
            <w:color w:val="1155CC"/>
            <w:u w:val="single"/>
          </w:rPr>
          <w:t>10.1103/c1xc-2hdz</w:t>
        </w:r>
      </w:hyperlink>
    </w:p>
    <w:p>
      <w:pPr>
        <w:spacing w:before="0" w:after="120"/>
      </w:pPr>
      <w:r>
        <w:rPr>
          <w:b/>
        </w:rPr>
        <w:t xml:space="preserve">Notes: </w:t>
      </w:r>
      <w:r>
        <w:t>abstract_source=rss_description</w:t>
      </w:r>
    </w:p>
    <w:p>
      <w:pPr>
        <w:spacing w:before="0" w:after="80" w:lineRule="auto" w:line="276"/>
      </w:pPr>
      <w:r>
        <w:rPr>
          <w:b/>
        </w:rPr>
        <w:t xml:space="preserve">摘要（ZH）: </w:t>
      </w:r>
      <w:r>
        <w:t>作者：A. L. Conley、M. Spieker、R. Aggarwal、L. T. Baby、J. Davis、J. Esparza、I. Hay、B. Kelly、T. Kirk、M. I. Khawaja、R. Mahajan、M. Mestayer、A. B. Morelock、A. Peters、A. M. Ring、J. Sheridan、V. Sitaraman 和 T. Stuck我们报告来自$^{150}\mathrm{Nd}(p,t)^{148}\mathrm{Nd}$ 实验在佛罗里达州立大学 John D. Fox 加速器实验室进行。总共观察到 54 个 $^{148}\mathrm{Nd}$ 激发态，激发能量高达 3500 keV。在这项工作中，我们关注 ${0}^{+}$...[Phys. Rev. C 114, 024344] 于 2026 年 8 月 27 日星期四发布</w:t>
      </w:r>
    </w:p>
    <w:p>
      <w:pPr>
        <w:spacing w:before="0" w:after="200" w:lineRule="auto" w:line="276"/>
      </w:pPr>
      <w:r>
        <w:rPr>
          <w:b/>
        </w:rPr>
        <w:t xml:space="preserve">Abstract (EN): </w:t>
      </w:r>
      <w:r>
        <w:t>Author(s): A. L. Conley, M. Spieker, R. Aggarwal, L. T. Baby, J. Davis, J. Esparza, I. Hay, B. Kelly, T. Kirk, M. I. Khawaja, R. Mahajan, M. Mestayer, A. B. Morelock, A. Peters, A. M. Ring, J. Sheridan, V. Sitaraman, and T. StuckWe report new data from a $^{150}\mathrm{Nd}(p,t)^{148}\mathrm{Nd}$ experiment performed at the John D. Fox Accelerator Laboratory of Florida State University. In total, 54 excited states of $^{148}\mathrm{Nd}$ were observed up to an excitation energy of 3500 keV. In this work, we focus on ${0}^{+}$…[Phys. Rev. C 114, 024344] Published Thu Aug 27, 2026</w:t>
      </w:r>
    </w:p>
    <w:p>
      <w:pPr>
        <w:spacing w:before="120" w:after="120"/>
      </w:pPr>
      <w:r>
        <w:rPr>
          <w:sz w:val="18"/>
        </w:rPr>
        <w:t>——————————————————————————————————————————————————————————————————————</w:t>
      </w:r>
    </w:p>
    <w:p>
      <w:pPr>
        <w:spacing w:before="160" w:after="40" w:line="240" w:lineRule="auto"/>
      </w:pPr>
      <w:r>
        <w:rPr>
          <w:b/>
        </w:rPr>
        <w:t xml:space="preserve">[678] </w:t>
      </w:r>
      <w:hyperlink r:id="rId1760">
        <w:r>
          <w:rPr>
            <w:color w:val="1155CC"/>
            <w:u w:val="single"/>
          </w:rPr>
          <w:t>重塑 Bardeen-Cooper-Schrieffer 间隙方程的新方法</w:t>
        </w:r>
      </w:hyperlink>
    </w:p>
    <w:p>
      <w:pPr>
        <w:spacing w:before="0" w:after="80"/>
      </w:pPr>
      <w:r>
        <w:rPr>
          <w:i/>
          <w:sz w:val="20"/>
        </w:rPr>
        <w:t>EN: Novel way of recasting the Bardeen-Cooper-Schrieffer gap equations</w:t>
      </w:r>
    </w:p>
    <w:p>
      <w:pPr>
        <w:spacing w:before="0" w:after="120"/>
      </w:pPr>
      <w:r>
        <w:rPr>
          <w:b/>
        </w:rPr>
        <w:t xml:space="preserve">Source: </w:t>
      </w:r>
      <w:r>
        <w:t>Recent Articles in Phys. Rev. C</w:t>
      </w:r>
      <w:r>
        <w:t xml:space="preserve">    </w:t>
      </w:r>
      <w:r>
        <w:rPr>
          <w:b/>
        </w:rPr>
        <w:t xml:space="preserve">Pub date: </w:t>
      </w:r>
      <w:r>
        <w:t>2026-08-27 10:00:00+00:00</w:t>
      </w:r>
      <w:r>
        <w:t xml:space="preserve">    </w:t>
      </w:r>
      <w:r>
        <w:rPr>
          <w:b/>
        </w:rPr>
        <w:t xml:space="preserve">DOI: </w:t>
      </w:r>
      <w:hyperlink r:id="rId1761">
        <w:r>
          <w:rPr>
            <w:color w:val="1155CC"/>
            <w:u w:val="single"/>
          </w:rPr>
          <w:t>10.1103/bbff-kxpy</w:t>
        </w:r>
      </w:hyperlink>
    </w:p>
    <w:p>
      <w:pPr>
        <w:spacing w:before="0" w:after="120"/>
      </w:pPr>
      <w:r>
        <w:rPr>
          <w:b/>
        </w:rPr>
        <w:t xml:space="preserve">Notes: </w:t>
      </w:r>
      <w:r>
        <w:t>abstract_source=rss_description</w:t>
      </w:r>
    </w:p>
    <w:p>
      <w:pPr>
        <w:spacing w:before="0" w:after="80" w:lineRule="auto" w:line="276"/>
      </w:pPr>
      <w:r>
        <w:rPr>
          <w:b/>
        </w:rPr>
        <w:t xml:space="preserve">摘要（ZH）: </w:t>
      </w:r>
      <w:r>
        <w:t>作者：Georgios Palkanoglou 和 Alexandros Gezerlis 间隙方程是 Bardeen-Cooper-Schrieffer (BCS) 理论的核心，该理论是描述超流性的标准工具。作为一组非线性积分方程，间隙方程的固有困难常常阻碍对超流体状态的最粗略的描述。硬核锅……【物理。 Rev. C 114, 024340] 于 2026 年 8 月 27 日星期四发布</w:t>
      </w:r>
    </w:p>
    <w:p>
      <w:pPr>
        <w:spacing w:before="0" w:after="200" w:lineRule="auto" w:line="276"/>
      </w:pPr>
      <w:r>
        <w:rPr>
          <w:b/>
        </w:rPr>
        <w:t xml:space="preserve">Abstract (EN): </w:t>
      </w:r>
      <w:r>
        <w:t>Author(s): Georgios Palkanoglou and Alexandros GezerlisThe gap equations lie at the core of the Bardeen-Cooper-Schrieffer (BCS) theory, a standard tool in the description of superfluidity. As a set of non-inear integral equations, the gap equations' inherent difficulties oftentimes hinder even the crudest descriptions of superfluid states. Hard-core pot…[Phys. Rev. C 114, 024340] Published Thu Aug 27, 2026</w:t>
      </w:r>
    </w:p>
    <w:p>
      <w:pPr>
        <w:spacing w:before="120" w:after="120"/>
      </w:pPr>
      <w:r>
        <w:rPr>
          <w:sz w:val="18"/>
        </w:rPr>
        <w:t>——————————————————————————————————————————————————————————————————————</w:t>
      </w:r>
    </w:p>
    <w:p>
      <w:pPr>
        <w:spacing w:before="160" w:after="40" w:line="240" w:lineRule="auto"/>
      </w:pPr>
      <w:r>
        <w:rPr>
          <w:b/>
        </w:rPr>
        <w:t xml:space="preserve">[679] </w:t>
      </w:r>
      <w:hyperlink r:id="rId1762">
        <w:r>
          <w:rPr>
            <w:color w:val="1155CC"/>
            <w:u w:val="single"/>
          </w:rPr>
          <w:t>可积湍流中弹道相关性的实验观测</w:t>
        </w:r>
      </w:hyperlink>
    </w:p>
    <w:p>
      <w:pPr>
        <w:spacing w:before="0" w:after="80"/>
      </w:pPr>
      <w:r>
        <w:rPr>
          <w:i/>
          <w:sz w:val="20"/>
        </w:rPr>
        <w:t>EN: Experimental Observation of Ballistic Correlations in Integrable Turbulence</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63">
        <w:r>
          <w:rPr>
            <w:color w:val="1155CC"/>
            <w:u w:val="single"/>
          </w:rPr>
          <w:t>10.1103/sz13-9shg</w:t>
        </w:r>
      </w:hyperlink>
    </w:p>
    <w:p>
      <w:pPr>
        <w:spacing w:before="0" w:after="120"/>
      </w:pPr>
      <w:r>
        <w:rPr>
          <w:b/>
        </w:rPr>
        <w:t xml:space="preserve">Notes: </w:t>
      </w:r>
      <w:r>
        <w:t>abstract_source=rss_description</w:t>
      </w:r>
    </w:p>
    <w:p>
      <w:pPr>
        <w:spacing w:before="0" w:after="80" w:lineRule="auto" w:line="276"/>
      </w:pPr>
      <w:r>
        <w:rPr>
          <w:b/>
        </w:rPr>
        <w:t xml:space="preserve">摘要（ZH）: </w:t>
      </w:r>
      <w:r>
        <w:t>作者：Elias Charnay、Adrien Escoubet、François Copie、Stéphane Randoux、Thibault Bonnemain、Alvise Bastianello 和 Pierre Suret 不等时相关函数从根本上表征了复杂系统中的新兴统计特性，但在实验中直接测量它们具有挑战性。我们报告了在由聚焦非……[物理。莱特牧师。 137, 097202] 发布于 2026 年 8 月 27 日星期四</w:t>
      </w:r>
    </w:p>
    <w:p>
      <w:pPr>
        <w:spacing w:before="0" w:after="200" w:lineRule="auto" w:line="276"/>
      </w:pPr>
      <w:r>
        <w:rPr>
          <w:b/>
        </w:rPr>
        <w:t xml:space="preserve">Abstract (EN): </w:t>
      </w:r>
      <w:r>
        <w:t>Author(s): Elias Charnay, Adrien Escoubet, François Copie, Stéphane Randoux, Thibault Bonnemain, Alvise Bastianello, and Pierre SuretUnequal-time correlation functions fundamentally characterize emergent statistical properties in complex systems, yet their direct measurement in experiments is challenging. We report the experimental observation of two-time, ballistic correlations in a photonic platform governed by the focusing non…[Phys. Rev. Lett. 137, 097202] Published Thu Aug 27, 2026</w:t>
      </w:r>
    </w:p>
    <w:p>
      <w:pPr>
        <w:spacing w:before="120" w:after="120"/>
      </w:pPr>
      <w:r>
        <w:rPr>
          <w:sz w:val="18"/>
        </w:rPr>
        <w:t>——————————————————————————————————————————————————————————————————————</w:t>
      </w:r>
    </w:p>
    <w:p>
      <w:pPr>
        <w:spacing w:before="160" w:after="40" w:line="240" w:lineRule="auto"/>
      </w:pPr>
      <w:r>
        <w:rPr>
          <w:b/>
        </w:rPr>
        <w:t xml:space="preserve">[680] </w:t>
      </w:r>
      <w:hyperlink r:id="rId1764">
        <w:r>
          <w:rPr>
            <w:color w:val="1155CC"/>
            <w:u w:val="single"/>
          </w:rPr>
          <w:t>进化游戏中噪声引起的复制动力学</w:t>
        </w:r>
      </w:hyperlink>
    </w:p>
    <w:p>
      <w:pPr>
        <w:spacing w:before="0" w:after="80"/>
      </w:pPr>
      <w:r>
        <w:rPr>
          <w:i/>
          <w:sz w:val="20"/>
        </w:rPr>
        <w:t>EN: Noise-Induced Replicator Dynamics in Evolutionary Games</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65">
        <w:r>
          <w:rPr>
            <w:color w:val="1155CC"/>
            <w:u w:val="single"/>
          </w:rPr>
          <w:t>10.1103/3yby-qq2n</w:t>
        </w:r>
      </w:hyperlink>
    </w:p>
    <w:p>
      <w:pPr>
        <w:spacing w:before="0" w:after="120"/>
      </w:pPr>
      <w:r>
        <w:rPr>
          <w:b/>
        </w:rPr>
        <w:t xml:space="preserve">Notes: </w:t>
      </w:r>
      <w:r>
        <w:t>abstract_source=rss_description</w:t>
      </w:r>
    </w:p>
    <w:p>
      <w:pPr>
        <w:spacing w:before="0" w:after="80" w:lineRule="auto" w:line="276"/>
      </w:pPr>
      <w:r>
        <w:rPr>
          <w:b/>
        </w:rPr>
        <w:t xml:space="preserve">摘要（ZH）: </w:t>
      </w:r>
      <w:r>
        <w:t>作者：Guo Cheng Wang、Qi Su、Long Wang 和 Joshua B. Plotkin 在演化博弈论中，战略演化与环境随机性之间的相互作用产生了新的动态机制，对波动的社会、生态和经济环境具有影响。莱特牧师。 137, 097401] 发布于 2026 年 8 月 27 日星期四</w:t>
      </w:r>
    </w:p>
    <w:p>
      <w:pPr>
        <w:spacing w:before="0" w:after="200" w:lineRule="auto" w:line="276"/>
      </w:pPr>
      <w:r>
        <w:rPr>
          <w:b/>
        </w:rPr>
        <w:t xml:space="preserve">Abstract (EN): </w:t>
      </w:r>
      <w:r>
        <w:t>Author(s): Guocheng Wang, Qi Su, Long Wang, and Joshua B. PlotkinIn evolutionary game theory, the interplay between strategic evolution and environmental stochasticity gives rise to new dynamical regimes, with implications in fluctuating social, ecological, and economic environments.[Phys. Rev. Lett. 137, 097401] Published Thu Aug 27, 2026</w:t>
      </w:r>
    </w:p>
    <w:p>
      <w:pPr>
        <w:spacing w:before="120" w:after="120"/>
      </w:pPr>
      <w:r>
        <w:rPr>
          <w:sz w:val="18"/>
        </w:rPr>
        <w:t>——————————————————————————————————————————————————————————————————————</w:t>
      </w:r>
    </w:p>
    <w:p>
      <w:pPr>
        <w:spacing w:before="160" w:after="40" w:line="240" w:lineRule="auto"/>
      </w:pPr>
      <w:r>
        <w:rPr>
          <w:b/>
        </w:rPr>
        <w:t xml:space="preserve">[681] </w:t>
      </w:r>
      <w:hyperlink r:id="rId1766">
        <w:r>
          <w:rPr>
            <w:color w:val="1155CC"/>
            <w:u w:val="single"/>
          </w:rPr>
          <w:t>将宏观应力与未缠结弹性体中的微观链构象联系起来的一般理论框架</w:t>
        </w:r>
      </w:hyperlink>
    </w:p>
    <w:p>
      <w:pPr>
        <w:spacing w:before="0" w:after="80"/>
      </w:pPr>
      <w:r>
        <w:rPr>
          <w:i/>
          <w:sz w:val="20"/>
        </w:rPr>
        <w:t>EN: General Theoretical Framework Linking Macroscopic Stress to Microscopic Strand Conformations in Unentangled Elastomers</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67">
        <w:r>
          <w:rPr>
            <w:color w:val="1155CC"/>
            <w:u w:val="single"/>
          </w:rPr>
          <w:t>10.1103/l3pj-kq32</w:t>
        </w:r>
      </w:hyperlink>
    </w:p>
    <w:p>
      <w:pPr>
        <w:spacing w:before="0" w:after="120"/>
      </w:pPr>
      <w:r>
        <w:rPr>
          <w:b/>
        </w:rPr>
        <w:t xml:space="preserve">Notes: </w:t>
      </w:r>
      <w:r>
        <w:t>abstract_source=rss_description</w:t>
      </w:r>
    </w:p>
    <w:p>
      <w:pPr>
        <w:spacing w:before="0" w:after="80" w:lineRule="auto" w:line="276"/>
      </w:pPr>
      <w:r>
        <w:rPr>
          <w:b/>
        </w:rPr>
        <w:t xml:space="preserve">摘要（ZH）: </w:t>
      </w:r>
      <w:r>
        <w:t>作者：Jiaqi Li、Kai Zhang、Falin Tian、Jici Wen、Xianqi Lei、Xinghua Shi 和 Jiuling Wang 了解弹性体的机械响应需要在宏观应力和网络链的微观构象统计之间建立直接联系。在这封信中，我们开发了一个统一的理论框架，将宏观应力与单个……[物理。莱特牧师。 137, 098103] 发布于 2026 年 8 月 27 日星期四</w:t>
      </w:r>
    </w:p>
    <w:p>
      <w:pPr>
        <w:spacing w:before="0" w:after="200" w:lineRule="auto" w:line="276"/>
      </w:pPr>
      <w:r>
        <w:rPr>
          <w:b/>
        </w:rPr>
        <w:t xml:space="preserve">Abstract (EN): </w:t>
      </w:r>
      <w:r>
        <w:t>Author(s): Jiaqi Li, Kai Zhang, Falin Tian, Jici Wen, Xianqi Lei, Xinghua Shi, and Jiuling WangUnderstanding the mechanical response of elastomers requires establishing a direct connection between macroscopic stress and the microscopic conformational statistics of network strands. In this Letter, we develop a unified theoretical framework that quantitatively links macroscopic stress to single…[Phys. Rev. Lett. 137, 098103] Published Thu Aug 27, 2026</w:t>
      </w:r>
    </w:p>
    <w:p>
      <w:pPr>
        <w:spacing w:before="120" w:after="120"/>
      </w:pPr>
      <w:r>
        <w:rPr>
          <w:sz w:val="18"/>
        </w:rPr>
        <w:t>——————————————————————————————————————————————————————————————————————</w:t>
      </w:r>
    </w:p>
    <w:p>
      <w:pPr>
        <w:spacing w:before="160" w:after="40" w:line="240" w:lineRule="auto"/>
      </w:pPr>
      <w:r>
        <w:rPr>
          <w:b/>
        </w:rPr>
        <w:t xml:space="preserve">[682] </w:t>
      </w:r>
      <w:hyperlink r:id="rId1768">
        <w:r>
          <w:rPr>
            <w:color w:val="1155CC"/>
            <w:u w:val="single"/>
          </w:rPr>
          <w:t>没有自旋波的自旋波：孤子在椋鸟群中传播的案例</w:t>
        </w:r>
      </w:hyperlink>
    </w:p>
    <w:p>
      <w:pPr>
        <w:spacing w:before="0" w:after="80"/>
      </w:pPr>
      <w:r>
        <w:rPr>
          <w:i/>
          <w:sz w:val="20"/>
        </w:rPr>
        <w:t>EN: Spin Waves without Spin Waves: A Case for Soliton Propagation in Starling Flocks</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69">
        <w:r>
          <w:rPr>
            <w:color w:val="1155CC"/>
            <w:u w:val="single"/>
          </w:rPr>
          <w:t>10.1103/sppm-qsnb</w:t>
        </w:r>
      </w:hyperlink>
    </w:p>
    <w:p>
      <w:pPr>
        <w:spacing w:before="0" w:after="120"/>
      </w:pPr>
      <w:r>
        <w:rPr>
          <w:b/>
        </w:rPr>
        <w:t xml:space="preserve">Notes: </w:t>
      </w:r>
      <w:r>
        <w:t>abstract_source=rss_description</w:t>
      </w:r>
    </w:p>
    <w:p>
      <w:pPr>
        <w:spacing w:before="0" w:after="80" w:lineRule="auto" w:line="276"/>
      </w:pPr>
      <w:r>
        <w:rPr>
          <w:b/>
        </w:rPr>
        <w:t xml:space="preserve">摘要（ZH）: </w:t>
      </w:r>
      <w:r>
        <w:t>作者：Andrea Cavagna、Guido Cimino、Javier Cristín、Matteo Fiorini、Irene Giardina、Angelo Giustiniani、Tomás S. Grigera、Stefania Melillo、Roberto A. Palombella、Leonardo Parisi、Antonio Ponno、Mattia Scandolo 和 Zachary S. Stamler 椋鸟群中的集体轮流以可忽略不计的衰减线性传播，表明色散关系中存在欠阻尼部分。根据线性响应理论，除了允许相位扰动的线性传播之外，频率的实部应该......[Phys。莱特牧师。 137, 098301] 发布于 2026 年 8 月 27 日星期四</w:t>
      </w:r>
    </w:p>
    <w:p>
      <w:pPr>
        <w:spacing w:before="0" w:after="200" w:lineRule="auto" w:line="276"/>
      </w:pPr>
      <w:r>
        <w:rPr>
          <w:b/>
        </w:rPr>
        <w:t xml:space="preserve">Abstract (EN): </w:t>
      </w:r>
      <w:r>
        <w:t>Author(s): Andrea Cavagna, Guido Cimino, Javier Cristín, Matteo Fiorini, Irene Giardina, Angelo Giustiniani, Tomás S. Grigera, Stefania Melillo, Roberto A. Palombella, Leonardo Parisi, Antonio Ponno, Mattia Scandolo, and Zachary S. StamlerCollective turns in starling flocks propagate linearly with negligible attenuation, indicating the existence of an underdamped sector in the dispersion relation. According to linear response theory, beside granting linear propagation of the phase perturbations, the real part of the frequency should …[Phys. Rev. Lett. 137, 098301] Published Thu Aug 27, 2026</w:t>
      </w:r>
    </w:p>
    <w:p>
      <w:pPr>
        <w:spacing w:before="120" w:after="120"/>
      </w:pPr>
      <w:r>
        <w:rPr>
          <w:sz w:val="18"/>
        </w:rPr>
        <w:t>——————————————————————————————————————————————————————————————————————</w:t>
      </w:r>
    </w:p>
    <w:p>
      <w:pPr>
        <w:spacing w:before="160" w:after="40" w:line="240" w:lineRule="auto"/>
      </w:pPr>
      <w:r>
        <w:rPr>
          <w:b/>
        </w:rPr>
        <w:t xml:space="preserve">[683] </w:t>
      </w:r>
      <w:hyperlink r:id="rId1770">
        <w:r>
          <w:rPr>
            <w:color w:val="1155CC"/>
            <w:u w:val="single"/>
          </w:rPr>
          <w:t>$\sqrt{s}=13\text{ }\text{ }\mathrm{TeV}$ 质子-质子碰撞中 $ZZγ$ 产生和观测到 $4ℓγ$ 的证据</w:t>
        </w:r>
      </w:hyperlink>
    </w:p>
    <w:p>
      <w:pPr>
        <w:spacing w:before="0" w:after="80"/>
      </w:pPr>
      <w:r>
        <w:rPr>
          <w:i/>
          <w:sz w:val="20"/>
        </w:rPr>
        <w:t>EN: Evidence of $ZZγ$ Production and Observation of $4ℓγ$ in Proton-Proton Collisions at $\sqrt{s}=13\text{ }\text{ }\mathrm{TeV}$</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71">
        <w:r>
          <w:rPr>
            <w:color w:val="1155CC"/>
            <w:u w:val="single"/>
          </w:rPr>
          <w:t>10.1103/gdbv-wnpp</w:t>
        </w:r>
      </w:hyperlink>
    </w:p>
    <w:p>
      <w:pPr>
        <w:spacing w:before="0" w:after="120"/>
      </w:pPr>
      <w:r>
        <w:rPr>
          <w:b/>
        </w:rPr>
        <w:t xml:space="preserve">Notes: </w:t>
      </w:r>
      <w:r>
        <w:t>abstract_source=rss_description</w:t>
      </w:r>
    </w:p>
    <w:p>
      <w:pPr>
        <w:spacing w:before="0" w:after="80" w:lineRule="auto" w:line="276"/>
      </w:pPr>
      <w:r>
        <w:rPr>
          <w:b/>
        </w:rPr>
        <w:t xml:space="preserve">摘要（ZH）: </w:t>
      </w:r>
      <w:r>
        <w:t>作者：A. Hayrapetyan 等人。 （CMS 合作）CMS 首次报道了质子-质子碰撞中产生两个 $Z$ 玻色子和一个光子的证据。该分析使用 CMS 实验在 2016 年至 2018 年间收集的数据，质心能量为 13 TeV，对应的积分光度为 $138\text{ }\te…[Phys.莱特牧师。 137, 091805] 发布于 2026 年 8 月 27 日星期四</w:t>
      </w:r>
    </w:p>
    <w:p>
      <w:pPr>
        <w:spacing w:before="0" w:after="200" w:lineRule="auto" w:line="276"/>
      </w:pPr>
      <w:r>
        <w:rPr>
          <w:b/>
        </w:rPr>
        <w:t xml:space="preserve">Abstract (EN): </w:t>
      </w:r>
      <w:r>
        <w:t>Author(s): A. Hayrapetyan et al. (CMS Collaboration)Evidence of the production of two $Z$ bosons and a photon in proton-proton collisions is reported for the first time in CMS. The analysis uses data collected by the CMS experiment between 2016 and 2018 at a center-of-mass energy of 13 TeV, corresponding to an integrated luminosity of $138\text{ }\te…[Phys. Rev. Lett. 137, 091805] Published Thu Aug 27, 2026</w:t>
      </w:r>
    </w:p>
    <w:p>
      <w:pPr>
        <w:spacing w:before="120" w:after="120"/>
      </w:pPr>
      <w:r>
        <w:rPr>
          <w:sz w:val="18"/>
        </w:rPr>
        <w:t>——————————————————————————————————————————————————————————————————————</w:t>
      </w:r>
    </w:p>
    <w:p>
      <w:pPr>
        <w:spacing w:before="160" w:after="40" w:line="240" w:lineRule="auto"/>
      </w:pPr>
      <w:r>
        <w:rPr>
          <w:b/>
        </w:rPr>
        <w:t xml:space="preserve">[684] </w:t>
      </w:r>
      <w:hyperlink r:id="rId1772">
        <w:r>
          <w:rPr>
            <w:color w:val="1155CC"/>
            <w:u w:val="single"/>
          </w:rPr>
          <w:t>拓扑量子临界点的反常动态尺度</w:t>
        </w:r>
      </w:hyperlink>
    </w:p>
    <w:p>
      <w:pPr>
        <w:spacing w:before="0" w:after="80"/>
      </w:pPr>
      <w:r>
        <w:rPr>
          <w:i/>
          <w:sz w:val="20"/>
        </w:rPr>
        <w:t>EN: Anomalous Dynamical Scaling at Topological Quantum Criticality</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73">
        <w:r>
          <w:rPr>
            <w:color w:val="1155CC"/>
            <w:u w:val="single"/>
          </w:rPr>
          <w:t>10.1103/mqr4-wnny</w:t>
        </w:r>
      </w:hyperlink>
    </w:p>
    <w:p>
      <w:pPr>
        <w:spacing w:before="0" w:after="120"/>
      </w:pPr>
      <w:r>
        <w:rPr>
          <w:b/>
        </w:rPr>
        <w:t xml:space="preserve">Notes: </w:t>
      </w:r>
      <w:r>
        <w:t>abstract_source=rss_description</w:t>
      </w:r>
    </w:p>
    <w:p>
      <w:pPr>
        <w:spacing w:before="0" w:after="80" w:lineRule="auto" w:line="276"/>
      </w:pPr>
      <w:r>
        <w:rPr>
          <w:b/>
        </w:rPr>
        <w:t xml:space="preserve">摘要（ZH）: </w:t>
      </w:r>
      <w:r>
        <w:t>作者：Menghua Deng、Sheng Yang、Chen Sun、Fuxiang Li 和 Xu-Jia Yu 在拓扑非平凡量子临界点驱动的动力学导致在几个量子自旋链模型中超出 Kibble-Zurek 预测的异常边界和边缘缩放。莱特牧师。 137, 096605] 发布于 2026 年 8 月 27 日星期四</w:t>
      </w:r>
    </w:p>
    <w:p>
      <w:pPr>
        <w:spacing w:before="0" w:after="200" w:lineRule="auto" w:line="276"/>
      </w:pPr>
      <w:r>
        <w:rPr>
          <w:b/>
        </w:rPr>
        <w:t xml:space="preserve">Abstract (EN): </w:t>
      </w:r>
      <w:r>
        <w:t>Author(s): Menghua Deng, Sheng Yang, Chen Sun, Fuxiang Li, and Xue-Jia YuDriven dynamics at topologically nontrivial quantum critical points leads to anomalous boundary and edge scaling beyond the Kibble–Zurek prediction in several quantum spin chain models.[Phys. Rev. Lett. 137, 096605] Published Thu Aug 27, 2026</w:t>
      </w:r>
    </w:p>
    <w:p>
      <w:pPr>
        <w:spacing w:before="120" w:after="120"/>
      </w:pPr>
      <w:r>
        <w:rPr>
          <w:sz w:val="18"/>
        </w:rPr>
        <w:t>——————————————————————————————————————————————————————————————————————</w:t>
      </w:r>
    </w:p>
    <w:p>
      <w:pPr>
        <w:spacing w:before="160" w:after="40" w:line="240" w:lineRule="auto"/>
      </w:pPr>
      <w:r>
        <w:rPr>
          <w:b/>
        </w:rPr>
        <w:t xml:space="preserve">[685] </w:t>
      </w:r>
      <w:hyperlink r:id="rId1774">
        <w:r>
          <w:rPr>
            <w:color w:val="1155CC"/>
            <w:u w:val="single"/>
          </w:rPr>
          <w:t>Spin-1 三角晶格海森堡反铁磁体的自旋动力学 ${\mathrm{K}}_{2}\mathrm{Ni}({\mathrm{SeO}}_{3}{)}_{2}$</w:t>
        </w:r>
      </w:hyperlink>
    </w:p>
    <w:p>
      <w:pPr>
        <w:spacing w:before="0" w:after="80"/>
      </w:pPr>
      <w:r>
        <w:rPr>
          <w:i/>
          <w:sz w:val="20"/>
        </w:rPr>
        <w:t>EN: Spin Dynamics of the Spin-1 Triangular Lattice Heisenberg Antiferromagnet ${\mathrm{K}}_{2}\mathrm{Ni}({\mathrm{SeO}}_{3}{)}_{2}$</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75">
        <w:r>
          <w:rPr>
            <w:color w:val="1155CC"/>
            <w:u w:val="single"/>
          </w:rPr>
          <w:t>10.1103/k4tt-7fq3</w:t>
        </w:r>
      </w:hyperlink>
    </w:p>
    <w:p>
      <w:pPr>
        <w:spacing w:before="0" w:after="120"/>
      </w:pPr>
      <w:r>
        <w:rPr>
          <w:b/>
        </w:rPr>
        <w:t xml:space="preserve">Notes: </w:t>
      </w:r>
      <w:r>
        <w:t>abstract_source=rss_description</w:t>
      </w:r>
    </w:p>
    <w:p>
      <w:pPr>
        <w:spacing w:before="0" w:after="80" w:lineRule="auto" w:line="276"/>
      </w:pPr>
      <w:r>
        <w:rPr>
          <w:b/>
        </w:rPr>
        <w:t xml:space="preserve">摘要（ZH）: </w:t>
      </w:r>
      <w:r>
        <w:t>作者：Chaebin Kim、Sathvik Nallapati、E. A. Ghioldi、Long Chen、Alexander I. Kolesnikov、周海东、张尚顺、Cristian D. Batista 和 Martin Mourigal 强量子涨落主导了自旋 $1/2$ 三角晶格海森堡反铁磁体，但它们在自旋 1 下的生存仍然是一个悬而未决的问题。我们使用非弹性中子散射在 ${\mathrm{K}}_{2}\mathrm{Ni}({\mathrm{SeO}}_{3}{)}_{2}$ 中解决它，这是一个近乎理想的自旋 1 实现。 B……[物理。莱特牧师。 137, 096701] 发布于 2026 年 8 月 27 日星期四</w:t>
      </w:r>
    </w:p>
    <w:p>
      <w:pPr>
        <w:spacing w:before="0" w:after="200" w:lineRule="auto" w:line="276"/>
      </w:pPr>
      <w:r>
        <w:rPr>
          <w:b/>
        </w:rPr>
        <w:t xml:space="preserve">Abstract (EN): </w:t>
      </w:r>
      <w:r>
        <w:t>Author(s): Chaebin Kim, Sathvik Nallapati, E. A. Ghioldi, Long Chen, Alexander I. Kolesnikov, Haidong Zhou, Shang-Shun Zhang, Cristian D. Batista, and Martin MourigalStrong quantum fluctuations dominate the spin-$1/2$ triangular lattice Heisenberg antiferromagnet, but their survival at spin-1 remains an open question. We address it in ${\mathrm{K}}_{2}\mathrm{Ni}({\mathrm{SeO}}_{3}{)}_{2}$, a nearly ideal spin-1 realization, using inelastic neutron scattering. B…[Phys. Rev. Lett. 137, 096701] Published Thu Aug 27, 2026</w:t>
      </w:r>
    </w:p>
    <w:p>
      <w:pPr>
        <w:spacing w:before="120" w:after="120"/>
      </w:pPr>
      <w:r>
        <w:rPr>
          <w:sz w:val="18"/>
        </w:rPr>
        <w:t>——————————————————————————————————————————————————————————————————————</w:t>
      </w:r>
    </w:p>
    <w:p>
      <w:pPr>
        <w:spacing w:before="160" w:after="40" w:line="240" w:lineRule="auto"/>
      </w:pPr>
      <w:r>
        <w:rPr>
          <w:b/>
        </w:rPr>
        <w:t xml:space="preserve">[686] </w:t>
      </w:r>
      <w:hyperlink r:id="rId1776">
        <w:r>
          <w:rPr>
            <w:color w:val="1155CC"/>
            <w:u w:val="single"/>
          </w:rPr>
          <w:t>具有连续归一化流的蒙特卡罗事件生成</w:t>
        </w:r>
      </w:hyperlink>
    </w:p>
    <w:p>
      <w:pPr>
        <w:spacing w:before="0" w:after="80"/>
      </w:pPr>
      <w:r>
        <w:rPr>
          <w:i/>
          <w:sz w:val="20"/>
        </w:rPr>
        <w:t>EN: Monte Carlo Event Generation with Continuous Normalizing Flows</w:t>
      </w:r>
    </w:p>
    <w:p>
      <w:pPr>
        <w:spacing w:before="0" w:after="120"/>
      </w:pPr>
      <w:r>
        <w:rPr>
          <w:b/>
        </w:rPr>
        <w:t xml:space="preserve">Source: </w:t>
      </w:r>
      <w:r>
        <w:t>Recent Articles in Phys. Rev. Lett.</w:t>
      </w:r>
      <w:r>
        <w:t xml:space="preserve">    </w:t>
      </w:r>
      <w:r>
        <w:rPr>
          <w:b/>
        </w:rPr>
        <w:t xml:space="preserve">Pub date: </w:t>
      </w:r>
      <w:r>
        <w:t>2026-08-27 10:00:00+00:00</w:t>
      </w:r>
      <w:r>
        <w:t xml:space="preserve">    </w:t>
      </w:r>
      <w:r>
        <w:rPr>
          <w:b/>
        </w:rPr>
        <w:t xml:space="preserve">DOI: </w:t>
      </w:r>
      <w:hyperlink r:id="rId1777">
        <w:r>
          <w:rPr>
            <w:color w:val="1155CC"/>
            <w:u w:val="single"/>
          </w:rPr>
          <w:t>10.1103/jt6y-h375</w:t>
        </w:r>
      </w:hyperlink>
    </w:p>
    <w:p>
      <w:pPr>
        <w:spacing w:before="0" w:after="120"/>
      </w:pPr>
      <w:r>
        <w:rPr>
          <w:b/>
        </w:rPr>
        <w:t xml:space="preserve">Notes: </w:t>
      </w:r>
      <w:r>
        <w:t>abstract_source=rss_description</w:t>
      </w:r>
    </w:p>
    <w:p>
      <w:pPr>
        <w:spacing w:before="0" w:after="80" w:lineRule="auto" w:line="276"/>
      </w:pPr>
      <w:r>
        <w:rPr>
          <w:b/>
        </w:rPr>
        <w:t xml:space="preserve">摘要（ZH）: </w:t>
      </w:r>
      <w:r>
        <w:t>Author(s): E. Bothmann, T. Janßen, M. Knobbe, B. Schmitzer, and F. SinzWe apply continuous normalizing flows trained with the flow matching method to the problem of phase-space sampling in Monte Carlo event generation for high-energy collider physics.专注于使用多个喷流产生轻子对和顶夸克对，这两个计算成本最高的过程……[物理。莱特牧师。 137, 091902] 发布于 2026 年 8 月 27 日星期四</w:t>
      </w:r>
    </w:p>
    <w:p>
      <w:pPr>
        <w:spacing w:before="0" w:after="200" w:lineRule="auto" w:line="276"/>
      </w:pPr>
      <w:r>
        <w:rPr>
          <w:b/>
        </w:rPr>
        <w:t xml:space="preserve">Abstract (EN): </w:t>
      </w:r>
      <w:r>
        <w:t>Author(s): E. Bothmann, T. Janßen, M. Knobbe, B. Schmitzer, and F. SinzWe apply continuous normalizing flows trained with the flow matching method to the problem of phase-space sampling in Monte Carlo event generation for high-energy collider physics. Focusing on lepton-pair and top-quark pair production with multiple jets, the two computationally most expensive proces…[Phys. Rev. Lett. 137, 091902] Published Thu Aug 27,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12833?dgcid=rss_sd_all" TargetMode="External"/><Relationship Id="rId10" Type="http://schemas.openxmlformats.org/officeDocument/2006/relationships/hyperlink" Target="https://doi.org/10.1016/j.apenergy.2026.128627" TargetMode="External"/><Relationship Id="rId11" Type="http://schemas.openxmlformats.org/officeDocument/2006/relationships/hyperlink" Target="https://www.sciencedirect.com/science/article/pii/S0306261926013322?dgcid=rss_sd_all" TargetMode="External"/><Relationship Id="rId12" Type="http://schemas.openxmlformats.org/officeDocument/2006/relationships/hyperlink" Target="https://doi.org/10.1016/j.apenergy.2026.128676" TargetMode="External"/><Relationship Id="rId13" Type="http://schemas.openxmlformats.org/officeDocument/2006/relationships/hyperlink" Target="https://pubs.acs.org/aamick/article/doi/10.1021/acsami.6c12347/5287406/Synergistic-Effect-of-Guanidinium-Iodide-and" TargetMode="External"/><Relationship Id="rId14" Type="http://schemas.openxmlformats.org/officeDocument/2006/relationships/hyperlink" Target="https://doi.org/10.1021/acsami.6c12347" TargetMode="External"/><Relationship Id="rId15" Type="http://schemas.openxmlformats.org/officeDocument/2006/relationships/hyperlink" Target="https://pubs.acs.org/aamick/article/doi/10.1021/acsami.6c12790/5278558/Photon-Transport-Interface-Optimization-of-GAGG-Ce" TargetMode="External"/><Relationship Id="rId16" Type="http://schemas.openxmlformats.org/officeDocument/2006/relationships/hyperlink" Target="https://doi.org/10.1021/acsami.6c12790" TargetMode="External"/><Relationship Id="rId17" Type="http://schemas.openxmlformats.org/officeDocument/2006/relationships/hyperlink" Target="https://www.sciencedirect.com/science/article/pii/S0306261926013565?dgcid=rss_sd_all" TargetMode="External"/><Relationship Id="rId18" Type="http://schemas.openxmlformats.org/officeDocument/2006/relationships/hyperlink" Target="https://doi.org/10.1016/j.apenergy.2026.128700" TargetMode="External"/><Relationship Id="rId19" Type="http://schemas.openxmlformats.org/officeDocument/2006/relationships/hyperlink" Target="https://www.sciencedirect.com/science/article/pii/S0306261926013632?dgcid=rss_sd_all" TargetMode="External"/><Relationship Id="rId20" Type="http://schemas.openxmlformats.org/officeDocument/2006/relationships/hyperlink" Target="https://doi.org/10.1016/j.apenergy.2026.128707" TargetMode="External"/><Relationship Id="rId21" Type="http://schemas.openxmlformats.org/officeDocument/2006/relationships/hyperlink" Target="https://advanced.onlinelibrary.wiley.com/doi/10.1002/adma.74732?af=R" TargetMode="External"/><Relationship Id="rId22" Type="http://schemas.openxmlformats.org/officeDocument/2006/relationships/hyperlink" Target="https://doi.org/10.1002/adma.74732" TargetMode="External"/><Relationship Id="rId23" Type="http://schemas.openxmlformats.org/officeDocument/2006/relationships/hyperlink" Target="https://www.science.org/doi/abs/10.1126/sciadv.aef7693?af=R" TargetMode="External"/><Relationship Id="rId24" Type="http://schemas.openxmlformats.org/officeDocument/2006/relationships/hyperlink" Target="https://doi.org/10.1126/sciadv.aef7693" TargetMode="External"/><Relationship Id="rId25" Type="http://schemas.openxmlformats.org/officeDocument/2006/relationships/hyperlink" Target="https://advanced.onlinelibrary.wiley.com/doi/10.1002/adma.74749?af=R" TargetMode="External"/><Relationship Id="rId26" Type="http://schemas.openxmlformats.org/officeDocument/2006/relationships/hyperlink" Target="https://doi.org/10.1002/adma.74749" TargetMode="External"/><Relationship Id="rId27" Type="http://schemas.openxmlformats.org/officeDocument/2006/relationships/hyperlink" Target="https://advanced.onlinelibrary.wiley.com/doi/10.1002/adma.74784?af=R" TargetMode="External"/><Relationship Id="rId28" Type="http://schemas.openxmlformats.org/officeDocument/2006/relationships/hyperlink" Target="https://doi.org/10.1002/adma.74784" TargetMode="External"/><Relationship Id="rId29" Type="http://schemas.openxmlformats.org/officeDocument/2006/relationships/hyperlink" Target="https://advanced.onlinelibrary.wiley.com/doi/10.1002/adma.74758?af=R" TargetMode="External"/><Relationship Id="rId30" Type="http://schemas.openxmlformats.org/officeDocument/2006/relationships/hyperlink" Target="https://doi.org/10.1002/adma.74758" TargetMode="External"/><Relationship Id="rId31" Type="http://schemas.openxmlformats.org/officeDocument/2006/relationships/hyperlink" Target="https://advanced.onlinelibrary.wiley.com/doi/10.1002/adma.74771?af=R" TargetMode="External"/><Relationship Id="rId32" Type="http://schemas.openxmlformats.org/officeDocument/2006/relationships/hyperlink" Target="https://doi.org/10.1002/adma.74771" TargetMode="External"/><Relationship Id="rId33" Type="http://schemas.openxmlformats.org/officeDocument/2006/relationships/hyperlink" Target="https://advanced.onlinelibrary.wiley.com/doi/10.1002/adma.74786?af=R" TargetMode="External"/><Relationship Id="rId34" Type="http://schemas.openxmlformats.org/officeDocument/2006/relationships/hyperlink" Target="https://doi.org/10.1002/adma.74786" TargetMode="External"/><Relationship Id="rId35" Type="http://schemas.openxmlformats.org/officeDocument/2006/relationships/hyperlink" Target="https://www.sciencedirect.com/science/article/pii/S0306261926013590?dgcid=rss_sd_all" TargetMode="External"/><Relationship Id="rId36" Type="http://schemas.openxmlformats.org/officeDocument/2006/relationships/hyperlink" Target="https://doi.org/10.1016/j.apenergy.2026.128703" TargetMode="External"/><Relationship Id="rId37" Type="http://schemas.openxmlformats.org/officeDocument/2006/relationships/hyperlink" Target="https://onlinelibrary.wiley.com/doi/10.1002/anie.3095986?af=R" TargetMode="External"/><Relationship Id="rId38" Type="http://schemas.openxmlformats.org/officeDocument/2006/relationships/hyperlink" Target="https://doi.org/10.1002/anie.3095986" TargetMode="External"/><Relationship Id="rId39" Type="http://schemas.openxmlformats.org/officeDocument/2006/relationships/hyperlink" Target="https://pubs.acs.org/aamick/article/doi/10.1021/acsami.6c08847/5288380/Self-Powered-Organic-Photodetectors-with-Record" TargetMode="External"/><Relationship Id="rId40" Type="http://schemas.openxmlformats.org/officeDocument/2006/relationships/hyperlink" Target="https://doi.org/10.1021/acsami.6c08847" TargetMode="External"/><Relationship Id="rId41" Type="http://schemas.openxmlformats.org/officeDocument/2006/relationships/hyperlink" Target="https://pubs.acs.org/aamick/article/doi/10.1021/acsami.6c10845/5299931/Vaporization-Guided-Morphology-Evolution-Enables" TargetMode="External"/><Relationship Id="rId42" Type="http://schemas.openxmlformats.org/officeDocument/2006/relationships/hyperlink" Target="https://doi.org/10.1021/acsami.6c10845" TargetMode="External"/><Relationship Id="rId43" Type="http://schemas.openxmlformats.org/officeDocument/2006/relationships/hyperlink" Target="https://advanced.onlinelibrary.wiley.com/doi/10.1002/aenm.71482?af=R" TargetMode="External"/><Relationship Id="rId44" Type="http://schemas.openxmlformats.org/officeDocument/2006/relationships/hyperlink" Target="https://doi.org/10.1002/aenm.71482" TargetMode="External"/><Relationship Id="rId45" Type="http://schemas.openxmlformats.org/officeDocument/2006/relationships/hyperlink" Target="https://onlinelibrary.wiley.com/doi/10.1002/anie.7848549?af=R" TargetMode="External"/><Relationship Id="rId46" Type="http://schemas.openxmlformats.org/officeDocument/2006/relationships/hyperlink" Target="https://doi.org/10.1002/anie.7848549" TargetMode="External"/><Relationship Id="rId47" Type="http://schemas.openxmlformats.org/officeDocument/2006/relationships/hyperlink" Target="https://academic.oup.com/nsr/advance-article/doi/10.1093/nsr/nwag484/8770400?rss=1" TargetMode="External"/><Relationship Id="rId48" Type="http://schemas.openxmlformats.org/officeDocument/2006/relationships/hyperlink" Target="https://doi.org/10.1093/nsr/nwag484" TargetMode="External"/><Relationship Id="rId49" Type="http://schemas.openxmlformats.org/officeDocument/2006/relationships/hyperlink" Target="https://www.cell.com/joule/fulltext/S2542-4351(26)00328-4?rss=yes" TargetMode="External"/><Relationship Id="rId50" Type="http://schemas.openxmlformats.org/officeDocument/2006/relationships/hyperlink" Target="https://doi.org/10.1016/j.joule.2026.102644" TargetMode="External"/><Relationship Id="rId51" Type="http://schemas.openxmlformats.org/officeDocument/2006/relationships/hyperlink" Target="https://onlinelibrary.wiley.com/doi/10.1002/anie.7293232?af=R" TargetMode="External"/><Relationship Id="rId52" Type="http://schemas.openxmlformats.org/officeDocument/2006/relationships/hyperlink" Target="https://doi.org/10.1002/anie.7293232" TargetMode="External"/><Relationship Id="rId53" Type="http://schemas.openxmlformats.org/officeDocument/2006/relationships/hyperlink" Target="https://advanced.onlinelibrary.wiley.com/doi/10.1002/adma.74769?af=R" TargetMode="External"/><Relationship Id="rId54" Type="http://schemas.openxmlformats.org/officeDocument/2006/relationships/hyperlink" Target="https://doi.org/10.1002/adma.74769" TargetMode="External"/><Relationship Id="rId55" Type="http://schemas.openxmlformats.org/officeDocument/2006/relationships/hyperlink" Target="https://advanced.onlinelibrary.wiley.com/doi/10.1002/adma.74766?af=R" TargetMode="External"/><Relationship Id="rId56" Type="http://schemas.openxmlformats.org/officeDocument/2006/relationships/hyperlink" Target="https://doi.org/10.1002/adma.74766" TargetMode="External"/><Relationship Id="rId57" Type="http://schemas.openxmlformats.org/officeDocument/2006/relationships/hyperlink" Target="https://advanced.onlinelibrary.wiley.com/doi/10.1002/aenm.71512?af=R" TargetMode="External"/><Relationship Id="rId58" Type="http://schemas.openxmlformats.org/officeDocument/2006/relationships/hyperlink" Target="https://doi.org/10.1002/aenm.71512" TargetMode="External"/><Relationship Id="rId59" Type="http://schemas.openxmlformats.org/officeDocument/2006/relationships/hyperlink" Target="https://advanced.onlinelibrary.wiley.com/doi/10.1002/aenm.71508?af=R" TargetMode="External"/><Relationship Id="rId60" Type="http://schemas.openxmlformats.org/officeDocument/2006/relationships/hyperlink" Target="https://doi.org/10.1002/aenm.71508" TargetMode="External"/><Relationship Id="rId61" Type="http://schemas.openxmlformats.org/officeDocument/2006/relationships/hyperlink" Target="https://www.nature.com/articles/d41586-026-02469-6" TargetMode="External"/><Relationship Id="rId62" Type="http://schemas.openxmlformats.org/officeDocument/2006/relationships/hyperlink" Target="https://doi.org/10.1038/d41586-026-02469-6" TargetMode="External"/><Relationship Id="rId63" Type="http://schemas.openxmlformats.org/officeDocument/2006/relationships/hyperlink" Target="https://www.cell.com/joule/fulltext/S2542-4351(26)00329-6?rss=yes" TargetMode="External"/><Relationship Id="rId64" Type="http://schemas.openxmlformats.org/officeDocument/2006/relationships/hyperlink" Target="https://doi.org/10.1016/j.joule.2026.102645" TargetMode="External"/><Relationship Id="rId65" Type="http://schemas.openxmlformats.org/officeDocument/2006/relationships/hyperlink" Target="https://www.cell.com/joule/fulltext/S2542-4351(26)00330-2?rss=yes" TargetMode="External"/><Relationship Id="rId66" Type="http://schemas.openxmlformats.org/officeDocument/2006/relationships/hyperlink" Target="https://doi.org/10.1016/j.joule.2026.102646" TargetMode="External"/><Relationship Id="rId67" Type="http://schemas.openxmlformats.org/officeDocument/2006/relationships/hyperlink" Target="https://advanced.onlinelibrary.wiley.com/doi/10.1002/adma.74816?af=R" TargetMode="External"/><Relationship Id="rId68" Type="http://schemas.openxmlformats.org/officeDocument/2006/relationships/hyperlink" Target="https://doi.org/10.1002/adma.74816" TargetMode="External"/><Relationship Id="rId69" Type="http://schemas.openxmlformats.org/officeDocument/2006/relationships/hyperlink" Target="https://advanced.onlinelibrary.wiley.com/doi/10.1002/aenm.71497?af=R" TargetMode="External"/><Relationship Id="rId70" Type="http://schemas.openxmlformats.org/officeDocument/2006/relationships/hyperlink" Target="https://doi.org/10.1002/aenm.71497" TargetMode="External"/><Relationship Id="rId71" Type="http://schemas.openxmlformats.org/officeDocument/2006/relationships/hyperlink" Target="https://advanced.onlinelibrary.wiley.com/doi/10.1002/aenm.71345?af=R" TargetMode="External"/><Relationship Id="rId72" Type="http://schemas.openxmlformats.org/officeDocument/2006/relationships/hyperlink" Target="https://doi.org/10.1002/aenm.71345" TargetMode="External"/><Relationship Id="rId73" Type="http://schemas.openxmlformats.org/officeDocument/2006/relationships/hyperlink" Target="https://advanced.onlinelibrary.wiley.com/doi/10.1002/adma.74703?af=R" TargetMode="External"/><Relationship Id="rId74" Type="http://schemas.openxmlformats.org/officeDocument/2006/relationships/hyperlink" Target="https://doi.org/10.1002/adma.74703" TargetMode="External"/><Relationship Id="rId75" Type="http://schemas.openxmlformats.org/officeDocument/2006/relationships/hyperlink" Target="https://advanced.onlinelibrary.wiley.com/doi/10.1002/adma.74701?af=R" TargetMode="External"/><Relationship Id="rId76" Type="http://schemas.openxmlformats.org/officeDocument/2006/relationships/hyperlink" Target="https://doi.org/10.1002/adma.74701" TargetMode="External"/><Relationship Id="rId77" Type="http://schemas.openxmlformats.org/officeDocument/2006/relationships/hyperlink" Target="https://advanced.onlinelibrary.wiley.com/doi/10.1002/adma.74819?af=R" TargetMode="External"/><Relationship Id="rId78" Type="http://schemas.openxmlformats.org/officeDocument/2006/relationships/hyperlink" Target="https://doi.org/10.1002/adma.74819" TargetMode="External"/><Relationship Id="rId79" Type="http://schemas.openxmlformats.org/officeDocument/2006/relationships/hyperlink" Target="https://onlinelibrary.wiley.com/doi/10.1002/anie.9296585?af=R" TargetMode="External"/><Relationship Id="rId80" Type="http://schemas.openxmlformats.org/officeDocument/2006/relationships/hyperlink" Target="https://doi.org/10.1002/anie.9296585" TargetMode="External"/><Relationship Id="rId81" Type="http://schemas.openxmlformats.org/officeDocument/2006/relationships/hyperlink" Target="https://advanced.onlinelibrary.wiley.com/doi/10.1002/aenm.71513?af=R" TargetMode="External"/><Relationship Id="rId82" Type="http://schemas.openxmlformats.org/officeDocument/2006/relationships/hyperlink" Target="https://doi.org/10.1002/aenm.71513" TargetMode="External"/><Relationship Id="rId83" Type="http://schemas.openxmlformats.org/officeDocument/2006/relationships/hyperlink" Target="https://pubs.acs.org/jacsat/article/doi/10.1021/jacs.6c06069/5285156/Electrochemical-and-Thermal-Control-of-Continuous" TargetMode="External"/><Relationship Id="rId84" Type="http://schemas.openxmlformats.org/officeDocument/2006/relationships/hyperlink" Target="https://doi.org/10.1021/jacs.6c06069" TargetMode="External"/><Relationship Id="rId85" Type="http://schemas.openxmlformats.org/officeDocument/2006/relationships/hyperlink" Target="https://pubs.acs.org/aamick/article/doi/10.1021/acsami.6c10703/5278565/Electron-Rich-Azo-Sites-on-Ordered-Mesoporous" TargetMode="External"/><Relationship Id="rId86" Type="http://schemas.openxmlformats.org/officeDocument/2006/relationships/hyperlink" Target="https://doi.org/10.1021/acsami.6c10703" TargetMode="External"/><Relationship Id="rId87" Type="http://schemas.openxmlformats.org/officeDocument/2006/relationships/hyperlink" Target="https://advanced.onlinelibrary.wiley.com/doi/10.1002/adma.74727?af=R" TargetMode="External"/><Relationship Id="rId88" Type="http://schemas.openxmlformats.org/officeDocument/2006/relationships/hyperlink" Target="https://doi.org/10.1002/adma.74727" TargetMode="External"/><Relationship Id="rId89" Type="http://schemas.openxmlformats.org/officeDocument/2006/relationships/hyperlink" Target="https://advanced.onlinelibrary.wiley.com/doi/10.1002/adma.74709?af=R" TargetMode="External"/><Relationship Id="rId90" Type="http://schemas.openxmlformats.org/officeDocument/2006/relationships/hyperlink" Target="https://doi.org/10.1002/adma.74709" TargetMode="External"/><Relationship Id="rId91" Type="http://schemas.openxmlformats.org/officeDocument/2006/relationships/hyperlink" Target="https://advanced.onlinelibrary.wiley.com/doi/10.1002/aenm.71364?af=R" TargetMode="External"/><Relationship Id="rId92" Type="http://schemas.openxmlformats.org/officeDocument/2006/relationships/hyperlink" Target="https://doi.org/10.1002/aenm.71364" TargetMode="External"/><Relationship Id="rId93" Type="http://schemas.openxmlformats.org/officeDocument/2006/relationships/hyperlink" Target="https://advanced.onlinelibrary.wiley.com/doi/10.1002/adma.74779?af=R" TargetMode="External"/><Relationship Id="rId94" Type="http://schemas.openxmlformats.org/officeDocument/2006/relationships/hyperlink" Target="https://doi.org/10.1002/adma.74779" TargetMode="External"/><Relationship Id="rId95" Type="http://schemas.openxmlformats.org/officeDocument/2006/relationships/hyperlink" Target="https://onlinelibrary.wiley.com/doi/10.1002/anie.7034615?af=R" TargetMode="External"/><Relationship Id="rId96" Type="http://schemas.openxmlformats.org/officeDocument/2006/relationships/hyperlink" Target="https://doi.org/10.1002/anie.7034615" TargetMode="External"/><Relationship Id="rId97" Type="http://schemas.openxmlformats.org/officeDocument/2006/relationships/hyperlink" Target="https://onlinelibrary.wiley.com/doi/10.1002/anie.9916183?af=R" TargetMode="External"/><Relationship Id="rId98" Type="http://schemas.openxmlformats.org/officeDocument/2006/relationships/hyperlink" Target="https://doi.org/10.1002/anie.9916183" TargetMode="External"/><Relationship Id="rId99" Type="http://schemas.openxmlformats.org/officeDocument/2006/relationships/hyperlink" Target="https://onlinelibrary.wiley.com/doi/10.1002/anie.5077478?af=R" TargetMode="External"/><Relationship Id="rId100" Type="http://schemas.openxmlformats.org/officeDocument/2006/relationships/hyperlink" Target="https://doi.org/10.1002/anie.5077478" TargetMode="External"/><Relationship Id="rId101" Type="http://schemas.openxmlformats.org/officeDocument/2006/relationships/hyperlink" Target="https://pubs.acs.org/aamick/article/doi/10.1021/acsami.6c08983/5299749/Bulk-Interface-and-Dual-Domain-Stabilization-of" TargetMode="External"/><Relationship Id="rId102" Type="http://schemas.openxmlformats.org/officeDocument/2006/relationships/hyperlink" Target="https://doi.org/10.1021/acsami.6c08983" TargetMode="External"/><Relationship Id="rId103" Type="http://schemas.openxmlformats.org/officeDocument/2006/relationships/hyperlink" Target="https://advanced.onlinelibrary.wiley.com/doi/10.1002/aenm.71496?af=R" TargetMode="External"/><Relationship Id="rId104" Type="http://schemas.openxmlformats.org/officeDocument/2006/relationships/hyperlink" Target="https://doi.org/10.1002/aenm.71496" TargetMode="External"/><Relationship Id="rId105" Type="http://schemas.openxmlformats.org/officeDocument/2006/relationships/hyperlink" Target="https://onlinelibrary.wiley.com/doi/10.1002/anie.4662687?af=R" TargetMode="External"/><Relationship Id="rId106" Type="http://schemas.openxmlformats.org/officeDocument/2006/relationships/hyperlink" Target="https://doi.org/10.1002/anie.4662687" TargetMode="External"/><Relationship Id="rId107" Type="http://schemas.openxmlformats.org/officeDocument/2006/relationships/hyperlink" Target="https://onlinelibrary.wiley.com/doi/10.1002/anie.3002971?af=R" TargetMode="External"/><Relationship Id="rId108" Type="http://schemas.openxmlformats.org/officeDocument/2006/relationships/hyperlink" Target="https://doi.org/10.1002/anie.3002971" TargetMode="External"/><Relationship Id="rId109" Type="http://schemas.openxmlformats.org/officeDocument/2006/relationships/hyperlink" Target="https://advanced.onlinelibrary.wiley.com/doi/10.1002/aenm.71487?af=R" TargetMode="External"/><Relationship Id="rId110" Type="http://schemas.openxmlformats.org/officeDocument/2006/relationships/hyperlink" Target="https://doi.org/10.1002/aenm.71487" TargetMode="External"/><Relationship Id="rId111" Type="http://schemas.openxmlformats.org/officeDocument/2006/relationships/hyperlink" Target="https://advanced.onlinelibrary.wiley.com/doi/10.1002/adma.74755?af=R" TargetMode="External"/><Relationship Id="rId112" Type="http://schemas.openxmlformats.org/officeDocument/2006/relationships/hyperlink" Target="https://doi.org/10.1002/adma.74755" TargetMode="External"/><Relationship Id="rId113" Type="http://schemas.openxmlformats.org/officeDocument/2006/relationships/hyperlink" Target="https://advanced.onlinelibrary.wiley.com/doi/10.1002/aenm.71454?af=R" TargetMode="External"/><Relationship Id="rId114" Type="http://schemas.openxmlformats.org/officeDocument/2006/relationships/hyperlink" Target="https://doi.org/10.1002/aenm.71454" TargetMode="External"/><Relationship Id="rId115" Type="http://schemas.openxmlformats.org/officeDocument/2006/relationships/hyperlink" Target="https://advanced.onlinelibrary.wiley.com/doi/10.1002/adma.74798?af=R" TargetMode="External"/><Relationship Id="rId116" Type="http://schemas.openxmlformats.org/officeDocument/2006/relationships/hyperlink" Target="https://doi.org/10.1002/adma.74798" TargetMode="External"/><Relationship Id="rId117" Type="http://schemas.openxmlformats.org/officeDocument/2006/relationships/hyperlink" Target="https://www.cell.com/matter/fulltext/S2590-2385(26)00356-5?rss=yes" TargetMode="External"/><Relationship Id="rId118" Type="http://schemas.openxmlformats.org/officeDocument/2006/relationships/hyperlink" Target="https://doi.org/10.1016/j.matt.2026.102993" TargetMode="External"/><Relationship Id="rId119" Type="http://schemas.openxmlformats.org/officeDocument/2006/relationships/hyperlink" Target="https://advanced.onlinelibrary.wiley.com/doi/10.1002/aenm.71483?af=R" TargetMode="External"/><Relationship Id="rId120" Type="http://schemas.openxmlformats.org/officeDocument/2006/relationships/hyperlink" Target="https://doi.org/10.1002/aenm.71483" TargetMode="External"/><Relationship Id="rId121" Type="http://schemas.openxmlformats.org/officeDocument/2006/relationships/hyperlink" Target="https://advanced.onlinelibrary.wiley.com/doi/10.1002/aenm.71490?af=R" TargetMode="External"/><Relationship Id="rId122" Type="http://schemas.openxmlformats.org/officeDocument/2006/relationships/hyperlink" Target="https://doi.org/10.1002/aenm.71490" TargetMode="External"/><Relationship Id="rId123" Type="http://schemas.openxmlformats.org/officeDocument/2006/relationships/hyperlink" Target="https://advanced.onlinelibrary.wiley.com/doi/10.1002/adma.74775?af=R" TargetMode="External"/><Relationship Id="rId124" Type="http://schemas.openxmlformats.org/officeDocument/2006/relationships/hyperlink" Target="https://doi.org/10.1002/adma.74775" TargetMode="External"/><Relationship Id="rId125" Type="http://schemas.openxmlformats.org/officeDocument/2006/relationships/hyperlink" Target="https://advanced.onlinelibrary.wiley.com/doi/10.1002/adma.74789?af=R" TargetMode="External"/><Relationship Id="rId126" Type="http://schemas.openxmlformats.org/officeDocument/2006/relationships/hyperlink" Target="https://doi.org/10.1002/adma.74789" TargetMode="External"/><Relationship Id="rId127" Type="http://schemas.openxmlformats.org/officeDocument/2006/relationships/hyperlink" Target="https://www.nature.com/articles/s41467-026-77167-y" TargetMode="External"/><Relationship Id="rId128" Type="http://schemas.openxmlformats.org/officeDocument/2006/relationships/hyperlink" Target="https://onlinelibrary.wiley.com/doi/10.1002/anie.6426355?af=R" TargetMode="External"/><Relationship Id="rId129" Type="http://schemas.openxmlformats.org/officeDocument/2006/relationships/hyperlink" Target="https://doi.org/10.1002/anie.6426355" TargetMode="External"/><Relationship Id="rId130" Type="http://schemas.openxmlformats.org/officeDocument/2006/relationships/hyperlink" Target="https://advanced.onlinelibrary.wiley.com/doi/10.1002/aenm.71485?af=R" TargetMode="External"/><Relationship Id="rId131" Type="http://schemas.openxmlformats.org/officeDocument/2006/relationships/hyperlink" Target="https://doi.org/10.1002/aenm.71485" TargetMode="External"/><Relationship Id="rId132" Type="http://schemas.openxmlformats.org/officeDocument/2006/relationships/hyperlink" Target="https://www.sciencedirect.com/science/article/pii/S0306261926013462?dgcid=rss_sd_all" TargetMode="External"/><Relationship Id="rId133" Type="http://schemas.openxmlformats.org/officeDocument/2006/relationships/hyperlink" Target="https://doi.org/10.1016/j.apenergy.2026.128690" TargetMode="External"/><Relationship Id="rId134" Type="http://schemas.openxmlformats.org/officeDocument/2006/relationships/hyperlink" Target="https://www.sciencedirect.com/science/article/pii/S0306261926013103?dgcid=rss_sd_all" TargetMode="External"/><Relationship Id="rId135" Type="http://schemas.openxmlformats.org/officeDocument/2006/relationships/hyperlink" Target="https://doi.org/10.1016/j.apenergy.2026.128654" TargetMode="External"/><Relationship Id="rId136" Type="http://schemas.openxmlformats.org/officeDocument/2006/relationships/hyperlink" Target="https://www.nmlett.org/index.php/nml/article/view/2638" TargetMode="External"/><Relationship Id="rId137" Type="http://schemas.openxmlformats.org/officeDocument/2006/relationships/hyperlink" Target="https://doi.org/10.1007/s40820-026-02342-1" TargetMode="External"/><Relationship Id="rId138" Type="http://schemas.openxmlformats.org/officeDocument/2006/relationships/hyperlink" Target="https://advanced.onlinelibrary.wiley.com/doi/10.1002/adma.74759?af=R" TargetMode="External"/><Relationship Id="rId139" Type="http://schemas.openxmlformats.org/officeDocument/2006/relationships/hyperlink" Target="https://doi.org/10.1002/adma.74759" TargetMode="External"/><Relationship Id="rId140" Type="http://schemas.openxmlformats.org/officeDocument/2006/relationships/hyperlink" Target="https://www.nmlett.org/index.php/nml/article/view/2639" TargetMode="External"/><Relationship Id="rId141" Type="http://schemas.openxmlformats.org/officeDocument/2006/relationships/hyperlink" Target="https://doi.org/10.1007/s40820-026-02324-3" TargetMode="External"/><Relationship Id="rId142" Type="http://schemas.openxmlformats.org/officeDocument/2006/relationships/hyperlink" Target="https://onlinelibrary.wiley.com/doi/10.1002/anie.3647021?af=R" TargetMode="External"/><Relationship Id="rId143" Type="http://schemas.openxmlformats.org/officeDocument/2006/relationships/hyperlink" Target="https://doi.org/10.1002/anie.3647021" TargetMode="External"/><Relationship Id="rId144" Type="http://schemas.openxmlformats.org/officeDocument/2006/relationships/hyperlink" Target="https://onlinelibrary.wiley.com/doi/10.1002/anie.5837924?af=R" TargetMode="External"/><Relationship Id="rId145" Type="http://schemas.openxmlformats.org/officeDocument/2006/relationships/hyperlink" Target="https://doi.org/10.1002/anie.5837924" TargetMode="External"/><Relationship Id="rId146" Type="http://schemas.openxmlformats.org/officeDocument/2006/relationships/hyperlink" Target="https://advanced.onlinelibrary.wiley.com/doi/10.1002/aenm.71504?af=R" TargetMode="External"/><Relationship Id="rId147" Type="http://schemas.openxmlformats.org/officeDocument/2006/relationships/hyperlink" Target="https://doi.org/10.1002/aenm.71504" TargetMode="External"/><Relationship Id="rId148" Type="http://schemas.openxmlformats.org/officeDocument/2006/relationships/hyperlink" Target="https://advanced.onlinelibrary.wiley.com/doi/10.1002/adma.74811?af=R" TargetMode="External"/><Relationship Id="rId149" Type="http://schemas.openxmlformats.org/officeDocument/2006/relationships/hyperlink" Target="https://doi.org/10.1002/adma.74811" TargetMode="External"/><Relationship Id="rId150" Type="http://schemas.openxmlformats.org/officeDocument/2006/relationships/hyperlink" Target="https://www.cell.com/matter/fulltext/S2590-2385(26)00336-X?rss=yes" TargetMode="External"/><Relationship Id="rId151" Type="http://schemas.openxmlformats.org/officeDocument/2006/relationships/hyperlink" Target="https://doi.org/10.1016/j.matt.2026.102973" TargetMode="External"/><Relationship Id="rId152" Type="http://schemas.openxmlformats.org/officeDocument/2006/relationships/hyperlink" Target="https://advanced.onlinelibrary.wiley.com/doi/10.1002/adma.74820?af=R" TargetMode="External"/><Relationship Id="rId153" Type="http://schemas.openxmlformats.org/officeDocument/2006/relationships/hyperlink" Target="https://doi.org/10.1002/adma.74820" TargetMode="External"/><Relationship Id="rId154" Type="http://schemas.openxmlformats.org/officeDocument/2006/relationships/hyperlink" Target="https://www.nature.com/articles/s41563-026-02729-w" TargetMode="External"/><Relationship Id="rId155" Type="http://schemas.openxmlformats.org/officeDocument/2006/relationships/hyperlink" Target="https://doi.org/10.1038/s41563-026-02729-w" TargetMode="External"/><Relationship Id="rId156" Type="http://schemas.openxmlformats.org/officeDocument/2006/relationships/hyperlink" Target="https://www.science.org/doi/abs/10.1126/sciadv.aef3043?af=R" TargetMode="External"/><Relationship Id="rId157" Type="http://schemas.openxmlformats.org/officeDocument/2006/relationships/hyperlink" Target="https://doi.org/10.1126/sciadv.aef3043" TargetMode="External"/><Relationship Id="rId158" Type="http://schemas.openxmlformats.org/officeDocument/2006/relationships/hyperlink" Target="https://onlinelibrary.wiley.com/doi/10.1002/anie.3879325?af=R" TargetMode="External"/><Relationship Id="rId159" Type="http://schemas.openxmlformats.org/officeDocument/2006/relationships/hyperlink" Target="https://doi.org/10.1002/anie.3879325" TargetMode="External"/><Relationship Id="rId160" Type="http://schemas.openxmlformats.org/officeDocument/2006/relationships/hyperlink" Target="https://advanced.onlinelibrary.wiley.com/doi/10.1002/adma.74659?af=R" TargetMode="External"/><Relationship Id="rId161" Type="http://schemas.openxmlformats.org/officeDocument/2006/relationships/hyperlink" Target="https://doi.org/10.1002/adma.74659" TargetMode="External"/><Relationship Id="rId162" Type="http://schemas.openxmlformats.org/officeDocument/2006/relationships/hyperlink" Target="https://onlinelibrary.wiley.com/doi/10.1002/anie.2311794?af=R" TargetMode="External"/><Relationship Id="rId163" Type="http://schemas.openxmlformats.org/officeDocument/2006/relationships/hyperlink" Target="https://doi.org/10.1002/anie.2311794" TargetMode="External"/><Relationship Id="rId164" Type="http://schemas.openxmlformats.org/officeDocument/2006/relationships/hyperlink" Target="https://pubs.acs.org/jacsat/article/doi/10.1021/jacs.6c08912/5287151/Migration-Coupled-Local-Fluoride-Relaxation-in-Li2" TargetMode="External"/><Relationship Id="rId165" Type="http://schemas.openxmlformats.org/officeDocument/2006/relationships/hyperlink" Target="https://doi.org/10.1021/jacs.6c08912" TargetMode="External"/><Relationship Id="rId166" Type="http://schemas.openxmlformats.org/officeDocument/2006/relationships/hyperlink" Target="https://advanced.onlinelibrary.wiley.com/doi/10.1002/adma.74770?af=R" TargetMode="External"/><Relationship Id="rId167" Type="http://schemas.openxmlformats.org/officeDocument/2006/relationships/hyperlink" Target="https://doi.org/10.1002/adma.74770" TargetMode="External"/><Relationship Id="rId168" Type="http://schemas.openxmlformats.org/officeDocument/2006/relationships/hyperlink" Target="https://www.nature.com/articles/s41467-026-76661-7" TargetMode="External"/><Relationship Id="rId169" Type="http://schemas.openxmlformats.org/officeDocument/2006/relationships/hyperlink" Target="https://onlinelibrary.wiley.com/doi/10.1002/anie.6113925?af=R" TargetMode="External"/><Relationship Id="rId170" Type="http://schemas.openxmlformats.org/officeDocument/2006/relationships/hyperlink" Target="https://doi.org/10.1002/anie.6113925" TargetMode="External"/><Relationship Id="rId171" Type="http://schemas.openxmlformats.org/officeDocument/2006/relationships/hyperlink" Target="https://onlinelibrary.wiley.com/doi/10.1002/anie.1504807?af=R" TargetMode="External"/><Relationship Id="rId172" Type="http://schemas.openxmlformats.org/officeDocument/2006/relationships/hyperlink" Target="https://doi.org/10.1002/anie.1504807" TargetMode="External"/><Relationship Id="rId173" Type="http://schemas.openxmlformats.org/officeDocument/2006/relationships/hyperlink" Target="https://onlinelibrary.wiley.com/doi/10.1002/anie.6024891?af=R" TargetMode="External"/><Relationship Id="rId174" Type="http://schemas.openxmlformats.org/officeDocument/2006/relationships/hyperlink" Target="https://doi.org/10.1002/anie.6024891" TargetMode="External"/><Relationship Id="rId175" Type="http://schemas.openxmlformats.org/officeDocument/2006/relationships/hyperlink" Target="https://www.cell.com/chem/fulltext/S2451-9294(26)00272-X?rss=yes" TargetMode="External"/><Relationship Id="rId176" Type="http://schemas.openxmlformats.org/officeDocument/2006/relationships/hyperlink" Target="https://doi.org/10.1016/j.chempr.2026.103206" TargetMode="External"/><Relationship Id="rId177" Type="http://schemas.openxmlformats.org/officeDocument/2006/relationships/hyperlink" Target="https://www.cell.com/joule/fulltext/S2542-4351(26)00325-9?rss=yes" TargetMode="External"/><Relationship Id="rId178" Type="http://schemas.openxmlformats.org/officeDocument/2006/relationships/hyperlink" Target="https://doi.org/10.1016/j.joule.2026.102641" TargetMode="External"/><Relationship Id="rId179" Type="http://schemas.openxmlformats.org/officeDocument/2006/relationships/hyperlink" Target="https://advanced.onlinelibrary.wiley.com/doi/10.1002/adma.74782?af=R" TargetMode="External"/><Relationship Id="rId180" Type="http://schemas.openxmlformats.org/officeDocument/2006/relationships/hyperlink" Target="https://doi.org/10.1002/adma.74782" TargetMode="External"/><Relationship Id="rId181" Type="http://schemas.openxmlformats.org/officeDocument/2006/relationships/hyperlink" Target="https://advanced.onlinelibrary.wiley.com/doi/10.1002/adma.74635?af=R" TargetMode="External"/><Relationship Id="rId182" Type="http://schemas.openxmlformats.org/officeDocument/2006/relationships/hyperlink" Target="https://doi.org/10.1002/adma.74635" TargetMode="External"/><Relationship Id="rId183" Type="http://schemas.openxmlformats.org/officeDocument/2006/relationships/hyperlink" Target="https://advanced.onlinelibrary.wiley.com/doi/10.1002/aenm.71472?af=R" TargetMode="External"/><Relationship Id="rId184" Type="http://schemas.openxmlformats.org/officeDocument/2006/relationships/hyperlink" Target="https://doi.org/10.1002/aenm.71472" TargetMode="External"/><Relationship Id="rId185" Type="http://schemas.openxmlformats.org/officeDocument/2006/relationships/hyperlink" Target="https://academic.oup.com/nsr/advance-article/doi/10.1093/nsr/nwag511/8770402?rss=1" TargetMode="External"/><Relationship Id="rId186" Type="http://schemas.openxmlformats.org/officeDocument/2006/relationships/hyperlink" Target="https://doi.org/10.1093/nsr/nwag511" TargetMode="External"/><Relationship Id="rId187" Type="http://schemas.openxmlformats.org/officeDocument/2006/relationships/hyperlink" Target="https://onlinelibrary.wiley.com/doi/10.1002/anie.5288915?af=R" TargetMode="External"/><Relationship Id="rId188" Type="http://schemas.openxmlformats.org/officeDocument/2006/relationships/hyperlink" Target="https://doi.org/10.1002/anie.5288915" TargetMode="External"/><Relationship Id="rId189" Type="http://schemas.openxmlformats.org/officeDocument/2006/relationships/hyperlink" Target="https://onlinelibrary.wiley.com/doi/10.1002/anie.1853847?af=R" TargetMode="External"/><Relationship Id="rId190" Type="http://schemas.openxmlformats.org/officeDocument/2006/relationships/hyperlink" Target="https://doi.org/10.1002/anie.1853847" TargetMode="External"/><Relationship Id="rId191" Type="http://schemas.openxmlformats.org/officeDocument/2006/relationships/hyperlink" Target="https://onlinelibrary.wiley.com/doi/10.1002/anie.5503056?af=R" TargetMode="External"/><Relationship Id="rId192" Type="http://schemas.openxmlformats.org/officeDocument/2006/relationships/hyperlink" Target="https://doi.org/10.1002/anie.5503056" TargetMode="External"/><Relationship Id="rId193" Type="http://schemas.openxmlformats.org/officeDocument/2006/relationships/hyperlink" Target="https://onlinelibrary.wiley.com/doi/10.1002/anie.2577060?af=R" TargetMode="External"/><Relationship Id="rId194" Type="http://schemas.openxmlformats.org/officeDocument/2006/relationships/hyperlink" Target="https://doi.org/10.1002/anie.2577060" TargetMode="External"/><Relationship Id="rId195" Type="http://schemas.openxmlformats.org/officeDocument/2006/relationships/hyperlink" Target="https://onlinelibrary.wiley.com/doi/10.1002/anie.3211208?af=R" TargetMode="External"/><Relationship Id="rId196" Type="http://schemas.openxmlformats.org/officeDocument/2006/relationships/hyperlink" Target="https://doi.org/10.1002/anie.3211208" TargetMode="External"/><Relationship Id="rId197" Type="http://schemas.openxmlformats.org/officeDocument/2006/relationships/hyperlink" Target="https://advanced.onlinelibrary.wiley.com/doi/10.1002/adma.74814?af=R" TargetMode="External"/><Relationship Id="rId198" Type="http://schemas.openxmlformats.org/officeDocument/2006/relationships/hyperlink" Target="https://doi.org/10.1002/adma.74814" TargetMode="External"/><Relationship Id="rId199" Type="http://schemas.openxmlformats.org/officeDocument/2006/relationships/hyperlink" Target="https://onlinelibrary.wiley.com/doi/10.1002/anie.5330124?af=R" TargetMode="External"/><Relationship Id="rId200" Type="http://schemas.openxmlformats.org/officeDocument/2006/relationships/hyperlink" Target="https://doi.org/10.1002/anie.5330124" TargetMode="External"/><Relationship Id="rId201" Type="http://schemas.openxmlformats.org/officeDocument/2006/relationships/hyperlink" Target="https://advanced.onlinelibrary.wiley.com/doi/10.1002/aenm.71520?af=R" TargetMode="External"/><Relationship Id="rId202" Type="http://schemas.openxmlformats.org/officeDocument/2006/relationships/hyperlink" Target="https://doi.org/10.1002/aenm.71520" TargetMode="External"/><Relationship Id="rId203" Type="http://schemas.openxmlformats.org/officeDocument/2006/relationships/hyperlink" Target="https://advanced.onlinelibrary.wiley.com/doi/10.1002/aenm.71442?af=R" TargetMode="External"/><Relationship Id="rId204" Type="http://schemas.openxmlformats.org/officeDocument/2006/relationships/hyperlink" Target="https://doi.org/10.1002/aenm.71442" TargetMode="External"/><Relationship Id="rId205" Type="http://schemas.openxmlformats.org/officeDocument/2006/relationships/hyperlink" Target="https://onlinelibrary.wiley.com/doi/10.1002/anie.6028878?af=R" TargetMode="External"/><Relationship Id="rId206" Type="http://schemas.openxmlformats.org/officeDocument/2006/relationships/hyperlink" Target="https://doi.org/10.1002/anie.6028878" TargetMode="External"/><Relationship Id="rId207" Type="http://schemas.openxmlformats.org/officeDocument/2006/relationships/hyperlink" Target="https://onlinelibrary.wiley.com/doi/10.1002/anie.1625450?af=R" TargetMode="External"/><Relationship Id="rId208" Type="http://schemas.openxmlformats.org/officeDocument/2006/relationships/hyperlink" Target="https://doi.org/10.1002/anie.1625450" TargetMode="External"/><Relationship Id="rId209" Type="http://schemas.openxmlformats.org/officeDocument/2006/relationships/hyperlink" Target="https://www.sciencedirect.com/science/article/pii/S0306261926013450?dgcid=rss_sd_all" TargetMode="External"/><Relationship Id="rId210" Type="http://schemas.openxmlformats.org/officeDocument/2006/relationships/hyperlink" Target="https://doi.org/10.1016/j.apenergy.2026.128689" TargetMode="External"/><Relationship Id="rId211" Type="http://schemas.openxmlformats.org/officeDocument/2006/relationships/hyperlink" Target="https://www.sciencedirect.com/science/article/pii/S0306261926013371?dgcid=rss_sd_all" TargetMode="External"/><Relationship Id="rId212" Type="http://schemas.openxmlformats.org/officeDocument/2006/relationships/hyperlink" Target="https://doi.org/10.1016/j.apenergy.2026.128681" TargetMode="External"/><Relationship Id="rId213" Type="http://schemas.openxmlformats.org/officeDocument/2006/relationships/hyperlink" Target="https://www.sciencedirect.com/science/article/pii/S0306261926013449?dgcid=rss_sd_all" TargetMode="External"/><Relationship Id="rId214" Type="http://schemas.openxmlformats.org/officeDocument/2006/relationships/hyperlink" Target="https://doi.org/10.1016/j.apenergy.2026.128688" TargetMode="External"/><Relationship Id="rId215" Type="http://schemas.openxmlformats.org/officeDocument/2006/relationships/hyperlink" Target="https://www.sciencedirect.com/science/article/pii/S0306261926013097?dgcid=rss_sd_all" TargetMode="External"/><Relationship Id="rId216" Type="http://schemas.openxmlformats.org/officeDocument/2006/relationships/hyperlink" Target="https://doi.org/10.1016/j.apenergy.2026.128653" TargetMode="External"/><Relationship Id="rId217" Type="http://schemas.openxmlformats.org/officeDocument/2006/relationships/hyperlink" Target="https://www.sciencedirect.com/science/article/pii/S0306261926012511?dgcid=rss_sd_all" TargetMode="External"/><Relationship Id="rId218" Type="http://schemas.openxmlformats.org/officeDocument/2006/relationships/hyperlink" Target="https://doi.org/10.1016/j.apenergy.2026.128595" TargetMode="External"/><Relationship Id="rId219" Type="http://schemas.openxmlformats.org/officeDocument/2006/relationships/hyperlink" Target="https://www.sciencedirect.com/science/article/pii/S0306261926013474?dgcid=rss_sd_all" TargetMode="External"/><Relationship Id="rId220" Type="http://schemas.openxmlformats.org/officeDocument/2006/relationships/hyperlink" Target="https://doi.org/10.1016/j.apenergy.2026.128691" TargetMode="External"/><Relationship Id="rId221" Type="http://schemas.openxmlformats.org/officeDocument/2006/relationships/hyperlink" Target="https://advanced.onlinelibrary.wiley.com/doi/10.1002/adma.74605?af=R" TargetMode="External"/><Relationship Id="rId222" Type="http://schemas.openxmlformats.org/officeDocument/2006/relationships/hyperlink" Target="https://doi.org/10.1002/adma.74605" TargetMode="External"/><Relationship Id="rId223" Type="http://schemas.openxmlformats.org/officeDocument/2006/relationships/hyperlink" Target="https://www.sciencedirect.com/science/article/pii/S0306261926013620?dgcid=rss_sd_all" TargetMode="External"/><Relationship Id="rId224" Type="http://schemas.openxmlformats.org/officeDocument/2006/relationships/hyperlink" Target="https://doi.org/10.1016/j.apenergy.2026.128706" TargetMode="External"/><Relationship Id="rId225" Type="http://schemas.openxmlformats.org/officeDocument/2006/relationships/hyperlink" Target="https://onlinelibrary.wiley.com/doi/10.1002/anie.4391410?af=R" TargetMode="External"/><Relationship Id="rId226" Type="http://schemas.openxmlformats.org/officeDocument/2006/relationships/hyperlink" Target="https://doi.org/10.1002/anie.4391410" TargetMode="External"/><Relationship Id="rId227" Type="http://schemas.openxmlformats.org/officeDocument/2006/relationships/hyperlink" Target="https://advanced.onlinelibrary.wiley.com/doi/10.1002/aenm.71418?af=R" TargetMode="External"/><Relationship Id="rId228" Type="http://schemas.openxmlformats.org/officeDocument/2006/relationships/hyperlink" Target="https://doi.org/10.1002/aenm.71418" TargetMode="External"/><Relationship Id="rId229" Type="http://schemas.openxmlformats.org/officeDocument/2006/relationships/hyperlink" Target="https://advanced.onlinelibrary.wiley.com/doi/10.1002/aenm.71506?af=R" TargetMode="External"/><Relationship Id="rId230" Type="http://schemas.openxmlformats.org/officeDocument/2006/relationships/hyperlink" Target="https://doi.org/10.1002/aenm.71506" TargetMode="External"/><Relationship Id="rId231" Type="http://schemas.openxmlformats.org/officeDocument/2006/relationships/hyperlink" Target="https://www.nature.com/articles/s41578-026-00952-0" TargetMode="External"/><Relationship Id="rId232" Type="http://schemas.openxmlformats.org/officeDocument/2006/relationships/hyperlink" Target="https://doi.org/10.1038/s41578-026-00952-0" TargetMode="External"/><Relationship Id="rId233" Type="http://schemas.openxmlformats.org/officeDocument/2006/relationships/hyperlink" Target="https://www.nature.com/articles/s41560-026-02131-5" TargetMode="External"/><Relationship Id="rId234" Type="http://schemas.openxmlformats.org/officeDocument/2006/relationships/hyperlink" Target="https://doi.org/10.1038/s41560-026-02131-5" TargetMode="External"/><Relationship Id="rId235" Type="http://schemas.openxmlformats.org/officeDocument/2006/relationships/hyperlink" Target="https://www.sciencedirect.com/science/article/pii/S0306261926013619?dgcid=rss_sd_all" TargetMode="External"/><Relationship Id="rId236" Type="http://schemas.openxmlformats.org/officeDocument/2006/relationships/hyperlink" Target="https://doi.org/10.1016/j.apenergy.2026.128705" TargetMode="External"/><Relationship Id="rId237" Type="http://schemas.openxmlformats.org/officeDocument/2006/relationships/hyperlink" Target="https://www.sciencedirect.com/science/article/pii/S0306261926013589?dgcid=rss_sd_all" TargetMode="External"/><Relationship Id="rId238" Type="http://schemas.openxmlformats.org/officeDocument/2006/relationships/hyperlink" Target="https://doi.org/10.1016/j.apenergy.2026.128702" TargetMode="External"/><Relationship Id="rId239" Type="http://schemas.openxmlformats.org/officeDocument/2006/relationships/hyperlink" Target="https://academic.oup.com/nsr/advance-article/doi/10.1093/nsr/nwag542/8771002?rss=1" TargetMode="External"/><Relationship Id="rId240" Type="http://schemas.openxmlformats.org/officeDocument/2006/relationships/hyperlink" Target="https://doi.org/10.1093/nsr/nwag542" TargetMode="External"/><Relationship Id="rId241" Type="http://schemas.openxmlformats.org/officeDocument/2006/relationships/hyperlink" Target="https://onlinelibrary.wiley.com/doi/10.1002/anie.7649417?af=R" TargetMode="External"/><Relationship Id="rId242" Type="http://schemas.openxmlformats.org/officeDocument/2006/relationships/hyperlink" Target="https://doi.org/10.1002/anie.7649417" TargetMode="External"/><Relationship Id="rId243" Type="http://schemas.openxmlformats.org/officeDocument/2006/relationships/hyperlink" Target="https://pubs.acs.org/aamick/article/doi/10.1021/acsami.6c10835/5286152/Direct-Write-Printing-Flexible-Ion-Channels-with" TargetMode="External"/><Relationship Id="rId244" Type="http://schemas.openxmlformats.org/officeDocument/2006/relationships/hyperlink" Target="https://doi.org/10.1021/acsami.6c10835" TargetMode="External"/><Relationship Id="rId245" Type="http://schemas.openxmlformats.org/officeDocument/2006/relationships/hyperlink" Target="https://pubs.acs.org/jacsat/article/doi/10.1021/jacs.6c14324/5286271/Interfacial-Water-Networks-Regulate-Solid-Liquid" TargetMode="External"/><Relationship Id="rId246" Type="http://schemas.openxmlformats.org/officeDocument/2006/relationships/hyperlink" Target="https://doi.org/10.1021/jacs.6c14324" TargetMode="External"/><Relationship Id="rId247" Type="http://schemas.openxmlformats.org/officeDocument/2006/relationships/hyperlink" Target="https://www.sciencedirect.com/science/article/pii/S0306261926013334?dgcid=rss_sd_all" TargetMode="External"/><Relationship Id="rId248" Type="http://schemas.openxmlformats.org/officeDocument/2006/relationships/hyperlink" Target="https://doi.org/10.1016/j.apenergy.2026.128677" TargetMode="External"/><Relationship Id="rId249" Type="http://schemas.openxmlformats.org/officeDocument/2006/relationships/hyperlink" Target="https://www.science.org/doi/abs/10.1126/sciadv.aeg8624?af=R" TargetMode="External"/><Relationship Id="rId250" Type="http://schemas.openxmlformats.org/officeDocument/2006/relationships/hyperlink" Target="https://doi.org/10.1126/sciadv.aeg8624" TargetMode="External"/><Relationship Id="rId251" Type="http://schemas.openxmlformats.org/officeDocument/2006/relationships/hyperlink" Target="https://www.science.org/doi/abs/10.1126/sciadv.aeh0436?af=R" TargetMode="External"/><Relationship Id="rId252" Type="http://schemas.openxmlformats.org/officeDocument/2006/relationships/hyperlink" Target="https://doi.org/10.1126/sciadv.aeh0436" TargetMode="External"/><Relationship Id="rId253" Type="http://schemas.openxmlformats.org/officeDocument/2006/relationships/hyperlink" Target="https://www.science.org/doi/abs/10.1126/sciadv.aee7066?af=R" TargetMode="External"/><Relationship Id="rId254" Type="http://schemas.openxmlformats.org/officeDocument/2006/relationships/hyperlink" Target="https://doi.org/10.1126/sciadv.aee7066" TargetMode="External"/><Relationship Id="rId255" Type="http://schemas.openxmlformats.org/officeDocument/2006/relationships/hyperlink" Target="http://link.aps.org/doi/10.1103/zjyw-z6s6" TargetMode="External"/><Relationship Id="rId256" Type="http://schemas.openxmlformats.org/officeDocument/2006/relationships/hyperlink" Target="https://doi.org/10.1103/zjyw-z6s6" TargetMode="External"/><Relationship Id="rId257" Type="http://schemas.openxmlformats.org/officeDocument/2006/relationships/hyperlink" Target="https://academic.oup.com/nsr/advance-article/doi/10.1093/nsr/nwag529/8768589?rss=1" TargetMode="External"/><Relationship Id="rId258" Type="http://schemas.openxmlformats.org/officeDocument/2006/relationships/hyperlink" Target="https://doi.org/10.1093/nsr/nwag529" TargetMode="External"/><Relationship Id="rId259" Type="http://schemas.openxmlformats.org/officeDocument/2006/relationships/hyperlink" Target="https://onlinelibrary.wiley.com/doi/10.1002/anie.9559286?af=R" TargetMode="External"/><Relationship Id="rId260" Type="http://schemas.openxmlformats.org/officeDocument/2006/relationships/hyperlink" Target="https://doi.org/10.1002/anie.9559286" TargetMode="External"/><Relationship Id="rId261" Type="http://schemas.openxmlformats.org/officeDocument/2006/relationships/hyperlink" Target="https://onlinelibrary.wiley.com/doi/10.1002/anie.2958917?af=R" TargetMode="External"/><Relationship Id="rId262" Type="http://schemas.openxmlformats.org/officeDocument/2006/relationships/hyperlink" Target="https://doi.org/10.1002/anie.2958917" TargetMode="External"/><Relationship Id="rId263" Type="http://schemas.openxmlformats.org/officeDocument/2006/relationships/hyperlink" Target="https://advanced.onlinelibrary.wiley.com/doi/10.1002/aenm.71494?af=R" TargetMode="External"/><Relationship Id="rId264" Type="http://schemas.openxmlformats.org/officeDocument/2006/relationships/hyperlink" Target="https://doi.org/10.1002/aenm.71494" TargetMode="External"/><Relationship Id="rId265" Type="http://schemas.openxmlformats.org/officeDocument/2006/relationships/hyperlink" Target="https://advanced.onlinelibrary.wiley.com/doi/10.1002/adma.74744?af=R" TargetMode="External"/><Relationship Id="rId266" Type="http://schemas.openxmlformats.org/officeDocument/2006/relationships/hyperlink" Target="https://doi.org/10.1002/adma.74744" TargetMode="External"/><Relationship Id="rId267" Type="http://schemas.openxmlformats.org/officeDocument/2006/relationships/hyperlink" Target="https://onlinelibrary.wiley.com/doi/10.1002/anie.9300778?af=R" TargetMode="External"/><Relationship Id="rId268" Type="http://schemas.openxmlformats.org/officeDocument/2006/relationships/hyperlink" Target="https://doi.org/10.1002/anie.9300778" TargetMode="External"/><Relationship Id="rId269" Type="http://schemas.openxmlformats.org/officeDocument/2006/relationships/hyperlink" Target="https://onlinelibrary.wiley.com/doi/10.1002/anie.9339272?af=R" TargetMode="External"/><Relationship Id="rId270" Type="http://schemas.openxmlformats.org/officeDocument/2006/relationships/hyperlink" Target="https://doi.org/10.1002/anie.9339272" TargetMode="External"/><Relationship Id="rId271" Type="http://schemas.openxmlformats.org/officeDocument/2006/relationships/hyperlink" Target="https://www.nature.com/articles/s41565-026-02260-8" TargetMode="External"/><Relationship Id="rId272" Type="http://schemas.openxmlformats.org/officeDocument/2006/relationships/hyperlink" Target="https://doi.org/10.1038/s41565-026-02260-8" TargetMode="External"/><Relationship Id="rId273" Type="http://schemas.openxmlformats.org/officeDocument/2006/relationships/hyperlink" Target="https://academic.oup.com/nsr/advance-article/doi/10.1093/nsr/nwag533/8769436?rss=1" TargetMode="External"/><Relationship Id="rId274" Type="http://schemas.openxmlformats.org/officeDocument/2006/relationships/hyperlink" Target="https://doi.org/10.1093/nsr/nwag533" TargetMode="External"/><Relationship Id="rId275" Type="http://schemas.openxmlformats.org/officeDocument/2006/relationships/hyperlink" Target="https://www.nature.com/articles/s41565-026-02261-7" TargetMode="External"/><Relationship Id="rId276" Type="http://schemas.openxmlformats.org/officeDocument/2006/relationships/hyperlink" Target="https://doi.org/10.1038/s41565-026-02261-7" TargetMode="External"/><Relationship Id="rId277" Type="http://schemas.openxmlformats.org/officeDocument/2006/relationships/hyperlink" Target="https://pubs.acs.org/aamick/article/doi/10.1021/acsami.6c10234/5298476/Multifunctional-Double-Network-Hydrogel" TargetMode="External"/><Relationship Id="rId278" Type="http://schemas.openxmlformats.org/officeDocument/2006/relationships/hyperlink" Target="https://doi.org/10.1021/acsami.6c10234" TargetMode="External"/><Relationship Id="rId279" Type="http://schemas.openxmlformats.org/officeDocument/2006/relationships/hyperlink" Target="https://advanced.onlinelibrary.wiley.com/doi/10.1002/aenm.71484?af=R" TargetMode="External"/><Relationship Id="rId280" Type="http://schemas.openxmlformats.org/officeDocument/2006/relationships/hyperlink" Target="https://doi.org/10.1002/aenm.71484" TargetMode="External"/><Relationship Id="rId281" Type="http://schemas.openxmlformats.org/officeDocument/2006/relationships/hyperlink" Target="https://onlinelibrary.wiley.com/doi/10.1002/anie.7674442?af=R" TargetMode="External"/><Relationship Id="rId282" Type="http://schemas.openxmlformats.org/officeDocument/2006/relationships/hyperlink" Target="https://doi.org/10.1002/anie.7674442" TargetMode="External"/><Relationship Id="rId283" Type="http://schemas.openxmlformats.org/officeDocument/2006/relationships/hyperlink" Target="https://onlinelibrary.wiley.com/doi/10.1002/anie.9170775?af=R" TargetMode="External"/><Relationship Id="rId284" Type="http://schemas.openxmlformats.org/officeDocument/2006/relationships/hyperlink" Target="https://doi.org/10.1002/anie.9170775" TargetMode="External"/><Relationship Id="rId285" Type="http://schemas.openxmlformats.org/officeDocument/2006/relationships/hyperlink" Target="https://onlinelibrary.wiley.com/doi/10.1002/anie.4525727?af=R" TargetMode="External"/><Relationship Id="rId286" Type="http://schemas.openxmlformats.org/officeDocument/2006/relationships/hyperlink" Target="https://doi.org/10.1002/anie.4525727" TargetMode="External"/><Relationship Id="rId287" Type="http://schemas.openxmlformats.org/officeDocument/2006/relationships/hyperlink" Target="https://advanced.onlinelibrary.wiley.com/doi/10.1002/adma.74803?af=R" TargetMode="External"/><Relationship Id="rId288" Type="http://schemas.openxmlformats.org/officeDocument/2006/relationships/hyperlink" Target="https://doi.org/10.1002/adma.74803" TargetMode="External"/><Relationship Id="rId289" Type="http://schemas.openxmlformats.org/officeDocument/2006/relationships/hyperlink" Target="https://www.science.org/doi/abs/10.1126/sciadv.aee3092?af=R" TargetMode="External"/><Relationship Id="rId290" Type="http://schemas.openxmlformats.org/officeDocument/2006/relationships/hyperlink" Target="https://doi.org/10.1126/sciadv.aee3092" TargetMode="External"/><Relationship Id="rId291" Type="http://schemas.openxmlformats.org/officeDocument/2006/relationships/hyperlink" Target="https://www.science.org/doi/abs/10.1126/sciadv.aeg3509?af=R" TargetMode="External"/><Relationship Id="rId292" Type="http://schemas.openxmlformats.org/officeDocument/2006/relationships/hyperlink" Target="https://doi.org/10.1126/sciadv.aeg3509" TargetMode="External"/><Relationship Id="rId293" Type="http://schemas.openxmlformats.org/officeDocument/2006/relationships/hyperlink" Target="https://www.science.org/doi/abs/10.1126/science.aeb5274?af=R" TargetMode="External"/><Relationship Id="rId294" Type="http://schemas.openxmlformats.org/officeDocument/2006/relationships/hyperlink" Target="https://doi.org/10.1126/science.aeb5274" TargetMode="External"/><Relationship Id="rId295" Type="http://schemas.openxmlformats.org/officeDocument/2006/relationships/hyperlink" Target="https://www.sciencedirect.com/science/article/pii/S0306261926013413?dgcid=rss_sd_all" TargetMode="External"/><Relationship Id="rId296" Type="http://schemas.openxmlformats.org/officeDocument/2006/relationships/hyperlink" Target="https://doi.org/10.1016/j.apenergy.2026.128685" TargetMode="External"/><Relationship Id="rId297" Type="http://schemas.openxmlformats.org/officeDocument/2006/relationships/hyperlink" Target="https://www.nature.com/articles/s41467-026-76794-9" TargetMode="External"/><Relationship Id="rId298" Type="http://schemas.openxmlformats.org/officeDocument/2006/relationships/hyperlink" Target="https://www.sciencedirect.com/science/article/pii/S0306261926013243?dgcid=rss_sd_all" TargetMode="External"/><Relationship Id="rId299" Type="http://schemas.openxmlformats.org/officeDocument/2006/relationships/hyperlink" Target="https://doi.org/10.1016/j.apenergy.2026.128668" TargetMode="External"/><Relationship Id="rId300" Type="http://schemas.openxmlformats.org/officeDocument/2006/relationships/hyperlink" Target="https://pubs.acs.org/aamick/article/doi/10.1021/acsami.6c09132/5282785/Asymmetric-Dual-Responsive-Switch-Based-Janus" TargetMode="External"/><Relationship Id="rId301" Type="http://schemas.openxmlformats.org/officeDocument/2006/relationships/hyperlink" Target="https://doi.org/10.1021/acsami.6c09132" TargetMode="External"/><Relationship Id="rId302" Type="http://schemas.openxmlformats.org/officeDocument/2006/relationships/hyperlink" Target="https://pubs.acs.org/aamick/article/doi/10.1021/acsami.6c11755/5278559/Metasurface-Based-Multifunctional-Optically" TargetMode="External"/><Relationship Id="rId303" Type="http://schemas.openxmlformats.org/officeDocument/2006/relationships/hyperlink" Target="https://doi.org/10.1021/acsami.6c11755" TargetMode="External"/><Relationship Id="rId304" Type="http://schemas.openxmlformats.org/officeDocument/2006/relationships/hyperlink" Target="https://advanced.onlinelibrary.wiley.com/doi/10.1002/adma.74748?af=R" TargetMode="External"/><Relationship Id="rId305" Type="http://schemas.openxmlformats.org/officeDocument/2006/relationships/hyperlink" Target="https://doi.org/10.1002/adma.74748" TargetMode="External"/><Relationship Id="rId306" Type="http://schemas.openxmlformats.org/officeDocument/2006/relationships/hyperlink" Target="https://www.science.org/doi/abs/10.1126/sciadv.aeh5460?af=R" TargetMode="External"/><Relationship Id="rId307" Type="http://schemas.openxmlformats.org/officeDocument/2006/relationships/hyperlink" Target="https://doi.org/10.1126/sciadv.aeh5460" TargetMode="External"/><Relationship Id="rId308" Type="http://schemas.openxmlformats.org/officeDocument/2006/relationships/hyperlink" Target="https://www.science.org/doi/abs/10.1126/sciadv.aeg3586?af=R" TargetMode="External"/><Relationship Id="rId309" Type="http://schemas.openxmlformats.org/officeDocument/2006/relationships/hyperlink" Target="https://doi.org/10.1126/sciadv.aeg3586" TargetMode="External"/><Relationship Id="rId310" Type="http://schemas.openxmlformats.org/officeDocument/2006/relationships/hyperlink" Target="https://www.science.org/doi/abs/10.1126/sciadv.aeh9096?af=R" TargetMode="External"/><Relationship Id="rId311" Type="http://schemas.openxmlformats.org/officeDocument/2006/relationships/hyperlink" Target="https://doi.org/10.1126/sciadv.aeh9096" TargetMode="External"/><Relationship Id="rId312" Type="http://schemas.openxmlformats.org/officeDocument/2006/relationships/hyperlink" Target="https://academic.oup.com/nsr/advance-article/doi/10.1093/nsr/nwag503/8768582?rss=1" TargetMode="External"/><Relationship Id="rId313" Type="http://schemas.openxmlformats.org/officeDocument/2006/relationships/hyperlink" Target="https://doi.org/10.1093/nsr/nwag503" TargetMode="External"/><Relationship Id="rId314" Type="http://schemas.openxmlformats.org/officeDocument/2006/relationships/hyperlink" Target="https://advanced.onlinelibrary.wiley.com/doi/10.1002/aenm.71495?af=R" TargetMode="External"/><Relationship Id="rId315" Type="http://schemas.openxmlformats.org/officeDocument/2006/relationships/hyperlink" Target="https://doi.org/10.1002/aenm.71495" TargetMode="External"/><Relationship Id="rId316" Type="http://schemas.openxmlformats.org/officeDocument/2006/relationships/hyperlink" Target="http://link.aps.org/doi/10.1103/2f5l-scbv" TargetMode="External"/><Relationship Id="rId317" Type="http://schemas.openxmlformats.org/officeDocument/2006/relationships/hyperlink" Target="https://doi.org/10.1103/2f5l-scbv" TargetMode="External"/><Relationship Id="rId318" Type="http://schemas.openxmlformats.org/officeDocument/2006/relationships/hyperlink" Target="https://www.nature.com/articles/s41467-026-77120-z" TargetMode="External"/><Relationship Id="rId319" Type="http://schemas.openxmlformats.org/officeDocument/2006/relationships/hyperlink" Target="https://onlinelibrary.wiley.com/doi/10.1002/anie.5314674?af=R" TargetMode="External"/><Relationship Id="rId320" Type="http://schemas.openxmlformats.org/officeDocument/2006/relationships/hyperlink" Target="https://doi.org/10.1002/anie.5314674" TargetMode="External"/><Relationship Id="rId321" Type="http://schemas.openxmlformats.org/officeDocument/2006/relationships/hyperlink" Target="https://pubs.acs.org/jacsat/article/doi/10.1021/jacs.6c12938/5286148/Rapid-Low-Cost-Low-Temperature-Pyrazole-Flux" TargetMode="External"/><Relationship Id="rId322" Type="http://schemas.openxmlformats.org/officeDocument/2006/relationships/hyperlink" Target="https://doi.org/10.1021/jacs.6c12938" TargetMode="External"/><Relationship Id="rId323" Type="http://schemas.openxmlformats.org/officeDocument/2006/relationships/hyperlink" Target="https://iopscience.iop.org/article/10.1088/1741-4326/ae977d" TargetMode="External"/><Relationship Id="rId324" Type="http://schemas.openxmlformats.org/officeDocument/2006/relationships/hyperlink" Target="https://doi.org/10.1088/1741-4326/ae977d" TargetMode="External"/><Relationship Id="rId325" Type="http://schemas.openxmlformats.org/officeDocument/2006/relationships/hyperlink" Target="https://iopscience.iop.org/article/10.1088/1741-4326/ae96c1" TargetMode="External"/><Relationship Id="rId326" Type="http://schemas.openxmlformats.org/officeDocument/2006/relationships/hyperlink" Target="https://doi.org/10.1088/1741-4326/ae96c1" TargetMode="External"/><Relationship Id="rId327" Type="http://schemas.openxmlformats.org/officeDocument/2006/relationships/hyperlink" Target="https://iopscience.iop.org/article/10.1088/1741-4326/ae9535" TargetMode="External"/><Relationship Id="rId328" Type="http://schemas.openxmlformats.org/officeDocument/2006/relationships/hyperlink" Target="https://doi.org/10.1088/1741-4326/ae9535" TargetMode="External"/><Relationship Id="rId329" Type="http://schemas.openxmlformats.org/officeDocument/2006/relationships/hyperlink" Target="https://www.nature.com/articles/d41586-026-02620-3" TargetMode="External"/><Relationship Id="rId330" Type="http://schemas.openxmlformats.org/officeDocument/2006/relationships/hyperlink" Target="https://doi.org/10.1038/d41586-026-02620-3" TargetMode="External"/><Relationship Id="rId331" Type="http://schemas.openxmlformats.org/officeDocument/2006/relationships/hyperlink" Target="http://link.aps.org/doi/10.1103/w4z5-wbc2" TargetMode="External"/><Relationship Id="rId332" Type="http://schemas.openxmlformats.org/officeDocument/2006/relationships/hyperlink" Target="https://doi.org/10.1103/w4z5-wbc2" TargetMode="External"/><Relationship Id="rId333" Type="http://schemas.openxmlformats.org/officeDocument/2006/relationships/hyperlink" Target="https://iopscience.iop.org/article/10.1088/1741-4326/ae9490" TargetMode="External"/><Relationship Id="rId334" Type="http://schemas.openxmlformats.org/officeDocument/2006/relationships/hyperlink" Target="https://doi.org/10.1088/1741-4326/ae9490" TargetMode="External"/><Relationship Id="rId335" Type="http://schemas.openxmlformats.org/officeDocument/2006/relationships/hyperlink" Target="https://iopscience.iop.org/article/10.1088/1741-4326/ae9626" TargetMode="External"/><Relationship Id="rId336" Type="http://schemas.openxmlformats.org/officeDocument/2006/relationships/hyperlink" Target="https://doi.org/10.1088/1741-4326/ae9626" TargetMode="External"/><Relationship Id="rId337" Type="http://schemas.openxmlformats.org/officeDocument/2006/relationships/hyperlink" Target="https://iopscience.iop.org/article/10.1088/1741-4326/ae96c6" TargetMode="External"/><Relationship Id="rId338" Type="http://schemas.openxmlformats.org/officeDocument/2006/relationships/hyperlink" Target="https://doi.org/10.1088/1741-4326/ae96c6" TargetMode="External"/><Relationship Id="rId339" Type="http://schemas.openxmlformats.org/officeDocument/2006/relationships/hyperlink" Target="https://iopscience.iop.org/article/10.1088/1741-4326/ae977e" TargetMode="External"/><Relationship Id="rId340" Type="http://schemas.openxmlformats.org/officeDocument/2006/relationships/hyperlink" Target="https://doi.org/10.1088/1741-4326/ae977e" TargetMode="External"/><Relationship Id="rId341" Type="http://schemas.openxmlformats.org/officeDocument/2006/relationships/hyperlink" Target="https://iopscience.iop.org/article/10.1088/1741-4326/ae97f4" TargetMode="External"/><Relationship Id="rId342" Type="http://schemas.openxmlformats.org/officeDocument/2006/relationships/hyperlink" Target="https://doi.org/10.1088/1741-4326/ae97f4" TargetMode="External"/><Relationship Id="rId343" Type="http://schemas.openxmlformats.org/officeDocument/2006/relationships/hyperlink" Target="https://iopscience.iop.org/article/10.1088/1741-4326/ae97f5" TargetMode="External"/><Relationship Id="rId344" Type="http://schemas.openxmlformats.org/officeDocument/2006/relationships/hyperlink" Target="https://doi.org/10.1088/1741-4326/ae97f5" TargetMode="External"/><Relationship Id="rId345" Type="http://schemas.openxmlformats.org/officeDocument/2006/relationships/hyperlink" Target="http://link.aps.org/doi/10.1103/1kzf-4n8n" TargetMode="External"/><Relationship Id="rId346" Type="http://schemas.openxmlformats.org/officeDocument/2006/relationships/hyperlink" Target="https://doi.org/10.1103/1kzf-4n8n" TargetMode="External"/><Relationship Id="rId347" Type="http://schemas.openxmlformats.org/officeDocument/2006/relationships/hyperlink" Target="https://iopscience.iop.org/article/10.1088/1741-4326/ae948e" TargetMode="External"/><Relationship Id="rId348" Type="http://schemas.openxmlformats.org/officeDocument/2006/relationships/hyperlink" Target="https://doi.org/10.1088/1741-4326/ae948e" TargetMode="External"/><Relationship Id="rId349" Type="http://schemas.openxmlformats.org/officeDocument/2006/relationships/hyperlink" Target="https://iopscience.iop.org/article/10.1088/1741-4326/ae93db" TargetMode="External"/><Relationship Id="rId350" Type="http://schemas.openxmlformats.org/officeDocument/2006/relationships/hyperlink" Target="https://doi.org/10.1088/1741-4326/ae93db" TargetMode="External"/><Relationship Id="rId351" Type="http://schemas.openxmlformats.org/officeDocument/2006/relationships/hyperlink" Target="https://iopscience.iop.org/article/10.1088/1741-4326/ae7e08" TargetMode="External"/><Relationship Id="rId352" Type="http://schemas.openxmlformats.org/officeDocument/2006/relationships/hyperlink" Target="https://doi.org/10.1088/1741-4326/ae7e08" TargetMode="External"/><Relationship Id="rId353" Type="http://schemas.openxmlformats.org/officeDocument/2006/relationships/hyperlink" Target="https://www.nature.com/articles/d41586-026-02513-5" TargetMode="External"/><Relationship Id="rId354" Type="http://schemas.openxmlformats.org/officeDocument/2006/relationships/hyperlink" Target="https://doi.org/10.1038/d41586-026-02513-5" TargetMode="External"/><Relationship Id="rId355" Type="http://schemas.openxmlformats.org/officeDocument/2006/relationships/hyperlink" Target="https://www.nature.com/articles/d41586-026-02505-5" TargetMode="External"/><Relationship Id="rId356" Type="http://schemas.openxmlformats.org/officeDocument/2006/relationships/hyperlink" Target="https://doi.org/10.1038/d41586-026-02505-5" TargetMode="External"/><Relationship Id="rId357" Type="http://schemas.openxmlformats.org/officeDocument/2006/relationships/hyperlink" Target="https://www.nature.com/articles/d41586-026-02511-7" TargetMode="External"/><Relationship Id="rId358" Type="http://schemas.openxmlformats.org/officeDocument/2006/relationships/hyperlink" Target="https://doi.org/10.1038/d41586-026-02511-7" TargetMode="External"/><Relationship Id="rId359" Type="http://schemas.openxmlformats.org/officeDocument/2006/relationships/hyperlink" Target="https://www.nature.com/articles/d41586-026-02507-3" TargetMode="External"/><Relationship Id="rId360" Type="http://schemas.openxmlformats.org/officeDocument/2006/relationships/hyperlink" Target="https://doi.org/10.1038/d41586-026-02507-3" TargetMode="External"/><Relationship Id="rId361" Type="http://schemas.openxmlformats.org/officeDocument/2006/relationships/hyperlink" Target="https://www.nature.com/articles/d41586-026-02508-2" TargetMode="External"/><Relationship Id="rId362" Type="http://schemas.openxmlformats.org/officeDocument/2006/relationships/hyperlink" Target="https://doi.org/10.1038/d41586-026-02508-2" TargetMode="External"/><Relationship Id="rId363" Type="http://schemas.openxmlformats.org/officeDocument/2006/relationships/hyperlink" Target="https://www.nature.com/articles/d41586-026-02509-1" TargetMode="External"/><Relationship Id="rId364" Type="http://schemas.openxmlformats.org/officeDocument/2006/relationships/hyperlink" Target="https://doi.org/10.1038/d41586-026-02509-1" TargetMode="External"/><Relationship Id="rId365" Type="http://schemas.openxmlformats.org/officeDocument/2006/relationships/hyperlink" Target="https://www.nature.com/articles/d41586-026-02514-4" TargetMode="External"/><Relationship Id="rId366" Type="http://schemas.openxmlformats.org/officeDocument/2006/relationships/hyperlink" Target="https://doi.org/10.1038/d41586-026-02514-4" TargetMode="External"/><Relationship Id="rId367" Type="http://schemas.openxmlformats.org/officeDocument/2006/relationships/hyperlink" Target="https://www.nature.com/articles/d41586-026-02512-6" TargetMode="External"/><Relationship Id="rId368" Type="http://schemas.openxmlformats.org/officeDocument/2006/relationships/hyperlink" Target="https://doi.org/10.1038/d41586-026-02512-6" TargetMode="External"/><Relationship Id="rId369" Type="http://schemas.openxmlformats.org/officeDocument/2006/relationships/hyperlink" Target="https://www.nature.com/articles/d41586-026-02510-8" TargetMode="External"/><Relationship Id="rId370" Type="http://schemas.openxmlformats.org/officeDocument/2006/relationships/hyperlink" Target="https://doi.org/10.1038/d41586-026-02510-8" TargetMode="External"/><Relationship Id="rId371" Type="http://schemas.openxmlformats.org/officeDocument/2006/relationships/hyperlink" Target="https://www.nature.com/articles/d41586-026-02506-4" TargetMode="External"/><Relationship Id="rId372" Type="http://schemas.openxmlformats.org/officeDocument/2006/relationships/hyperlink" Target="https://doi.org/10.1038/d41586-026-02506-4" TargetMode="External"/><Relationship Id="rId373" Type="http://schemas.openxmlformats.org/officeDocument/2006/relationships/hyperlink" Target="http://link.aps.org/doi/10.1103/nd2j-tpnh" TargetMode="External"/><Relationship Id="rId374" Type="http://schemas.openxmlformats.org/officeDocument/2006/relationships/hyperlink" Target="https://doi.org/10.1103/nd2j-tpnh" TargetMode="External"/><Relationship Id="rId375" Type="http://schemas.openxmlformats.org/officeDocument/2006/relationships/hyperlink" Target="https://www.sciencedirect.com/science/article/pii/S0306261926013383?dgcid=rss_sd_all" TargetMode="External"/><Relationship Id="rId376" Type="http://schemas.openxmlformats.org/officeDocument/2006/relationships/hyperlink" Target="https://doi.org/10.1016/j.apenergy.2026.128682" TargetMode="External"/><Relationship Id="rId377" Type="http://schemas.openxmlformats.org/officeDocument/2006/relationships/hyperlink" Target="https://pubs.acs.org/aamick/article/doi/10.1021/acsami.6c09731/5283941/Rational-Design-of-Bifunctional-CoS2-MoS2" TargetMode="External"/><Relationship Id="rId378" Type="http://schemas.openxmlformats.org/officeDocument/2006/relationships/hyperlink" Target="https://doi.org/10.1021/acsami.6c09731" TargetMode="External"/><Relationship Id="rId379" Type="http://schemas.openxmlformats.org/officeDocument/2006/relationships/hyperlink" Target="https://www.nature.com/articles/s41467-026-76887-5" TargetMode="External"/><Relationship Id="rId380" Type="http://schemas.openxmlformats.org/officeDocument/2006/relationships/hyperlink" Target="https://www.nature.com/articles/s41467-026-76919-0" TargetMode="External"/><Relationship Id="rId381" Type="http://schemas.openxmlformats.org/officeDocument/2006/relationships/hyperlink" Target="https://www.nature.com/articles/s41467-026-77011-3" TargetMode="External"/><Relationship Id="rId382" Type="http://schemas.openxmlformats.org/officeDocument/2006/relationships/hyperlink" Target="https://pubs.acs.org/jacsat/article/doi/10.1021/jacs.6c12661/5285159/Geometry-Dependent-Electronic-Structure-for" TargetMode="External"/><Relationship Id="rId383" Type="http://schemas.openxmlformats.org/officeDocument/2006/relationships/hyperlink" Target="https://doi.org/10.1021/jacs.6c12661" TargetMode="External"/><Relationship Id="rId384" Type="http://schemas.openxmlformats.org/officeDocument/2006/relationships/hyperlink" Target="https://www.nature.com/articles/s41467-026-76996-1" TargetMode="External"/><Relationship Id="rId385" Type="http://schemas.openxmlformats.org/officeDocument/2006/relationships/hyperlink" Target="https://www.sciencedirect.com/science/article/pii/S0306261926013280?dgcid=rss_sd_all" TargetMode="External"/><Relationship Id="rId386" Type="http://schemas.openxmlformats.org/officeDocument/2006/relationships/hyperlink" Target="https://doi.org/10.1016/j.apenergy.2026.128672" TargetMode="External"/><Relationship Id="rId387" Type="http://schemas.openxmlformats.org/officeDocument/2006/relationships/hyperlink" Target="https://www.sciencedirect.com/science/article/pii/S0306261926013425?dgcid=rss_sd_all" TargetMode="External"/><Relationship Id="rId388" Type="http://schemas.openxmlformats.org/officeDocument/2006/relationships/hyperlink" Target="https://doi.org/10.1016/j.apenergy.2026.128686" TargetMode="External"/><Relationship Id="rId389" Type="http://schemas.openxmlformats.org/officeDocument/2006/relationships/hyperlink" Target="https://advanced.onlinelibrary.wiley.com/doi/10.1002/adma.74720?af=R" TargetMode="External"/><Relationship Id="rId390" Type="http://schemas.openxmlformats.org/officeDocument/2006/relationships/hyperlink" Target="https://doi.org/10.1002/adma.74720" TargetMode="External"/><Relationship Id="rId391" Type="http://schemas.openxmlformats.org/officeDocument/2006/relationships/hyperlink" Target="https://advanced.onlinelibrary.wiley.com/doi/10.1002/adma.74763?af=R" TargetMode="External"/><Relationship Id="rId392" Type="http://schemas.openxmlformats.org/officeDocument/2006/relationships/hyperlink" Target="https://doi.org/10.1002/adma.74763" TargetMode="External"/><Relationship Id="rId393" Type="http://schemas.openxmlformats.org/officeDocument/2006/relationships/hyperlink" Target="https://www.sciencedirect.com/science/article/pii/S0306261926013358?dgcid=rss_sd_all" TargetMode="External"/><Relationship Id="rId394" Type="http://schemas.openxmlformats.org/officeDocument/2006/relationships/hyperlink" Target="https://doi.org/10.1016/j.apenergy.2026.128679" TargetMode="External"/><Relationship Id="rId395" Type="http://schemas.openxmlformats.org/officeDocument/2006/relationships/hyperlink" Target="https://pubs.acs.org/jacsat/article/doi/10.1021/jacs.6c12145/5292953/Main-Group-Potassium-Assisted-Dual-Site-Relay" TargetMode="External"/><Relationship Id="rId396" Type="http://schemas.openxmlformats.org/officeDocument/2006/relationships/hyperlink" Target="https://doi.org/10.1021/jacs.6c12145" TargetMode="External"/><Relationship Id="rId397" Type="http://schemas.openxmlformats.org/officeDocument/2006/relationships/hyperlink" Target="https://pubs.acs.org/jacsat/article/doi/10.1021/jacs.6c12366/5293225/Lattice-Nitrogen-Mediated-Electrochemical-Nitrate" TargetMode="External"/><Relationship Id="rId398" Type="http://schemas.openxmlformats.org/officeDocument/2006/relationships/hyperlink" Target="https://doi.org/10.1021/jacs.6c12366" TargetMode="External"/><Relationship Id="rId399" Type="http://schemas.openxmlformats.org/officeDocument/2006/relationships/hyperlink" Target="https://advanced.onlinelibrary.wiley.com/doi/10.1002/adma.74778?af=R" TargetMode="External"/><Relationship Id="rId400" Type="http://schemas.openxmlformats.org/officeDocument/2006/relationships/hyperlink" Target="https://doi.org/10.1002/adma.74778" TargetMode="External"/><Relationship Id="rId401" Type="http://schemas.openxmlformats.org/officeDocument/2006/relationships/hyperlink" Target="https://onlinelibrary.wiley.com/doi/10.1002/anie.5589616?af=R" TargetMode="External"/><Relationship Id="rId402" Type="http://schemas.openxmlformats.org/officeDocument/2006/relationships/hyperlink" Target="https://doi.org/10.1002/anie.5589616" TargetMode="External"/><Relationship Id="rId403" Type="http://schemas.openxmlformats.org/officeDocument/2006/relationships/hyperlink" Target="https://advanced.onlinelibrary.wiley.com/doi/10.1002/aenm.71479?af=R" TargetMode="External"/><Relationship Id="rId404" Type="http://schemas.openxmlformats.org/officeDocument/2006/relationships/hyperlink" Target="https://doi.org/10.1002/aenm.71479" TargetMode="External"/><Relationship Id="rId405" Type="http://schemas.openxmlformats.org/officeDocument/2006/relationships/hyperlink" Target="https://onlinelibrary.wiley.com/doi/10.1002/anie.3766558?af=R" TargetMode="External"/><Relationship Id="rId406" Type="http://schemas.openxmlformats.org/officeDocument/2006/relationships/hyperlink" Target="https://doi.org/10.1002/anie.3766558" TargetMode="External"/><Relationship Id="rId407" Type="http://schemas.openxmlformats.org/officeDocument/2006/relationships/hyperlink" Target="https://pubs.acs.org/aamick/article/doi/10.1021/acsami.6c10037/5288536/Boosted-Alkaline-Oxygen-Evolution-Reaction-via" TargetMode="External"/><Relationship Id="rId408" Type="http://schemas.openxmlformats.org/officeDocument/2006/relationships/hyperlink" Target="https://doi.org/10.1021/acsami.6c10037" TargetMode="External"/><Relationship Id="rId409" Type="http://schemas.openxmlformats.org/officeDocument/2006/relationships/hyperlink" Target="https://advanced.onlinelibrary.wiley.com/doi/10.1002/aenm.71493?af=R" TargetMode="External"/><Relationship Id="rId410" Type="http://schemas.openxmlformats.org/officeDocument/2006/relationships/hyperlink" Target="https://doi.org/10.1002/aenm.71493" TargetMode="External"/><Relationship Id="rId411" Type="http://schemas.openxmlformats.org/officeDocument/2006/relationships/hyperlink" Target="https://advanced.onlinelibrary.wiley.com/doi/10.1002/adma.74777?af=R" TargetMode="External"/><Relationship Id="rId412" Type="http://schemas.openxmlformats.org/officeDocument/2006/relationships/hyperlink" Target="https://doi.org/10.1002/adma.74777" TargetMode="External"/><Relationship Id="rId413" Type="http://schemas.openxmlformats.org/officeDocument/2006/relationships/hyperlink" Target="https://academic.oup.com/nsr/advance-article/doi/10.1093/nsr/nwag535/8770399?rss=1" TargetMode="External"/><Relationship Id="rId414" Type="http://schemas.openxmlformats.org/officeDocument/2006/relationships/hyperlink" Target="https://doi.org/10.1093/nsr/nwag535" TargetMode="External"/><Relationship Id="rId415" Type="http://schemas.openxmlformats.org/officeDocument/2006/relationships/hyperlink" Target="https://www.cell.com/joule/fulltext/S2542-4351(26)00323-5?rss=yes" TargetMode="External"/><Relationship Id="rId416" Type="http://schemas.openxmlformats.org/officeDocument/2006/relationships/hyperlink" Target="https://doi.org/10.1016/j.joule.2026.102639" TargetMode="External"/><Relationship Id="rId417" Type="http://schemas.openxmlformats.org/officeDocument/2006/relationships/hyperlink" Target="https://www.nature.com/articles/s41557-026-02218-2" TargetMode="External"/><Relationship Id="rId418" Type="http://schemas.openxmlformats.org/officeDocument/2006/relationships/hyperlink" Target="https://doi.org/10.1038/s41557-026-02218-2" TargetMode="External"/><Relationship Id="rId419" Type="http://schemas.openxmlformats.org/officeDocument/2006/relationships/hyperlink" Target="https://advanced.onlinelibrary.wiley.com/doi/10.1002/aenm.71510?af=R" TargetMode="External"/><Relationship Id="rId420" Type="http://schemas.openxmlformats.org/officeDocument/2006/relationships/hyperlink" Target="https://doi.org/10.1002/aenm.71510" TargetMode="External"/><Relationship Id="rId421" Type="http://schemas.openxmlformats.org/officeDocument/2006/relationships/hyperlink" Target="https://advanced.onlinelibrary.wiley.com/doi/10.1002/aenm.71507?af=R" TargetMode="External"/><Relationship Id="rId422" Type="http://schemas.openxmlformats.org/officeDocument/2006/relationships/hyperlink" Target="https://doi.org/10.1002/aenm.71507" TargetMode="External"/><Relationship Id="rId423" Type="http://schemas.openxmlformats.org/officeDocument/2006/relationships/hyperlink" Target="https://onlinelibrary.wiley.com/doi/10.1002/anie.3163680?af=R" TargetMode="External"/><Relationship Id="rId424" Type="http://schemas.openxmlformats.org/officeDocument/2006/relationships/hyperlink" Target="https://doi.org/10.1002/anie.3163680" TargetMode="External"/><Relationship Id="rId425" Type="http://schemas.openxmlformats.org/officeDocument/2006/relationships/hyperlink" Target="https://onlinelibrary.wiley.com/doi/10.1002/anie.3154221?af=R" TargetMode="External"/><Relationship Id="rId426" Type="http://schemas.openxmlformats.org/officeDocument/2006/relationships/hyperlink" Target="https://doi.org/10.1002/anie.3154221" TargetMode="External"/><Relationship Id="rId427" Type="http://schemas.openxmlformats.org/officeDocument/2006/relationships/hyperlink" Target="https://advanced.onlinelibrary.wiley.com/doi/10.1002/aenm.71431?af=R" TargetMode="External"/><Relationship Id="rId428" Type="http://schemas.openxmlformats.org/officeDocument/2006/relationships/hyperlink" Target="https://doi.org/10.1002/aenm.71431" TargetMode="External"/><Relationship Id="rId429" Type="http://schemas.openxmlformats.org/officeDocument/2006/relationships/hyperlink" Target="https://advanced.onlinelibrary.wiley.com/doi/10.1002/aenm.71346?af=R" TargetMode="External"/><Relationship Id="rId430" Type="http://schemas.openxmlformats.org/officeDocument/2006/relationships/hyperlink" Target="https://doi.org/10.1002/aenm.71346" TargetMode="External"/><Relationship Id="rId431" Type="http://schemas.openxmlformats.org/officeDocument/2006/relationships/hyperlink" Target="https://www.science.org/doi/abs/10.1126/sciadv.aee7783?af=R" TargetMode="External"/><Relationship Id="rId432" Type="http://schemas.openxmlformats.org/officeDocument/2006/relationships/hyperlink" Target="https://doi.org/10.1126/sciadv.aee7783" TargetMode="External"/><Relationship Id="rId433" Type="http://schemas.openxmlformats.org/officeDocument/2006/relationships/hyperlink" Target="https://onlinelibrary.wiley.com/doi/10.1002/anie.1338385?af=R" TargetMode="External"/><Relationship Id="rId434" Type="http://schemas.openxmlformats.org/officeDocument/2006/relationships/hyperlink" Target="https://doi.org/10.1002/anie.1338385" TargetMode="External"/><Relationship Id="rId435" Type="http://schemas.openxmlformats.org/officeDocument/2006/relationships/hyperlink" Target="https://onlinelibrary.wiley.com/doi/10.1002/anie.1230832?af=R" TargetMode="External"/><Relationship Id="rId436" Type="http://schemas.openxmlformats.org/officeDocument/2006/relationships/hyperlink" Target="https://doi.org/10.1002/anie.1230832" TargetMode="External"/><Relationship Id="rId437" Type="http://schemas.openxmlformats.org/officeDocument/2006/relationships/hyperlink" Target="https://onlinelibrary.wiley.com/doi/10.1002/anie.9685756?af=R" TargetMode="External"/><Relationship Id="rId438" Type="http://schemas.openxmlformats.org/officeDocument/2006/relationships/hyperlink" Target="https://doi.org/10.1002/anie.9685756" TargetMode="External"/><Relationship Id="rId439" Type="http://schemas.openxmlformats.org/officeDocument/2006/relationships/hyperlink" Target="https://advanced.onlinelibrary.wiley.com/doi/10.1002/adma.74833?af=R" TargetMode="External"/><Relationship Id="rId440" Type="http://schemas.openxmlformats.org/officeDocument/2006/relationships/hyperlink" Target="https://doi.org/10.1002/adma.74833" TargetMode="External"/><Relationship Id="rId441" Type="http://schemas.openxmlformats.org/officeDocument/2006/relationships/hyperlink" Target="https://onlinelibrary.wiley.com/doi/10.1002/anie.9159016?af=R" TargetMode="External"/><Relationship Id="rId442" Type="http://schemas.openxmlformats.org/officeDocument/2006/relationships/hyperlink" Target="https://doi.org/10.1002/anie.9159016" TargetMode="External"/><Relationship Id="rId443" Type="http://schemas.openxmlformats.org/officeDocument/2006/relationships/hyperlink" Target="https://onlinelibrary.wiley.com/doi/10.1002/anie.6395554?af=R" TargetMode="External"/><Relationship Id="rId444" Type="http://schemas.openxmlformats.org/officeDocument/2006/relationships/hyperlink" Target="https://doi.org/10.1002/anie.6395554" TargetMode="External"/><Relationship Id="rId445" Type="http://schemas.openxmlformats.org/officeDocument/2006/relationships/hyperlink" Target="https://www.sciencedirect.com/science/article/pii/S0306261926013395?dgcid=rss_sd_all" TargetMode="External"/><Relationship Id="rId446" Type="http://schemas.openxmlformats.org/officeDocument/2006/relationships/hyperlink" Target="https://doi.org/10.1016/j.apenergy.2026.128683" TargetMode="External"/><Relationship Id="rId447" Type="http://schemas.openxmlformats.org/officeDocument/2006/relationships/hyperlink" Target="https://www.sciencedirect.com/science/article/pii/S0306261926013607?dgcid=rss_sd_all" TargetMode="External"/><Relationship Id="rId448" Type="http://schemas.openxmlformats.org/officeDocument/2006/relationships/hyperlink" Target="https://doi.org/10.1016/j.apenergy.2026.128704" TargetMode="External"/><Relationship Id="rId449" Type="http://schemas.openxmlformats.org/officeDocument/2006/relationships/hyperlink" Target="https://www.sciencedirect.com/science/article/pii/S0306261926013504?dgcid=rss_sd_all" TargetMode="External"/><Relationship Id="rId450" Type="http://schemas.openxmlformats.org/officeDocument/2006/relationships/hyperlink" Target="https://doi.org/10.1016/j.apenergy.2026.128694" TargetMode="External"/><Relationship Id="rId451" Type="http://schemas.openxmlformats.org/officeDocument/2006/relationships/hyperlink" Target="https://www.nature.com/articles/s41467-026-76916-3" TargetMode="External"/><Relationship Id="rId452" Type="http://schemas.openxmlformats.org/officeDocument/2006/relationships/hyperlink" Target="https://www.sciencedirect.com/science/article/pii/S030626192601175X?dgcid=rss_sd_all" TargetMode="External"/><Relationship Id="rId453" Type="http://schemas.openxmlformats.org/officeDocument/2006/relationships/hyperlink" Target="https://doi.org/10.1016/j.apenergy.2026.128519" TargetMode="External"/><Relationship Id="rId454" Type="http://schemas.openxmlformats.org/officeDocument/2006/relationships/hyperlink" Target="https://www.sciencedirect.com/science/article/pii/S0306261926013498?dgcid=rss_sd_all" TargetMode="External"/><Relationship Id="rId455" Type="http://schemas.openxmlformats.org/officeDocument/2006/relationships/hyperlink" Target="https://doi.org/10.1016/j.apenergy.2026.128693" TargetMode="External"/><Relationship Id="rId456" Type="http://schemas.openxmlformats.org/officeDocument/2006/relationships/hyperlink" Target="https://www.nature.com/articles/s41467-026-77158-z" TargetMode="External"/><Relationship Id="rId457" Type="http://schemas.openxmlformats.org/officeDocument/2006/relationships/hyperlink" Target="https://onlinelibrary.wiley.com/doi/10.1002/anie.9125401?af=R" TargetMode="External"/><Relationship Id="rId458" Type="http://schemas.openxmlformats.org/officeDocument/2006/relationships/hyperlink" Target="https://doi.org/10.1002/anie.9125401" TargetMode="External"/><Relationship Id="rId459" Type="http://schemas.openxmlformats.org/officeDocument/2006/relationships/hyperlink" Target="https://advanced.onlinelibrary.wiley.com/doi/10.1002/aenm.71448?af=R" TargetMode="External"/><Relationship Id="rId460" Type="http://schemas.openxmlformats.org/officeDocument/2006/relationships/hyperlink" Target="https://doi.org/10.1002/aenm.71448" TargetMode="External"/><Relationship Id="rId461" Type="http://schemas.openxmlformats.org/officeDocument/2006/relationships/hyperlink" Target="https://academic.oup.com/nsr/advance-article/doi/10.1093/nsr/nwag536/8770397?rss=1" TargetMode="External"/><Relationship Id="rId462" Type="http://schemas.openxmlformats.org/officeDocument/2006/relationships/hyperlink" Target="https://doi.org/10.1093/nsr/nwag536" TargetMode="External"/><Relationship Id="rId463" Type="http://schemas.openxmlformats.org/officeDocument/2006/relationships/hyperlink" Target="https://www.sciencedirect.com/science/article/pii/S030626192601367X?dgcid=rss_sd_all" TargetMode="External"/><Relationship Id="rId464" Type="http://schemas.openxmlformats.org/officeDocument/2006/relationships/hyperlink" Target="https://doi.org/10.1016/j.apenergy.2026.128711" TargetMode="External"/><Relationship Id="rId465" Type="http://schemas.openxmlformats.org/officeDocument/2006/relationships/hyperlink" Target="https://www.pnas.org/doi/abs/10.1073/pnas.2626533123?mi=eymic2&amp;af=R&amp;access=on&amp;content=articlesChapters&amp;publication=pnas&amp;sortBy=Earliest&amp;target=default" TargetMode="External"/><Relationship Id="rId466" Type="http://schemas.openxmlformats.org/officeDocument/2006/relationships/hyperlink" Target="https://doi.org/10.1073/pnas.2626533123" TargetMode="External"/><Relationship Id="rId467" Type="http://schemas.openxmlformats.org/officeDocument/2006/relationships/hyperlink" Target="https://advanced.onlinelibrary.wiley.com/doi/10.1002/adma.74805?af=R" TargetMode="External"/><Relationship Id="rId468" Type="http://schemas.openxmlformats.org/officeDocument/2006/relationships/hyperlink" Target="https://doi.org/10.1002/adma.74805" TargetMode="External"/><Relationship Id="rId469" Type="http://schemas.openxmlformats.org/officeDocument/2006/relationships/hyperlink" Target="https://www.nature.com/articles/s41467-026-77159-y" TargetMode="External"/><Relationship Id="rId470" Type="http://schemas.openxmlformats.org/officeDocument/2006/relationships/hyperlink" Target="https://www.nature.com/articles/s41467-026-77206-8" TargetMode="External"/><Relationship Id="rId471" Type="http://schemas.openxmlformats.org/officeDocument/2006/relationships/hyperlink" Target="https://www.science.org/doi/abs/10.1126/science.aef0464?af=R" TargetMode="External"/><Relationship Id="rId472" Type="http://schemas.openxmlformats.org/officeDocument/2006/relationships/hyperlink" Target="https://doi.org/10.1126/science.aef0464" TargetMode="External"/><Relationship Id="rId473" Type="http://schemas.openxmlformats.org/officeDocument/2006/relationships/hyperlink" Target="https://www.science.org/doi/abs/10.1126/science.aej2018?af=R" TargetMode="External"/><Relationship Id="rId474" Type="http://schemas.openxmlformats.org/officeDocument/2006/relationships/hyperlink" Target="https://doi.org/10.1126/science.aej2018" TargetMode="External"/><Relationship Id="rId475" Type="http://schemas.openxmlformats.org/officeDocument/2006/relationships/hyperlink" Target="https://www.sciencedirect.com/science/article/pii/S0306261926010822?dgcid=rss_sd_all" TargetMode="External"/><Relationship Id="rId476" Type="http://schemas.openxmlformats.org/officeDocument/2006/relationships/hyperlink" Target="https://doi.org/10.1016/j.apenergy.2026.128428" TargetMode="External"/><Relationship Id="rId477" Type="http://schemas.openxmlformats.org/officeDocument/2006/relationships/hyperlink" Target="https://www.nature.com/articles/s41467-026-77025-x" TargetMode="External"/><Relationship Id="rId478" Type="http://schemas.openxmlformats.org/officeDocument/2006/relationships/hyperlink" Target="https://pubs.acs.org/jacsat/article/doi/10.1021/jacs.6c11709/5286147/Efficient-Photocatalytic-CO2-Reduction-under-a" TargetMode="External"/><Relationship Id="rId479" Type="http://schemas.openxmlformats.org/officeDocument/2006/relationships/hyperlink" Target="https://doi.org/10.1021/jacs.6c11709" TargetMode="External"/><Relationship Id="rId480" Type="http://schemas.openxmlformats.org/officeDocument/2006/relationships/hyperlink" Target="https://pubs.acs.org/jacsat/article/doi/10.1021/jacs.6c13315/5285047/Self-Sustained-Hydrogen-Relay-Enables" TargetMode="External"/><Relationship Id="rId481" Type="http://schemas.openxmlformats.org/officeDocument/2006/relationships/hyperlink" Target="https://doi.org/10.1021/jacs.6c13315" TargetMode="External"/><Relationship Id="rId482" Type="http://schemas.openxmlformats.org/officeDocument/2006/relationships/hyperlink" Target="https://advanced.onlinelibrary.wiley.com/doi/10.1002/adma.74746?af=R" TargetMode="External"/><Relationship Id="rId483" Type="http://schemas.openxmlformats.org/officeDocument/2006/relationships/hyperlink" Target="https://doi.org/10.1002/adma.74746" TargetMode="External"/><Relationship Id="rId484" Type="http://schemas.openxmlformats.org/officeDocument/2006/relationships/hyperlink" Target="https://onlinelibrary.wiley.com/doi/10.1002/anie.3026199?af=R" TargetMode="External"/><Relationship Id="rId485" Type="http://schemas.openxmlformats.org/officeDocument/2006/relationships/hyperlink" Target="https://doi.org/10.1002/anie.3026199" TargetMode="External"/><Relationship Id="rId486" Type="http://schemas.openxmlformats.org/officeDocument/2006/relationships/hyperlink" Target="https://onlinelibrary.wiley.com/doi/10.1002/anie.6182003?af=R" TargetMode="External"/><Relationship Id="rId487" Type="http://schemas.openxmlformats.org/officeDocument/2006/relationships/hyperlink" Target="https://doi.org/10.1002/anie.6182003" TargetMode="External"/><Relationship Id="rId488" Type="http://schemas.openxmlformats.org/officeDocument/2006/relationships/hyperlink" Target="https://advanced.onlinelibrary.wiley.com/doi/10.1002/aenm.71509?af=R" TargetMode="External"/><Relationship Id="rId489" Type="http://schemas.openxmlformats.org/officeDocument/2006/relationships/hyperlink" Target="https://doi.org/10.1002/aenm.71509" TargetMode="External"/><Relationship Id="rId490" Type="http://schemas.openxmlformats.org/officeDocument/2006/relationships/hyperlink" Target="https://advanced.onlinelibrary.wiley.com/doi/10.1002/adma.74747?af=R" TargetMode="External"/><Relationship Id="rId491" Type="http://schemas.openxmlformats.org/officeDocument/2006/relationships/hyperlink" Target="https://doi.org/10.1002/adma.74747" TargetMode="External"/><Relationship Id="rId492" Type="http://schemas.openxmlformats.org/officeDocument/2006/relationships/hyperlink" Target="https://advanced.onlinelibrary.wiley.com/doi/10.1002/adma.74773?af=R" TargetMode="External"/><Relationship Id="rId493" Type="http://schemas.openxmlformats.org/officeDocument/2006/relationships/hyperlink" Target="https://doi.org/10.1002/adma.74773" TargetMode="External"/><Relationship Id="rId494" Type="http://schemas.openxmlformats.org/officeDocument/2006/relationships/hyperlink" Target="https://onlinelibrary.wiley.com/doi/10.1002/anie.9521232?af=R" TargetMode="External"/><Relationship Id="rId495" Type="http://schemas.openxmlformats.org/officeDocument/2006/relationships/hyperlink" Target="https://doi.org/10.1002/anie.9521232" TargetMode="External"/><Relationship Id="rId496" Type="http://schemas.openxmlformats.org/officeDocument/2006/relationships/hyperlink" Target="https://onlinelibrary.wiley.com/doi/10.1002/anie.2887110?af=R" TargetMode="External"/><Relationship Id="rId497" Type="http://schemas.openxmlformats.org/officeDocument/2006/relationships/hyperlink" Target="https://doi.org/10.1002/anie.2887110" TargetMode="External"/><Relationship Id="rId498" Type="http://schemas.openxmlformats.org/officeDocument/2006/relationships/hyperlink" Target="https://academic.oup.com/nsr/advance-article/doi/10.1093/nsr/nwag532/8769434?rss=1" TargetMode="External"/><Relationship Id="rId499" Type="http://schemas.openxmlformats.org/officeDocument/2006/relationships/hyperlink" Target="https://doi.org/10.1093/nsr/nwag532" TargetMode="External"/><Relationship Id="rId500" Type="http://schemas.openxmlformats.org/officeDocument/2006/relationships/hyperlink" Target="https://onlinelibrary.wiley.com/doi/10.1002/anie.4090353?af=R" TargetMode="External"/><Relationship Id="rId501" Type="http://schemas.openxmlformats.org/officeDocument/2006/relationships/hyperlink" Target="https://doi.org/10.1002/anie.4090353" TargetMode="External"/><Relationship Id="rId502" Type="http://schemas.openxmlformats.org/officeDocument/2006/relationships/hyperlink" Target="https://www.nature.com/articles/s41893-026-01922-8" TargetMode="External"/><Relationship Id="rId503" Type="http://schemas.openxmlformats.org/officeDocument/2006/relationships/hyperlink" Target="https://doi.org/10.1038/s41893-026-01922-8" TargetMode="External"/><Relationship Id="rId504" Type="http://schemas.openxmlformats.org/officeDocument/2006/relationships/hyperlink" Target="https://www.cell.com/joule/fulltext/S2542-4351(26)00324-7?rss=yes" TargetMode="External"/><Relationship Id="rId505" Type="http://schemas.openxmlformats.org/officeDocument/2006/relationships/hyperlink" Target="https://doi.org/10.1016/j.joule.2026.102640" TargetMode="External"/><Relationship Id="rId506" Type="http://schemas.openxmlformats.org/officeDocument/2006/relationships/hyperlink" Target="https://www.nature.com/articles/s41586-026-10936-3" TargetMode="External"/><Relationship Id="rId507" Type="http://schemas.openxmlformats.org/officeDocument/2006/relationships/hyperlink" Target="https://doi.org/10.1038/s41586-026-10936-3" TargetMode="External"/><Relationship Id="rId508" Type="http://schemas.openxmlformats.org/officeDocument/2006/relationships/hyperlink" Target="https://www.science.org/doi/abs/10.1126/sciadv.aee6185?af=R" TargetMode="External"/><Relationship Id="rId509" Type="http://schemas.openxmlformats.org/officeDocument/2006/relationships/hyperlink" Target="https://doi.org/10.1126/sciadv.aee6185" TargetMode="External"/><Relationship Id="rId510" Type="http://schemas.openxmlformats.org/officeDocument/2006/relationships/hyperlink" Target="https://www.science.org/doi/abs/10.1126/sciadv.aee6105?af=R" TargetMode="External"/><Relationship Id="rId511" Type="http://schemas.openxmlformats.org/officeDocument/2006/relationships/hyperlink" Target="https://doi.org/10.1126/sciadv.aee6105" TargetMode="External"/><Relationship Id="rId512" Type="http://schemas.openxmlformats.org/officeDocument/2006/relationships/hyperlink" Target="https://onlinelibrary.wiley.com/doi/10.1002/anie.7864662?af=R" TargetMode="External"/><Relationship Id="rId513" Type="http://schemas.openxmlformats.org/officeDocument/2006/relationships/hyperlink" Target="https://doi.org/10.1002/anie.7864662" TargetMode="External"/><Relationship Id="rId514" Type="http://schemas.openxmlformats.org/officeDocument/2006/relationships/hyperlink" Target="https://www.science.org/doi/abs/10.1126/science.aek5038?af=R" TargetMode="External"/><Relationship Id="rId515" Type="http://schemas.openxmlformats.org/officeDocument/2006/relationships/hyperlink" Target="https://doi.org/10.1126/science.aek5038" TargetMode="External"/><Relationship Id="rId516" Type="http://schemas.openxmlformats.org/officeDocument/2006/relationships/hyperlink" Target="https://www.nature.com/articles/s41467-026-77075-1" TargetMode="External"/><Relationship Id="rId517" Type="http://schemas.openxmlformats.org/officeDocument/2006/relationships/hyperlink" Target="https://advanced.onlinelibrary.wiley.com/doi/10.1002/adma.74752?af=R" TargetMode="External"/><Relationship Id="rId518" Type="http://schemas.openxmlformats.org/officeDocument/2006/relationships/hyperlink" Target="https://doi.org/10.1002/adma.74752" TargetMode="External"/><Relationship Id="rId519" Type="http://schemas.openxmlformats.org/officeDocument/2006/relationships/hyperlink" Target="https://onlinelibrary.wiley.com/doi/10.1002/anie.4183926?af=R" TargetMode="External"/><Relationship Id="rId520" Type="http://schemas.openxmlformats.org/officeDocument/2006/relationships/hyperlink" Target="https://doi.org/10.1002/anie.4183926" TargetMode="External"/><Relationship Id="rId521" Type="http://schemas.openxmlformats.org/officeDocument/2006/relationships/hyperlink" Target="https://onlinelibrary.wiley.com/doi/10.1002/anie.6101292?af=R" TargetMode="External"/><Relationship Id="rId522" Type="http://schemas.openxmlformats.org/officeDocument/2006/relationships/hyperlink" Target="https://doi.org/10.1002/anie.6101292" TargetMode="External"/><Relationship Id="rId523" Type="http://schemas.openxmlformats.org/officeDocument/2006/relationships/hyperlink" Target="https://onlinelibrary.wiley.com/doi/10.1002/anie.2844693?af=R" TargetMode="External"/><Relationship Id="rId524" Type="http://schemas.openxmlformats.org/officeDocument/2006/relationships/hyperlink" Target="https://doi.org/10.1002/anie.2844693" TargetMode="External"/><Relationship Id="rId525" Type="http://schemas.openxmlformats.org/officeDocument/2006/relationships/hyperlink" Target="https://onlinelibrary.wiley.com/doi/10.1002/anie.9332776?af=R" TargetMode="External"/><Relationship Id="rId526" Type="http://schemas.openxmlformats.org/officeDocument/2006/relationships/hyperlink" Target="https://doi.org/10.1002/anie.9332776" TargetMode="External"/><Relationship Id="rId527" Type="http://schemas.openxmlformats.org/officeDocument/2006/relationships/hyperlink" Target="https://www.sciencedirect.com/science/article/pii/S0301421526004830?dgcid=rss_sd_all" TargetMode="External"/><Relationship Id="rId528" Type="http://schemas.openxmlformats.org/officeDocument/2006/relationships/hyperlink" Target="https://doi.org/10.1016/j.enpol.2026.115549" TargetMode="External"/><Relationship Id="rId529" Type="http://schemas.openxmlformats.org/officeDocument/2006/relationships/hyperlink" Target="https://www.nature.com/articles/d41586-026-02566-6" TargetMode="External"/><Relationship Id="rId530" Type="http://schemas.openxmlformats.org/officeDocument/2006/relationships/hyperlink" Target="https://doi.org/10.1038/d41586-026-02566-6" TargetMode="External"/><Relationship Id="rId531" Type="http://schemas.openxmlformats.org/officeDocument/2006/relationships/hyperlink" Target="https://www.nature.com/articles/d41586-026-02352-4" TargetMode="External"/><Relationship Id="rId532" Type="http://schemas.openxmlformats.org/officeDocument/2006/relationships/hyperlink" Target="https://doi.org/10.1038/d41586-026-02352-4" TargetMode="External"/><Relationship Id="rId533" Type="http://schemas.openxmlformats.org/officeDocument/2006/relationships/hyperlink" Target="https://www.nature.com/articles/d41586-026-02626-x" TargetMode="External"/><Relationship Id="rId534" Type="http://schemas.openxmlformats.org/officeDocument/2006/relationships/hyperlink" Target="https://doi.org/10.1038/d41586-026-02626-x" TargetMode="External"/><Relationship Id="rId535" Type="http://schemas.openxmlformats.org/officeDocument/2006/relationships/hyperlink" Target="https://www.nature.com/articles/d41586-026-02596-0" TargetMode="External"/><Relationship Id="rId536" Type="http://schemas.openxmlformats.org/officeDocument/2006/relationships/hyperlink" Target="https://doi.org/10.1038/d41586-026-02596-0" TargetMode="External"/><Relationship Id="rId537" Type="http://schemas.openxmlformats.org/officeDocument/2006/relationships/hyperlink" Target="https://academic.oup.com/nsr/advance-article/doi/10.1093/nsr/nwag505/8767815?rss=1" TargetMode="External"/><Relationship Id="rId538" Type="http://schemas.openxmlformats.org/officeDocument/2006/relationships/hyperlink" Target="https://doi.org/10.1093/nsr/nwag505" TargetMode="External"/><Relationship Id="rId539" Type="http://schemas.openxmlformats.org/officeDocument/2006/relationships/hyperlink" Target="https://pubs.acs.org/jacsat/article/doi/10.1021/jacs.6c10016/5282133/Biosynthesis-of-Crinipellin-Diterpenes-in-Mushroom" TargetMode="External"/><Relationship Id="rId540" Type="http://schemas.openxmlformats.org/officeDocument/2006/relationships/hyperlink" Target="https://doi.org/10.1021/jacs.6c10016" TargetMode="External"/><Relationship Id="rId541" Type="http://schemas.openxmlformats.org/officeDocument/2006/relationships/hyperlink" Target="https://pubs.acs.org/jacsat/article/doi/10.1021/jacs.6c08889/5281109/Superconducting-Hydride-Mg2RhH6-Experimentally" TargetMode="External"/><Relationship Id="rId542" Type="http://schemas.openxmlformats.org/officeDocument/2006/relationships/hyperlink" Target="https://doi.org/10.1021/jacs.6c08889" TargetMode="External"/><Relationship Id="rId543" Type="http://schemas.openxmlformats.org/officeDocument/2006/relationships/hyperlink" Target="https://pubs.acs.org/jacsat/article/doi/10.1021/jacs.6c12135/5283512/Intrinsic-Morphological-Chirality-Governs-Spin" TargetMode="External"/><Relationship Id="rId544" Type="http://schemas.openxmlformats.org/officeDocument/2006/relationships/hyperlink" Target="https://doi.org/10.1021/jacs.6c12135" TargetMode="External"/><Relationship Id="rId545" Type="http://schemas.openxmlformats.org/officeDocument/2006/relationships/hyperlink" Target="https://pubs.acs.org/jacsat/article/doi/10.1021/jacs.6c08848/5282465/Ground-State-Flavin-Dependent-Enzymatic-Catalysis" TargetMode="External"/><Relationship Id="rId546" Type="http://schemas.openxmlformats.org/officeDocument/2006/relationships/hyperlink" Target="https://doi.org/10.1021/jacs.6c08848" TargetMode="External"/><Relationship Id="rId547" Type="http://schemas.openxmlformats.org/officeDocument/2006/relationships/hyperlink" Target="https://pubs.acs.org/jacsat/article/doi/10.1021/jacs.6c11487/5283222/A-Repurposed-S-Adenosyl-l-Methionine-Synthetase" TargetMode="External"/><Relationship Id="rId548" Type="http://schemas.openxmlformats.org/officeDocument/2006/relationships/hyperlink" Target="https://doi.org/10.1021/jacs.6c11487" TargetMode="External"/><Relationship Id="rId549" Type="http://schemas.openxmlformats.org/officeDocument/2006/relationships/hyperlink" Target="https://www.sciencedirect.com/science/article/pii/S0306261926013267?dgcid=rss_sd_all" TargetMode="External"/><Relationship Id="rId550" Type="http://schemas.openxmlformats.org/officeDocument/2006/relationships/hyperlink" Target="https://doi.org/10.1016/j.apenergy.2026.128670" TargetMode="External"/><Relationship Id="rId551" Type="http://schemas.openxmlformats.org/officeDocument/2006/relationships/hyperlink" Target="https://www.sciencedirect.com/science/article/pii/S0306261926012353?dgcid=rss_sd_all" TargetMode="External"/><Relationship Id="rId552" Type="http://schemas.openxmlformats.org/officeDocument/2006/relationships/hyperlink" Target="https://doi.org/10.1016/j.apenergy.2026.128579" TargetMode="External"/><Relationship Id="rId553" Type="http://schemas.openxmlformats.org/officeDocument/2006/relationships/hyperlink" Target="https://pubs.acs.org/jacsat/article/doi/10.1021/jacs.6c11574/5282466/Proton-Coupled-Electron-Transfer-An-Overlooked" TargetMode="External"/><Relationship Id="rId554" Type="http://schemas.openxmlformats.org/officeDocument/2006/relationships/hyperlink" Target="https://doi.org/10.1021/jacs.6c11574" TargetMode="External"/><Relationship Id="rId555" Type="http://schemas.openxmlformats.org/officeDocument/2006/relationships/hyperlink" Target="https://pubs.acs.org/jacsat/article/doi/10.1021/jacs.6c13908/5283429/Redox-Controlled-Access-to-Spin-States-from-S-0-to" TargetMode="External"/><Relationship Id="rId556" Type="http://schemas.openxmlformats.org/officeDocument/2006/relationships/hyperlink" Target="https://doi.org/10.1021/jacs.6c13908" TargetMode="External"/><Relationship Id="rId557" Type="http://schemas.openxmlformats.org/officeDocument/2006/relationships/hyperlink" Target="https://academic.oup.com/nsr/advance-article/doi/10.1093/nsr/nwag519/8767817?rss=1" TargetMode="External"/><Relationship Id="rId558" Type="http://schemas.openxmlformats.org/officeDocument/2006/relationships/hyperlink" Target="https://doi.org/10.1093/nsr/nwag519" TargetMode="External"/><Relationship Id="rId559" Type="http://schemas.openxmlformats.org/officeDocument/2006/relationships/hyperlink" Target="https://www.nature.com/articles/s41928-026-01697-y" TargetMode="External"/><Relationship Id="rId560" Type="http://schemas.openxmlformats.org/officeDocument/2006/relationships/hyperlink" Target="https://doi.org/10.1038/s41928-026-01697-y" TargetMode="External"/><Relationship Id="rId561" Type="http://schemas.openxmlformats.org/officeDocument/2006/relationships/hyperlink" Target="https://www.nature.com/articles/s41557-026-02230-6" TargetMode="External"/><Relationship Id="rId562" Type="http://schemas.openxmlformats.org/officeDocument/2006/relationships/hyperlink" Target="https://doi.org/10.1038/s41557-026-02230-6" TargetMode="External"/><Relationship Id="rId563" Type="http://schemas.openxmlformats.org/officeDocument/2006/relationships/hyperlink" Target="https://academic.oup.com/nsr/advance-article/doi/10.1093/nsr/nwag524/8767957?rss=1" TargetMode="External"/><Relationship Id="rId564" Type="http://schemas.openxmlformats.org/officeDocument/2006/relationships/hyperlink" Target="https://doi.org/10.1093/nsr/nwag524" TargetMode="External"/><Relationship Id="rId565" Type="http://schemas.openxmlformats.org/officeDocument/2006/relationships/hyperlink" Target="https://www.nature.com/articles/s41467-026-77014-0" TargetMode="External"/><Relationship Id="rId566" Type="http://schemas.openxmlformats.org/officeDocument/2006/relationships/hyperlink" Target="https://pubs.acs.org/aamick/article/doi/10.1021/acsami.6c11177/5288129/Interface-Symmetry-and-Electrostatic-Stabilization" TargetMode="External"/><Relationship Id="rId567" Type="http://schemas.openxmlformats.org/officeDocument/2006/relationships/hyperlink" Target="https://doi.org/10.1021/acsami.6c11177" TargetMode="External"/><Relationship Id="rId568" Type="http://schemas.openxmlformats.org/officeDocument/2006/relationships/hyperlink" Target="https://pubs.acs.org/aamick/article/doi/10.1021/acsami.6c09916/5287446/Ultrasmall-Cerium-EGCG-Nanoparticles-Ameliorate" TargetMode="External"/><Relationship Id="rId569" Type="http://schemas.openxmlformats.org/officeDocument/2006/relationships/hyperlink" Target="https://doi.org/10.1021/acsami.6c09916" TargetMode="External"/><Relationship Id="rId570" Type="http://schemas.openxmlformats.org/officeDocument/2006/relationships/hyperlink" Target="https://www.nature.com/articles/s41467-026-76908-3" TargetMode="External"/><Relationship Id="rId571" Type="http://schemas.openxmlformats.org/officeDocument/2006/relationships/hyperlink" Target="https://pubs.acs.org/jacsat/article/doi/10.1021/jacs.6c11233/5288059/Origin-of-Scission-Selectivity-for-Phosphoranyl" TargetMode="External"/><Relationship Id="rId572" Type="http://schemas.openxmlformats.org/officeDocument/2006/relationships/hyperlink" Target="https://doi.org/10.1021/jacs.6c11233" TargetMode="External"/><Relationship Id="rId573" Type="http://schemas.openxmlformats.org/officeDocument/2006/relationships/hyperlink" Target="https://pubs.acs.org/jacsat/article/doi/10.1021/jacs.6c09647/5285468/Surface-Enhanced-NMR-Spectroscopy-via-Solid-to" TargetMode="External"/><Relationship Id="rId574" Type="http://schemas.openxmlformats.org/officeDocument/2006/relationships/hyperlink" Target="https://doi.org/10.1021/jacs.6c09647" TargetMode="External"/><Relationship Id="rId575" Type="http://schemas.openxmlformats.org/officeDocument/2006/relationships/hyperlink" Target="https://pubs.acs.org/jacsat/article/doi/10.1021/jacs.6c13674/5284007/Photochemistry-Based-Development-of-Ionizable" TargetMode="External"/><Relationship Id="rId576" Type="http://schemas.openxmlformats.org/officeDocument/2006/relationships/hyperlink" Target="https://doi.org/10.1021/jacs.6c13674" TargetMode="External"/><Relationship Id="rId577" Type="http://schemas.openxmlformats.org/officeDocument/2006/relationships/hyperlink" Target="https://pubs.acs.org/jacsat/article/doi/10.1021/jacs.6c08192/5284015/Instantaneous-Detection-of-Quantum-Coherences-in" TargetMode="External"/><Relationship Id="rId578" Type="http://schemas.openxmlformats.org/officeDocument/2006/relationships/hyperlink" Target="https://doi.org/10.1021/jacs.6c08192" TargetMode="External"/><Relationship Id="rId579" Type="http://schemas.openxmlformats.org/officeDocument/2006/relationships/hyperlink" Target="https://www.sciencedirect.com/science/article/pii/S0306261926013218?dgcid=rss_sd_all" TargetMode="External"/><Relationship Id="rId580" Type="http://schemas.openxmlformats.org/officeDocument/2006/relationships/hyperlink" Target="https://doi.org/10.1016/j.apenergy.2026.128665" TargetMode="External"/><Relationship Id="rId581" Type="http://schemas.openxmlformats.org/officeDocument/2006/relationships/hyperlink" Target="https://pubs.acs.org/jacsat/article/doi/10.1021/jacs.6c12741/5287152/Kinetic-and-Thermodynamic-Control-of-Macrocyclic" TargetMode="External"/><Relationship Id="rId582" Type="http://schemas.openxmlformats.org/officeDocument/2006/relationships/hyperlink" Target="https://doi.org/10.1021/jacs.6c12741" TargetMode="External"/><Relationship Id="rId583" Type="http://schemas.openxmlformats.org/officeDocument/2006/relationships/hyperlink" Target="https://pubs.acs.org/jacsat/article/doi/10.1021/jacs.6c04594/5287194/Non-Faradaic-Promotion-of-Pd-Catalyzed" TargetMode="External"/><Relationship Id="rId584" Type="http://schemas.openxmlformats.org/officeDocument/2006/relationships/hyperlink" Target="https://doi.org/10.1021/jacs.6c04594" TargetMode="External"/><Relationship Id="rId585" Type="http://schemas.openxmlformats.org/officeDocument/2006/relationships/hyperlink" Target="https://pubs.acs.org/jacsat/article/doi/10.1021/jacs.6c10987/5285158/Proteoform-Resolved-Cross-Linking-Reveals" TargetMode="External"/><Relationship Id="rId586" Type="http://schemas.openxmlformats.org/officeDocument/2006/relationships/hyperlink" Target="https://doi.org/10.1021/jacs.6c10987" TargetMode="External"/><Relationship Id="rId587" Type="http://schemas.openxmlformats.org/officeDocument/2006/relationships/hyperlink" Target="https://pubs.acs.org/jacsat/article/doi/10.1021/jacs.6c13198/5286806/Proton-Relaying-in-Carbenium-Based-Oxygen" TargetMode="External"/><Relationship Id="rId588" Type="http://schemas.openxmlformats.org/officeDocument/2006/relationships/hyperlink" Target="https://doi.org/10.1021/jacs.6c13198" TargetMode="External"/><Relationship Id="rId589" Type="http://schemas.openxmlformats.org/officeDocument/2006/relationships/hyperlink" Target="https://www.nature.com/articles/s41467-026-76935-0" TargetMode="External"/><Relationship Id="rId590" Type="http://schemas.openxmlformats.org/officeDocument/2006/relationships/hyperlink" Target="https://www.nature.com/articles/s41467-026-76895-5" TargetMode="External"/><Relationship Id="rId591" Type="http://schemas.openxmlformats.org/officeDocument/2006/relationships/hyperlink" Target="https://www.nature.com/articles/s41467-026-76604-2" TargetMode="External"/><Relationship Id="rId592" Type="http://schemas.openxmlformats.org/officeDocument/2006/relationships/hyperlink" Target="https://www.nature.com/articles/s41467-026-77006-0" TargetMode="External"/><Relationship Id="rId593" Type="http://schemas.openxmlformats.org/officeDocument/2006/relationships/hyperlink" Target="https://academic.oup.com/nsr/advance-article/doi/10.1093/nsr/nwag509/8767816?rss=1" TargetMode="External"/><Relationship Id="rId594" Type="http://schemas.openxmlformats.org/officeDocument/2006/relationships/hyperlink" Target="https://doi.org/10.1093/nsr/nwag509" TargetMode="External"/><Relationship Id="rId595" Type="http://schemas.openxmlformats.org/officeDocument/2006/relationships/hyperlink" Target="https://www.nature.com/articles/s41467-026-76300-1" TargetMode="External"/><Relationship Id="rId596" Type="http://schemas.openxmlformats.org/officeDocument/2006/relationships/hyperlink" Target="https://www.nature.com/articles/s41467-026-76828-2" TargetMode="External"/><Relationship Id="rId597" Type="http://schemas.openxmlformats.org/officeDocument/2006/relationships/hyperlink" Target="https://www.nature.com/articles/s41467-026-76995-2" TargetMode="External"/><Relationship Id="rId598" Type="http://schemas.openxmlformats.org/officeDocument/2006/relationships/hyperlink" Target="https://www.nature.com/articles/s41467-026-77023-z" TargetMode="External"/><Relationship Id="rId599" Type="http://schemas.openxmlformats.org/officeDocument/2006/relationships/hyperlink" Target="https://www.nature.com/articles/s41467-026-77016-y" TargetMode="External"/><Relationship Id="rId600" Type="http://schemas.openxmlformats.org/officeDocument/2006/relationships/hyperlink" Target="https://www.nature.com/articles/s41467-026-76991-6" TargetMode="External"/><Relationship Id="rId601" Type="http://schemas.openxmlformats.org/officeDocument/2006/relationships/hyperlink" Target="https://www.nature.com/articles/s41467-026-76510-7" TargetMode="External"/><Relationship Id="rId602" Type="http://schemas.openxmlformats.org/officeDocument/2006/relationships/hyperlink" Target="https://www.nature.com/articles/s41467-026-76823-7" TargetMode="External"/><Relationship Id="rId603" Type="http://schemas.openxmlformats.org/officeDocument/2006/relationships/hyperlink" Target="https://www.nature.com/articles/s41467-026-76801-z" TargetMode="External"/><Relationship Id="rId604" Type="http://schemas.openxmlformats.org/officeDocument/2006/relationships/hyperlink" Target="https://www.nature.com/articles/s41467-026-77087-x" TargetMode="External"/><Relationship Id="rId605" Type="http://schemas.openxmlformats.org/officeDocument/2006/relationships/hyperlink" Target="https://www.nature.com/articles/s41467-026-77084-0" TargetMode="External"/><Relationship Id="rId606" Type="http://schemas.openxmlformats.org/officeDocument/2006/relationships/hyperlink" Target="https://www.nature.com/articles/s41467-026-76969-4" TargetMode="External"/><Relationship Id="rId607" Type="http://schemas.openxmlformats.org/officeDocument/2006/relationships/hyperlink" Target="https://www.nature.com/articles/s41467-026-76981-8" TargetMode="External"/><Relationship Id="rId608" Type="http://schemas.openxmlformats.org/officeDocument/2006/relationships/hyperlink" Target="https://www.nature.com/articles/s41467-026-76922-5" TargetMode="External"/><Relationship Id="rId609" Type="http://schemas.openxmlformats.org/officeDocument/2006/relationships/hyperlink" Target="https://www.nature.com/articles/s41467-026-77065-3" TargetMode="External"/><Relationship Id="rId610" Type="http://schemas.openxmlformats.org/officeDocument/2006/relationships/hyperlink" Target="https://www.sciencedirect.com/science/article/pii/S0301421526004350?dgcid=rss_sd_all" TargetMode="External"/><Relationship Id="rId611" Type="http://schemas.openxmlformats.org/officeDocument/2006/relationships/hyperlink" Target="https://doi.org/10.1016/j.enpol.2026.115501" TargetMode="External"/><Relationship Id="rId612" Type="http://schemas.openxmlformats.org/officeDocument/2006/relationships/hyperlink" Target="https://pubs.acs.org/aamick/article/doi/10.1021/acsami.6c12010/5282814/Flexible-Non-Enzymatic-Glucose-Sensors-via" TargetMode="External"/><Relationship Id="rId613" Type="http://schemas.openxmlformats.org/officeDocument/2006/relationships/hyperlink" Target="https://doi.org/10.1021/acsami.6c12010" TargetMode="External"/><Relationship Id="rId614" Type="http://schemas.openxmlformats.org/officeDocument/2006/relationships/hyperlink" Target="https://www.sciencedirect.com/science/article/pii/S0301421526004817?dgcid=rss_sd_all" TargetMode="External"/><Relationship Id="rId615" Type="http://schemas.openxmlformats.org/officeDocument/2006/relationships/hyperlink" Target="https://doi.org/10.1016/j.enpol.2026.115547" TargetMode="External"/><Relationship Id="rId616" Type="http://schemas.openxmlformats.org/officeDocument/2006/relationships/hyperlink" Target="https://www.nature.com/articles/s41467-026-76814-8" TargetMode="External"/><Relationship Id="rId617" Type="http://schemas.openxmlformats.org/officeDocument/2006/relationships/hyperlink" Target="https://www.sciencedirect.com/science/article/pii/S0306261926013309?dgcid=rss_sd_all" TargetMode="External"/><Relationship Id="rId618" Type="http://schemas.openxmlformats.org/officeDocument/2006/relationships/hyperlink" Target="https://doi.org/10.1016/j.apenergy.2026.128674" TargetMode="External"/><Relationship Id="rId619" Type="http://schemas.openxmlformats.org/officeDocument/2006/relationships/hyperlink" Target="https://www.sciencedirect.com/science/article/pii/S0301421526004854?dgcid=rss_sd_all" TargetMode="External"/><Relationship Id="rId620" Type="http://schemas.openxmlformats.org/officeDocument/2006/relationships/hyperlink" Target="https://doi.org/10.1016/j.enpol.2026.115551" TargetMode="External"/><Relationship Id="rId621" Type="http://schemas.openxmlformats.org/officeDocument/2006/relationships/hyperlink" Target="https://www.sciencedirect.com/science/article/pii/S0301421526004842?dgcid=rss_sd_all" TargetMode="External"/><Relationship Id="rId622" Type="http://schemas.openxmlformats.org/officeDocument/2006/relationships/hyperlink" Target="https://doi.org/10.1016/j.enpol.2026.115550" TargetMode="External"/><Relationship Id="rId623" Type="http://schemas.openxmlformats.org/officeDocument/2006/relationships/hyperlink" Target="https://www.nature.com/articles/s41467-026-76955-w" TargetMode="External"/><Relationship Id="rId624" Type="http://schemas.openxmlformats.org/officeDocument/2006/relationships/hyperlink" Target="https://www.sciencedirect.com/science/article/pii/S0301421526004787?dgcid=rss_sd_all" TargetMode="External"/><Relationship Id="rId625" Type="http://schemas.openxmlformats.org/officeDocument/2006/relationships/hyperlink" Target="https://doi.org/10.1016/j.enpol.2026.115544" TargetMode="External"/><Relationship Id="rId626" Type="http://schemas.openxmlformats.org/officeDocument/2006/relationships/hyperlink" Target="https://www.nature.com/articles/s41565-026-02263-5" TargetMode="External"/><Relationship Id="rId627" Type="http://schemas.openxmlformats.org/officeDocument/2006/relationships/hyperlink" Target="https://doi.org/10.1038/s41565-026-02263-5" TargetMode="External"/><Relationship Id="rId628" Type="http://schemas.openxmlformats.org/officeDocument/2006/relationships/hyperlink" Target="https://www.nature.com/articles/s41893-026-01925-5" TargetMode="External"/><Relationship Id="rId629" Type="http://schemas.openxmlformats.org/officeDocument/2006/relationships/hyperlink" Target="https://doi.org/10.1038/s41893-026-01925-5" TargetMode="External"/><Relationship Id="rId630" Type="http://schemas.openxmlformats.org/officeDocument/2006/relationships/hyperlink" Target="https://www.cell.com/chem/fulltext/S2451-9294(26)00277-9?rss=yes" TargetMode="External"/><Relationship Id="rId631" Type="http://schemas.openxmlformats.org/officeDocument/2006/relationships/hyperlink" Target="https://doi.org/10.1016/j.chempr.2026.103211" TargetMode="External"/><Relationship Id="rId632" Type="http://schemas.openxmlformats.org/officeDocument/2006/relationships/hyperlink" Target="https://pubs.acs.org/aamick/article/doi/10.1021/acsami.6c09875/5278536/Enhancement-in-Charge-Trapping-Efficiency-for" TargetMode="External"/><Relationship Id="rId633" Type="http://schemas.openxmlformats.org/officeDocument/2006/relationships/hyperlink" Target="https://doi.org/10.1021/acsami.6c09875" TargetMode="External"/><Relationship Id="rId634" Type="http://schemas.openxmlformats.org/officeDocument/2006/relationships/hyperlink" Target="https://www.sciencedirect.com/science/article/pii/S0301421526004829?dgcid=rss_sd_all" TargetMode="External"/><Relationship Id="rId635" Type="http://schemas.openxmlformats.org/officeDocument/2006/relationships/hyperlink" Target="https://doi.org/10.1016/j.enpol.2026.115548" TargetMode="External"/><Relationship Id="rId636" Type="http://schemas.openxmlformats.org/officeDocument/2006/relationships/hyperlink" Target="https://www.nature.com/articles/s41467-026-76670-6" TargetMode="External"/><Relationship Id="rId637" Type="http://schemas.openxmlformats.org/officeDocument/2006/relationships/hyperlink" Target="https://www.nature.com/articles/s41467-026-76822-8" TargetMode="External"/><Relationship Id="rId638" Type="http://schemas.openxmlformats.org/officeDocument/2006/relationships/hyperlink" Target="https://www.nature.com/articles/s41467-026-76737-4" TargetMode="External"/><Relationship Id="rId639" Type="http://schemas.openxmlformats.org/officeDocument/2006/relationships/hyperlink" Target="https://www.nature.com/articles/s41467-026-76947-w" TargetMode="External"/><Relationship Id="rId640" Type="http://schemas.openxmlformats.org/officeDocument/2006/relationships/hyperlink" Target="https://www.nature.com/articles/s41467-026-76928-z" TargetMode="External"/><Relationship Id="rId641" Type="http://schemas.openxmlformats.org/officeDocument/2006/relationships/hyperlink" Target="https://www.nature.com/articles/s41467-026-77039-5" TargetMode="External"/><Relationship Id="rId642" Type="http://schemas.openxmlformats.org/officeDocument/2006/relationships/hyperlink" Target="https://www.nature.com/articles/s41467-026-76702-1" TargetMode="External"/><Relationship Id="rId643" Type="http://schemas.openxmlformats.org/officeDocument/2006/relationships/hyperlink" Target="https://www.sciencedirect.com/science/article/pii/S0306261926013401?dgcid=rss_sd_all" TargetMode="External"/><Relationship Id="rId644" Type="http://schemas.openxmlformats.org/officeDocument/2006/relationships/hyperlink" Target="https://doi.org/10.1016/j.apenergy.2026.128684" TargetMode="External"/><Relationship Id="rId645" Type="http://schemas.openxmlformats.org/officeDocument/2006/relationships/hyperlink" Target="https://www.nature.com/articles/s41467-026-76874-w" TargetMode="External"/><Relationship Id="rId646" Type="http://schemas.openxmlformats.org/officeDocument/2006/relationships/hyperlink" Target="https://www.nature.com/articles/s41467-026-76896-4" TargetMode="External"/><Relationship Id="rId647" Type="http://schemas.openxmlformats.org/officeDocument/2006/relationships/hyperlink" Target="https://www.sciencedirect.com/science/article/pii/S0306261926013541?dgcid=rss_sd_all" TargetMode="External"/><Relationship Id="rId648" Type="http://schemas.openxmlformats.org/officeDocument/2006/relationships/hyperlink" Target="https://doi.org/10.1016/j.apenergy.2026.128698" TargetMode="External"/><Relationship Id="rId649" Type="http://schemas.openxmlformats.org/officeDocument/2006/relationships/hyperlink" Target="https://www.sciencedirect.com/science/article/pii/S030626192601336X?dgcid=rss_sd_all" TargetMode="External"/><Relationship Id="rId650" Type="http://schemas.openxmlformats.org/officeDocument/2006/relationships/hyperlink" Target="https://doi.org/10.1016/j.apenergy.2026.128680" TargetMode="External"/><Relationship Id="rId651" Type="http://schemas.openxmlformats.org/officeDocument/2006/relationships/hyperlink" Target="https://www.nature.com/articles/s41467-026-76886-6" TargetMode="External"/><Relationship Id="rId652" Type="http://schemas.openxmlformats.org/officeDocument/2006/relationships/hyperlink" Target="https://www.nature.com/articles/s41467-026-77094-y" TargetMode="External"/><Relationship Id="rId653" Type="http://schemas.openxmlformats.org/officeDocument/2006/relationships/hyperlink" Target="https://www.nature.com/articles/s41467-026-76559-4" TargetMode="External"/><Relationship Id="rId654" Type="http://schemas.openxmlformats.org/officeDocument/2006/relationships/hyperlink" Target="https://www.nature.com/articles/s41467-026-76803-x" TargetMode="External"/><Relationship Id="rId655" Type="http://schemas.openxmlformats.org/officeDocument/2006/relationships/hyperlink" Target="https://www.nature.com/articles/s41467-026-76939-w" TargetMode="External"/><Relationship Id="rId656" Type="http://schemas.openxmlformats.org/officeDocument/2006/relationships/hyperlink" Target="https://www.nature.com/articles/s41467-026-76864-y" TargetMode="External"/><Relationship Id="rId657" Type="http://schemas.openxmlformats.org/officeDocument/2006/relationships/hyperlink" Target="https://www.nature.com/articles/s41467-026-76936-z" TargetMode="External"/><Relationship Id="rId658" Type="http://schemas.openxmlformats.org/officeDocument/2006/relationships/hyperlink" Target="https://www.nature.com/articles/s41467-026-76976-5" TargetMode="External"/><Relationship Id="rId659" Type="http://schemas.openxmlformats.org/officeDocument/2006/relationships/hyperlink" Target="https://www.nature.com/articles/s41467-026-76891-9" TargetMode="External"/><Relationship Id="rId660" Type="http://schemas.openxmlformats.org/officeDocument/2006/relationships/hyperlink" Target="https://advanced.onlinelibrary.wiley.com/doi/10.1002/adma.74731?af=R" TargetMode="External"/><Relationship Id="rId661" Type="http://schemas.openxmlformats.org/officeDocument/2006/relationships/hyperlink" Target="https://doi.org/10.1002/adma.74731" TargetMode="External"/><Relationship Id="rId662" Type="http://schemas.openxmlformats.org/officeDocument/2006/relationships/hyperlink" Target="https://advanced.onlinelibrary.wiley.com/doi/10.1002/adma.74739?af=R" TargetMode="External"/><Relationship Id="rId663" Type="http://schemas.openxmlformats.org/officeDocument/2006/relationships/hyperlink" Target="https://doi.org/10.1002/adma.74739" TargetMode="External"/><Relationship Id="rId664" Type="http://schemas.openxmlformats.org/officeDocument/2006/relationships/hyperlink" Target="https://advanced.onlinelibrary.wiley.com/doi/10.1002/adma.74743?af=R" TargetMode="External"/><Relationship Id="rId665" Type="http://schemas.openxmlformats.org/officeDocument/2006/relationships/hyperlink" Target="https://doi.org/10.1002/adma.74743" TargetMode="External"/><Relationship Id="rId666" Type="http://schemas.openxmlformats.org/officeDocument/2006/relationships/hyperlink" Target="https://advanced.onlinelibrary.wiley.com/doi/10.1002/adma.74754?af=R" TargetMode="External"/><Relationship Id="rId667" Type="http://schemas.openxmlformats.org/officeDocument/2006/relationships/hyperlink" Target="https://doi.org/10.1002/adma.74754" TargetMode="External"/><Relationship Id="rId668" Type="http://schemas.openxmlformats.org/officeDocument/2006/relationships/hyperlink" Target="https://advanced.onlinelibrary.wiley.com/doi/10.1002/adma.74726?af=R" TargetMode="External"/><Relationship Id="rId669" Type="http://schemas.openxmlformats.org/officeDocument/2006/relationships/hyperlink" Target="https://doi.org/10.1002/adma.74726" TargetMode="External"/><Relationship Id="rId670" Type="http://schemas.openxmlformats.org/officeDocument/2006/relationships/hyperlink" Target="https://www.pnas.org/doi/abs/10.1073/pnas.2602779123?mi=eymic2&amp;af=R&amp;access=on&amp;content=articlesChapters&amp;publication=pnas&amp;sortBy=Earliest&amp;target=default" TargetMode="External"/><Relationship Id="rId671" Type="http://schemas.openxmlformats.org/officeDocument/2006/relationships/hyperlink" Target="https://doi.org/10.1073/pnas.2602779123" TargetMode="External"/><Relationship Id="rId672" Type="http://schemas.openxmlformats.org/officeDocument/2006/relationships/hyperlink" Target="https://www.science.org/doi/abs/10.1126/sciadv.aed6417?af=R" TargetMode="External"/><Relationship Id="rId673" Type="http://schemas.openxmlformats.org/officeDocument/2006/relationships/hyperlink" Target="https://doi.org/10.1126/sciadv.aed6417" TargetMode="External"/><Relationship Id="rId674" Type="http://schemas.openxmlformats.org/officeDocument/2006/relationships/hyperlink" Target="https://www.science.org/doi/abs/10.1126/sciadv.aeh5537?af=R" TargetMode="External"/><Relationship Id="rId675" Type="http://schemas.openxmlformats.org/officeDocument/2006/relationships/hyperlink" Target="https://doi.org/10.1126/sciadv.aeh5537" TargetMode="External"/><Relationship Id="rId676" Type="http://schemas.openxmlformats.org/officeDocument/2006/relationships/hyperlink" Target="https://www.science.org/doi/abs/10.1126/sciadv.aef9320?af=R" TargetMode="External"/><Relationship Id="rId677" Type="http://schemas.openxmlformats.org/officeDocument/2006/relationships/hyperlink" Target="https://doi.org/10.1126/sciadv.aef9320" TargetMode="External"/><Relationship Id="rId678" Type="http://schemas.openxmlformats.org/officeDocument/2006/relationships/hyperlink" Target="https://www.science.org/doi/abs/10.1126/sciadv.adz6665?af=R" TargetMode="External"/><Relationship Id="rId679" Type="http://schemas.openxmlformats.org/officeDocument/2006/relationships/hyperlink" Target="https://doi.org/10.1126/sciadv.adz6665" TargetMode="External"/><Relationship Id="rId680" Type="http://schemas.openxmlformats.org/officeDocument/2006/relationships/hyperlink" Target="https://www.science.org/doi/abs/10.1126/sciadv.aei2400?af=R" TargetMode="External"/><Relationship Id="rId681" Type="http://schemas.openxmlformats.org/officeDocument/2006/relationships/hyperlink" Target="https://doi.org/10.1126/sciadv.aei2400" TargetMode="External"/><Relationship Id="rId682" Type="http://schemas.openxmlformats.org/officeDocument/2006/relationships/hyperlink" Target="https://www.science.org/doi/abs/10.1126/sciadv.aed3119?af=R" TargetMode="External"/><Relationship Id="rId683" Type="http://schemas.openxmlformats.org/officeDocument/2006/relationships/hyperlink" Target="https://doi.org/10.1126/sciadv.aed3119" TargetMode="External"/><Relationship Id="rId684" Type="http://schemas.openxmlformats.org/officeDocument/2006/relationships/hyperlink" Target="https://www.science.org/doi/abs/10.1126/sciadv.aec8746?af=R" TargetMode="External"/><Relationship Id="rId685" Type="http://schemas.openxmlformats.org/officeDocument/2006/relationships/hyperlink" Target="https://doi.org/10.1126/sciadv.aec8746" TargetMode="External"/><Relationship Id="rId686" Type="http://schemas.openxmlformats.org/officeDocument/2006/relationships/hyperlink" Target="https://www.science.org/doi/abs/10.1126/sciadv.aec4385?af=R" TargetMode="External"/><Relationship Id="rId687" Type="http://schemas.openxmlformats.org/officeDocument/2006/relationships/hyperlink" Target="https://doi.org/10.1126/sciadv.aec4385" TargetMode="External"/><Relationship Id="rId688" Type="http://schemas.openxmlformats.org/officeDocument/2006/relationships/hyperlink" Target="https://www.science.org/doi/abs/10.1126/sciadv.aea3748?af=R" TargetMode="External"/><Relationship Id="rId689" Type="http://schemas.openxmlformats.org/officeDocument/2006/relationships/hyperlink" Target="https://doi.org/10.1126/sciadv.aea3748" TargetMode="External"/><Relationship Id="rId690" Type="http://schemas.openxmlformats.org/officeDocument/2006/relationships/hyperlink" Target="https://www.science.org/doi/abs/10.1126/sciadv.aeb1346?af=R" TargetMode="External"/><Relationship Id="rId691" Type="http://schemas.openxmlformats.org/officeDocument/2006/relationships/hyperlink" Target="https://doi.org/10.1126/sciadv.aeb1346" TargetMode="External"/><Relationship Id="rId692" Type="http://schemas.openxmlformats.org/officeDocument/2006/relationships/hyperlink" Target="https://www.science.org/doi/abs/10.1126/sciadv.aeb8744?af=R" TargetMode="External"/><Relationship Id="rId693" Type="http://schemas.openxmlformats.org/officeDocument/2006/relationships/hyperlink" Target="https://doi.org/10.1126/sciadv.aeb8744" TargetMode="External"/><Relationship Id="rId694" Type="http://schemas.openxmlformats.org/officeDocument/2006/relationships/hyperlink" Target="https://www.science.org/doi/abs/10.1126/sciadv.aec0156?af=R" TargetMode="External"/><Relationship Id="rId695" Type="http://schemas.openxmlformats.org/officeDocument/2006/relationships/hyperlink" Target="https://doi.org/10.1126/sciadv.aec0156" TargetMode="External"/><Relationship Id="rId696" Type="http://schemas.openxmlformats.org/officeDocument/2006/relationships/hyperlink" Target="https://www.science.org/doi/abs/10.1126/sciadv.aec3893?af=R" TargetMode="External"/><Relationship Id="rId697" Type="http://schemas.openxmlformats.org/officeDocument/2006/relationships/hyperlink" Target="https://doi.org/10.1126/sciadv.aec3893" TargetMode="External"/><Relationship Id="rId698" Type="http://schemas.openxmlformats.org/officeDocument/2006/relationships/hyperlink" Target="https://www.science.org/doi/abs/10.1126/sciadv.aec5063?af=R" TargetMode="External"/><Relationship Id="rId699" Type="http://schemas.openxmlformats.org/officeDocument/2006/relationships/hyperlink" Target="https://doi.org/10.1126/sciadv.aec5063" TargetMode="External"/><Relationship Id="rId700" Type="http://schemas.openxmlformats.org/officeDocument/2006/relationships/hyperlink" Target="https://www.science.org/doi/abs/10.1126/sciadv.aec7066?af=R" TargetMode="External"/><Relationship Id="rId701" Type="http://schemas.openxmlformats.org/officeDocument/2006/relationships/hyperlink" Target="https://doi.org/10.1126/sciadv.aec7066" TargetMode="External"/><Relationship Id="rId702" Type="http://schemas.openxmlformats.org/officeDocument/2006/relationships/hyperlink" Target="https://www.science.org/doi/abs/10.1126/sciadv.aec8232?af=R" TargetMode="External"/><Relationship Id="rId703" Type="http://schemas.openxmlformats.org/officeDocument/2006/relationships/hyperlink" Target="https://doi.org/10.1126/sciadv.aec8232" TargetMode="External"/><Relationship Id="rId704" Type="http://schemas.openxmlformats.org/officeDocument/2006/relationships/hyperlink" Target="https://www.science.org/doi/abs/10.1126/sciadv.aee1634?af=R" TargetMode="External"/><Relationship Id="rId705" Type="http://schemas.openxmlformats.org/officeDocument/2006/relationships/hyperlink" Target="https://doi.org/10.1126/sciadv.aee1634" TargetMode="External"/><Relationship Id="rId706" Type="http://schemas.openxmlformats.org/officeDocument/2006/relationships/hyperlink" Target="https://www.science.org/doi/abs/10.1126/sciadv.aee4668?af=R" TargetMode="External"/><Relationship Id="rId707" Type="http://schemas.openxmlformats.org/officeDocument/2006/relationships/hyperlink" Target="https://doi.org/10.1126/sciadv.aee4668" TargetMode="External"/><Relationship Id="rId708" Type="http://schemas.openxmlformats.org/officeDocument/2006/relationships/hyperlink" Target="https://www.science.org/doi/abs/10.1126/sciadv.aed2521?af=R" TargetMode="External"/><Relationship Id="rId709" Type="http://schemas.openxmlformats.org/officeDocument/2006/relationships/hyperlink" Target="https://doi.org/10.1126/sciadv.aed2521" TargetMode="External"/><Relationship Id="rId710" Type="http://schemas.openxmlformats.org/officeDocument/2006/relationships/hyperlink" Target="https://www.science.org/doi/abs/10.1126/sciadv.aee8016?af=R" TargetMode="External"/><Relationship Id="rId711" Type="http://schemas.openxmlformats.org/officeDocument/2006/relationships/hyperlink" Target="https://doi.org/10.1126/sciadv.aee8016" TargetMode="External"/><Relationship Id="rId712" Type="http://schemas.openxmlformats.org/officeDocument/2006/relationships/hyperlink" Target="https://www.science.org/doi/abs/10.1126/sciadv.aef8133?af=R" TargetMode="External"/><Relationship Id="rId713" Type="http://schemas.openxmlformats.org/officeDocument/2006/relationships/hyperlink" Target="https://doi.org/10.1126/sciadv.aef8133" TargetMode="External"/><Relationship Id="rId714" Type="http://schemas.openxmlformats.org/officeDocument/2006/relationships/hyperlink" Target="https://www.science.org/doi/abs/10.1126/sciadv.aeg8096?af=R" TargetMode="External"/><Relationship Id="rId715" Type="http://schemas.openxmlformats.org/officeDocument/2006/relationships/hyperlink" Target="https://doi.org/10.1126/sciadv.aeg8096" TargetMode="External"/><Relationship Id="rId716" Type="http://schemas.openxmlformats.org/officeDocument/2006/relationships/hyperlink" Target="https://www.science.org/doi/abs/10.1126/sciadv.aec7792?af=R" TargetMode="External"/><Relationship Id="rId717" Type="http://schemas.openxmlformats.org/officeDocument/2006/relationships/hyperlink" Target="https://doi.org/10.1126/sciadv.aec7792" TargetMode="External"/><Relationship Id="rId718" Type="http://schemas.openxmlformats.org/officeDocument/2006/relationships/hyperlink" Target="https://www.science.org/doi/abs/10.1126/sciadv.aee8946?af=R" TargetMode="External"/><Relationship Id="rId719" Type="http://schemas.openxmlformats.org/officeDocument/2006/relationships/hyperlink" Target="https://doi.org/10.1126/sciadv.aee8946" TargetMode="External"/><Relationship Id="rId720" Type="http://schemas.openxmlformats.org/officeDocument/2006/relationships/hyperlink" Target="https://www.science.org/doi/abs/10.1126/sciadv.aeg0031?af=R" TargetMode="External"/><Relationship Id="rId721" Type="http://schemas.openxmlformats.org/officeDocument/2006/relationships/hyperlink" Target="https://doi.org/10.1126/sciadv.aeg0031" TargetMode="External"/><Relationship Id="rId722" Type="http://schemas.openxmlformats.org/officeDocument/2006/relationships/hyperlink" Target="https://www.science.org/doi/abs/10.1126/sciadv.aef8347?af=R" TargetMode="External"/><Relationship Id="rId723" Type="http://schemas.openxmlformats.org/officeDocument/2006/relationships/hyperlink" Target="https://doi.org/10.1126/sciadv.aef8347" TargetMode="External"/><Relationship Id="rId724" Type="http://schemas.openxmlformats.org/officeDocument/2006/relationships/hyperlink" Target="https://www.science.org/doi/abs/10.1126/sciadv.aeg3333?af=R" TargetMode="External"/><Relationship Id="rId725" Type="http://schemas.openxmlformats.org/officeDocument/2006/relationships/hyperlink" Target="https://doi.org/10.1126/sciadv.aeg3333" TargetMode="External"/><Relationship Id="rId726" Type="http://schemas.openxmlformats.org/officeDocument/2006/relationships/hyperlink" Target="https://www.science.org/doi/abs/10.1126/sciadv.aef7087?af=R" TargetMode="External"/><Relationship Id="rId727" Type="http://schemas.openxmlformats.org/officeDocument/2006/relationships/hyperlink" Target="https://doi.org/10.1126/sciadv.aef7087" TargetMode="External"/><Relationship Id="rId728" Type="http://schemas.openxmlformats.org/officeDocument/2006/relationships/hyperlink" Target="https://www.science.org/doi/abs/10.1126/sciadv.aef5993?af=R" TargetMode="External"/><Relationship Id="rId729" Type="http://schemas.openxmlformats.org/officeDocument/2006/relationships/hyperlink" Target="https://doi.org/10.1126/sciadv.aef5993" TargetMode="External"/><Relationship Id="rId730" Type="http://schemas.openxmlformats.org/officeDocument/2006/relationships/hyperlink" Target="https://www.science.org/doi/abs/10.1126/sciadv.aef5458?af=R" TargetMode="External"/><Relationship Id="rId731" Type="http://schemas.openxmlformats.org/officeDocument/2006/relationships/hyperlink" Target="https://doi.org/10.1126/sciadv.aef5458" TargetMode="External"/><Relationship Id="rId732" Type="http://schemas.openxmlformats.org/officeDocument/2006/relationships/hyperlink" Target="https://www.science.org/doi/abs/10.1126/sciadv.aef4377?af=R" TargetMode="External"/><Relationship Id="rId733" Type="http://schemas.openxmlformats.org/officeDocument/2006/relationships/hyperlink" Target="https://doi.org/10.1126/sciadv.aef4377" TargetMode="External"/><Relationship Id="rId734" Type="http://schemas.openxmlformats.org/officeDocument/2006/relationships/hyperlink" Target="https://www.science.org/doi/abs/10.1126/sciadv.adz2632?af=R" TargetMode="External"/><Relationship Id="rId735" Type="http://schemas.openxmlformats.org/officeDocument/2006/relationships/hyperlink" Target="https://doi.org/10.1126/sciadv.adz2632" TargetMode="External"/><Relationship Id="rId736" Type="http://schemas.openxmlformats.org/officeDocument/2006/relationships/hyperlink" Target="https://www.science.org/doi/abs/10.1126/sciadv.ady8161?af=R" TargetMode="External"/><Relationship Id="rId737" Type="http://schemas.openxmlformats.org/officeDocument/2006/relationships/hyperlink" Target="https://doi.org/10.1126/sciadv.ady8161" TargetMode="External"/><Relationship Id="rId738" Type="http://schemas.openxmlformats.org/officeDocument/2006/relationships/hyperlink" Target="https://www.pnas.org/doi/abs/10.1073/pnas.2626540123?mi=eymic2&amp;af=R&amp;access=on&amp;content=articlesChapters&amp;publication=pnas&amp;sortBy=Earliest&amp;target=default" TargetMode="External"/><Relationship Id="rId739" Type="http://schemas.openxmlformats.org/officeDocument/2006/relationships/hyperlink" Target="https://doi.org/10.1073/pnas.2626540123" TargetMode="External"/><Relationship Id="rId740" Type="http://schemas.openxmlformats.org/officeDocument/2006/relationships/hyperlink" Target="https://www.science.org/doi/abs/10.1126/sciadv.aek2171?af=R" TargetMode="External"/><Relationship Id="rId741" Type="http://schemas.openxmlformats.org/officeDocument/2006/relationships/hyperlink" Target="https://doi.org/10.1126/sciadv.aek2171" TargetMode="External"/><Relationship Id="rId742" Type="http://schemas.openxmlformats.org/officeDocument/2006/relationships/hyperlink" Target="https://www.pnas.org/doi/abs/10.1073/pnas.2607359123?mi=eymic2&amp;af=R&amp;access=on&amp;content=articlesChapters&amp;publication=pnas&amp;sortBy=Earliest&amp;target=default" TargetMode="External"/><Relationship Id="rId743" Type="http://schemas.openxmlformats.org/officeDocument/2006/relationships/hyperlink" Target="https://doi.org/10.1073/pnas.2607359123" TargetMode="External"/><Relationship Id="rId744" Type="http://schemas.openxmlformats.org/officeDocument/2006/relationships/hyperlink" Target="https://www.science.org/doi/abs/10.1126/sciadv.aec8678?af=R" TargetMode="External"/><Relationship Id="rId745" Type="http://schemas.openxmlformats.org/officeDocument/2006/relationships/hyperlink" Target="https://doi.org/10.1126/sciadv.aec8678" TargetMode="External"/><Relationship Id="rId746" Type="http://schemas.openxmlformats.org/officeDocument/2006/relationships/hyperlink" Target="https://www.science.org/doi/abs/10.1126/sciadv.aea3128?af=R" TargetMode="External"/><Relationship Id="rId747" Type="http://schemas.openxmlformats.org/officeDocument/2006/relationships/hyperlink" Target="https://doi.org/10.1126/sciadv.aea3128" TargetMode="External"/><Relationship Id="rId748" Type="http://schemas.openxmlformats.org/officeDocument/2006/relationships/hyperlink" Target="https://www.pnas.org/doi/abs/10.1073/pnas.2625944123?mi=eymic2&amp;af=R&amp;access=on&amp;content=articlesChapters&amp;publication=pnas&amp;sortBy=Earliest&amp;target=default" TargetMode="External"/><Relationship Id="rId749" Type="http://schemas.openxmlformats.org/officeDocument/2006/relationships/hyperlink" Target="https://doi.org/10.1073/pnas.2625944123" TargetMode="External"/><Relationship Id="rId750" Type="http://schemas.openxmlformats.org/officeDocument/2006/relationships/hyperlink" Target="https://www.science.org/doi/abs/10.1126/sciadv.aeh7273?af=R" TargetMode="External"/><Relationship Id="rId751" Type="http://schemas.openxmlformats.org/officeDocument/2006/relationships/hyperlink" Target="https://doi.org/10.1126/sciadv.aeh7273" TargetMode="External"/><Relationship Id="rId752" Type="http://schemas.openxmlformats.org/officeDocument/2006/relationships/hyperlink" Target="https://www.pnas.org/doi/abs/10.1073/pnas.2606323123?mi=eymic2&amp;af=R&amp;access=on&amp;content=articlesChapters&amp;publication=pnas&amp;sortBy=Earliest&amp;target=default" TargetMode="External"/><Relationship Id="rId753" Type="http://schemas.openxmlformats.org/officeDocument/2006/relationships/hyperlink" Target="https://doi.org/10.1073/pnas.2606323123" TargetMode="External"/><Relationship Id="rId754" Type="http://schemas.openxmlformats.org/officeDocument/2006/relationships/hyperlink" Target="https://www.pnas.org/doi/abs/10.1073/pnas.2605741123?mi=eymic2&amp;af=R&amp;access=on&amp;content=articlesChapters&amp;publication=pnas&amp;sortBy=Earliest&amp;target=default" TargetMode="External"/><Relationship Id="rId755" Type="http://schemas.openxmlformats.org/officeDocument/2006/relationships/hyperlink" Target="https://doi.org/10.1073/pnas.2605741123" TargetMode="External"/><Relationship Id="rId756" Type="http://schemas.openxmlformats.org/officeDocument/2006/relationships/hyperlink" Target="https://www.pnas.org/doi/abs/10.1073/pnas.2520063123?mi=eymic2&amp;af=R&amp;access=on&amp;content=articlesChapters&amp;publication=pnas&amp;sortBy=Earliest&amp;target=default" TargetMode="External"/><Relationship Id="rId757" Type="http://schemas.openxmlformats.org/officeDocument/2006/relationships/hyperlink" Target="https://doi.org/10.1073/pnas.2520063123" TargetMode="External"/><Relationship Id="rId758" Type="http://schemas.openxmlformats.org/officeDocument/2006/relationships/hyperlink" Target="https://www.pnas.org/doi/abs/10.1073/pnas.2413993123?mi=eymic2&amp;af=R&amp;access=on&amp;content=articlesChapters&amp;publication=pnas&amp;sortBy=Earliest&amp;target=default" TargetMode="External"/><Relationship Id="rId759" Type="http://schemas.openxmlformats.org/officeDocument/2006/relationships/hyperlink" Target="https://doi.org/10.1073/pnas.2413993123" TargetMode="External"/><Relationship Id="rId760" Type="http://schemas.openxmlformats.org/officeDocument/2006/relationships/hyperlink" Target="https://www.science.org/doi/abs/10.1126/sciadv.aef8657?af=R" TargetMode="External"/><Relationship Id="rId761" Type="http://schemas.openxmlformats.org/officeDocument/2006/relationships/hyperlink" Target="https://doi.org/10.1126/sciadv.aef8657" TargetMode="External"/><Relationship Id="rId762" Type="http://schemas.openxmlformats.org/officeDocument/2006/relationships/hyperlink" Target="https://www.pnas.org/doi/abs/10.1073/pnas.2606669123?mi=eymic2&amp;af=R&amp;access=on&amp;content=articlesChapters&amp;publication=pnas&amp;sortBy=Earliest&amp;target=default" TargetMode="External"/><Relationship Id="rId763" Type="http://schemas.openxmlformats.org/officeDocument/2006/relationships/hyperlink" Target="https://doi.org/10.1073/pnas.2606669123" TargetMode="External"/><Relationship Id="rId764" Type="http://schemas.openxmlformats.org/officeDocument/2006/relationships/hyperlink" Target="https://www.pnas.org/doi/abs/10.1073/pnas.2611441123?mi=eymic2&amp;af=R&amp;access=on&amp;content=articlesChapters&amp;publication=pnas&amp;sortBy=Earliest&amp;target=default" TargetMode="External"/><Relationship Id="rId765" Type="http://schemas.openxmlformats.org/officeDocument/2006/relationships/hyperlink" Target="https://doi.org/10.1073/pnas.2611441123" TargetMode="External"/><Relationship Id="rId766" Type="http://schemas.openxmlformats.org/officeDocument/2006/relationships/hyperlink" Target="https://advanced.onlinelibrary.wiley.com/doi/10.1002/adma.74601?af=R" TargetMode="External"/><Relationship Id="rId767" Type="http://schemas.openxmlformats.org/officeDocument/2006/relationships/hyperlink" Target="https://doi.org/10.1002/adma.74601" TargetMode="External"/><Relationship Id="rId768" Type="http://schemas.openxmlformats.org/officeDocument/2006/relationships/hyperlink" Target="http://link.aps.org/doi/10.1103/zyhv-p7f4" TargetMode="External"/><Relationship Id="rId769" Type="http://schemas.openxmlformats.org/officeDocument/2006/relationships/hyperlink" Target="https://doi.org/10.1103/zyhv-p7f4" TargetMode="External"/><Relationship Id="rId770" Type="http://schemas.openxmlformats.org/officeDocument/2006/relationships/hyperlink" Target="http://link.aps.org/doi/10.1103/kcs1-7q6n" TargetMode="External"/><Relationship Id="rId771" Type="http://schemas.openxmlformats.org/officeDocument/2006/relationships/hyperlink" Target="https://doi.org/10.1103/kcs1-7q6n" TargetMode="External"/><Relationship Id="rId772" Type="http://schemas.openxmlformats.org/officeDocument/2006/relationships/hyperlink" Target="http://link.aps.org/doi/10.1103/hxcx-f9sy" TargetMode="External"/><Relationship Id="rId773" Type="http://schemas.openxmlformats.org/officeDocument/2006/relationships/hyperlink" Target="https://doi.org/10.1103/hxcx-f9sy" TargetMode="External"/><Relationship Id="rId774" Type="http://schemas.openxmlformats.org/officeDocument/2006/relationships/hyperlink" Target="http://link.aps.org/doi/10.1103/kl5g-myp6" TargetMode="External"/><Relationship Id="rId775" Type="http://schemas.openxmlformats.org/officeDocument/2006/relationships/hyperlink" Target="https://doi.org/10.1103/kl5g-myp6" TargetMode="External"/><Relationship Id="rId776" Type="http://schemas.openxmlformats.org/officeDocument/2006/relationships/hyperlink" Target="http://link.aps.org/doi/10.1103/4dvk-nglx" TargetMode="External"/><Relationship Id="rId777" Type="http://schemas.openxmlformats.org/officeDocument/2006/relationships/hyperlink" Target="https://doi.org/10.1103/4dvk-nglx" TargetMode="External"/><Relationship Id="rId778" Type="http://schemas.openxmlformats.org/officeDocument/2006/relationships/hyperlink" Target="http://link.aps.org/doi/10.1103/ljtv-y278" TargetMode="External"/><Relationship Id="rId779" Type="http://schemas.openxmlformats.org/officeDocument/2006/relationships/hyperlink" Target="https://doi.org/10.1103/ljtv-y278" TargetMode="External"/><Relationship Id="rId780" Type="http://schemas.openxmlformats.org/officeDocument/2006/relationships/hyperlink" Target="http://link.aps.org/doi/10.1103/bf1g-9hq7" TargetMode="External"/><Relationship Id="rId781" Type="http://schemas.openxmlformats.org/officeDocument/2006/relationships/hyperlink" Target="https://doi.org/10.1103/bf1g-9hq7" TargetMode="External"/><Relationship Id="rId782" Type="http://schemas.openxmlformats.org/officeDocument/2006/relationships/hyperlink" Target="http://link.aps.org/doi/10.1103/262r-xh1p" TargetMode="External"/><Relationship Id="rId783" Type="http://schemas.openxmlformats.org/officeDocument/2006/relationships/hyperlink" Target="https://doi.org/10.1103/262r-xh1p" TargetMode="External"/><Relationship Id="rId784" Type="http://schemas.openxmlformats.org/officeDocument/2006/relationships/hyperlink" Target="http://link.aps.org/doi/10.1103/wcqv-pcls" TargetMode="External"/><Relationship Id="rId785" Type="http://schemas.openxmlformats.org/officeDocument/2006/relationships/hyperlink" Target="https://doi.org/10.1103/wcqv-pcls" TargetMode="External"/><Relationship Id="rId786" Type="http://schemas.openxmlformats.org/officeDocument/2006/relationships/hyperlink" Target="http://link.aps.org/doi/10.1103/zsb1-gx7f" TargetMode="External"/><Relationship Id="rId787" Type="http://schemas.openxmlformats.org/officeDocument/2006/relationships/hyperlink" Target="https://doi.org/10.1103/zsb1-gx7f" TargetMode="External"/><Relationship Id="rId788" Type="http://schemas.openxmlformats.org/officeDocument/2006/relationships/hyperlink" Target="https://advanced.onlinelibrary.wiley.com/doi/10.1002/adma.74678?af=R" TargetMode="External"/><Relationship Id="rId789" Type="http://schemas.openxmlformats.org/officeDocument/2006/relationships/hyperlink" Target="https://doi.org/10.1002/adma.74678" TargetMode="External"/><Relationship Id="rId790" Type="http://schemas.openxmlformats.org/officeDocument/2006/relationships/hyperlink" Target="https://advanced.onlinelibrary.wiley.com/doi/10.1002/adma.74757?af=R" TargetMode="External"/><Relationship Id="rId791" Type="http://schemas.openxmlformats.org/officeDocument/2006/relationships/hyperlink" Target="https://doi.org/10.1002/adma.74757" TargetMode="External"/><Relationship Id="rId792" Type="http://schemas.openxmlformats.org/officeDocument/2006/relationships/hyperlink" Target="https://advanced.onlinelibrary.wiley.com/doi/10.1002/adma.74650?af=R" TargetMode="External"/><Relationship Id="rId793" Type="http://schemas.openxmlformats.org/officeDocument/2006/relationships/hyperlink" Target="https://doi.org/10.1002/adma.74650" TargetMode="External"/><Relationship Id="rId794" Type="http://schemas.openxmlformats.org/officeDocument/2006/relationships/hyperlink" Target="https://advanced.onlinelibrary.wiley.com/doi/10.1002/adma.74649?af=R" TargetMode="External"/><Relationship Id="rId795" Type="http://schemas.openxmlformats.org/officeDocument/2006/relationships/hyperlink" Target="https://doi.org/10.1002/adma.74649" TargetMode="External"/><Relationship Id="rId796" Type="http://schemas.openxmlformats.org/officeDocument/2006/relationships/hyperlink" Target="https://advanced.onlinelibrary.wiley.com/doi/10.1002/adma.74648?af=R" TargetMode="External"/><Relationship Id="rId797" Type="http://schemas.openxmlformats.org/officeDocument/2006/relationships/hyperlink" Target="https://doi.org/10.1002/adma.74648" TargetMode="External"/><Relationship Id="rId798" Type="http://schemas.openxmlformats.org/officeDocument/2006/relationships/hyperlink" Target="https://advanced.onlinelibrary.wiley.com/doi/10.1002/adma.74647?af=R" TargetMode="External"/><Relationship Id="rId799" Type="http://schemas.openxmlformats.org/officeDocument/2006/relationships/hyperlink" Target="https://doi.org/10.1002/adma.74647" TargetMode="External"/><Relationship Id="rId800" Type="http://schemas.openxmlformats.org/officeDocument/2006/relationships/hyperlink" Target="https://www.nature.com/articles/s41467-026-76854-0" TargetMode="External"/><Relationship Id="rId801" Type="http://schemas.openxmlformats.org/officeDocument/2006/relationships/hyperlink" Target="https://www.nature.com/articles/s41467-026-77042-w" TargetMode="External"/><Relationship Id="rId802" Type="http://schemas.openxmlformats.org/officeDocument/2006/relationships/hyperlink" Target="https://www.nature.com/articles/s41467-026-77061-7" TargetMode="External"/><Relationship Id="rId803" Type="http://schemas.openxmlformats.org/officeDocument/2006/relationships/hyperlink" Target="https://www.nature.com/articles/s41467-026-75703-4" TargetMode="External"/><Relationship Id="rId804" Type="http://schemas.openxmlformats.org/officeDocument/2006/relationships/hyperlink" Target="https://www.nature.com/articles/s41467-026-76805-9" TargetMode="External"/><Relationship Id="rId805" Type="http://schemas.openxmlformats.org/officeDocument/2006/relationships/hyperlink" Target="https://www.nature.com/articles/s41467-026-75526-3" TargetMode="External"/><Relationship Id="rId806" Type="http://schemas.openxmlformats.org/officeDocument/2006/relationships/hyperlink" Target="https://www.nature.com/articles/s41467-026-77036-8" TargetMode="External"/><Relationship Id="rId807" Type="http://schemas.openxmlformats.org/officeDocument/2006/relationships/hyperlink" Target="https://www.sciencedirect.com/science/article/pii/S0306261926013528?dgcid=rss_sd_all" TargetMode="External"/><Relationship Id="rId808" Type="http://schemas.openxmlformats.org/officeDocument/2006/relationships/hyperlink" Target="https://doi.org/10.1016/j.apenergy.2026.128696" TargetMode="External"/><Relationship Id="rId809" Type="http://schemas.openxmlformats.org/officeDocument/2006/relationships/hyperlink" Target="https://www.nature.com/articles/s41467-026-76856-y" TargetMode="External"/><Relationship Id="rId810" Type="http://schemas.openxmlformats.org/officeDocument/2006/relationships/hyperlink" Target="https://www.nature.com/articles/s41467-026-77045-7" TargetMode="External"/><Relationship Id="rId811" Type="http://schemas.openxmlformats.org/officeDocument/2006/relationships/hyperlink" Target="https://www.nature.com/articles/s41467-026-76869-7" TargetMode="External"/><Relationship Id="rId812" Type="http://schemas.openxmlformats.org/officeDocument/2006/relationships/hyperlink" Target="https://www.nature.com/articles/s41467-026-76898-2" TargetMode="External"/><Relationship Id="rId813" Type="http://schemas.openxmlformats.org/officeDocument/2006/relationships/hyperlink" Target="https://www.nature.com/articles/s41467-026-77124-9" TargetMode="External"/><Relationship Id="rId814" Type="http://schemas.openxmlformats.org/officeDocument/2006/relationships/hyperlink" Target="https://www.nature.com/articles/s41467-026-76133-y" TargetMode="External"/><Relationship Id="rId815" Type="http://schemas.openxmlformats.org/officeDocument/2006/relationships/hyperlink" Target="https://www.nature.com/articles/s41467-026-76903-8" TargetMode="External"/><Relationship Id="rId816" Type="http://schemas.openxmlformats.org/officeDocument/2006/relationships/hyperlink" Target="https://www.nature.com/articles/s41467-026-77053-7" TargetMode="External"/><Relationship Id="rId817" Type="http://schemas.openxmlformats.org/officeDocument/2006/relationships/hyperlink" Target="https://pubs.acs.org/jacsat/article/doi/10.1021/jacs.6c05150/5291378/Proton-Off-Resonance-R1-Near-Rotary-Resonance" TargetMode="External"/><Relationship Id="rId818" Type="http://schemas.openxmlformats.org/officeDocument/2006/relationships/hyperlink" Target="https://doi.org/10.1021/jacs.6c05150" TargetMode="External"/><Relationship Id="rId819" Type="http://schemas.openxmlformats.org/officeDocument/2006/relationships/hyperlink" Target="https://pubs.acs.org/jacsat/article/doi/10.1021/jacs.6c12595/5291658/Direct-Decarboxylative-Borylation-via-Radical" TargetMode="External"/><Relationship Id="rId820" Type="http://schemas.openxmlformats.org/officeDocument/2006/relationships/hyperlink" Target="https://doi.org/10.1021/jacs.6c12595" TargetMode="External"/><Relationship Id="rId821" Type="http://schemas.openxmlformats.org/officeDocument/2006/relationships/hyperlink" Target="https://www.nature.com/articles/s41467-026-77099-7" TargetMode="External"/><Relationship Id="rId822" Type="http://schemas.openxmlformats.org/officeDocument/2006/relationships/hyperlink" Target="https://www.nature.com/articles/s41467-026-77109-8" TargetMode="External"/><Relationship Id="rId823" Type="http://schemas.openxmlformats.org/officeDocument/2006/relationships/hyperlink" Target="https://www.nature.com/articles/s41467-026-76911-8" TargetMode="External"/><Relationship Id="rId824" Type="http://schemas.openxmlformats.org/officeDocument/2006/relationships/hyperlink" Target="https://www.nature.com/articles/s41467-026-76512-5" TargetMode="External"/><Relationship Id="rId825" Type="http://schemas.openxmlformats.org/officeDocument/2006/relationships/hyperlink" Target="https://www.nature.com/articles/s41467-026-76998-z" TargetMode="External"/><Relationship Id="rId826" Type="http://schemas.openxmlformats.org/officeDocument/2006/relationships/hyperlink" Target="https://www.nature.com/articles/s41467-026-76966-7" TargetMode="External"/><Relationship Id="rId827" Type="http://schemas.openxmlformats.org/officeDocument/2006/relationships/hyperlink" Target="https://www.nature.com/articles/s41467-026-77089-9" TargetMode="External"/><Relationship Id="rId828" Type="http://schemas.openxmlformats.org/officeDocument/2006/relationships/hyperlink" Target="https://www.nature.com/articles/s41467-026-76722-x" TargetMode="External"/><Relationship Id="rId829" Type="http://schemas.openxmlformats.org/officeDocument/2006/relationships/hyperlink" Target="https://www.nature.com/articles/s41467-026-76993-4" TargetMode="External"/><Relationship Id="rId830" Type="http://schemas.openxmlformats.org/officeDocument/2006/relationships/hyperlink" Target="https://www.nature.com/articles/s41467-026-76662-6" TargetMode="External"/><Relationship Id="rId831" Type="http://schemas.openxmlformats.org/officeDocument/2006/relationships/hyperlink" Target="https://www.nature.com/articles/s41467-026-76967-6" TargetMode="External"/><Relationship Id="rId832" Type="http://schemas.openxmlformats.org/officeDocument/2006/relationships/hyperlink" Target="https://www.nature.com/articles/s41467-026-76394-7" TargetMode="External"/><Relationship Id="rId833" Type="http://schemas.openxmlformats.org/officeDocument/2006/relationships/hyperlink" Target="https://academic.oup.com/nsr/advance-article/doi/10.1093/nsr/nwag526/8768588?rss=1" TargetMode="External"/><Relationship Id="rId834" Type="http://schemas.openxmlformats.org/officeDocument/2006/relationships/hyperlink" Target="https://doi.org/10.1093/nsr/nwag526" TargetMode="External"/><Relationship Id="rId835" Type="http://schemas.openxmlformats.org/officeDocument/2006/relationships/hyperlink" Target="https://academic.oup.com/nsr/advance-article/doi/10.1093/nsr/nwag528/8768594?rss=1" TargetMode="External"/><Relationship Id="rId836" Type="http://schemas.openxmlformats.org/officeDocument/2006/relationships/hyperlink" Target="https://doi.org/10.1093/nsr/nwag528" TargetMode="External"/><Relationship Id="rId837" Type="http://schemas.openxmlformats.org/officeDocument/2006/relationships/hyperlink" Target="https://www.nature.com/articles/s41467-026-77079-x" TargetMode="External"/><Relationship Id="rId838" Type="http://schemas.openxmlformats.org/officeDocument/2006/relationships/hyperlink" Target="https://www.nature.com/articles/s41467-026-76885-7" TargetMode="External"/><Relationship Id="rId839" Type="http://schemas.openxmlformats.org/officeDocument/2006/relationships/hyperlink" Target="https://www.nature.com/articles/s41467-026-76840-6" TargetMode="External"/><Relationship Id="rId840" Type="http://schemas.openxmlformats.org/officeDocument/2006/relationships/hyperlink" Target="https://www.nature.com/articles/s41467-026-76862-0" TargetMode="External"/><Relationship Id="rId841" Type="http://schemas.openxmlformats.org/officeDocument/2006/relationships/hyperlink" Target="https://www.nature.com/articles/s41467-026-76988-1" TargetMode="External"/><Relationship Id="rId842" Type="http://schemas.openxmlformats.org/officeDocument/2006/relationships/hyperlink" Target="https://www.nature.com/articles/s41467-026-76905-6" TargetMode="External"/><Relationship Id="rId843" Type="http://schemas.openxmlformats.org/officeDocument/2006/relationships/hyperlink" Target="https://www.nature.com/articles/s41467-026-76193-0" TargetMode="External"/><Relationship Id="rId844" Type="http://schemas.openxmlformats.org/officeDocument/2006/relationships/hyperlink" Target="https://www.nature.com/articles/s41467-026-77056-4" TargetMode="External"/><Relationship Id="rId845" Type="http://schemas.openxmlformats.org/officeDocument/2006/relationships/hyperlink" Target="https://www.nature.com/articles/s41467-026-76773-0" TargetMode="External"/><Relationship Id="rId846" Type="http://schemas.openxmlformats.org/officeDocument/2006/relationships/hyperlink" Target="https://www.nature.com/articles/s41467-026-76959-6" TargetMode="External"/><Relationship Id="rId847" Type="http://schemas.openxmlformats.org/officeDocument/2006/relationships/hyperlink" Target="https://www.nature.com/articles/s41467-026-76699-7" TargetMode="External"/><Relationship Id="rId848" Type="http://schemas.openxmlformats.org/officeDocument/2006/relationships/hyperlink" Target="https://www.nature.com/articles/s41467-026-76730-x" TargetMode="External"/><Relationship Id="rId849" Type="http://schemas.openxmlformats.org/officeDocument/2006/relationships/hyperlink" Target="https://www.nature.com/articles/s41467-026-76627-9" TargetMode="External"/><Relationship Id="rId850" Type="http://schemas.openxmlformats.org/officeDocument/2006/relationships/hyperlink" Target="https://advanced.onlinelibrary.wiley.com/doi/10.1002/adma.74751?af=R" TargetMode="External"/><Relationship Id="rId851" Type="http://schemas.openxmlformats.org/officeDocument/2006/relationships/hyperlink" Target="https://doi.org/10.1002/adma.74751" TargetMode="External"/><Relationship Id="rId852" Type="http://schemas.openxmlformats.org/officeDocument/2006/relationships/hyperlink" Target="https://advanced.onlinelibrary.wiley.com/doi/10.1002/adma.74772?af=R" TargetMode="External"/><Relationship Id="rId853" Type="http://schemas.openxmlformats.org/officeDocument/2006/relationships/hyperlink" Target="https://doi.org/10.1002/adma.74772" TargetMode="External"/><Relationship Id="rId854" Type="http://schemas.openxmlformats.org/officeDocument/2006/relationships/hyperlink" Target="https://advanced.onlinelibrary.wiley.com/doi/10.1002/adma.74695?af=R" TargetMode="External"/><Relationship Id="rId855" Type="http://schemas.openxmlformats.org/officeDocument/2006/relationships/hyperlink" Target="https://doi.org/10.1002/adma.74695" TargetMode="External"/><Relationship Id="rId856" Type="http://schemas.openxmlformats.org/officeDocument/2006/relationships/hyperlink" Target="https://advanced.onlinelibrary.wiley.com/doi/10.1002/adma.74664?af=R" TargetMode="External"/><Relationship Id="rId857" Type="http://schemas.openxmlformats.org/officeDocument/2006/relationships/hyperlink" Target="https://doi.org/10.1002/adma.74664" TargetMode="External"/><Relationship Id="rId858" Type="http://schemas.openxmlformats.org/officeDocument/2006/relationships/hyperlink" Target="https://onlinelibrary.wiley.com/doi/10.1002/anie.1681939?af=R" TargetMode="External"/><Relationship Id="rId859" Type="http://schemas.openxmlformats.org/officeDocument/2006/relationships/hyperlink" Target="https://doi.org/10.1002/anie.1681939" TargetMode="External"/><Relationship Id="rId860" Type="http://schemas.openxmlformats.org/officeDocument/2006/relationships/hyperlink" Target="https://advanced.onlinelibrary.wiley.com/doi/10.1002/adma.74742?af=R" TargetMode="External"/><Relationship Id="rId861" Type="http://schemas.openxmlformats.org/officeDocument/2006/relationships/hyperlink" Target="https://doi.org/10.1002/adma.74742" TargetMode="External"/><Relationship Id="rId862" Type="http://schemas.openxmlformats.org/officeDocument/2006/relationships/hyperlink" Target="https://onlinelibrary.wiley.com/doi/10.1002/anie.7251439?af=R" TargetMode="External"/><Relationship Id="rId863" Type="http://schemas.openxmlformats.org/officeDocument/2006/relationships/hyperlink" Target="https://doi.org/10.1002/anie.7251439" TargetMode="External"/><Relationship Id="rId864" Type="http://schemas.openxmlformats.org/officeDocument/2006/relationships/hyperlink" Target="https://onlinelibrary.wiley.com/doi/10.1002/anie.7948330?af=R" TargetMode="External"/><Relationship Id="rId865" Type="http://schemas.openxmlformats.org/officeDocument/2006/relationships/hyperlink" Target="https://doi.org/10.1002/anie.7948330" TargetMode="External"/><Relationship Id="rId866" Type="http://schemas.openxmlformats.org/officeDocument/2006/relationships/hyperlink" Target="https://onlinelibrary.wiley.com/doi/10.1002/anie.6352970?af=R" TargetMode="External"/><Relationship Id="rId867" Type="http://schemas.openxmlformats.org/officeDocument/2006/relationships/hyperlink" Target="https://doi.org/10.1002/anie.6352970" TargetMode="External"/><Relationship Id="rId868" Type="http://schemas.openxmlformats.org/officeDocument/2006/relationships/hyperlink" Target="https://onlinelibrary.wiley.com/doi/10.1002/anie.5028581?af=R" TargetMode="External"/><Relationship Id="rId869" Type="http://schemas.openxmlformats.org/officeDocument/2006/relationships/hyperlink" Target="https://doi.org/10.1002/anie.5028581" TargetMode="External"/><Relationship Id="rId870" Type="http://schemas.openxmlformats.org/officeDocument/2006/relationships/hyperlink" Target="https://onlinelibrary.wiley.com/doi/10.1002/anie.2598368?af=R" TargetMode="External"/><Relationship Id="rId871" Type="http://schemas.openxmlformats.org/officeDocument/2006/relationships/hyperlink" Target="https://doi.org/10.1002/anie.2598368" TargetMode="External"/><Relationship Id="rId872" Type="http://schemas.openxmlformats.org/officeDocument/2006/relationships/hyperlink" Target="https://onlinelibrary.wiley.com/doi/10.1002/anie.8501169?af=R" TargetMode="External"/><Relationship Id="rId873" Type="http://schemas.openxmlformats.org/officeDocument/2006/relationships/hyperlink" Target="https://doi.org/10.1002/anie.8501169" TargetMode="External"/><Relationship Id="rId874" Type="http://schemas.openxmlformats.org/officeDocument/2006/relationships/hyperlink" Target="https://onlinelibrary.wiley.com/doi/10.1002/anie.7062874?af=R" TargetMode="External"/><Relationship Id="rId875" Type="http://schemas.openxmlformats.org/officeDocument/2006/relationships/hyperlink" Target="https://doi.org/10.1002/anie.7062874" TargetMode="External"/><Relationship Id="rId876" Type="http://schemas.openxmlformats.org/officeDocument/2006/relationships/hyperlink" Target="https://advanced.onlinelibrary.wiley.com/doi/10.1002/adma.74793?af=R" TargetMode="External"/><Relationship Id="rId877" Type="http://schemas.openxmlformats.org/officeDocument/2006/relationships/hyperlink" Target="https://doi.org/10.1002/adma.74793" TargetMode="External"/><Relationship Id="rId878" Type="http://schemas.openxmlformats.org/officeDocument/2006/relationships/hyperlink" Target="https://onlinelibrary.wiley.com/doi/10.1002/anie.1137232?af=R" TargetMode="External"/><Relationship Id="rId879" Type="http://schemas.openxmlformats.org/officeDocument/2006/relationships/hyperlink" Target="https://doi.org/10.1002/anie.1137232" TargetMode="External"/><Relationship Id="rId880" Type="http://schemas.openxmlformats.org/officeDocument/2006/relationships/hyperlink" Target="https://onlinelibrary.wiley.com/doi/10.1002/anie.1540355?af=R" TargetMode="External"/><Relationship Id="rId881" Type="http://schemas.openxmlformats.org/officeDocument/2006/relationships/hyperlink" Target="https://doi.org/10.1002/anie.1540355" TargetMode="External"/><Relationship Id="rId882" Type="http://schemas.openxmlformats.org/officeDocument/2006/relationships/hyperlink" Target="https://onlinelibrary.wiley.com/doi/10.1002/anie.4782087?af=R" TargetMode="External"/><Relationship Id="rId883" Type="http://schemas.openxmlformats.org/officeDocument/2006/relationships/hyperlink" Target="https://doi.org/10.1002/anie.4782087" TargetMode="External"/><Relationship Id="rId884" Type="http://schemas.openxmlformats.org/officeDocument/2006/relationships/hyperlink" Target="https://onlinelibrary.wiley.com/doi/10.1002/anie.6140066?af=R" TargetMode="External"/><Relationship Id="rId885" Type="http://schemas.openxmlformats.org/officeDocument/2006/relationships/hyperlink" Target="https://doi.org/10.1002/anie.6140066" TargetMode="External"/><Relationship Id="rId886" Type="http://schemas.openxmlformats.org/officeDocument/2006/relationships/hyperlink" Target="https://onlinelibrary.wiley.com/doi/10.1002/anie.4238416?af=R" TargetMode="External"/><Relationship Id="rId887" Type="http://schemas.openxmlformats.org/officeDocument/2006/relationships/hyperlink" Target="https://doi.org/10.1002/anie.4238416" TargetMode="External"/><Relationship Id="rId888" Type="http://schemas.openxmlformats.org/officeDocument/2006/relationships/hyperlink" Target="https://onlinelibrary.wiley.com/doi/10.1002/anie.8169928?af=R" TargetMode="External"/><Relationship Id="rId889" Type="http://schemas.openxmlformats.org/officeDocument/2006/relationships/hyperlink" Target="https://doi.org/10.1002/anie.8169928" TargetMode="External"/><Relationship Id="rId890" Type="http://schemas.openxmlformats.org/officeDocument/2006/relationships/hyperlink" Target="https://onlinelibrary.wiley.com/doi/10.1002/anie.4052471?af=R" TargetMode="External"/><Relationship Id="rId891" Type="http://schemas.openxmlformats.org/officeDocument/2006/relationships/hyperlink" Target="https://doi.org/10.1002/anie.4052471" TargetMode="External"/><Relationship Id="rId892" Type="http://schemas.openxmlformats.org/officeDocument/2006/relationships/hyperlink" Target="https://onlinelibrary.wiley.com/doi/10.1002/anie.6980840?af=R" TargetMode="External"/><Relationship Id="rId893" Type="http://schemas.openxmlformats.org/officeDocument/2006/relationships/hyperlink" Target="https://doi.org/10.1002/anie.6980840" TargetMode="External"/><Relationship Id="rId894" Type="http://schemas.openxmlformats.org/officeDocument/2006/relationships/hyperlink" Target="https://onlinelibrary.wiley.com/doi/10.1002/anie.4167912?af=R" TargetMode="External"/><Relationship Id="rId895" Type="http://schemas.openxmlformats.org/officeDocument/2006/relationships/hyperlink" Target="https://doi.org/10.1002/anie.4167912" TargetMode="External"/><Relationship Id="rId896" Type="http://schemas.openxmlformats.org/officeDocument/2006/relationships/hyperlink" Target="https://onlinelibrary.wiley.com/doi/10.1002/anie.9880459?af=R" TargetMode="External"/><Relationship Id="rId897" Type="http://schemas.openxmlformats.org/officeDocument/2006/relationships/hyperlink" Target="https://doi.org/10.1002/anie.9880459" TargetMode="External"/><Relationship Id="rId898" Type="http://schemas.openxmlformats.org/officeDocument/2006/relationships/hyperlink" Target="https://onlinelibrary.wiley.com/doi/10.1002/anie.6267376?af=R" TargetMode="External"/><Relationship Id="rId899" Type="http://schemas.openxmlformats.org/officeDocument/2006/relationships/hyperlink" Target="https://doi.org/10.1002/anie.6267376" TargetMode="External"/><Relationship Id="rId900" Type="http://schemas.openxmlformats.org/officeDocument/2006/relationships/hyperlink" Target="https://onlinelibrary.wiley.com/doi/10.1002/anie.3171374?af=R" TargetMode="External"/><Relationship Id="rId901" Type="http://schemas.openxmlformats.org/officeDocument/2006/relationships/hyperlink" Target="https://doi.org/10.1002/anie.3171374" TargetMode="External"/><Relationship Id="rId902" Type="http://schemas.openxmlformats.org/officeDocument/2006/relationships/hyperlink" Target="https://onlinelibrary.wiley.com/doi/10.1002/anie.9526719?af=R" TargetMode="External"/><Relationship Id="rId903" Type="http://schemas.openxmlformats.org/officeDocument/2006/relationships/hyperlink" Target="https://doi.org/10.1002/anie.9526719" TargetMode="External"/><Relationship Id="rId904" Type="http://schemas.openxmlformats.org/officeDocument/2006/relationships/hyperlink" Target="https://onlinelibrary.wiley.com/doi/10.1002/anie.1958506?af=R" TargetMode="External"/><Relationship Id="rId905" Type="http://schemas.openxmlformats.org/officeDocument/2006/relationships/hyperlink" Target="https://doi.org/10.1002/anie.1958506" TargetMode="External"/><Relationship Id="rId906" Type="http://schemas.openxmlformats.org/officeDocument/2006/relationships/hyperlink" Target="https://onlinelibrary.wiley.com/doi/10.1002/anie.6875653?af=R" TargetMode="External"/><Relationship Id="rId907" Type="http://schemas.openxmlformats.org/officeDocument/2006/relationships/hyperlink" Target="https://doi.org/10.1002/anie.6875653" TargetMode="External"/><Relationship Id="rId908" Type="http://schemas.openxmlformats.org/officeDocument/2006/relationships/hyperlink" Target="https://onlinelibrary.wiley.com/doi/10.1002/anie.4755839?af=R" TargetMode="External"/><Relationship Id="rId909" Type="http://schemas.openxmlformats.org/officeDocument/2006/relationships/hyperlink" Target="https://doi.org/10.1002/anie.4755839" TargetMode="External"/><Relationship Id="rId910" Type="http://schemas.openxmlformats.org/officeDocument/2006/relationships/hyperlink" Target="https://onlinelibrary.wiley.com/doi/10.1002/anie.4171725?af=R" TargetMode="External"/><Relationship Id="rId911" Type="http://schemas.openxmlformats.org/officeDocument/2006/relationships/hyperlink" Target="https://doi.org/10.1002/anie.4171725" TargetMode="External"/><Relationship Id="rId912" Type="http://schemas.openxmlformats.org/officeDocument/2006/relationships/hyperlink" Target="https://advanced.onlinelibrary.wiley.com/doi/10.1002/adma.74628?af=R" TargetMode="External"/><Relationship Id="rId913" Type="http://schemas.openxmlformats.org/officeDocument/2006/relationships/hyperlink" Target="https://doi.org/10.1002/adma.74628" TargetMode="External"/><Relationship Id="rId914" Type="http://schemas.openxmlformats.org/officeDocument/2006/relationships/hyperlink" Target="https://advanced.onlinelibrary.wiley.com/doi/10.1002/adma.74761?af=R" TargetMode="External"/><Relationship Id="rId915" Type="http://schemas.openxmlformats.org/officeDocument/2006/relationships/hyperlink" Target="https://doi.org/10.1002/adma.74761" TargetMode="External"/><Relationship Id="rId916" Type="http://schemas.openxmlformats.org/officeDocument/2006/relationships/hyperlink" Target="https://advanced.onlinelibrary.wiley.com/doi/10.1002/adma.74745?af=R" TargetMode="External"/><Relationship Id="rId917" Type="http://schemas.openxmlformats.org/officeDocument/2006/relationships/hyperlink" Target="https://doi.org/10.1002/adma.74745" TargetMode="External"/><Relationship Id="rId918" Type="http://schemas.openxmlformats.org/officeDocument/2006/relationships/hyperlink" Target="https://advanced.onlinelibrary.wiley.com/doi/10.1002/adma.74767?af=R" TargetMode="External"/><Relationship Id="rId919" Type="http://schemas.openxmlformats.org/officeDocument/2006/relationships/hyperlink" Target="https://doi.org/10.1002/adma.74767" TargetMode="External"/><Relationship Id="rId920" Type="http://schemas.openxmlformats.org/officeDocument/2006/relationships/hyperlink" Target="https://www.sciencedirect.com/science/article/pii/S030626192601353X?dgcid=rss_sd_all" TargetMode="External"/><Relationship Id="rId921" Type="http://schemas.openxmlformats.org/officeDocument/2006/relationships/hyperlink" Target="https://doi.org/10.1016/j.apenergy.2026.128697" TargetMode="External"/><Relationship Id="rId922" Type="http://schemas.openxmlformats.org/officeDocument/2006/relationships/hyperlink" Target="https://onlinelibrary.wiley.com/doi/10.1002/anie.2643229?af=R" TargetMode="External"/><Relationship Id="rId923" Type="http://schemas.openxmlformats.org/officeDocument/2006/relationships/hyperlink" Target="https://doi.org/10.1002/anie.2643229" TargetMode="External"/><Relationship Id="rId924" Type="http://schemas.openxmlformats.org/officeDocument/2006/relationships/hyperlink" Target="https://onlinelibrary.wiley.com/doi/10.1002/anie.2256553?af=R" TargetMode="External"/><Relationship Id="rId925" Type="http://schemas.openxmlformats.org/officeDocument/2006/relationships/hyperlink" Target="https://doi.org/10.1002/anie.2256553" TargetMode="External"/><Relationship Id="rId926" Type="http://schemas.openxmlformats.org/officeDocument/2006/relationships/hyperlink" Target="https://onlinelibrary.wiley.com/doi/10.1002/anie.2101486?af=R" TargetMode="External"/><Relationship Id="rId927" Type="http://schemas.openxmlformats.org/officeDocument/2006/relationships/hyperlink" Target="https://doi.org/10.1002/anie.2101486" TargetMode="External"/><Relationship Id="rId928" Type="http://schemas.openxmlformats.org/officeDocument/2006/relationships/hyperlink" Target="https://onlinelibrary.wiley.com/doi/10.1002/anie.4279044?af=R" TargetMode="External"/><Relationship Id="rId929" Type="http://schemas.openxmlformats.org/officeDocument/2006/relationships/hyperlink" Target="https://doi.org/10.1002/anie.4279044" TargetMode="External"/><Relationship Id="rId930" Type="http://schemas.openxmlformats.org/officeDocument/2006/relationships/hyperlink" Target="https://onlinelibrary.wiley.com/doi/10.1002/anie.5055917?af=R" TargetMode="External"/><Relationship Id="rId931" Type="http://schemas.openxmlformats.org/officeDocument/2006/relationships/hyperlink" Target="https://doi.org/10.1002/anie.5055917" TargetMode="External"/><Relationship Id="rId932" Type="http://schemas.openxmlformats.org/officeDocument/2006/relationships/hyperlink" Target="https://onlinelibrary.wiley.com/doi/10.1002/anie.5073615?af=R" TargetMode="External"/><Relationship Id="rId933" Type="http://schemas.openxmlformats.org/officeDocument/2006/relationships/hyperlink" Target="https://doi.org/10.1002/anie.5073615" TargetMode="External"/><Relationship Id="rId934" Type="http://schemas.openxmlformats.org/officeDocument/2006/relationships/hyperlink" Target="https://onlinelibrary.wiley.com/doi/10.1002/anie.7132408?af=R" TargetMode="External"/><Relationship Id="rId935" Type="http://schemas.openxmlformats.org/officeDocument/2006/relationships/hyperlink" Target="https://doi.org/10.1002/anie.7132408" TargetMode="External"/><Relationship Id="rId936" Type="http://schemas.openxmlformats.org/officeDocument/2006/relationships/hyperlink" Target="https://onlinelibrary.wiley.com/doi/10.1002/anie.3525961?af=R" TargetMode="External"/><Relationship Id="rId937" Type="http://schemas.openxmlformats.org/officeDocument/2006/relationships/hyperlink" Target="https://doi.org/10.1002/anie.3525961" TargetMode="External"/><Relationship Id="rId938" Type="http://schemas.openxmlformats.org/officeDocument/2006/relationships/hyperlink" Target="https://onlinelibrary.wiley.com/doi/10.1002/anie.7724982?af=R" TargetMode="External"/><Relationship Id="rId939" Type="http://schemas.openxmlformats.org/officeDocument/2006/relationships/hyperlink" Target="https://doi.org/10.1002/anie.7724982" TargetMode="External"/><Relationship Id="rId940" Type="http://schemas.openxmlformats.org/officeDocument/2006/relationships/hyperlink" Target="https://onlinelibrary.wiley.com/doi/10.1002/anie.2516685?af=R" TargetMode="External"/><Relationship Id="rId941" Type="http://schemas.openxmlformats.org/officeDocument/2006/relationships/hyperlink" Target="https://doi.org/10.1002/anie.2516685" TargetMode="External"/><Relationship Id="rId942" Type="http://schemas.openxmlformats.org/officeDocument/2006/relationships/hyperlink" Target="https://www.nature.com/articles/d41586-026-02641-y" TargetMode="External"/><Relationship Id="rId943" Type="http://schemas.openxmlformats.org/officeDocument/2006/relationships/hyperlink" Target="https://doi.org/10.1038/d41586-026-02641-y" TargetMode="External"/><Relationship Id="rId944" Type="http://schemas.openxmlformats.org/officeDocument/2006/relationships/hyperlink" Target="https://www.nature.com/articles/s41563-026-02712-5" TargetMode="External"/><Relationship Id="rId945" Type="http://schemas.openxmlformats.org/officeDocument/2006/relationships/hyperlink" Target="https://doi.org/10.1038/s41563-026-02712-5" TargetMode="External"/><Relationship Id="rId946" Type="http://schemas.openxmlformats.org/officeDocument/2006/relationships/hyperlink" Target="https://www.nature.com/articles/s41563-026-02721-4" TargetMode="External"/><Relationship Id="rId947" Type="http://schemas.openxmlformats.org/officeDocument/2006/relationships/hyperlink" Target="https://doi.org/10.1038/s41563-026-02721-4" TargetMode="External"/><Relationship Id="rId948" Type="http://schemas.openxmlformats.org/officeDocument/2006/relationships/hyperlink" Target="https://www.nature.com/articles/d41586-026-02572-8" TargetMode="External"/><Relationship Id="rId949" Type="http://schemas.openxmlformats.org/officeDocument/2006/relationships/hyperlink" Target="https://doi.org/10.1038/d41586-026-02572-8" TargetMode="External"/><Relationship Id="rId950" Type="http://schemas.openxmlformats.org/officeDocument/2006/relationships/hyperlink" Target="https://www.nature.com/articles/d41586-026-02616-z" TargetMode="External"/><Relationship Id="rId951" Type="http://schemas.openxmlformats.org/officeDocument/2006/relationships/hyperlink" Target="https://doi.org/10.1038/d41586-026-02616-z" TargetMode="External"/><Relationship Id="rId952" Type="http://schemas.openxmlformats.org/officeDocument/2006/relationships/hyperlink" Target="https://www.nature.com/articles/d41586-026-02665-4" TargetMode="External"/><Relationship Id="rId953" Type="http://schemas.openxmlformats.org/officeDocument/2006/relationships/hyperlink" Target="https://doi.org/10.1038/d41586-026-02665-4" TargetMode="External"/><Relationship Id="rId954" Type="http://schemas.openxmlformats.org/officeDocument/2006/relationships/hyperlink" Target="https://academic.oup.com/nsr/advance-article/doi/10.1093/nsr/nwag513/8769760?rss=1" TargetMode="External"/><Relationship Id="rId955" Type="http://schemas.openxmlformats.org/officeDocument/2006/relationships/hyperlink" Target="https://doi.org/10.1093/nsr/nwag513" TargetMode="External"/><Relationship Id="rId956" Type="http://schemas.openxmlformats.org/officeDocument/2006/relationships/hyperlink" Target="https://www.nature.com/articles/s41893-026-01918-4" TargetMode="External"/><Relationship Id="rId957" Type="http://schemas.openxmlformats.org/officeDocument/2006/relationships/hyperlink" Target="https://doi.org/10.1038/s41893-026-01918-4" TargetMode="External"/><Relationship Id="rId958" Type="http://schemas.openxmlformats.org/officeDocument/2006/relationships/hyperlink" Target="https://www.nature.com/articles/d41586-026-02571-9" TargetMode="External"/><Relationship Id="rId959" Type="http://schemas.openxmlformats.org/officeDocument/2006/relationships/hyperlink" Target="https://doi.org/10.1038/d41586-026-02571-9" TargetMode="External"/><Relationship Id="rId960" Type="http://schemas.openxmlformats.org/officeDocument/2006/relationships/hyperlink" Target="https://pubs.acs.org/aamick/article/doi/10.1021/acsami.6c06863/5299748/Deoxyribonucleic-Acid-Brick-Crystal-Based-Textile" TargetMode="External"/><Relationship Id="rId961" Type="http://schemas.openxmlformats.org/officeDocument/2006/relationships/hyperlink" Target="https://doi.org/10.1021/acsami.6c06863" TargetMode="External"/><Relationship Id="rId962" Type="http://schemas.openxmlformats.org/officeDocument/2006/relationships/hyperlink" Target="https://academic.oup.com/nsr/advance-article/doi/10.1093/nsr/nwag525/8769432?rss=1" TargetMode="External"/><Relationship Id="rId963" Type="http://schemas.openxmlformats.org/officeDocument/2006/relationships/hyperlink" Target="https://doi.org/10.1093/nsr/nwag525" TargetMode="External"/><Relationship Id="rId964" Type="http://schemas.openxmlformats.org/officeDocument/2006/relationships/hyperlink" Target="https://academic.oup.com/nsr/advance-article/doi/10.1093/nsr/nwag517/8769438?rss=1" TargetMode="External"/><Relationship Id="rId965" Type="http://schemas.openxmlformats.org/officeDocument/2006/relationships/hyperlink" Target="https://doi.org/10.1093/nsr/nwag517" TargetMode="External"/><Relationship Id="rId966" Type="http://schemas.openxmlformats.org/officeDocument/2006/relationships/hyperlink" Target="https://pubs.acs.org/aamick/article/doi/10.1021/acsami.6c08861/5288204/Fe-3d-Electron-Delocalization-in-Asymmetric-Fe" TargetMode="External"/><Relationship Id="rId967" Type="http://schemas.openxmlformats.org/officeDocument/2006/relationships/hyperlink" Target="https://doi.org/10.1021/acsami.6c08861" TargetMode="External"/><Relationship Id="rId968" Type="http://schemas.openxmlformats.org/officeDocument/2006/relationships/hyperlink" Target="https://pubs.acs.org/aamick/article/doi/10.1021/acsami.6c12420/5288341/A-Chloroplast-Inspired-Theranostic-Nanoplatform" TargetMode="External"/><Relationship Id="rId969" Type="http://schemas.openxmlformats.org/officeDocument/2006/relationships/hyperlink" Target="https://doi.org/10.1021/acsami.6c12420" TargetMode="External"/><Relationship Id="rId970" Type="http://schemas.openxmlformats.org/officeDocument/2006/relationships/hyperlink" Target="https://pubs.acs.org/aamick/article/doi/10.1021/acsami.6c13319/5288472/Highly-Anisotropic-Quasi-1D-CsPbI3-Single-Nanowire" TargetMode="External"/><Relationship Id="rId971" Type="http://schemas.openxmlformats.org/officeDocument/2006/relationships/hyperlink" Target="https://doi.org/10.1021/acsami.6c13319" TargetMode="External"/><Relationship Id="rId972" Type="http://schemas.openxmlformats.org/officeDocument/2006/relationships/hyperlink" Target="https://pubs.acs.org/aamick/article/doi/10.1021/acsami.6c09018/5294969/Heparin-Ornamented-Polycaprolactone-Silk-Fibroin" TargetMode="External"/><Relationship Id="rId973" Type="http://schemas.openxmlformats.org/officeDocument/2006/relationships/hyperlink" Target="https://doi.org/10.1021/acsami.6c09018" TargetMode="External"/><Relationship Id="rId974" Type="http://schemas.openxmlformats.org/officeDocument/2006/relationships/hyperlink" Target="https://academic.oup.com/nsr/advance-article/doi/10.1093/nsr/nwag527/8769440?rss=1" TargetMode="External"/><Relationship Id="rId975" Type="http://schemas.openxmlformats.org/officeDocument/2006/relationships/hyperlink" Target="https://doi.org/10.1093/nsr/nwag527" TargetMode="External"/><Relationship Id="rId976" Type="http://schemas.openxmlformats.org/officeDocument/2006/relationships/hyperlink" Target="https://advanced.onlinelibrary.wiley.com/doi/10.1002/adma.74723?af=R" TargetMode="External"/><Relationship Id="rId977" Type="http://schemas.openxmlformats.org/officeDocument/2006/relationships/hyperlink" Target="https://doi.org/10.1002/adma.74723" TargetMode="External"/><Relationship Id="rId978" Type="http://schemas.openxmlformats.org/officeDocument/2006/relationships/hyperlink" Target="https://onlinelibrary.wiley.com/doi/10.1002/anie.2791465?af=R" TargetMode="External"/><Relationship Id="rId979" Type="http://schemas.openxmlformats.org/officeDocument/2006/relationships/hyperlink" Target="https://doi.org/10.1002/anie.2791465" TargetMode="External"/><Relationship Id="rId980" Type="http://schemas.openxmlformats.org/officeDocument/2006/relationships/hyperlink" Target="https://advanced.onlinelibrary.wiley.com/doi/10.1002/adma.74722?af=R" TargetMode="External"/><Relationship Id="rId981" Type="http://schemas.openxmlformats.org/officeDocument/2006/relationships/hyperlink" Target="https://doi.org/10.1002/adma.74722" TargetMode="External"/><Relationship Id="rId982" Type="http://schemas.openxmlformats.org/officeDocument/2006/relationships/hyperlink" Target="https://advanced.onlinelibrary.wiley.com/doi/10.1002/adma.74762?af=R" TargetMode="External"/><Relationship Id="rId983" Type="http://schemas.openxmlformats.org/officeDocument/2006/relationships/hyperlink" Target="https://doi.org/10.1002/adma.74762" TargetMode="External"/><Relationship Id="rId984" Type="http://schemas.openxmlformats.org/officeDocument/2006/relationships/hyperlink" Target="https://advanced.onlinelibrary.wiley.com/doi/10.1002/adma.74447?af=R" TargetMode="External"/><Relationship Id="rId985" Type="http://schemas.openxmlformats.org/officeDocument/2006/relationships/hyperlink" Target="https://doi.org/10.1002/adma.74447" TargetMode="External"/><Relationship Id="rId986" Type="http://schemas.openxmlformats.org/officeDocument/2006/relationships/hyperlink" Target="https://advanced.onlinelibrary.wiley.com/doi/10.1002/adma.74740?af=R" TargetMode="External"/><Relationship Id="rId987" Type="http://schemas.openxmlformats.org/officeDocument/2006/relationships/hyperlink" Target="https://doi.org/10.1002/adma.74740" TargetMode="External"/><Relationship Id="rId988" Type="http://schemas.openxmlformats.org/officeDocument/2006/relationships/hyperlink" Target="https://www.pnas.org/doi/abs/10.1073/pnas.2623374123?mi=eymic2&amp;af=R&amp;access=on&amp;content=articlesChapters&amp;publication=pnas&amp;sortBy=Earliest&amp;target=default" TargetMode="External"/><Relationship Id="rId989" Type="http://schemas.openxmlformats.org/officeDocument/2006/relationships/hyperlink" Target="https://doi.org/10.1073/pnas.2623374123" TargetMode="External"/><Relationship Id="rId990" Type="http://schemas.openxmlformats.org/officeDocument/2006/relationships/hyperlink" Target="https://www.pnas.org/doi/abs/10.1073/pnas.2624730123?mi=eymic2&amp;af=R&amp;access=on&amp;content=articlesChapters&amp;publication=pnas&amp;sortBy=Earliest&amp;target=default" TargetMode="External"/><Relationship Id="rId991" Type="http://schemas.openxmlformats.org/officeDocument/2006/relationships/hyperlink" Target="https://doi.org/10.1073/pnas.2624730123" TargetMode="External"/><Relationship Id="rId992" Type="http://schemas.openxmlformats.org/officeDocument/2006/relationships/hyperlink" Target="https://www.pnas.org/doi/abs/10.1073/pnas.2626418123?mi=eymic2&amp;af=R&amp;access=on&amp;content=articlesChapters&amp;publication=pnas&amp;sortBy=Earliest&amp;target=default" TargetMode="External"/><Relationship Id="rId993" Type="http://schemas.openxmlformats.org/officeDocument/2006/relationships/hyperlink" Target="https://doi.org/10.1073/pnas.2626418123" TargetMode="External"/><Relationship Id="rId994" Type="http://schemas.openxmlformats.org/officeDocument/2006/relationships/hyperlink" Target="https://www.pnas.org/doi/abs/10.1073/pnas.2627926123?mi=eymic2&amp;af=R&amp;access=on&amp;content=articlesChapters&amp;publication=pnas&amp;sortBy=Earliest&amp;target=default" TargetMode="External"/><Relationship Id="rId995" Type="http://schemas.openxmlformats.org/officeDocument/2006/relationships/hyperlink" Target="https://doi.org/10.1073/pnas.2627926123" TargetMode="External"/><Relationship Id="rId996" Type="http://schemas.openxmlformats.org/officeDocument/2006/relationships/hyperlink" Target="https://www.pnas.org/doi/abs/10.1073/pnas.2534093123?mi=eymic2&amp;af=R&amp;access=on&amp;content=articlesChapters&amp;publication=pnas&amp;sortBy=Earliest&amp;target=default" TargetMode="External"/><Relationship Id="rId997" Type="http://schemas.openxmlformats.org/officeDocument/2006/relationships/hyperlink" Target="https://doi.org/10.1073/pnas.2534093123" TargetMode="External"/><Relationship Id="rId998" Type="http://schemas.openxmlformats.org/officeDocument/2006/relationships/hyperlink" Target="https://www.pnas.org/doi/abs/10.1073/pnas.2533462123?mi=eymic2&amp;af=R&amp;access=on&amp;content=articlesChapters&amp;publication=pnas&amp;sortBy=Earliest&amp;target=default" TargetMode="External"/><Relationship Id="rId999" Type="http://schemas.openxmlformats.org/officeDocument/2006/relationships/hyperlink" Target="https://doi.org/10.1073/pnas.2533462123" TargetMode="External"/><Relationship Id="rId1000" Type="http://schemas.openxmlformats.org/officeDocument/2006/relationships/hyperlink" Target="https://www.pnas.org/doi/abs/10.1073/pnas.2532225123?mi=eymic2&amp;af=R&amp;access=on&amp;content=articlesChapters&amp;publication=pnas&amp;sortBy=Earliest&amp;target=default" TargetMode="External"/><Relationship Id="rId1001" Type="http://schemas.openxmlformats.org/officeDocument/2006/relationships/hyperlink" Target="https://doi.org/10.1073/pnas.2532225123" TargetMode="External"/><Relationship Id="rId1002" Type="http://schemas.openxmlformats.org/officeDocument/2006/relationships/hyperlink" Target="https://www.pnas.org/doi/abs/10.1073/pnas.2532795123?mi=eymic2&amp;af=R&amp;access=on&amp;content=articlesChapters&amp;publication=pnas&amp;sortBy=Earliest&amp;target=default" TargetMode="External"/><Relationship Id="rId1003" Type="http://schemas.openxmlformats.org/officeDocument/2006/relationships/hyperlink" Target="https://doi.org/10.1073/pnas.2532795123" TargetMode="External"/><Relationship Id="rId1004" Type="http://schemas.openxmlformats.org/officeDocument/2006/relationships/hyperlink" Target="https://www.pnas.org/doi/abs/10.1073/pnas.2532792123?mi=eymic2&amp;af=R&amp;access=on&amp;content=articlesChapters&amp;publication=pnas&amp;sortBy=Earliest&amp;target=default" TargetMode="External"/><Relationship Id="rId1005" Type="http://schemas.openxmlformats.org/officeDocument/2006/relationships/hyperlink" Target="https://doi.org/10.1073/pnas.2532792123" TargetMode="External"/><Relationship Id="rId1006" Type="http://schemas.openxmlformats.org/officeDocument/2006/relationships/hyperlink" Target="https://www.pnas.org/doi/abs/10.1073/pnas.2619192123?mi=eymic2&amp;af=R&amp;access=on&amp;content=articlesChapters&amp;publication=pnas&amp;sortBy=Earliest&amp;target=default" TargetMode="External"/><Relationship Id="rId1007" Type="http://schemas.openxmlformats.org/officeDocument/2006/relationships/hyperlink" Target="https://doi.org/10.1073/pnas.2619192123" TargetMode="External"/><Relationship Id="rId1008" Type="http://schemas.openxmlformats.org/officeDocument/2006/relationships/hyperlink" Target="https://www.pnas.org/doi/abs/10.1073/pnas.2534325123?mi=eymic2&amp;af=R&amp;access=on&amp;content=articlesChapters&amp;publication=pnas&amp;sortBy=Earliest&amp;target=default" TargetMode="External"/><Relationship Id="rId1009" Type="http://schemas.openxmlformats.org/officeDocument/2006/relationships/hyperlink" Target="https://doi.org/10.1073/pnas.2534325123" TargetMode="External"/><Relationship Id="rId1010" Type="http://schemas.openxmlformats.org/officeDocument/2006/relationships/hyperlink" Target="https://www.pnas.org/doi/abs/10.1073/pnas.2623372123?mi=eymic2&amp;af=R&amp;access=on&amp;content=articlesChapters&amp;publication=pnas&amp;sortBy=Earliest&amp;target=default" TargetMode="External"/><Relationship Id="rId1011" Type="http://schemas.openxmlformats.org/officeDocument/2006/relationships/hyperlink" Target="https://doi.org/10.1073/pnas.2623372123" TargetMode="External"/><Relationship Id="rId1012" Type="http://schemas.openxmlformats.org/officeDocument/2006/relationships/hyperlink" Target="https://www.pnas.org/doi/abs/10.1073/pnas.2533336123?mi=eymic2&amp;af=R&amp;access=on&amp;content=articlesChapters&amp;publication=pnas&amp;sortBy=Earliest&amp;target=default" TargetMode="External"/><Relationship Id="rId1013" Type="http://schemas.openxmlformats.org/officeDocument/2006/relationships/hyperlink" Target="https://doi.org/10.1073/pnas.2533336123" TargetMode="External"/><Relationship Id="rId1014" Type="http://schemas.openxmlformats.org/officeDocument/2006/relationships/hyperlink" Target="https://www.pnas.org/doi/abs/10.1073/pnas.2622754123?mi=eymic2&amp;af=R&amp;access=on&amp;content=articlesChapters&amp;publication=pnas&amp;sortBy=Earliest&amp;target=default" TargetMode="External"/><Relationship Id="rId1015" Type="http://schemas.openxmlformats.org/officeDocument/2006/relationships/hyperlink" Target="https://doi.org/10.1073/pnas.2622754123" TargetMode="External"/><Relationship Id="rId1016" Type="http://schemas.openxmlformats.org/officeDocument/2006/relationships/hyperlink" Target="https://www.pnas.org/doi/abs/10.1073/pnas.2613593123?mi=eymic2&amp;af=R&amp;access=on&amp;content=articlesChapters&amp;publication=pnas&amp;sortBy=Earliest&amp;target=default" TargetMode="External"/><Relationship Id="rId1017" Type="http://schemas.openxmlformats.org/officeDocument/2006/relationships/hyperlink" Target="https://doi.org/10.1073/pnas.2613593123" TargetMode="External"/><Relationship Id="rId1018" Type="http://schemas.openxmlformats.org/officeDocument/2006/relationships/hyperlink" Target="https://www.pnas.org/doi/abs/10.1073/pnas.2529490123?mi=eymic2&amp;af=R&amp;access=on&amp;content=articlesChapters&amp;publication=pnas&amp;sortBy=Earliest&amp;target=default" TargetMode="External"/><Relationship Id="rId1019" Type="http://schemas.openxmlformats.org/officeDocument/2006/relationships/hyperlink" Target="https://doi.org/10.1073/pnas.2529490123" TargetMode="External"/><Relationship Id="rId1020" Type="http://schemas.openxmlformats.org/officeDocument/2006/relationships/hyperlink" Target="https://www.pnas.org/doi/abs/10.1073/pnas.2524115123?mi=eymic2&amp;af=R&amp;access=on&amp;content=articlesChapters&amp;publication=pnas&amp;sortBy=Earliest&amp;target=default" TargetMode="External"/><Relationship Id="rId1021" Type="http://schemas.openxmlformats.org/officeDocument/2006/relationships/hyperlink" Target="https://doi.org/10.1073/pnas.2524115123" TargetMode="External"/><Relationship Id="rId1022" Type="http://schemas.openxmlformats.org/officeDocument/2006/relationships/hyperlink" Target="https://www.pnas.org/doi/abs/10.1073/pnas.2537342123?mi=eymic2&amp;af=R&amp;access=on&amp;content=articlesChapters&amp;publication=pnas&amp;sortBy=Earliest&amp;target=default" TargetMode="External"/><Relationship Id="rId1023" Type="http://schemas.openxmlformats.org/officeDocument/2006/relationships/hyperlink" Target="https://doi.org/10.1073/pnas.2537342123" TargetMode="External"/><Relationship Id="rId1024" Type="http://schemas.openxmlformats.org/officeDocument/2006/relationships/hyperlink" Target="https://www.pnas.org/doi/abs/10.1073/pnas.2526201123?mi=eymic2&amp;af=R&amp;access=on&amp;content=articlesChapters&amp;publication=pnas&amp;sortBy=Earliest&amp;target=default" TargetMode="External"/><Relationship Id="rId1025" Type="http://schemas.openxmlformats.org/officeDocument/2006/relationships/hyperlink" Target="https://doi.org/10.1073/pnas.2526201123" TargetMode="External"/><Relationship Id="rId1026" Type="http://schemas.openxmlformats.org/officeDocument/2006/relationships/hyperlink" Target="https://www.pnas.org/doi/abs/10.1073/pnas.2521660123?mi=eymic2&amp;af=R&amp;access=on&amp;content=articlesChapters&amp;publication=pnas&amp;sortBy=Earliest&amp;target=default" TargetMode="External"/><Relationship Id="rId1027" Type="http://schemas.openxmlformats.org/officeDocument/2006/relationships/hyperlink" Target="https://doi.org/10.1073/pnas.2521660123" TargetMode="External"/><Relationship Id="rId1028" Type="http://schemas.openxmlformats.org/officeDocument/2006/relationships/hyperlink" Target="https://www.pnas.org/doi/abs/10.1073/pnas.2535297123?mi=eymic2&amp;af=R&amp;access=on&amp;content=articlesChapters&amp;publication=pnas&amp;sortBy=Earliest&amp;target=default" TargetMode="External"/><Relationship Id="rId1029" Type="http://schemas.openxmlformats.org/officeDocument/2006/relationships/hyperlink" Target="https://doi.org/10.1073/pnas.2535297123" TargetMode="External"/><Relationship Id="rId1030" Type="http://schemas.openxmlformats.org/officeDocument/2006/relationships/hyperlink" Target="https://www.pnas.org/doi/abs/10.1073/pnas.2526705123?mi=eymic2&amp;af=R&amp;access=on&amp;content=articlesChapters&amp;publication=pnas&amp;sortBy=Earliest&amp;target=default" TargetMode="External"/><Relationship Id="rId1031" Type="http://schemas.openxmlformats.org/officeDocument/2006/relationships/hyperlink" Target="https://doi.org/10.1073/pnas.2526705123" TargetMode="External"/><Relationship Id="rId1032" Type="http://schemas.openxmlformats.org/officeDocument/2006/relationships/hyperlink" Target="https://www.pnas.org/doi/abs/10.1073/pnas.2531841123?mi=eymic2&amp;af=R&amp;access=on&amp;content=articlesChapters&amp;publication=pnas&amp;sortBy=Earliest&amp;target=default" TargetMode="External"/><Relationship Id="rId1033" Type="http://schemas.openxmlformats.org/officeDocument/2006/relationships/hyperlink" Target="https://doi.org/10.1073/pnas.2531841123" TargetMode="External"/><Relationship Id="rId1034" Type="http://schemas.openxmlformats.org/officeDocument/2006/relationships/hyperlink" Target="https://www.pnas.org/doi/abs/10.1073/pnas.2602594123?mi=eymic2&amp;af=R&amp;access=on&amp;content=articlesChapters&amp;publication=pnas&amp;sortBy=Earliest&amp;target=default" TargetMode="External"/><Relationship Id="rId1035" Type="http://schemas.openxmlformats.org/officeDocument/2006/relationships/hyperlink" Target="https://doi.org/10.1073/pnas.2602594123" TargetMode="External"/><Relationship Id="rId1036" Type="http://schemas.openxmlformats.org/officeDocument/2006/relationships/hyperlink" Target="https://www.pnas.org/doi/abs/10.1073/pnas.2602851123?mi=eymic2&amp;af=R&amp;access=on&amp;content=articlesChapters&amp;publication=pnas&amp;sortBy=Earliest&amp;target=default" TargetMode="External"/><Relationship Id="rId1037" Type="http://schemas.openxmlformats.org/officeDocument/2006/relationships/hyperlink" Target="https://doi.org/10.1073/pnas.2602851123" TargetMode="External"/><Relationship Id="rId1038" Type="http://schemas.openxmlformats.org/officeDocument/2006/relationships/hyperlink" Target="https://www.pnas.org/doi/abs/10.1073/pnas.2601583123?mi=eymic2&amp;af=R&amp;access=on&amp;content=articlesChapters&amp;publication=pnas&amp;sortBy=Earliest&amp;target=default" TargetMode="External"/><Relationship Id="rId1039" Type="http://schemas.openxmlformats.org/officeDocument/2006/relationships/hyperlink" Target="https://doi.org/10.1073/pnas.2601583123" TargetMode="External"/><Relationship Id="rId1040" Type="http://schemas.openxmlformats.org/officeDocument/2006/relationships/hyperlink" Target="https://www.pnas.org/doi/abs/10.1073/pnas.2605428123?mi=eymic2&amp;af=R&amp;access=on&amp;content=articlesChapters&amp;publication=pnas&amp;sortBy=Earliest&amp;target=default" TargetMode="External"/><Relationship Id="rId1041" Type="http://schemas.openxmlformats.org/officeDocument/2006/relationships/hyperlink" Target="https://doi.org/10.1073/pnas.2605428123" TargetMode="External"/><Relationship Id="rId1042" Type="http://schemas.openxmlformats.org/officeDocument/2006/relationships/hyperlink" Target="https://www.pnas.org/doi/abs/10.1073/pnas.2605731123?mi=eymic2&amp;af=R&amp;access=on&amp;content=articlesChapters&amp;publication=pnas&amp;sortBy=Earliest&amp;target=default" TargetMode="External"/><Relationship Id="rId1043" Type="http://schemas.openxmlformats.org/officeDocument/2006/relationships/hyperlink" Target="https://doi.org/10.1073/pnas.2605731123" TargetMode="External"/><Relationship Id="rId1044" Type="http://schemas.openxmlformats.org/officeDocument/2006/relationships/hyperlink" Target="https://www.pnas.org/doi/abs/10.1073/pnas.2605760123?mi=eymic2&amp;af=R&amp;access=on&amp;content=articlesChapters&amp;publication=pnas&amp;sortBy=Earliest&amp;target=default" TargetMode="External"/><Relationship Id="rId1045" Type="http://schemas.openxmlformats.org/officeDocument/2006/relationships/hyperlink" Target="https://doi.org/10.1073/pnas.2605760123" TargetMode="External"/><Relationship Id="rId1046" Type="http://schemas.openxmlformats.org/officeDocument/2006/relationships/hyperlink" Target="https://www.pnas.org/doi/abs/10.1073/pnas.2609064123?mi=eymic2&amp;af=R&amp;access=on&amp;content=articlesChapters&amp;publication=pnas&amp;sortBy=Earliest&amp;target=default" TargetMode="External"/><Relationship Id="rId1047" Type="http://schemas.openxmlformats.org/officeDocument/2006/relationships/hyperlink" Target="https://doi.org/10.1073/pnas.2609064123" TargetMode="External"/><Relationship Id="rId1048" Type="http://schemas.openxmlformats.org/officeDocument/2006/relationships/hyperlink" Target="https://www.pnas.org/doi/abs/10.1073/pnas.2609143123?mi=eymic2&amp;af=R&amp;access=on&amp;content=articlesChapters&amp;publication=pnas&amp;sortBy=Earliest&amp;target=default" TargetMode="External"/><Relationship Id="rId1049" Type="http://schemas.openxmlformats.org/officeDocument/2006/relationships/hyperlink" Target="https://doi.org/10.1073/pnas.2609143123" TargetMode="External"/><Relationship Id="rId1050" Type="http://schemas.openxmlformats.org/officeDocument/2006/relationships/hyperlink" Target="https://www.pnas.org/doi/abs/10.1073/pnas.2609240123?mi=eymic2&amp;af=R&amp;access=on&amp;content=articlesChapters&amp;publication=pnas&amp;sortBy=Earliest&amp;target=default" TargetMode="External"/><Relationship Id="rId1051" Type="http://schemas.openxmlformats.org/officeDocument/2006/relationships/hyperlink" Target="https://doi.org/10.1073/pnas.2609240123" TargetMode="External"/><Relationship Id="rId1052" Type="http://schemas.openxmlformats.org/officeDocument/2006/relationships/hyperlink" Target="https://www.pnas.org/doi/abs/10.1073/pnas.2611585123?mi=eymic2&amp;af=R&amp;access=on&amp;content=articlesChapters&amp;publication=pnas&amp;sortBy=Earliest&amp;target=default" TargetMode="External"/><Relationship Id="rId1053" Type="http://schemas.openxmlformats.org/officeDocument/2006/relationships/hyperlink" Target="https://doi.org/10.1073/pnas.2611585123" TargetMode="External"/><Relationship Id="rId1054" Type="http://schemas.openxmlformats.org/officeDocument/2006/relationships/hyperlink" Target="https://www.pnas.org/doi/abs/10.1073/pnas.2614339123?mi=eymic2&amp;af=R&amp;access=on&amp;content=articlesChapters&amp;publication=pnas&amp;sortBy=Earliest&amp;target=default" TargetMode="External"/><Relationship Id="rId1055" Type="http://schemas.openxmlformats.org/officeDocument/2006/relationships/hyperlink" Target="https://doi.org/10.1073/pnas.2614339123" TargetMode="External"/><Relationship Id="rId1056" Type="http://schemas.openxmlformats.org/officeDocument/2006/relationships/hyperlink" Target="https://www.pnas.org/doi/abs/10.1073/pnas.2604869123?mi=eymic2&amp;af=R&amp;access=on&amp;content=articlesChapters&amp;publication=pnas&amp;sortBy=Earliest&amp;target=default" TargetMode="External"/><Relationship Id="rId1057" Type="http://schemas.openxmlformats.org/officeDocument/2006/relationships/hyperlink" Target="https://doi.org/10.1073/pnas.2604869123" TargetMode="External"/><Relationship Id="rId1058" Type="http://schemas.openxmlformats.org/officeDocument/2006/relationships/hyperlink" Target="https://advanced.onlinelibrary.wiley.com/doi/10.1002/adma.74764?af=R" TargetMode="External"/><Relationship Id="rId1059" Type="http://schemas.openxmlformats.org/officeDocument/2006/relationships/hyperlink" Target="https://doi.org/10.1002/adma.74764" TargetMode="External"/><Relationship Id="rId1060" Type="http://schemas.openxmlformats.org/officeDocument/2006/relationships/hyperlink" Target="https://onlinelibrary.wiley.com/doi/10.1002/anie.2407891?af=R" TargetMode="External"/><Relationship Id="rId1061" Type="http://schemas.openxmlformats.org/officeDocument/2006/relationships/hyperlink" Target="https://doi.org/10.1002/anie.2407891" TargetMode="External"/><Relationship Id="rId1062" Type="http://schemas.openxmlformats.org/officeDocument/2006/relationships/hyperlink" Target="http://link.aps.org/doi/10.1103/prxh-9vjg" TargetMode="External"/><Relationship Id="rId1063" Type="http://schemas.openxmlformats.org/officeDocument/2006/relationships/hyperlink" Target="https://doi.org/10.1103/prxh-9vjg" TargetMode="External"/><Relationship Id="rId1064" Type="http://schemas.openxmlformats.org/officeDocument/2006/relationships/hyperlink" Target="http://link.aps.org/doi/10.1103/f217-f5xw" TargetMode="External"/><Relationship Id="rId1065" Type="http://schemas.openxmlformats.org/officeDocument/2006/relationships/hyperlink" Target="https://doi.org/10.1103/f217-f5xw" TargetMode="External"/><Relationship Id="rId1066" Type="http://schemas.openxmlformats.org/officeDocument/2006/relationships/hyperlink" Target="http://link.aps.org/doi/10.1103/1ggv-8f83" TargetMode="External"/><Relationship Id="rId1067" Type="http://schemas.openxmlformats.org/officeDocument/2006/relationships/hyperlink" Target="https://doi.org/10.1103/1ggv-8f83" TargetMode="External"/><Relationship Id="rId1068" Type="http://schemas.openxmlformats.org/officeDocument/2006/relationships/hyperlink" Target="http://link.aps.org/doi/10.1103/dbck-v8nm" TargetMode="External"/><Relationship Id="rId1069" Type="http://schemas.openxmlformats.org/officeDocument/2006/relationships/hyperlink" Target="https://doi.org/10.1103/dbck-v8nm" TargetMode="External"/><Relationship Id="rId1070" Type="http://schemas.openxmlformats.org/officeDocument/2006/relationships/hyperlink" Target="http://link.aps.org/doi/10.1103/wzjf-64f2" TargetMode="External"/><Relationship Id="rId1071" Type="http://schemas.openxmlformats.org/officeDocument/2006/relationships/hyperlink" Target="https://doi.org/10.1103/wzjf-64f2" TargetMode="External"/><Relationship Id="rId1072" Type="http://schemas.openxmlformats.org/officeDocument/2006/relationships/hyperlink" Target="http://link.aps.org/doi/10.1103/6xyd-83v5" TargetMode="External"/><Relationship Id="rId1073" Type="http://schemas.openxmlformats.org/officeDocument/2006/relationships/hyperlink" Target="https://doi.org/10.1103/6xyd-83v5" TargetMode="External"/><Relationship Id="rId1074" Type="http://schemas.openxmlformats.org/officeDocument/2006/relationships/hyperlink" Target="http://link.aps.org/doi/10.1103/7dnl-6kg2" TargetMode="External"/><Relationship Id="rId1075" Type="http://schemas.openxmlformats.org/officeDocument/2006/relationships/hyperlink" Target="https://doi.org/10.1103/7dnl-6kg2" TargetMode="External"/><Relationship Id="rId1076" Type="http://schemas.openxmlformats.org/officeDocument/2006/relationships/hyperlink" Target="http://link.aps.org/doi/10.1103/llw4-tbnt" TargetMode="External"/><Relationship Id="rId1077" Type="http://schemas.openxmlformats.org/officeDocument/2006/relationships/hyperlink" Target="https://doi.org/10.1103/llw4-tbnt" TargetMode="External"/><Relationship Id="rId1078" Type="http://schemas.openxmlformats.org/officeDocument/2006/relationships/hyperlink" Target="http://link.aps.org/doi/10.1103/196y-5h6h" TargetMode="External"/><Relationship Id="rId1079" Type="http://schemas.openxmlformats.org/officeDocument/2006/relationships/hyperlink" Target="https://doi.org/10.1103/196y-5h6h" TargetMode="External"/><Relationship Id="rId1080" Type="http://schemas.openxmlformats.org/officeDocument/2006/relationships/hyperlink" Target="http://link.aps.org/doi/10.1103/zdc7-fcyf" TargetMode="External"/><Relationship Id="rId1081" Type="http://schemas.openxmlformats.org/officeDocument/2006/relationships/hyperlink" Target="https://doi.org/10.1103/zdc7-fcyf" TargetMode="External"/><Relationship Id="rId1082" Type="http://schemas.openxmlformats.org/officeDocument/2006/relationships/hyperlink" Target="http://link.aps.org/doi/10.1103/pc8y-j7g8" TargetMode="External"/><Relationship Id="rId1083" Type="http://schemas.openxmlformats.org/officeDocument/2006/relationships/hyperlink" Target="https://doi.org/10.1103/pc8y-j7g8" TargetMode="External"/><Relationship Id="rId1084" Type="http://schemas.openxmlformats.org/officeDocument/2006/relationships/hyperlink" Target="http://link.aps.org/doi/10.1103/pfkh-4x7j" TargetMode="External"/><Relationship Id="rId1085" Type="http://schemas.openxmlformats.org/officeDocument/2006/relationships/hyperlink" Target="https://doi.org/10.1103/pfkh-4x7j" TargetMode="External"/><Relationship Id="rId1086" Type="http://schemas.openxmlformats.org/officeDocument/2006/relationships/hyperlink" Target="http://link.aps.org/doi/10.1103/pbq7-szl7" TargetMode="External"/><Relationship Id="rId1087" Type="http://schemas.openxmlformats.org/officeDocument/2006/relationships/hyperlink" Target="https://doi.org/10.1103/pbq7-szl7" TargetMode="External"/><Relationship Id="rId1088" Type="http://schemas.openxmlformats.org/officeDocument/2006/relationships/hyperlink" Target="https://onlinelibrary.wiley.com/doi/10.1002/anie.3898240?af=R" TargetMode="External"/><Relationship Id="rId1089" Type="http://schemas.openxmlformats.org/officeDocument/2006/relationships/hyperlink" Target="https://doi.org/10.1002/anie.3898240" TargetMode="External"/><Relationship Id="rId1090" Type="http://schemas.openxmlformats.org/officeDocument/2006/relationships/hyperlink" Target="https://onlinelibrary.wiley.com/doi/10.1002/anie.1850136?af=R" TargetMode="External"/><Relationship Id="rId1091" Type="http://schemas.openxmlformats.org/officeDocument/2006/relationships/hyperlink" Target="https://doi.org/10.1002/anie.1850136" TargetMode="External"/><Relationship Id="rId1092" Type="http://schemas.openxmlformats.org/officeDocument/2006/relationships/hyperlink" Target="https://onlinelibrary.wiley.com/doi/10.1002/anie.1750323?af=R" TargetMode="External"/><Relationship Id="rId1093" Type="http://schemas.openxmlformats.org/officeDocument/2006/relationships/hyperlink" Target="https://doi.org/10.1002/anie.1750323" TargetMode="External"/><Relationship Id="rId1094" Type="http://schemas.openxmlformats.org/officeDocument/2006/relationships/hyperlink" Target="https://advanced.onlinelibrary.wiley.com/doi/10.1002/adma.74687?af=R" TargetMode="External"/><Relationship Id="rId1095" Type="http://schemas.openxmlformats.org/officeDocument/2006/relationships/hyperlink" Target="https://doi.org/10.1002/adma.74687" TargetMode="External"/><Relationship Id="rId1096" Type="http://schemas.openxmlformats.org/officeDocument/2006/relationships/hyperlink" Target="https://advanced.onlinelibrary.wiley.com/doi/10.1002/adma.74780?af=R" TargetMode="External"/><Relationship Id="rId1097" Type="http://schemas.openxmlformats.org/officeDocument/2006/relationships/hyperlink" Target="https://doi.org/10.1002/adma.74780" TargetMode="External"/><Relationship Id="rId1098" Type="http://schemas.openxmlformats.org/officeDocument/2006/relationships/hyperlink" Target="https://advanced.onlinelibrary.wiley.com/doi/10.1002/adma.74737?af=R" TargetMode="External"/><Relationship Id="rId1099" Type="http://schemas.openxmlformats.org/officeDocument/2006/relationships/hyperlink" Target="https://doi.org/10.1002/adma.74737" TargetMode="External"/><Relationship Id="rId1100" Type="http://schemas.openxmlformats.org/officeDocument/2006/relationships/hyperlink" Target="https://advanced.onlinelibrary.wiley.com/doi/10.1002/adma.74774?af=R" TargetMode="External"/><Relationship Id="rId1101" Type="http://schemas.openxmlformats.org/officeDocument/2006/relationships/hyperlink" Target="https://doi.org/10.1002/adma.74774" TargetMode="External"/><Relationship Id="rId1102" Type="http://schemas.openxmlformats.org/officeDocument/2006/relationships/hyperlink" Target="https://onlinelibrary.wiley.com/doi/10.1002/anie.2205198?af=R" TargetMode="External"/><Relationship Id="rId1103" Type="http://schemas.openxmlformats.org/officeDocument/2006/relationships/hyperlink" Target="https://doi.org/10.1002/anie.2205198" TargetMode="External"/><Relationship Id="rId1104" Type="http://schemas.openxmlformats.org/officeDocument/2006/relationships/hyperlink" Target="https://onlinelibrary.wiley.com/doi/10.1002/anie.5128253?af=R" TargetMode="External"/><Relationship Id="rId1105" Type="http://schemas.openxmlformats.org/officeDocument/2006/relationships/hyperlink" Target="https://doi.org/10.1002/anie.5128253" TargetMode="External"/><Relationship Id="rId1106" Type="http://schemas.openxmlformats.org/officeDocument/2006/relationships/hyperlink" Target="https://onlinelibrary.wiley.com/doi/10.1002/anie.5009703?af=R" TargetMode="External"/><Relationship Id="rId1107" Type="http://schemas.openxmlformats.org/officeDocument/2006/relationships/hyperlink" Target="https://doi.org/10.1002/anie.5009703" TargetMode="External"/><Relationship Id="rId1108" Type="http://schemas.openxmlformats.org/officeDocument/2006/relationships/hyperlink" Target="https://www.nature.com/articles/d41586-026-02382-y" TargetMode="External"/><Relationship Id="rId1109" Type="http://schemas.openxmlformats.org/officeDocument/2006/relationships/hyperlink" Target="https://doi.org/10.1038/d41586-026-02382-y" TargetMode="External"/><Relationship Id="rId1110" Type="http://schemas.openxmlformats.org/officeDocument/2006/relationships/hyperlink" Target="https://www.nature.com/articles/d41586-026-02634-x" TargetMode="External"/><Relationship Id="rId1111" Type="http://schemas.openxmlformats.org/officeDocument/2006/relationships/hyperlink" Target="https://doi.org/10.1038/d41586-026-02634-x" TargetMode="External"/><Relationship Id="rId1112" Type="http://schemas.openxmlformats.org/officeDocument/2006/relationships/hyperlink" Target="https://www.nature.com/articles/d41586-026-02635-w" TargetMode="External"/><Relationship Id="rId1113" Type="http://schemas.openxmlformats.org/officeDocument/2006/relationships/hyperlink" Target="https://doi.org/10.1038/d41586-026-02635-w" TargetMode="External"/><Relationship Id="rId1114" Type="http://schemas.openxmlformats.org/officeDocument/2006/relationships/hyperlink" Target="https://academic.oup.com/nsr/advance-article/doi/10.1093/nsr/nwag522/8770405?rss=1" TargetMode="External"/><Relationship Id="rId1115" Type="http://schemas.openxmlformats.org/officeDocument/2006/relationships/hyperlink" Target="https://doi.org/10.1093/nsr/nwag522" TargetMode="External"/><Relationship Id="rId1116" Type="http://schemas.openxmlformats.org/officeDocument/2006/relationships/hyperlink" Target="https://academic.oup.com/nsr/advance-article/doi/10.1093/nsr/nwag538/8770403?rss=1" TargetMode="External"/><Relationship Id="rId1117" Type="http://schemas.openxmlformats.org/officeDocument/2006/relationships/hyperlink" Target="https://doi.org/10.1093/nsr/nwag538" TargetMode="External"/><Relationship Id="rId1118" Type="http://schemas.openxmlformats.org/officeDocument/2006/relationships/hyperlink" Target="https://www.nature.com/articles/s41563-026-02727-y" TargetMode="External"/><Relationship Id="rId1119" Type="http://schemas.openxmlformats.org/officeDocument/2006/relationships/hyperlink" Target="https://doi.org/10.1038/s41563-026-02727-y" TargetMode="External"/><Relationship Id="rId1120" Type="http://schemas.openxmlformats.org/officeDocument/2006/relationships/hyperlink" Target="https://www.nature.com/articles/d41586-026-02611-4" TargetMode="External"/><Relationship Id="rId1121" Type="http://schemas.openxmlformats.org/officeDocument/2006/relationships/hyperlink" Target="https://doi.org/10.1038/d41586-026-02611-4" TargetMode="External"/><Relationship Id="rId1122" Type="http://schemas.openxmlformats.org/officeDocument/2006/relationships/hyperlink" Target="https://www.nature.com/articles/s41467-026-76873-x" TargetMode="External"/><Relationship Id="rId1123" Type="http://schemas.openxmlformats.org/officeDocument/2006/relationships/hyperlink" Target="https://www.nature.com/articles/d41586-026-02631-0" TargetMode="External"/><Relationship Id="rId1124" Type="http://schemas.openxmlformats.org/officeDocument/2006/relationships/hyperlink" Target="https://doi.org/10.1038/d41586-026-02631-0" TargetMode="External"/><Relationship Id="rId1125" Type="http://schemas.openxmlformats.org/officeDocument/2006/relationships/hyperlink" Target="https://www.nature.com/articles/s41586-026-11017-1" TargetMode="External"/><Relationship Id="rId1126" Type="http://schemas.openxmlformats.org/officeDocument/2006/relationships/hyperlink" Target="https://doi.org/10.1038/s41586-026-11017-1" TargetMode="External"/><Relationship Id="rId1127" Type="http://schemas.openxmlformats.org/officeDocument/2006/relationships/hyperlink" Target="https://academic.oup.com/nsr/advance-article/doi/10.1093/nsr/nwag521/8770401?rss=1" TargetMode="External"/><Relationship Id="rId1128" Type="http://schemas.openxmlformats.org/officeDocument/2006/relationships/hyperlink" Target="https://doi.org/10.1093/nsr/nwag521" TargetMode="External"/><Relationship Id="rId1129" Type="http://schemas.openxmlformats.org/officeDocument/2006/relationships/hyperlink" Target="https://www.nature.com/articles/s41467-026-76600-6" TargetMode="External"/><Relationship Id="rId1130" Type="http://schemas.openxmlformats.org/officeDocument/2006/relationships/hyperlink" Target="https://www.nature.com/articles/s41467-026-76986-3" TargetMode="External"/><Relationship Id="rId1131" Type="http://schemas.openxmlformats.org/officeDocument/2006/relationships/hyperlink" Target="https://www.nature.com/articles/s41467-026-77249-x" TargetMode="External"/><Relationship Id="rId1132" Type="http://schemas.openxmlformats.org/officeDocument/2006/relationships/hyperlink" Target="https://www.nature.com/articles/s41467-026-76548-7" TargetMode="External"/><Relationship Id="rId1133" Type="http://schemas.openxmlformats.org/officeDocument/2006/relationships/hyperlink" Target="https://academic.oup.com/nsr/advance-article/doi/10.1093/nsr/nwag518/8770740?rss=1" TargetMode="External"/><Relationship Id="rId1134" Type="http://schemas.openxmlformats.org/officeDocument/2006/relationships/hyperlink" Target="https://doi.org/10.1093/nsr/nwag518" TargetMode="External"/><Relationship Id="rId1135" Type="http://schemas.openxmlformats.org/officeDocument/2006/relationships/hyperlink" Target="https://www.nature.com/articles/d41586-026-02633-y" TargetMode="External"/><Relationship Id="rId1136" Type="http://schemas.openxmlformats.org/officeDocument/2006/relationships/hyperlink" Target="https://doi.org/10.1038/d41586-026-02633-y" TargetMode="External"/><Relationship Id="rId1137" Type="http://schemas.openxmlformats.org/officeDocument/2006/relationships/hyperlink" Target="https://www.nature.com/articles/s41578-026-00960-0" TargetMode="External"/><Relationship Id="rId1138" Type="http://schemas.openxmlformats.org/officeDocument/2006/relationships/hyperlink" Target="https://doi.org/10.1038/s41578-026-00960-0" TargetMode="External"/><Relationship Id="rId1139" Type="http://schemas.openxmlformats.org/officeDocument/2006/relationships/hyperlink" Target="https://academic.oup.com/nsr/advance-article/doi/10.1093/nsr/nwag539/8770398?rss=1" TargetMode="External"/><Relationship Id="rId1140" Type="http://schemas.openxmlformats.org/officeDocument/2006/relationships/hyperlink" Target="https://doi.org/10.1093/nsr/nwag539" TargetMode="External"/><Relationship Id="rId1141" Type="http://schemas.openxmlformats.org/officeDocument/2006/relationships/hyperlink" Target="https://www.cell.com/matter/fulltext/S2590-2385(26)00333-4?rss=yes" TargetMode="External"/><Relationship Id="rId1142" Type="http://schemas.openxmlformats.org/officeDocument/2006/relationships/hyperlink" Target="https://doi.org/10.1016/j.matt.2026.102970" TargetMode="External"/><Relationship Id="rId1143" Type="http://schemas.openxmlformats.org/officeDocument/2006/relationships/hyperlink" Target="https://www.nature.com/articles/d41586-026-02632-z" TargetMode="External"/><Relationship Id="rId1144" Type="http://schemas.openxmlformats.org/officeDocument/2006/relationships/hyperlink" Target="https://doi.org/10.1038/d41586-026-02632-z" TargetMode="External"/><Relationship Id="rId1145" Type="http://schemas.openxmlformats.org/officeDocument/2006/relationships/hyperlink" Target="https://www.nature.com/articles/d41586-026-02567-5" TargetMode="External"/><Relationship Id="rId1146" Type="http://schemas.openxmlformats.org/officeDocument/2006/relationships/hyperlink" Target="https://doi.org/10.1038/d41586-026-02567-5" TargetMode="External"/><Relationship Id="rId1147" Type="http://schemas.openxmlformats.org/officeDocument/2006/relationships/hyperlink" Target="https://www.nature.com/articles/d41586-026-02661-8" TargetMode="External"/><Relationship Id="rId1148" Type="http://schemas.openxmlformats.org/officeDocument/2006/relationships/hyperlink" Target="https://doi.org/10.1038/d41586-026-02661-8" TargetMode="External"/><Relationship Id="rId1149" Type="http://schemas.openxmlformats.org/officeDocument/2006/relationships/hyperlink" Target="https://www.nature.com/articles/s41893-026-01915-7" TargetMode="External"/><Relationship Id="rId1150" Type="http://schemas.openxmlformats.org/officeDocument/2006/relationships/hyperlink" Target="https://doi.org/10.1038/s41893-026-01915-7" TargetMode="External"/><Relationship Id="rId1151" Type="http://schemas.openxmlformats.org/officeDocument/2006/relationships/hyperlink" Target="https://www.nature.com/articles/d41586-026-02094-3" TargetMode="External"/><Relationship Id="rId1152" Type="http://schemas.openxmlformats.org/officeDocument/2006/relationships/hyperlink" Target="https://doi.org/10.1038/d41586-026-02094-3" TargetMode="External"/><Relationship Id="rId1153" Type="http://schemas.openxmlformats.org/officeDocument/2006/relationships/hyperlink" Target="https://www.nature.com/articles/d41586-026-02622-1" TargetMode="External"/><Relationship Id="rId1154" Type="http://schemas.openxmlformats.org/officeDocument/2006/relationships/hyperlink" Target="https://doi.org/10.1038/d41586-026-02622-1" TargetMode="External"/><Relationship Id="rId1155" Type="http://schemas.openxmlformats.org/officeDocument/2006/relationships/hyperlink" Target="https://www.nature.com/articles/d41586-026-02573-7" TargetMode="External"/><Relationship Id="rId1156" Type="http://schemas.openxmlformats.org/officeDocument/2006/relationships/hyperlink" Target="https://doi.org/10.1038/d41586-026-02573-7" TargetMode="External"/><Relationship Id="rId1157" Type="http://schemas.openxmlformats.org/officeDocument/2006/relationships/hyperlink" Target="https://www.nature.com/articles/d41586-026-02569-3" TargetMode="External"/><Relationship Id="rId1158" Type="http://schemas.openxmlformats.org/officeDocument/2006/relationships/hyperlink" Target="https://doi.org/10.1038/d41586-026-02569-3" TargetMode="External"/><Relationship Id="rId1159" Type="http://schemas.openxmlformats.org/officeDocument/2006/relationships/hyperlink" Target="https://www.nature.com/articles/d41586-026-02550-0" TargetMode="External"/><Relationship Id="rId1160" Type="http://schemas.openxmlformats.org/officeDocument/2006/relationships/hyperlink" Target="https://doi.org/10.1038/d41586-026-02550-0" TargetMode="External"/><Relationship Id="rId1161" Type="http://schemas.openxmlformats.org/officeDocument/2006/relationships/hyperlink" Target="https://www.nature.com/articles/d41586-026-02115-1" TargetMode="External"/><Relationship Id="rId1162" Type="http://schemas.openxmlformats.org/officeDocument/2006/relationships/hyperlink" Target="https://doi.org/10.1038/d41586-026-02115-1" TargetMode="External"/><Relationship Id="rId1163" Type="http://schemas.openxmlformats.org/officeDocument/2006/relationships/hyperlink" Target="https://onlinelibrary.wiley.com/doi/10.1002/anie.4204423?af=R" TargetMode="External"/><Relationship Id="rId1164" Type="http://schemas.openxmlformats.org/officeDocument/2006/relationships/hyperlink" Target="https://doi.org/10.1002/anie.4204423" TargetMode="External"/><Relationship Id="rId1165" Type="http://schemas.openxmlformats.org/officeDocument/2006/relationships/hyperlink" Target="https://onlinelibrary.wiley.com/doi/10.1002/anie.4551166?af=R" TargetMode="External"/><Relationship Id="rId1166" Type="http://schemas.openxmlformats.org/officeDocument/2006/relationships/hyperlink" Target="https://doi.org/10.1002/anie.4551166" TargetMode="External"/><Relationship Id="rId1167" Type="http://schemas.openxmlformats.org/officeDocument/2006/relationships/hyperlink" Target="https://onlinelibrary.wiley.com/doi/10.1002/anie.1206161?af=R" TargetMode="External"/><Relationship Id="rId1168" Type="http://schemas.openxmlformats.org/officeDocument/2006/relationships/hyperlink" Target="https://doi.org/10.1002/anie.1206161" TargetMode="External"/><Relationship Id="rId1169" Type="http://schemas.openxmlformats.org/officeDocument/2006/relationships/hyperlink" Target="https://onlinelibrary.wiley.com/doi/10.1002/anie.7360177?af=R" TargetMode="External"/><Relationship Id="rId1170" Type="http://schemas.openxmlformats.org/officeDocument/2006/relationships/hyperlink" Target="https://doi.org/10.1002/anie.7360177" TargetMode="External"/><Relationship Id="rId1171" Type="http://schemas.openxmlformats.org/officeDocument/2006/relationships/hyperlink" Target="https://onlinelibrary.wiley.com/doi/10.1002/anie.8237151?af=R" TargetMode="External"/><Relationship Id="rId1172" Type="http://schemas.openxmlformats.org/officeDocument/2006/relationships/hyperlink" Target="https://doi.org/10.1002/anie.8237151" TargetMode="External"/><Relationship Id="rId1173" Type="http://schemas.openxmlformats.org/officeDocument/2006/relationships/hyperlink" Target="https://onlinelibrary.wiley.com/doi/10.1002/anie.1048718?af=R" TargetMode="External"/><Relationship Id="rId1174" Type="http://schemas.openxmlformats.org/officeDocument/2006/relationships/hyperlink" Target="https://doi.org/10.1002/anie.1048718" TargetMode="External"/><Relationship Id="rId1175" Type="http://schemas.openxmlformats.org/officeDocument/2006/relationships/hyperlink" Target="https://onlinelibrary.wiley.com/doi/10.1002/anie.3695434?af=R" TargetMode="External"/><Relationship Id="rId1176" Type="http://schemas.openxmlformats.org/officeDocument/2006/relationships/hyperlink" Target="https://doi.org/10.1002/anie.3695434" TargetMode="External"/><Relationship Id="rId1177" Type="http://schemas.openxmlformats.org/officeDocument/2006/relationships/hyperlink" Target="https://onlinelibrary.wiley.com/doi/10.1002/anie.6230875?af=R" TargetMode="External"/><Relationship Id="rId1178" Type="http://schemas.openxmlformats.org/officeDocument/2006/relationships/hyperlink" Target="https://doi.org/10.1002/anie.6230875" TargetMode="External"/><Relationship Id="rId1179" Type="http://schemas.openxmlformats.org/officeDocument/2006/relationships/hyperlink" Target="https://www.pnas.org/doi/abs/10.1073/pnas.2614164123?mi=eymic2&amp;af=R&amp;access=on&amp;content=articlesChapters&amp;publication=pnas&amp;sortBy=Earliest&amp;target=default" TargetMode="External"/><Relationship Id="rId1180" Type="http://schemas.openxmlformats.org/officeDocument/2006/relationships/hyperlink" Target="https://doi.org/10.1073/pnas.2614164123" TargetMode="External"/><Relationship Id="rId1181" Type="http://schemas.openxmlformats.org/officeDocument/2006/relationships/hyperlink" Target="https://www.pnas.org/doi/abs/10.1073/pnas.2615107123?mi=eymic2&amp;af=R&amp;access=on&amp;content=articlesChapters&amp;publication=pnas&amp;sortBy=Earliest&amp;target=default" TargetMode="External"/><Relationship Id="rId1182" Type="http://schemas.openxmlformats.org/officeDocument/2006/relationships/hyperlink" Target="https://doi.org/10.1073/pnas.2615107123" TargetMode="External"/><Relationship Id="rId1183" Type="http://schemas.openxmlformats.org/officeDocument/2006/relationships/hyperlink" Target="https://www.pnas.org/doi/abs/10.1073/pnas.2615838123?mi=eymic2&amp;af=R&amp;access=on&amp;content=articlesChapters&amp;publication=pnas&amp;sortBy=Earliest&amp;target=default" TargetMode="External"/><Relationship Id="rId1184" Type="http://schemas.openxmlformats.org/officeDocument/2006/relationships/hyperlink" Target="https://doi.org/10.1073/pnas.2615838123" TargetMode="External"/><Relationship Id="rId1185" Type="http://schemas.openxmlformats.org/officeDocument/2006/relationships/hyperlink" Target="https://www.pnas.org/doi/abs/10.1073/pnas.2615883123?mi=eymic2&amp;af=R&amp;access=on&amp;content=articlesChapters&amp;publication=pnas&amp;sortBy=Earliest&amp;target=default" TargetMode="External"/><Relationship Id="rId1186" Type="http://schemas.openxmlformats.org/officeDocument/2006/relationships/hyperlink" Target="https://doi.org/10.1073/pnas.2615883123" TargetMode="External"/><Relationship Id="rId1187" Type="http://schemas.openxmlformats.org/officeDocument/2006/relationships/hyperlink" Target="https://www.pnas.org/doi/abs/10.1073/pnas.2615937123?mi=eymic2&amp;af=R&amp;access=on&amp;content=articlesChapters&amp;publication=pnas&amp;sortBy=Earliest&amp;target=default" TargetMode="External"/><Relationship Id="rId1188" Type="http://schemas.openxmlformats.org/officeDocument/2006/relationships/hyperlink" Target="https://doi.org/10.1073/pnas.2615937123" TargetMode="External"/><Relationship Id="rId1189" Type="http://schemas.openxmlformats.org/officeDocument/2006/relationships/hyperlink" Target="https://www.pnas.org/doi/abs/10.1073/pnas.2616888123?mi=eymic2&amp;af=R&amp;access=on&amp;content=articlesChapters&amp;publication=pnas&amp;sortBy=Earliest&amp;target=default" TargetMode="External"/><Relationship Id="rId1190" Type="http://schemas.openxmlformats.org/officeDocument/2006/relationships/hyperlink" Target="https://doi.org/10.1073/pnas.2616888123" TargetMode="External"/><Relationship Id="rId1191" Type="http://schemas.openxmlformats.org/officeDocument/2006/relationships/hyperlink" Target="https://www.pnas.org/doi/abs/10.1073/pnas.2614197123?mi=eymic2&amp;af=R&amp;access=on&amp;content=articlesChapters&amp;publication=pnas&amp;sortBy=Earliest&amp;target=default" TargetMode="External"/><Relationship Id="rId1192" Type="http://schemas.openxmlformats.org/officeDocument/2006/relationships/hyperlink" Target="https://doi.org/10.1073/pnas.2614197123" TargetMode="External"/><Relationship Id="rId1193" Type="http://schemas.openxmlformats.org/officeDocument/2006/relationships/hyperlink" Target="https://www.pnas.org/doi/abs/10.1073/iti3426123?mi=eymic2&amp;af=R&amp;access=on&amp;content=articlesChapters&amp;publication=pnas&amp;sortBy=Earliest&amp;target=default" TargetMode="External"/><Relationship Id="rId1194" Type="http://schemas.openxmlformats.org/officeDocument/2006/relationships/hyperlink" Target="https://doi.org/10.1073/iti3426123" TargetMode="External"/><Relationship Id="rId1195" Type="http://schemas.openxmlformats.org/officeDocument/2006/relationships/hyperlink" Target="https://www.pnas.org/doi/abs/10.1073/pnas.2612105123?mi=eymic2&amp;af=R&amp;access=on&amp;content=articlesChapters&amp;publication=pnas&amp;sortBy=Earliest&amp;target=default" TargetMode="External"/><Relationship Id="rId1196" Type="http://schemas.openxmlformats.org/officeDocument/2006/relationships/hyperlink" Target="https://doi.org/10.1073/pnas.2612105123" TargetMode="External"/><Relationship Id="rId1197" Type="http://schemas.openxmlformats.org/officeDocument/2006/relationships/hyperlink" Target="https://www.pnas.org/doi/abs/10.1073/pnas.2533451123?mi=eymic2&amp;af=R&amp;access=on&amp;content=articlesChapters&amp;publication=pnas&amp;sortBy=Earliest&amp;target=default" TargetMode="External"/><Relationship Id="rId1198" Type="http://schemas.openxmlformats.org/officeDocument/2006/relationships/hyperlink" Target="https://doi.org/10.1073/pnas.2533451123" TargetMode="External"/><Relationship Id="rId1199" Type="http://schemas.openxmlformats.org/officeDocument/2006/relationships/hyperlink" Target="https://www.pnas.org/doi/abs/10.1073/pnas.2623365123?mi=eymic2&amp;af=R&amp;access=on&amp;content=articlesChapters&amp;publication=pnas&amp;sortBy=Earliest&amp;target=default" TargetMode="External"/><Relationship Id="rId1200" Type="http://schemas.openxmlformats.org/officeDocument/2006/relationships/hyperlink" Target="https://doi.org/10.1073/pnas.2623365123" TargetMode="External"/><Relationship Id="rId1201" Type="http://schemas.openxmlformats.org/officeDocument/2006/relationships/hyperlink" Target="https://www.pnas.org/doi/abs/10.1073/pnas.2534594123?mi=eymic2&amp;af=R&amp;access=on&amp;content=articlesChapters&amp;publication=pnas&amp;sortBy=Earliest&amp;target=default" TargetMode="External"/><Relationship Id="rId1202" Type="http://schemas.openxmlformats.org/officeDocument/2006/relationships/hyperlink" Target="https://doi.org/10.1073/pnas.2534594123" TargetMode="External"/><Relationship Id="rId1203" Type="http://schemas.openxmlformats.org/officeDocument/2006/relationships/hyperlink" Target="https://www.pnas.org/doi/abs/10.1073/pnas.2612761123?mi=eymic2&amp;af=R&amp;access=on&amp;content=articlesChapters&amp;publication=pnas&amp;sortBy=Earliest&amp;target=default" TargetMode="External"/><Relationship Id="rId1204" Type="http://schemas.openxmlformats.org/officeDocument/2006/relationships/hyperlink" Target="https://doi.org/10.1073/pnas.2612761123" TargetMode="External"/><Relationship Id="rId1205" Type="http://schemas.openxmlformats.org/officeDocument/2006/relationships/hyperlink" Target="https://www.pnas.org/doi/abs/10.1073/pnas.2610243123?mi=eymic2&amp;af=R&amp;access=on&amp;content=articlesChapters&amp;publication=pnas&amp;sortBy=Earliest&amp;target=default" TargetMode="External"/><Relationship Id="rId1206" Type="http://schemas.openxmlformats.org/officeDocument/2006/relationships/hyperlink" Target="https://doi.org/10.1073/pnas.2610243123" TargetMode="External"/><Relationship Id="rId1207" Type="http://schemas.openxmlformats.org/officeDocument/2006/relationships/hyperlink" Target="https://www.pnas.org/doi/abs/10.1073/pnas.2532908123?mi=eymic2&amp;af=R&amp;access=on&amp;content=articlesChapters&amp;publication=pnas&amp;sortBy=Earliest&amp;target=default" TargetMode="External"/><Relationship Id="rId1208" Type="http://schemas.openxmlformats.org/officeDocument/2006/relationships/hyperlink" Target="https://doi.org/10.1073/pnas.2532908123" TargetMode="External"/><Relationship Id="rId1209" Type="http://schemas.openxmlformats.org/officeDocument/2006/relationships/hyperlink" Target="https://www.pnas.org/doi/abs/10.1073/pnas.2618832123?mi=eymic2&amp;af=R&amp;access=on&amp;content=articlesChapters&amp;publication=pnas&amp;sortBy=Earliest&amp;target=default" TargetMode="External"/><Relationship Id="rId1210" Type="http://schemas.openxmlformats.org/officeDocument/2006/relationships/hyperlink" Target="https://doi.org/10.1073/pnas.2618832123" TargetMode="External"/><Relationship Id="rId1211" Type="http://schemas.openxmlformats.org/officeDocument/2006/relationships/hyperlink" Target="https://www.pnas.org/doi/abs/10.1073/pnas.2618972123?mi=eymic2&amp;af=R&amp;access=on&amp;content=articlesChapters&amp;publication=pnas&amp;sortBy=Earliest&amp;target=default" TargetMode="External"/><Relationship Id="rId1212" Type="http://schemas.openxmlformats.org/officeDocument/2006/relationships/hyperlink" Target="https://doi.org/10.1073/pnas.2618972123" TargetMode="External"/><Relationship Id="rId1213" Type="http://schemas.openxmlformats.org/officeDocument/2006/relationships/hyperlink" Target="https://www.pnas.org/doi/abs/10.1073/pnas.2608701123?mi=eymic2&amp;af=R&amp;access=on&amp;content=articlesChapters&amp;publication=pnas&amp;sortBy=Earliest&amp;target=default" TargetMode="External"/><Relationship Id="rId1214" Type="http://schemas.openxmlformats.org/officeDocument/2006/relationships/hyperlink" Target="https://doi.org/10.1073/pnas.2608701123" TargetMode="External"/><Relationship Id="rId1215" Type="http://schemas.openxmlformats.org/officeDocument/2006/relationships/hyperlink" Target="https://www.pnas.org/doi/abs/10.1073/pnas.2608386123?mi=eymic2&amp;af=R&amp;access=on&amp;content=articlesChapters&amp;publication=pnas&amp;sortBy=Earliest&amp;target=default" TargetMode="External"/><Relationship Id="rId1216" Type="http://schemas.openxmlformats.org/officeDocument/2006/relationships/hyperlink" Target="https://doi.org/10.1073/pnas.2608386123" TargetMode="External"/><Relationship Id="rId1217" Type="http://schemas.openxmlformats.org/officeDocument/2006/relationships/hyperlink" Target="https://www.pnas.org/doi/abs/10.1073/pnas.2606900123?mi=eymic2&amp;af=R&amp;access=on&amp;content=articlesChapters&amp;publication=pnas&amp;sortBy=Earliest&amp;target=default" TargetMode="External"/><Relationship Id="rId1218" Type="http://schemas.openxmlformats.org/officeDocument/2006/relationships/hyperlink" Target="https://doi.org/10.1073/pnas.2606900123" TargetMode="External"/><Relationship Id="rId1219" Type="http://schemas.openxmlformats.org/officeDocument/2006/relationships/hyperlink" Target="https://www.pnas.org/doi/abs/10.1073/pnas.2606671123?mi=eymic2&amp;af=R&amp;access=on&amp;content=articlesChapters&amp;publication=pnas&amp;sortBy=Earliest&amp;target=default" TargetMode="External"/><Relationship Id="rId1220" Type="http://schemas.openxmlformats.org/officeDocument/2006/relationships/hyperlink" Target="https://doi.org/10.1073/pnas.2606671123" TargetMode="External"/><Relationship Id="rId1221" Type="http://schemas.openxmlformats.org/officeDocument/2006/relationships/hyperlink" Target="https://www.pnas.org/doi/abs/10.1073/pnas.2602872123?mi=eymic2&amp;af=R&amp;access=on&amp;content=articlesChapters&amp;publication=pnas&amp;sortBy=Earliest&amp;target=default" TargetMode="External"/><Relationship Id="rId1222" Type="http://schemas.openxmlformats.org/officeDocument/2006/relationships/hyperlink" Target="https://doi.org/10.1073/pnas.2602872123" TargetMode="External"/><Relationship Id="rId1223" Type="http://schemas.openxmlformats.org/officeDocument/2006/relationships/hyperlink" Target="https://www.pnas.org/doi/abs/10.1073/pnas.2601297123?mi=eymic2&amp;af=R&amp;access=on&amp;content=articlesChapters&amp;publication=pnas&amp;sortBy=Earliest&amp;target=default" TargetMode="External"/><Relationship Id="rId1224" Type="http://schemas.openxmlformats.org/officeDocument/2006/relationships/hyperlink" Target="https://doi.org/10.1073/pnas.2601297123" TargetMode="External"/><Relationship Id="rId1225" Type="http://schemas.openxmlformats.org/officeDocument/2006/relationships/hyperlink" Target="https://www.pnas.org/doi/abs/10.1073/pnas.2609226123?mi=eymic2&amp;af=R&amp;access=on&amp;content=articlesChapters&amp;publication=pnas&amp;sortBy=Earliest&amp;target=default" TargetMode="External"/><Relationship Id="rId1226" Type="http://schemas.openxmlformats.org/officeDocument/2006/relationships/hyperlink" Target="https://doi.org/10.1073/pnas.2609226123" TargetMode="External"/><Relationship Id="rId1227" Type="http://schemas.openxmlformats.org/officeDocument/2006/relationships/hyperlink" Target="https://advanced.onlinelibrary.wiley.com/doi/10.1002/adma.74768?af=R" TargetMode="External"/><Relationship Id="rId1228" Type="http://schemas.openxmlformats.org/officeDocument/2006/relationships/hyperlink" Target="https://doi.org/10.1002/adma.74768" TargetMode="External"/><Relationship Id="rId1229" Type="http://schemas.openxmlformats.org/officeDocument/2006/relationships/hyperlink" Target="https://advanced.onlinelibrary.wiley.com/doi/10.1002/adma.74806?af=R" TargetMode="External"/><Relationship Id="rId1230" Type="http://schemas.openxmlformats.org/officeDocument/2006/relationships/hyperlink" Target="https://doi.org/10.1002/adma.74806" TargetMode="External"/><Relationship Id="rId1231" Type="http://schemas.openxmlformats.org/officeDocument/2006/relationships/hyperlink" Target="https://advanced.onlinelibrary.wiley.com/doi/10.1002/adma.74810?af=R" TargetMode="External"/><Relationship Id="rId1232" Type="http://schemas.openxmlformats.org/officeDocument/2006/relationships/hyperlink" Target="https://doi.org/10.1002/adma.74810" TargetMode="External"/><Relationship Id="rId1233" Type="http://schemas.openxmlformats.org/officeDocument/2006/relationships/hyperlink" Target="https://advanced.onlinelibrary.wiley.com/doi/10.1002/adma.74710?af=R" TargetMode="External"/><Relationship Id="rId1234" Type="http://schemas.openxmlformats.org/officeDocument/2006/relationships/hyperlink" Target="https://doi.org/10.1002/adma.74710" TargetMode="External"/><Relationship Id="rId1235" Type="http://schemas.openxmlformats.org/officeDocument/2006/relationships/hyperlink" Target="http://link.aps.org/doi/10.1103/24zv-dwcj" TargetMode="External"/><Relationship Id="rId1236" Type="http://schemas.openxmlformats.org/officeDocument/2006/relationships/hyperlink" Target="https://doi.org/10.1103/24zv-dwcj" TargetMode="External"/><Relationship Id="rId1237" Type="http://schemas.openxmlformats.org/officeDocument/2006/relationships/hyperlink" Target="http://link.aps.org/doi/10.1103/f26s-4p77" TargetMode="External"/><Relationship Id="rId1238" Type="http://schemas.openxmlformats.org/officeDocument/2006/relationships/hyperlink" Target="https://doi.org/10.1103/f26s-4p77" TargetMode="External"/><Relationship Id="rId1239" Type="http://schemas.openxmlformats.org/officeDocument/2006/relationships/hyperlink" Target="http://link.aps.org/doi/10.1103/kjvq-zdnh" TargetMode="External"/><Relationship Id="rId1240" Type="http://schemas.openxmlformats.org/officeDocument/2006/relationships/hyperlink" Target="https://doi.org/10.1103/kjvq-zdnh" TargetMode="External"/><Relationship Id="rId1241" Type="http://schemas.openxmlformats.org/officeDocument/2006/relationships/hyperlink" Target="http://link.aps.org/doi/10.1103/cdyf-tmnx" TargetMode="External"/><Relationship Id="rId1242" Type="http://schemas.openxmlformats.org/officeDocument/2006/relationships/hyperlink" Target="https://doi.org/10.1103/cdyf-tmnx" TargetMode="External"/><Relationship Id="rId1243" Type="http://schemas.openxmlformats.org/officeDocument/2006/relationships/hyperlink" Target="http://link.aps.org/doi/10.1103/9wv9-359m" TargetMode="External"/><Relationship Id="rId1244" Type="http://schemas.openxmlformats.org/officeDocument/2006/relationships/hyperlink" Target="https://doi.org/10.1103/9wv9-359m" TargetMode="External"/><Relationship Id="rId1245" Type="http://schemas.openxmlformats.org/officeDocument/2006/relationships/hyperlink" Target="http://link.aps.org/doi/10.1103/zd4s-cgnj" TargetMode="External"/><Relationship Id="rId1246" Type="http://schemas.openxmlformats.org/officeDocument/2006/relationships/hyperlink" Target="https://doi.org/10.1103/zd4s-cgnj" TargetMode="External"/><Relationship Id="rId1247" Type="http://schemas.openxmlformats.org/officeDocument/2006/relationships/hyperlink" Target="http://link.aps.org/doi/10.1103/442b-1n6q" TargetMode="External"/><Relationship Id="rId1248" Type="http://schemas.openxmlformats.org/officeDocument/2006/relationships/hyperlink" Target="https://doi.org/10.1103/442b-1n6q" TargetMode="External"/><Relationship Id="rId1249" Type="http://schemas.openxmlformats.org/officeDocument/2006/relationships/hyperlink" Target="http://link.aps.org/doi/10.1103/2463-2jfv" TargetMode="External"/><Relationship Id="rId1250" Type="http://schemas.openxmlformats.org/officeDocument/2006/relationships/hyperlink" Target="https://doi.org/10.1103/2463-2jfv" TargetMode="External"/><Relationship Id="rId1251" Type="http://schemas.openxmlformats.org/officeDocument/2006/relationships/hyperlink" Target="http://link.aps.org/doi/10.1103/n2jr-6c42" TargetMode="External"/><Relationship Id="rId1252" Type="http://schemas.openxmlformats.org/officeDocument/2006/relationships/hyperlink" Target="https://doi.org/10.1103/n2jr-6c42" TargetMode="External"/><Relationship Id="rId1253" Type="http://schemas.openxmlformats.org/officeDocument/2006/relationships/hyperlink" Target="http://link.aps.org/doi/10.1103/tps2-gnzq" TargetMode="External"/><Relationship Id="rId1254" Type="http://schemas.openxmlformats.org/officeDocument/2006/relationships/hyperlink" Target="https://doi.org/10.1103/tps2-gnzq" TargetMode="External"/><Relationship Id="rId1255" Type="http://schemas.openxmlformats.org/officeDocument/2006/relationships/hyperlink" Target="http://link.aps.org/doi/10.1103/z13d-t7p7" TargetMode="External"/><Relationship Id="rId1256" Type="http://schemas.openxmlformats.org/officeDocument/2006/relationships/hyperlink" Target="https://doi.org/10.1103/z13d-t7p7" TargetMode="External"/><Relationship Id="rId1257" Type="http://schemas.openxmlformats.org/officeDocument/2006/relationships/hyperlink" Target="http://link.aps.org/doi/10.1103/h55n-s18v" TargetMode="External"/><Relationship Id="rId1258" Type="http://schemas.openxmlformats.org/officeDocument/2006/relationships/hyperlink" Target="https://doi.org/10.1103/h55n-s18v" TargetMode="External"/><Relationship Id="rId1259" Type="http://schemas.openxmlformats.org/officeDocument/2006/relationships/hyperlink" Target="http://link.aps.org/doi/10.1103/yl3n-3tbf" TargetMode="External"/><Relationship Id="rId1260" Type="http://schemas.openxmlformats.org/officeDocument/2006/relationships/hyperlink" Target="https://doi.org/10.1103/yl3n-3tbf" TargetMode="External"/><Relationship Id="rId1261" Type="http://schemas.openxmlformats.org/officeDocument/2006/relationships/hyperlink" Target="http://link.aps.org/doi/10.1103/smjm-rplr" TargetMode="External"/><Relationship Id="rId1262" Type="http://schemas.openxmlformats.org/officeDocument/2006/relationships/hyperlink" Target="https://doi.org/10.1103/smjm-rplr" TargetMode="External"/><Relationship Id="rId1263" Type="http://schemas.openxmlformats.org/officeDocument/2006/relationships/hyperlink" Target="http://link.aps.org/doi/10.1103/mb89-8436" TargetMode="External"/><Relationship Id="rId1264" Type="http://schemas.openxmlformats.org/officeDocument/2006/relationships/hyperlink" Target="https://doi.org/10.1103/mb89-8436" TargetMode="External"/><Relationship Id="rId1265" Type="http://schemas.openxmlformats.org/officeDocument/2006/relationships/hyperlink" Target="http://link.aps.org/doi/10.1103/p7zm-bcdd" TargetMode="External"/><Relationship Id="rId1266" Type="http://schemas.openxmlformats.org/officeDocument/2006/relationships/hyperlink" Target="https://doi.org/10.1103/p7zm-bcdd" TargetMode="External"/><Relationship Id="rId1267" Type="http://schemas.openxmlformats.org/officeDocument/2006/relationships/hyperlink" Target="http://link.aps.org/doi/10.1103/s79q-l1dq" TargetMode="External"/><Relationship Id="rId1268" Type="http://schemas.openxmlformats.org/officeDocument/2006/relationships/hyperlink" Target="https://doi.org/10.1103/s79q-l1dq" TargetMode="External"/><Relationship Id="rId1269" Type="http://schemas.openxmlformats.org/officeDocument/2006/relationships/hyperlink" Target="http://link.aps.org/doi/10.1103/jxhl-p79b" TargetMode="External"/><Relationship Id="rId1270" Type="http://schemas.openxmlformats.org/officeDocument/2006/relationships/hyperlink" Target="https://doi.org/10.1103/jxhl-p79b" TargetMode="External"/><Relationship Id="rId1271" Type="http://schemas.openxmlformats.org/officeDocument/2006/relationships/hyperlink" Target="http://link.aps.org/doi/10.1103/n824-tw3h" TargetMode="External"/><Relationship Id="rId1272" Type="http://schemas.openxmlformats.org/officeDocument/2006/relationships/hyperlink" Target="https://doi.org/10.1103/n824-tw3h" TargetMode="External"/><Relationship Id="rId1273" Type="http://schemas.openxmlformats.org/officeDocument/2006/relationships/hyperlink" Target="https://advanced.onlinelibrary.wiley.com/doi/10.1002/adma.74548?af=R" TargetMode="External"/><Relationship Id="rId1274" Type="http://schemas.openxmlformats.org/officeDocument/2006/relationships/hyperlink" Target="https://doi.org/10.1002/adma.74548" TargetMode="External"/><Relationship Id="rId1275" Type="http://schemas.openxmlformats.org/officeDocument/2006/relationships/hyperlink" Target="https://advanced.onlinelibrary.wiley.com/doi/10.1002/adma.74785?af=R" TargetMode="External"/><Relationship Id="rId1276" Type="http://schemas.openxmlformats.org/officeDocument/2006/relationships/hyperlink" Target="https://doi.org/10.1002/adma.74785" TargetMode="External"/><Relationship Id="rId1277" Type="http://schemas.openxmlformats.org/officeDocument/2006/relationships/hyperlink" Target="https://www.nature.com/articles/s41557-026-02228-0" TargetMode="External"/><Relationship Id="rId1278" Type="http://schemas.openxmlformats.org/officeDocument/2006/relationships/hyperlink" Target="https://doi.org/10.1038/s41557-026-02228-0" TargetMode="External"/><Relationship Id="rId1279" Type="http://schemas.openxmlformats.org/officeDocument/2006/relationships/hyperlink" Target="https://www.nature.com/articles/s41586-026-10971-0" TargetMode="External"/><Relationship Id="rId1280" Type="http://schemas.openxmlformats.org/officeDocument/2006/relationships/hyperlink" Target="https://doi.org/10.1038/s41586-026-10971-0" TargetMode="External"/><Relationship Id="rId1281" Type="http://schemas.openxmlformats.org/officeDocument/2006/relationships/hyperlink" Target="https://www.nature.com/articles/s41586-026-10964-z" TargetMode="External"/><Relationship Id="rId1282" Type="http://schemas.openxmlformats.org/officeDocument/2006/relationships/hyperlink" Target="https://doi.org/10.1038/s41586-026-10964-z" TargetMode="External"/><Relationship Id="rId1283" Type="http://schemas.openxmlformats.org/officeDocument/2006/relationships/hyperlink" Target="https://www.nature.com/articles/s41586-026-10988-5" TargetMode="External"/><Relationship Id="rId1284" Type="http://schemas.openxmlformats.org/officeDocument/2006/relationships/hyperlink" Target="https://doi.org/10.1038/s41586-026-10988-5" TargetMode="External"/><Relationship Id="rId1285" Type="http://schemas.openxmlformats.org/officeDocument/2006/relationships/hyperlink" Target="https://www.nature.com/articles/s41586-026-10967-w" TargetMode="External"/><Relationship Id="rId1286" Type="http://schemas.openxmlformats.org/officeDocument/2006/relationships/hyperlink" Target="https://doi.org/10.1038/s41586-026-10967-w" TargetMode="External"/><Relationship Id="rId1287" Type="http://schemas.openxmlformats.org/officeDocument/2006/relationships/hyperlink" Target="https://www.nature.com/articles/s41586-026-10946-1" TargetMode="External"/><Relationship Id="rId1288" Type="http://schemas.openxmlformats.org/officeDocument/2006/relationships/hyperlink" Target="https://doi.org/10.1038/s41586-026-10946-1" TargetMode="External"/><Relationship Id="rId1289" Type="http://schemas.openxmlformats.org/officeDocument/2006/relationships/hyperlink" Target="https://www.nature.com/articles/s41586-026-10980-z" TargetMode="External"/><Relationship Id="rId1290" Type="http://schemas.openxmlformats.org/officeDocument/2006/relationships/hyperlink" Target="https://doi.org/10.1038/s41586-026-10980-z" TargetMode="External"/><Relationship Id="rId1291" Type="http://schemas.openxmlformats.org/officeDocument/2006/relationships/hyperlink" Target="https://www.nature.com/articles/s41586-026-10915-8" TargetMode="External"/><Relationship Id="rId1292" Type="http://schemas.openxmlformats.org/officeDocument/2006/relationships/hyperlink" Target="https://doi.org/10.1038/s41586-026-10915-8" TargetMode="External"/><Relationship Id="rId1293" Type="http://schemas.openxmlformats.org/officeDocument/2006/relationships/hyperlink" Target="https://www.nature.com/articles/d41586-026-02676-1" TargetMode="External"/><Relationship Id="rId1294" Type="http://schemas.openxmlformats.org/officeDocument/2006/relationships/hyperlink" Target="https://doi.org/10.1038/d41586-026-02676-1" TargetMode="External"/><Relationship Id="rId1295" Type="http://schemas.openxmlformats.org/officeDocument/2006/relationships/hyperlink" Target="https://academic.oup.com/nsr/advance-article/doi/10.1093/nsr/nwag540/8771000?rss=1" TargetMode="External"/><Relationship Id="rId1296" Type="http://schemas.openxmlformats.org/officeDocument/2006/relationships/hyperlink" Target="https://doi.org/10.1093/nsr/nwag540" TargetMode="External"/><Relationship Id="rId1297" Type="http://schemas.openxmlformats.org/officeDocument/2006/relationships/hyperlink" Target="https://academic.oup.com/nsr/advance-article/doi/10.1093/nsr/nwag544/8771001?rss=1" TargetMode="External"/><Relationship Id="rId1298" Type="http://schemas.openxmlformats.org/officeDocument/2006/relationships/hyperlink" Target="https://doi.org/10.1093/nsr/nwag544" TargetMode="External"/><Relationship Id="rId1299" Type="http://schemas.openxmlformats.org/officeDocument/2006/relationships/hyperlink" Target="https://www.nature.com/articles/s41586-026-10927-4" TargetMode="External"/><Relationship Id="rId1300" Type="http://schemas.openxmlformats.org/officeDocument/2006/relationships/hyperlink" Target="https://doi.org/10.1038/s41586-026-10927-4" TargetMode="External"/><Relationship Id="rId1301" Type="http://schemas.openxmlformats.org/officeDocument/2006/relationships/hyperlink" Target="https://www.nature.com/articles/s41586-026-10902-z" TargetMode="External"/><Relationship Id="rId1302" Type="http://schemas.openxmlformats.org/officeDocument/2006/relationships/hyperlink" Target="https://doi.org/10.1038/s41586-026-10902-z" TargetMode="External"/><Relationship Id="rId1303" Type="http://schemas.openxmlformats.org/officeDocument/2006/relationships/hyperlink" Target="https://academic.oup.com/nsr/advance-article/doi/10.1093/nsr/nwag548/8771007?rss=1" TargetMode="External"/><Relationship Id="rId1304" Type="http://schemas.openxmlformats.org/officeDocument/2006/relationships/hyperlink" Target="https://doi.org/10.1093/nsr/nwag548" TargetMode="External"/><Relationship Id="rId1305" Type="http://schemas.openxmlformats.org/officeDocument/2006/relationships/hyperlink" Target="https://academic.oup.com/nsr/advance-article/doi/10.1093/nsr/nwag545/8771004?rss=1" TargetMode="External"/><Relationship Id="rId1306" Type="http://schemas.openxmlformats.org/officeDocument/2006/relationships/hyperlink" Target="https://doi.org/10.1093/nsr/nwag545" TargetMode="External"/><Relationship Id="rId1307" Type="http://schemas.openxmlformats.org/officeDocument/2006/relationships/hyperlink" Target="https://www.nature.com/articles/d41586-026-02412-9" TargetMode="External"/><Relationship Id="rId1308" Type="http://schemas.openxmlformats.org/officeDocument/2006/relationships/hyperlink" Target="https://doi.org/10.1038/d41586-026-02412-9" TargetMode="External"/><Relationship Id="rId1309" Type="http://schemas.openxmlformats.org/officeDocument/2006/relationships/hyperlink" Target="https://www.nature.com/articles/d41586-026-02570-w" TargetMode="External"/><Relationship Id="rId1310" Type="http://schemas.openxmlformats.org/officeDocument/2006/relationships/hyperlink" Target="https://doi.org/10.1038/d41586-026-02570-w" TargetMode="External"/><Relationship Id="rId1311" Type="http://schemas.openxmlformats.org/officeDocument/2006/relationships/hyperlink" Target="https://www.nature.com/articles/d41586-026-02568-4" TargetMode="External"/><Relationship Id="rId1312" Type="http://schemas.openxmlformats.org/officeDocument/2006/relationships/hyperlink" Target="https://doi.org/10.1038/d41586-026-02568-4" TargetMode="External"/><Relationship Id="rId1313" Type="http://schemas.openxmlformats.org/officeDocument/2006/relationships/hyperlink" Target="https://www.nature.com/articles/d41586-026-02663-6" TargetMode="External"/><Relationship Id="rId1314" Type="http://schemas.openxmlformats.org/officeDocument/2006/relationships/hyperlink" Target="https://doi.org/10.1038/d41586-026-02663-6" TargetMode="External"/><Relationship Id="rId1315" Type="http://schemas.openxmlformats.org/officeDocument/2006/relationships/hyperlink" Target="https://www.nature.com/articles/d41586-026-02480-x" TargetMode="External"/><Relationship Id="rId1316" Type="http://schemas.openxmlformats.org/officeDocument/2006/relationships/hyperlink" Target="https://doi.org/10.1038/d41586-026-02480-x" TargetMode="External"/><Relationship Id="rId1317" Type="http://schemas.openxmlformats.org/officeDocument/2006/relationships/hyperlink" Target="https://www.nature.com/articles/d41586-026-02664-5" TargetMode="External"/><Relationship Id="rId1318" Type="http://schemas.openxmlformats.org/officeDocument/2006/relationships/hyperlink" Target="https://doi.org/10.1038/d41586-026-02664-5" TargetMode="External"/><Relationship Id="rId1319" Type="http://schemas.openxmlformats.org/officeDocument/2006/relationships/hyperlink" Target="https://www.nature.com/articles/d41586-026-02719-7" TargetMode="External"/><Relationship Id="rId1320" Type="http://schemas.openxmlformats.org/officeDocument/2006/relationships/hyperlink" Target="https://doi.org/10.1038/d41586-026-02719-7" TargetMode="External"/><Relationship Id="rId1321" Type="http://schemas.openxmlformats.org/officeDocument/2006/relationships/hyperlink" Target="https://www.nature.com/articles/s41586-026-10901-0" TargetMode="External"/><Relationship Id="rId1322" Type="http://schemas.openxmlformats.org/officeDocument/2006/relationships/hyperlink" Target="https://doi.org/10.1038/s41586-026-10901-0" TargetMode="External"/><Relationship Id="rId1323" Type="http://schemas.openxmlformats.org/officeDocument/2006/relationships/hyperlink" Target="https://academic.oup.com/nsr/advance-article/doi/10.1093/nsr/nwag546/8771009?rss=1" TargetMode="External"/><Relationship Id="rId1324" Type="http://schemas.openxmlformats.org/officeDocument/2006/relationships/hyperlink" Target="https://doi.org/10.1093/nsr/nwag546" TargetMode="External"/><Relationship Id="rId1325" Type="http://schemas.openxmlformats.org/officeDocument/2006/relationships/hyperlink" Target="https://www.nature.com/articles/d41586-026-02522-4" TargetMode="External"/><Relationship Id="rId1326" Type="http://schemas.openxmlformats.org/officeDocument/2006/relationships/hyperlink" Target="https://doi.org/10.1038/d41586-026-02522-4" TargetMode="External"/><Relationship Id="rId1327" Type="http://schemas.openxmlformats.org/officeDocument/2006/relationships/hyperlink" Target="https://www.nature.com/articles/s41586-026-10932-7" TargetMode="External"/><Relationship Id="rId1328" Type="http://schemas.openxmlformats.org/officeDocument/2006/relationships/hyperlink" Target="https://doi.org/10.1038/s41586-026-10932-7" TargetMode="External"/><Relationship Id="rId1329" Type="http://schemas.openxmlformats.org/officeDocument/2006/relationships/hyperlink" Target="https://www.nature.com/articles/s41586-026-10949-y" TargetMode="External"/><Relationship Id="rId1330" Type="http://schemas.openxmlformats.org/officeDocument/2006/relationships/hyperlink" Target="https://doi.org/10.1038/s41586-026-10949-y" TargetMode="External"/><Relationship Id="rId1331" Type="http://schemas.openxmlformats.org/officeDocument/2006/relationships/hyperlink" Target="https://www.nature.com/articles/d41586-026-02681-4" TargetMode="External"/><Relationship Id="rId1332" Type="http://schemas.openxmlformats.org/officeDocument/2006/relationships/hyperlink" Target="https://doi.org/10.1038/d41586-026-02681-4" TargetMode="External"/><Relationship Id="rId1333" Type="http://schemas.openxmlformats.org/officeDocument/2006/relationships/hyperlink" Target="https://www.nature.com/articles/s41563-026-02743-y" TargetMode="External"/><Relationship Id="rId1334" Type="http://schemas.openxmlformats.org/officeDocument/2006/relationships/hyperlink" Target="https://doi.org/10.1038/s41563-026-02743-y" TargetMode="External"/><Relationship Id="rId1335" Type="http://schemas.openxmlformats.org/officeDocument/2006/relationships/hyperlink" Target="https://www.nature.com/articles/s41586-026-10753-8" TargetMode="External"/><Relationship Id="rId1336" Type="http://schemas.openxmlformats.org/officeDocument/2006/relationships/hyperlink" Target="https://doi.org/10.1038/s41586-026-10753-8" TargetMode="External"/><Relationship Id="rId1337" Type="http://schemas.openxmlformats.org/officeDocument/2006/relationships/hyperlink" Target="https://www.nature.com/articles/s41563-026-02714-3" TargetMode="External"/><Relationship Id="rId1338" Type="http://schemas.openxmlformats.org/officeDocument/2006/relationships/hyperlink" Target="https://doi.org/10.1038/s41563-026-02714-3" TargetMode="External"/><Relationship Id="rId1339" Type="http://schemas.openxmlformats.org/officeDocument/2006/relationships/hyperlink" Target="https://www.sciencedirect.com/science/article/pii/S0306261926014091?dgcid=rss_sd_all" TargetMode="External"/><Relationship Id="rId1340" Type="http://schemas.openxmlformats.org/officeDocument/2006/relationships/hyperlink" Target="https://doi.org/10.1016/j.apenergy.2026.128753" TargetMode="External"/><Relationship Id="rId1341" Type="http://schemas.openxmlformats.org/officeDocument/2006/relationships/hyperlink" Target="https://www.nature.com/articles/d41586-026-02378-8" TargetMode="External"/><Relationship Id="rId1342" Type="http://schemas.openxmlformats.org/officeDocument/2006/relationships/hyperlink" Target="https://doi.org/10.1038/d41586-026-02378-8" TargetMode="External"/><Relationship Id="rId1343" Type="http://schemas.openxmlformats.org/officeDocument/2006/relationships/hyperlink" Target="https://www.cell.com/matter/fulltext/S2590-2385(26)00334-6?rss=yes" TargetMode="External"/><Relationship Id="rId1344" Type="http://schemas.openxmlformats.org/officeDocument/2006/relationships/hyperlink" Target="https://doi.org/10.1016/j.matt.2026.102971" TargetMode="External"/><Relationship Id="rId1345" Type="http://schemas.openxmlformats.org/officeDocument/2006/relationships/hyperlink" Target="https://www.nature.com/articles/s41467-026-76985-4" TargetMode="External"/><Relationship Id="rId1346" Type="http://schemas.openxmlformats.org/officeDocument/2006/relationships/hyperlink" Target="https://www.nature.com/articles/s41467-026-77242-4" TargetMode="External"/><Relationship Id="rId1347" Type="http://schemas.openxmlformats.org/officeDocument/2006/relationships/hyperlink" Target="https://www.nature.com/articles/s41586-026-10893-x" TargetMode="External"/><Relationship Id="rId1348" Type="http://schemas.openxmlformats.org/officeDocument/2006/relationships/hyperlink" Target="https://doi.org/10.1038/s41586-026-10893-x" TargetMode="External"/><Relationship Id="rId1349" Type="http://schemas.openxmlformats.org/officeDocument/2006/relationships/hyperlink" Target="https://www.nature.com/articles/s41565-026-02258-2" TargetMode="External"/><Relationship Id="rId1350" Type="http://schemas.openxmlformats.org/officeDocument/2006/relationships/hyperlink" Target="https://doi.org/10.1038/s41565-026-02258-2" TargetMode="External"/><Relationship Id="rId1351" Type="http://schemas.openxmlformats.org/officeDocument/2006/relationships/hyperlink" Target="https://www.nature.com/articles/s41586-026-10961-2" TargetMode="External"/><Relationship Id="rId1352" Type="http://schemas.openxmlformats.org/officeDocument/2006/relationships/hyperlink" Target="https://doi.org/10.1038/s41586-026-10961-2" TargetMode="External"/><Relationship Id="rId1353" Type="http://schemas.openxmlformats.org/officeDocument/2006/relationships/hyperlink" Target="https://www.nature.com/articles/s41586-026-10577-6" TargetMode="External"/><Relationship Id="rId1354" Type="http://schemas.openxmlformats.org/officeDocument/2006/relationships/hyperlink" Target="https://doi.org/10.1038/s41586-026-10577-6" TargetMode="External"/><Relationship Id="rId1355" Type="http://schemas.openxmlformats.org/officeDocument/2006/relationships/hyperlink" Target="https://www.nature.com/articles/d41586-026-02482-9" TargetMode="External"/><Relationship Id="rId1356" Type="http://schemas.openxmlformats.org/officeDocument/2006/relationships/hyperlink" Target="https://doi.org/10.1038/d41586-026-02482-9" TargetMode="External"/><Relationship Id="rId1357" Type="http://schemas.openxmlformats.org/officeDocument/2006/relationships/hyperlink" Target="https://www.nature.com/articles/s41893-026-01927-3" TargetMode="External"/><Relationship Id="rId1358" Type="http://schemas.openxmlformats.org/officeDocument/2006/relationships/hyperlink" Target="https://doi.org/10.1038/s41893-026-01927-3" TargetMode="External"/><Relationship Id="rId1359" Type="http://schemas.openxmlformats.org/officeDocument/2006/relationships/hyperlink" Target="https://www.nature.com/articles/s41467-026-76645-7" TargetMode="External"/><Relationship Id="rId1360" Type="http://schemas.openxmlformats.org/officeDocument/2006/relationships/hyperlink" Target="https://www.nature.com/articles/s41467-026-75459-x" TargetMode="External"/><Relationship Id="rId1361" Type="http://schemas.openxmlformats.org/officeDocument/2006/relationships/hyperlink" Target="https://www.nature.com/articles/s41467-026-77239-z" TargetMode="External"/><Relationship Id="rId1362" Type="http://schemas.openxmlformats.org/officeDocument/2006/relationships/hyperlink" Target="https://www.nature.com/articles/s41586-026-10941-6" TargetMode="External"/><Relationship Id="rId1363" Type="http://schemas.openxmlformats.org/officeDocument/2006/relationships/hyperlink" Target="https://doi.org/10.1038/s41586-026-10941-6" TargetMode="External"/><Relationship Id="rId1364" Type="http://schemas.openxmlformats.org/officeDocument/2006/relationships/hyperlink" Target="https://www.nature.com/articles/s41467-026-74975-0" TargetMode="External"/><Relationship Id="rId1365" Type="http://schemas.openxmlformats.org/officeDocument/2006/relationships/hyperlink" Target="https://www.nature.com/articles/s41467-026-76705-y" TargetMode="External"/><Relationship Id="rId1366" Type="http://schemas.openxmlformats.org/officeDocument/2006/relationships/hyperlink" Target="https://onlinelibrary.wiley.com/doi/10.1002/anie.7784614?af=R" TargetMode="External"/><Relationship Id="rId1367" Type="http://schemas.openxmlformats.org/officeDocument/2006/relationships/hyperlink" Target="https://doi.org/10.1002/anie.7784614" TargetMode="External"/><Relationship Id="rId1368" Type="http://schemas.openxmlformats.org/officeDocument/2006/relationships/hyperlink" Target="https://onlinelibrary.wiley.com/doi/10.1002/anie.9181115?af=R" TargetMode="External"/><Relationship Id="rId1369" Type="http://schemas.openxmlformats.org/officeDocument/2006/relationships/hyperlink" Target="https://doi.org/10.1002/anie.9181115" TargetMode="External"/><Relationship Id="rId1370" Type="http://schemas.openxmlformats.org/officeDocument/2006/relationships/hyperlink" Target="https://onlinelibrary.wiley.com/doi/10.1002/anie.7176757?af=R" TargetMode="External"/><Relationship Id="rId1371" Type="http://schemas.openxmlformats.org/officeDocument/2006/relationships/hyperlink" Target="https://doi.org/10.1002/anie.7176757" TargetMode="External"/><Relationship Id="rId1372" Type="http://schemas.openxmlformats.org/officeDocument/2006/relationships/hyperlink" Target="https://onlinelibrary.wiley.com/doi/10.1002/anie.8846972?af=R" TargetMode="External"/><Relationship Id="rId1373" Type="http://schemas.openxmlformats.org/officeDocument/2006/relationships/hyperlink" Target="https://doi.org/10.1002/anie.8846972" TargetMode="External"/><Relationship Id="rId1374" Type="http://schemas.openxmlformats.org/officeDocument/2006/relationships/hyperlink" Target="https://onlinelibrary.wiley.com/doi/10.1002/anie.2292773?af=R" TargetMode="External"/><Relationship Id="rId1375" Type="http://schemas.openxmlformats.org/officeDocument/2006/relationships/hyperlink" Target="https://doi.org/10.1002/anie.2292773" TargetMode="External"/><Relationship Id="rId1376" Type="http://schemas.openxmlformats.org/officeDocument/2006/relationships/hyperlink" Target="https://onlinelibrary.wiley.com/doi/10.1002/anie.6752244?af=R" TargetMode="External"/><Relationship Id="rId1377" Type="http://schemas.openxmlformats.org/officeDocument/2006/relationships/hyperlink" Target="https://doi.org/10.1002/anie.6752244" TargetMode="External"/><Relationship Id="rId1378" Type="http://schemas.openxmlformats.org/officeDocument/2006/relationships/hyperlink" Target="https://onlinelibrary.wiley.com/doi/10.1002/anie.7957354?af=R" TargetMode="External"/><Relationship Id="rId1379" Type="http://schemas.openxmlformats.org/officeDocument/2006/relationships/hyperlink" Target="https://doi.org/10.1002/anie.7957354" TargetMode="External"/><Relationship Id="rId1380" Type="http://schemas.openxmlformats.org/officeDocument/2006/relationships/hyperlink" Target="https://advanced.onlinelibrary.wiley.com/doi/10.1002/adma.74791?af=R" TargetMode="External"/><Relationship Id="rId1381" Type="http://schemas.openxmlformats.org/officeDocument/2006/relationships/hyperlink" Target="https://doi.org/10.1002/adma.74791" TargetMode="External"/><Relationship Id="rId1382" Type="http://schemas.openxmlformats.org/officeDocument/2006/relationships/hyperlink" Target="https://advanced.onlinelibrary.wiley.com/doi/10.1002/adma.74753?af=R" TargetMode="External"/><Relationship Id="rId1383" Type="http://schemas.openxmlformats.org/officeDocument/2006/relationships/hyperlink" Target="https://doi.org/10.1002/adma.74753" TargetMode="External"/><Relationship Id="rId1384" Type="http://schemas.openxmlformats.org/officeDocument/2006/relationships/hyperlink" Target="https://onlinelibrary.wiley.com/doi/10.1002/anie.8683609?af=R" TargetMode="External"/><Relationship Id="rId1385" Type="http://schemas.openxmlformats.org/officeDocument/2006/relationships/hyperlink" Target="https://doi.org/10.1002/anie.8683609" TargetMode="External"/><Relationship Id="rId1386" Type="http://schemas.openxmlformats.org/officeDocument/2006/relationships/hyperlink" Target="https://www.science.org/doi/abs/10.1126/sciadv.aed3977?af=R" TargetMode="External"/><Relationship Id="rId1387" Type="http://schemas.openxmlformats.org/officeDocument/2006/relationships/hyperlink" Target="https://doi.org/10.1126/sciadv.aed3977" TargetMode="External"/><Relationship Id="rId1388" Type="http://schemas.openxmlformats.org/officeDocument/2006/relationships/hyperlink" Target="https://www.science.org/doi/abs/10.1126/sciadv.aee6666?af=R" TargetMode="External"/><Relationship Id="rId1389" Type="http://schemas.openxmlformats.org/officeDocument/2006/relationships/hyperlink" Target="https://doi.org/10.1126/sciadv.aee6666" TargetMode="External"/><Relationship Id="rId1390" Type="http://schemas.openxmlformats.org/officeDocument/2006/relationships/hyperlink" Target="https://www.science.org/doi/abs/10.1126/sciadv.aec9028?af=R" TargetMode="External"/><Relationship Id="rId1391" Type="http://schemas.openxmlformats.org/officeDocument/2006/relationships/hyperlink" Target="https://doi.org/10.1126/sciadv.aec9028" TargetMode="External"/><Relationship Id="rId1392" Type="http://schemas.openxmlformats.org/officeDocument/2006/relationships/hyperlink" Target="https://www.science.org/doi/abs/10.1126/sciadv.aef6109?af=R" TargetMode="External"/><Relationship Id="rId1393" Type="http://schemas.openxmlformats.org/officeDocument/2006/relationships/hyperlink" Target="https://doi.org/10.1126/sciadv.aef6109" TargetMode="External"/><Relationship Id="rId1394" Type="http://schemas.openxmlformats.org/officeDocument/2006/relationships/hyperlink" Target="https://www.science.org/doi/abs/10.1126/sciadv.aeg0341?af=R" TargetMode="External"/><Relationship Id="rId1395" Type="http://schemas.openxmlformats.org/officeDocument/2006/relationships/hyperlink" Target="https://doi.org/10.1126/sciadv.aeg0341" TargetMode="External"/><Relationship Id="rId1396" Type="http://schemas.openxmlformats.org/officeDocument/2006/relationships/hyperlink" Target="https://www.science.org/doi/abs/10.1126/sciadv.ady3618?af=R" TargetMode="External"/><Relationship Id="rId1397" Type="http://schemas.openxmlformats.org/officeDocument/2006/relationships/hyperlink" Target="https://doi.org/10.1126/sciadv.ady3618" TargetMode="External"/><Relationship Id="rId1398" Type="http://schemas.openxmlformats.org/officeDocument/2006/relationships/hyperlink" Target="https://www.science.org/doi/abs/10.1126/sciadv.aeh3580?af=R" TargetMode="External"/><Relationship Id="rId1399" Type="http://schemas.openxmlformats.org/officeDocument/2006/relationships/hyperlink" Target="https://doi.org/10.1126/sciadv.aeh3580" TargetMode="External"/><Relationship Id="rId1400" Type="http://schemas.openxmlformats.org/officeDocument/2006/relationships/hyperlink" Target="https://www.pnas.org/doi/abs/10.1073/pnas.2603685123?mi=eymic2&amp;af=R&amp;access=on&amp;content=articlesChapters&amp;publication=pnas&amp;sortBy=Earliest&amp;target=default" TargetMode="External"/><Relationship Id="rId1401" Type="http://schemas.openxmlformats.org/officeDocument/2006/relationships/hyperlink" Target="https://doi.org/10.1073/pnas.2603685123" TargetMode="External"/><Relationship Id="rId1402" Type="http://schemas.openxmlformats.org/officeDocument/2006/relationships/hyperlink" Target="https://www.science.org/doi/abs/10.1126/sciadv.aeh5504?af=R" TargetMode="External"/><Relationship Id="rId1403" Type="http://schemas.openxmlformats.org/officeDocument/2006/relationships/hyperlink" Target="https://doi.org/10.1126/sciadv.aeh5504" TargetMode="External"/><Relationship Id="rId1404" Type="http://schemas.openxmlformats.org/officeDocument/2006/relationships/hyperlink" Target="https://www.science.org/doi/abs/10.1126/sciadv.aef6065?af=R" TargetMode="External"/><Relationship Id="rId1405" Type="http://schemas.openxmlformats.org/officeDocument/2006/relationships/hyperlink" Target="https://doi.org/10.1126/sciadv.aef6065" TargetMode="External"/><Relationship Id="rId1406" Type="http://schemas.openxmlformats.org/officeDocument/2006/relationships/hyperlink" Target="https://www.science.org/doi/abs/10.1126/sciadv.aef3715?af=R" TargetMode="External"/><Relationship Id="rId1407" Type="http://schemas.openxmlformats.org/officeDocument/2006/relationships/hyperlink" Target="https://doi.org/10.1126/sciadv.aef3715" TargetMode="External"/><Relationship Id="rId1408" Type="http://schemas.openxmlformats.org/officeDocument/2006/relationships/hyperlink" Target="https://www.science.org/doi/abs/10.1126/sciadv.aef5385?af=R" TargetMode="External"/><Relationship Id="rId1409" Type="http://schemas.openxmlformats.org/officeDocument/2006/relationships/hyperlink" Target="https://doi.org/10.1126/sciadv.aef5385" TargetMode="External"/><Relationship Id="rId1410" Type="http://schemas.openxmlformats.org/officeDocument/2006/relationships/hyperlink" Target="https://www.science.org/doi/abs/10.1126/sciadv.aef3514?af=R" TargetMode="External"/><Relationship Id="rId1411" Type="http://schemas.openxmlformats.org/officeDocument/2006/relationships/hyperlink" Target="https://doi.org/10.1126/sciadv.aef3514" TargetMode="External"/><Relationship Id="rId1412" Type="http://schemas.openxmlformats.org/officeDocument/2006/relationships/hyperlink" Target="https://www.science.org/doi/abs/10.1126/sciadv.aeg5334?af=R" TargetMode="External"/><Relationship Id="rId1413" Type="http://schemas.openxmlformats.org/officeDocument/2006/relationships/hyperlink" Target="https://doi.org/10.1126/sciadv.aeg5334" TargetMode="External"/><Relationship Id="rId1414" Type="http://schemas.openxmlformats.org/officeDocument/2006/relationships/hyperlink" Target="https://www.science.org/doi/abs/10.1126/sciadv.aeb6478?af=R" TargetMode="External"/><Relationship Id="rId1415" Type="http://schemas.openxmlformats.org/officeDocument/2006/relationships/hyperlink" Target="https://doi.org/10.1126/sciadv.aeb6478" TargetMode="External"/><Relationship Id="rId1416" Type="http://schemas.openxmlformats.org/officeDocument/2006/relationships/hyperlink" Target="https://www.science.org/doi/abs/10.1126/sciadv.aeh6867?af=R" TargetMode="External"/><Relationship Id="rId1417" Type="http://schemas.openxmlformats.org/officeDocument/2006/relationships/hyperlink" Target="https://doi.org/10.1126/sciadv.aeh6867" TargetMode="External"/><Relationship Id="rId1418" Type="http://schemas.openxmlformats.org/officeDocument/2006/relationships/hyperlink" Target="https://www.pnas.org/doi/abs/10.1073/pnas.2603667123?mi=eymic2&amp;af=R&amp;access=on&amp;content=articlesChapters&amp;publication=pnas&amp;sortBy=Earliest&amp;target=default" TargetMode="External"/><Relationship Id="rId1419" Type="http://schemas.openxmlformats.org/officeDocument/2006/relationships/hyperlink" Target="https://doi.org/10.1073/pnas.2603667123" TargetMode="External"/><Relationship Id="rId1420" Type="http://schemas.openxmlformats.org/officeDocument/2006/relationships/hyperlink" Target="https://www.science.org/doi/abs/10.1126/sciadv.aef8959?af=R" TargetMode="External"/><Relationship Id="rId1421" Type="http://schemas.openxmlformats.org/officeDocument/2006/relationships/hyperlink" Target="https://doi.org/10.1126/sciadv.aef8959" TargetMode="External"/><Relationship Id="rId1422" Type="http://schemas.openxmlformats.org/officeDocument/2006/relationships/hyperlink" Target="https://www.pnas.org/doi/abs/10.1073/pnas.2605727123?mi=eymic2&amp;af=R&amp;access=on&amp;content=articlesChapters&amp;publication=pnas&amp;sortBy=Earliest&amp;target=default" TargetMode="External"/><Relationship Id="rId1423" Type="http://schemas.openxmlformats.org/officeDocument/2006/relationships/hyperlink" Target="https://doi.org/10.1073/pnas.2605727123" TargetMode="External"/><Relationship Id="rId1424" Type="http://schemas.openxmlformats.org/officeDocument/2006/relationships/hyperlink" Target="https://www.pnas.org/doi/abs/10.1073/pnas.2612369123?mi=eymic2&amp;af=R&amp;access=on&amp;content=articlesChapters&amp;publication=pnas&amp;sortBy=Earliest&amp;target=default" TargetMode="External"/><Relationship Id="rId1425" Type="http://schemas.openxmlformats.org/officeDocument/2006/relationships/hyperlink" Target="https://doi.org/10.1073/pnas.2612369123" TargetMode="External"/><Relationship Id="rId1426" Type="http://schemas.openxmlformats.org/officeDocument/2006/relationships/hyperlink" Target="https://www.pnas.org/doi/abs/10.1073/pnas.2613615123?mi=eymic2&amp;af=R&amp;access=on&amp;content=articlesChapters&amp;publication=pnas&amp;sortBy=Earliest&amp;target=default" TargetMode="External"/><Relationship Id="rId1427" Type="http://schemas.openxmlformats.org/officeDocument/2006/relationships/hyperlink" Target="https://doi.org/10.1073/pnas.2613615123" TargetMode="External"/><Relationship Id="rId1428" Type="http://schemas.openxmlformats.org/officeDocument/2006/relationships/hyperlink" Target="https://www.pnas.org/doi/abs/10.1073/pnas.2615875123?mi=eymic2&amp;af=R&amp;access=on&amp;content=articlesChapters&amp;publication=pnas&amp;sortBy=Earliest&amp;target=default" TargetMode="External"/><Relationship Id="rId1429" Type="http://schemas.openxmlformats.org/officeDocument/2006/relationships/hyperlink" Target="https://doi.org/10.1073/pnas.2615875123" TargetMode="External"/><Relationship Id="rId1430" Type="http://schemas.openxmlformats.org/officeDocument/2006/relationships/hyperlink" Target="https://www.science.org/doi/abs/10.1126/sciadv.aej0610?af=R" TargetMode="External"/><Relationship Id="rId1431" Type="http://schemas.openxmlformats.org/officeDocument/2006/relationships/hyperlink" Target="https://doi.org/10.1126/sciadv.aej0610" TargetMode="External"/><Relationship Id="rId1432" Type="http://schemas.openxmlformats.org/officeDocument/2006/relationships/hyperlink" Target="https://www.pnas.org/doi/abs/10.1073/pnas.2617749123?mi=eymic2&amp;af=R&amp;access=on&amp;content=articlesChapters&amp;publication=pnas&amp;sortBy=Earliest&amp;target=default" TargetMode="External"/><Relationship Id="rId1433" Type="http://schemas.openxmlformats.org/officeDocument/2006/relationships/hyperlink" Target="https://doi.org/10.1073/pnas.2617749123" TargetMode="External"/><Relationship Id="rId1434" Type="http://schemas.openxmlformats.org/officeDocument/2006/relationships/hyperlink" Target="https://www.pnas.org/doi/abs/10.1073/pnas.2625941123?mi=eymic2&amp;af=R&amp;access=on&amp;content=articlesChapters&amp;publication=pnas&amp;sortBy=Earliest&amp;target=default" TargetMode="External"/><Relationship Id="rId1435" Type="http://schemas.openxmlformats.org/officeDocument/2006/relationships/hyperlink" Target="https://doi.org/10.1073/pnas.2625941123" TargetMode="External"/><Relationship Id="rId1436" Type="http://schemas.openxmlformats.org/officeDocument/2006/relationships/hyperlink" Target="https://www.pnas.org/doi/abs/10.1073/pnas.2626408123?mi=eymic2&amp;af=R&amp;access=on&amp;content=articlesChapters&amp;publication=pnas&amp;sortBy=Earliest&amp;target=default" TargetMode="External"/><Relationship Id="rId1437" Type="http://schemas.openxmlformats.org/officeDocument/2006/relationships/hyperlink" Target="https://doi.org/10.1073/pnas.2626408123" TargetMode="External"/><Relationship Id="rId1438" Type="http://schemas.openxmlformats.org/officeDocument/2006/relationships/hyperlink" Target="https://www.pnas.org/doi/abs/10.1073/pnas.2627985123?mi=eymic2&amp;af=R&amp;access=on&amp;content=articlesChapters&amp;publication=pnas&amp;sortBy=Earliest&amp;target=default" TargetMode="External"/><Relationship Id="rId1439" Type="http://schemas.openxmlformats.org/officeDocument/2006/relationships/hyperlink" Target="https://doi.org/10.1073/pnas.2627985123" TargetMode="External"/><Relationship Id="rId1440" Type="http://schemas.openxmlformats.org/officeDocument/2006/relationships/hyperlink" Target="https://www.science.org/doi/abs/10.1126/sciadv.aeh8149?af=R" TargetMode="External"/><Relationship Id="rId1441" Type="http://schemas.openxmlformats.org/officeDocument/2006/relationships/hyperlink" Target="https://doi.org/10.1126/sciadv.aeh8149" TargetMode="External"/><Relationship Id="rId1442" Type="http://schemas.openxmlformats.org/officeDocument/2006/relationships/hyperlink" Target="https://www.science.org/doi/abs/10.1126/sciadv.aeh7999?af=R" TargetMode="External"/><Relationship Id="rId1443" Type="http://schemas.openxmlformats.org/officeDocument/2006/relationships/hyperlink" Target="https://doi.org/10.1126/sciadv.aeh7999" TargetMode="External"/><Relationship Id="rId1444" Type="http://schemas.openxmlformats.org/officeDocument/2006/relationships/hyperlink" Target="https://www.pnas.org/doi/abs/10.1073/pnas.2621443123?mi=eymic2&amp;af=R&amp;access=on&amp;content=articlesChapters&amp;publication=pnas&amp;sortBy=Earliest&amp;target=default" TargetMode="External"/><Relationship Id="rId1445" Type="http://schemas.openxmlformats.org/officeDocument/2006/relationships/hyperlink" Target="https://doi.org/10.1073/pnas.2621443123" TargetMode="External"/><Relationship Id="rId1446" Type="http://schemas.openxmlformats.org/officeDocument/2006/relationships/hyperlink" Target="https://www.pnas.org/doi/abs/10.1073/pnas.2603379123?mi=eymic2&amp;af=R&amp;access=on&amp;content=articlesChapters&amp;publication=pnas&amp;sortBy=Earliest&amp;target=default" TargetMode="External"/><Relationship Id="rId1447" Type="http://schemas.openxmlformats.org/officeDocument/2006/relationships/hyperlink" Target="https://doi.org/10.1073/pnas.2603379123" TargetMode="External"/><Relationship Id="rId1448" Type="http://schemas.openxmlformats.org/officeDocument/2006/relationships/hyperlink" Target="https://www.science.org/doi/abs/10.1126/sciadv.adr1424?af=R" TargetMode="External"/><Relationship Id="rId1449" Type="http://schemas.openxmlformats.org/officeDocument/2006/relationships/hyperlink" Target="https://doi.org/10.1126/sciadv.adr1424" TargetMode="External"/><Relationship Id="rId1450" Type="http://schemas.openxmlformats.org/officeDocument/2006/relationships/hyperlink" Target="https://www.science.org/doi/abs/10.1126/sciadv.aee8657?af=R" TargetMode="External"/><Relationship Id="rId1451" Type="http://schemas.openxmlformats.org/officeDocument/2006/relationships/hyperlink" Target="https://doi.org/10.1126/sciadv.aee8657" TargetMode="External"/><Relationship Id="rId1452" Type="http://schemas.openxmlformats.org/officeDocument/2006/relationships/hyperlink" Target="https://www.science.org/doi/abs/10.1126/sciadv.aeg9496?af=R" TargetMode="External"/><Relationship Id="rId1453" Type="http://schemas.openxmlformats.org/officeDocument/2006/relationships/hyperlink" Target="https://doi.org/10.1126/sciadv.aeg9496" TargetMode="External"/><Relationship Id="rId1454" Type="http://schemas.openxmlformats.org/officeDocument/2006/relationships/hyperlink" Target="https://www.science.org/doi/abs/10.1126/sciadv.aeh1011?af=R" TargetMode="External"/><Relationship Id="rId1455" Type="http://schemas.openxmlformats.org/officeDocument/2006/relationships/hyperlink" Target="https://doi.org/10.1126/sciadv.aeh1011" TargetMode="External"/><Relationship Id="rId1456" Type="http://schemas.openxmlformats.org/officeDocument/2006/relationships/hyperlink" Target="https://www.science.org/doi/abs/10.1126/sciadv.aeh1033?af=R" TargetMode="External"/><Relationship Id="rId1457" Type="http://schemas.openxmlformats.org/officeDocument/2006/relationships/hyperlink" Target="https://doi.org/10.1126/sciadv.aeh1033" TargetMode="External"/><Relationship Id="rId1458" Type="http://schemas.openxmlformats.org/officeDocument/2006/relationships/hyperlink" Target="https://www.science.org/doi/abs/10.1126/sciadv.aed3922?af=R" TargetMode="External"/><Relationship Id="rId1459" Type="http://schemas.openxmlformats.org/officeDocument/2006/relationships/hyperlink" Target="https://doi.org/10.1126/sciadv.aed3922" TargetMode="External"/><Relationship Id="rId1460" Type="http://schemas.openxmlformats.org/officeDocument/2006/relationships/hyperlink" Target="https://www.science.org/doi/abs/10.1126/sciadv.aef2512?af=R" TargetMode="External"/><Relationship Id="rId1461" Type="http://schemas.openxmlformats.org/officeDocument/2006/relationships/hyperlink" Target="https://doi.org/10.1126/sciadv.aef2512" TargetMode="External"/><Relationship Id="rId1462" Type="http://schemas.openxmlformats.org/officeDocument/2006/relationships/hyperlink" Target="https://www.science.org/doi/abs/10.1126/sciadv.aeg1633?af=R" TargetMode="External"/><Relationship Id="rId1463" Type="http://schemas.openxmlformats.org/officeDocument/2006/relationships/hyperlink" Target="https://doi.org/10.1126/sciadv.aeg1633" TargetMode="External"/><Relationship Id="rId1464" Type="http://schemas.openxmlformats.org/officeDocument/2006/relationships/hyperlink" Target="https://www.science.org/doi/abs/10.1126/sciadv.aeg8792?af=R" TargetMode="External"/><Relationship Id="rId1465" Type="http://schemas.openxmlformats.org/officeDocument/2006/relationships/hyperlink" Target="https://doi.org/10.1126/sciadv.aeg8792" TargetMode="External"/><Relationship Id="rId1466" Type="http://schemas.openxmlformats.org/officeDocument/2006/relationships/hyperlink" Target="https://www.science.org/doi/abs/10.1126/sciadv.ael6996?af=R" TargetMode="External"/><Relationship Id="rId1467" Type="http://schemas.openxmlformats.org/officeDocument/2006/relationships/hyperlink" Target="https://doi.org/10.1126/sciadv.ael6996" TargetMode="External"/><Relationship Id="rId1468" Type="http://schemas.openxmlformats.org/officeDocument/2006/relationships/hyperlink" Target="https://www.pnas.org/doi/abs/10.1073/pnas.2602574123?mi=eymic2&amp;af=R&amp;access=on&amp;content=articlesChapters&amp;publication=pnas&amp;sortBy=Earliest&amp;target=default" TargetMode="External"/><Relationship Id="rId1469" Type="http://schemas.openxmlformats.org/officeDocument/2006/relationships/hyperlink" Target="https://doi.org/10.1073/pnas.2602574123" TargetMode="External"/><Relationship Id="rId1470" Type="http://schemas.openxmlformats.org/officeDocument/2006/relationships/hyperlink" Target="https://www.pnas.org/doi/abs/10.1073/pnas.2601318123?mi=eymic2&amp;af=R&amp;access=on&amp;content=articlesChapters&amp;publication=pnas&amp;sortBy=Earliest&amp;target=default" TargetMode="External"/><Relationship Id="rId1471" Type="http://schemas.openxmlformats.org/officeDocument/2006/relationships/hyperlink" Target="https://doi.org/10.1073/pnas.2601318123" TargetMode="External"/><Relationship Id="rId1472" Type="http://schemas.openxmlformats.org/officeDocument/2006/relationships/hyperlink" Target="https://www.pnas.org/doi/abs/10.1073/pnas.2600317123?mi=eymic2&amp;af=R&amp;access=on&amp;content=articlesChapters&amp;publication=pnas&amp;sortBy=Earliest&amp;target=default" TargetMode="External"/><Relationship Id="rId1473" Type="http://schemas.openxmlformats.org/officeDocument/2006/relationships/hyperlink" Target="https://doi.org/10.1073/pnas.2600317123" TargetMode="External"/><Relationship Id="rId1474" Type="http://schemas.openxmlformats.org/officeDocument/2006/relationships/hyperlink" Target="https://www.pnas.org/doi/abs/10.1073/pnas.2600262123?mi=eymic2&amp;af=R&amp;access=on&amp;content=articlesChapters&amp;publication=pnas&amp;sortBy=Earliest&amp;target=default" TargetMode="External"/><Relationship Id="rId1475" Type="http://schemas.openxmlformats.org/officeDocument/2006/relationships/hyperlink" Target="https://doi.org/10.1073/pnas.2600262123" TargetMode="External"/><Relationship Id="rId1476" Type="http://schemas.openxmlformats.org/officeDocument/2006/relationships/hyperlink" Target="https://www.pnas.org/doi/abs/10.1073/pnas.2401248123?mi=eymic2&amp;af=R&amp;access=on&amp;content=articlesChapters&amp;publication=pnas&amp;sortBy=Earliest&amp;target=default" TargetMode="External"/><Relationship Id="rId1477" Type="http://schemas.openxmlformats.org/officeDocument/2006/relationships/hyperlink" Target="https://doi.org/10.1073/pnas.2401248123" TargetMode="External"/><Relationship Id="rId1478" Type="http://schemas.openxmlformats.org/officeDocument/2006/relationships/hyperlink" Target="https://www.science.org/doi/abs/10.1126/sciadv.aeh4670?af=R" TargetMode="External"/><Relationship Id="rId1479" Type="http://schemas.openxmlformats.org/officeDocument/2006/relationships/hyperlink" Target="https://doi.org/10.1126/sciadv.aeh4670" TargetMode="External"/><Relationship Id="rId1480" Type="http://schemas.openxmlformats.org/officeDocument/2006/relationships/hyperlink" Target="https://www.pnas.org/doi/abs/10.1073/pnas.2603299123?mi=eymic2&amp;af=R&amp;access=on&amp;content=articlesChapters&amp;publication=pnas&amp;sortBy=Earliest&amp;target=default" TargetMode="External"/><Relationship Id="rId1481" Type="http://schemas.openxmlformats.org/officeDocument/2006/relationships/hyperlink" Target="https://doi.org/10.1073/pnas.2603299123" TargetMode="External"/><Relationship Id="rId1482" Type="http://schemas.openxmlformats.org/officeDocument/2006/relationships/hyperlink" Target="https://www.science.org/doi/abs/10.1126/sciadv.aee2942?af=R" TargetMode="External"/><Relationship Id="rId1483" Type="http://schemas.openxmlformats.org/officeDocument/2006/relationships/hyperlink" Target="https://doi.org/10.1126/sciadv.aee2942" TargetMode="External"/><Relationship Id="rId1484" Type="http://schemas.openxmlformats.org/officeDocument/2006/relationships/hyperlink" Target="https://www.science.org/doi/abs/10.1126/sciadv.aed8359?af=R" TargetMode="External"/><Relationship Id="rId1485" Type="http://schemas.openxmlformats.org/officeDocument/2006/relationships/hyperlink" Target="https://doi.org/10.1126/sciadv.aed8359" TargetMode="External"/><Relationship Id="rId1486" Type="http://schemas.openxmlformats.org/officeDocument/2006/relationships/hyperlink" Target="https://www.science.org/doi/abs/10.1126/sciadv.aed3650?af=R" TargetMode="External"/><Relationship Id="rId1487" Type="http://schemas.openxmlformats.org/officeDocument/2006/relationships/hyperlink" Target="https://doi.org/10.1126/sciadv.aed3650" TargetMode="External"/><Relationship Id="rId1488" Type="http://schemas.openxmlformats.org/officeDocument/2006/relationships/hyperlink" Target="https://www.science.org/doi/abs/10.1126/sciadv.aec7590?af=R" TargetMode="External"/><Relationship Id="rId1489" Type="http://schemas.openxmlformats.org/officeDocument/2006/relationships/hyperlink" Target="https://doi.org/10.1126/sciadv.aec7590" TargetMode="External"/><Relationship Id="rId1490" Type="http://schemas.openxmlformats.org/officeDocument/2006/relationships/hyperlink" Target="https://www.science.org/doi/abs/10.1126/sciadv.aeb3232?af=R" TargetMode="External"/><Relationship Id="rId1491" Type="http://schemas.openxmlformats.org/officeDocument/2006/relationships/hyperlink" Target="https://doi.org/10.1126/sciadv.aeb3232" TargetMode="External"/><Relationship Id="rId1492" Type="http://schemas.openxmlformats.org/officeDocument/2006/relationships/hyperlink" Target="https://www.science.org/doi/abs/10.1126/sciadv.aed0049?af=R" TargetMode="External"/><Relationship Id="rId1493" Type="http://schemas.openxmlformats.org/officeDocument/2006/relationships/hyperlink" Target="https://doi.org/10.1126/sciadv.aed0049" TargetMode="External"/><Relationship Id="rId1494" Type="http://schemas.openxmlformats.org/officeDocument/2006/relationships/hyperlink" Target="https://www.science.org/doi/abs/10.1126/sciadv.adu0632?af=R" TargetMode="External"/><Relationship Id="rId1495" Type="http://schemas.openxmlformats.org/officeDocument/2006/relationships/hyperlink" Target="https://doi.org/10.1126/sciadv.adu0632" TargetMode="External"/><Relationship Id="rId1496" Type="http://schemas.openxmlformats.org/officeDocument/2006/relationships/hyperlink" Target="https://www.science.org/doi/abs/10.1126/sciadv.aeg1148?af=R" TargetMode="External"/><Relationship Id="rId1497" Type="http://schemas.openxmlformats.org/officeDocument/2006/relationships/hyperlink" Target="https://doi.org/10.1126/sciadv.aeg1148" TargetMode="External"/><Relationship Id="rId1498" Type="http://schemas.openxmlformats.org/officeDocument/2006/relationships/hyperlink" Target="https://www.science.org/doi/abs/10.1126/sciadv.aeg1209?af=R" TargetMode="External"/><Relationship Id="rId1499" Type="http://schemas.openxmlformats.org/officeDocument/2006/relationships/hyperlink" Target="https://doi.org/10.1126/sciadv.aeg1209" TargetMode="External"/><Relationship Id="rId1500" Type="http://schemas.openxmlformats.org/officeDocument/2006/relationships/hyperlink" Target="https://www.science.org/doi/abs/10.1126/sciadv.aeg2218?af=R" TargetMode="External"/><Relationship Id="rId1501" Type="http://schemas.openxmlformats.org/officeDocument/2006/relationships/hyperlink" Target="https://doi.org/10.1126/sciadv.aeg2218" TargetMode="External"/><Relationship Id="rId1502" Type="http://schemas.openxmlformats.org/officeDocument/2006/relationships/hyperlink" Target="https://www.science.org/doi/abs/10.1126/sciadv.ady0833?af=R" TargetMode="External"/><Relationship Id="rId1503" Type="http://schemas.openxmlformats.org/officeDocument/2006/relationships/hyperlink" Target="https://doi.org/10.1126/sciadv.ady0833" TargetMode="External"/><Relationship Id="rId1504" Type="http://schemas.openxmlformats.org/officeDocument/2006/relationships/hyperlink" Target="https://www.science.org/doi/abs/10.1126/sciadv.aef1257?af=R" TargetMode="External"/><Relationship Id="rId1505" Type="http://schemas.openxmlformats.org/officeDocument/2006/relationships/hyperlink" Target="https://doi.org/10.1126/sciadv.aef1257" TargetMode="External"/><Relationship Id="rId1506" Type="http://schemas.openxmlformats.org/officeDocument/2006/relationships/hyperlink" Target="https://onlinelibrary.wiley.com/doi/10.1002/anie.7042721?af=R" TargetMode="External"/><Relationship Id="rId1507" Type="http://schemas.openxmlformats.org/officeDocument/2006/relationships/hyperlink" Target="https://doi.org/10.1002/anie.7042721" TargetMode="External"/><Relationship Id="rId1508" Type="http://schemas.openxmlformats.org/officeDocument/2006/relationships/hyperlink" Target="https://onlinelibrary.wiley.com/doi/10.1002/anie.9280379?af=R" TargetMode="External"/><Relationship Id="rId1509" Type="http://schemas.openxmlformats.org/officeDocument/2006/relationships/hyperlink" Target="https://doi.org/10.1002/anie.9280379" TargetMode="External"/><Relationship Id="rId1510" Type="http://schemas.openxmlformats.org/officeDocument/2006/relationships/hyperlink" Target="https://onlinelibrary.wiley.com/doi/10.1002/anie.1710587?af=R" TargetMode="External"/><Relationship Id="rId1511" Type="http://schemas.openxmlformats.org/officeDocument/2006/relationships/hyperlink" Target="https://doi.org/10.1002/anie.1710587" TargetMode="External"/><Relationship Id="rId1512" Type="http://schemas.openxmlformats.org/officeDocument/2006/relationships/hyperlink" Target="https://advanced.onlinelibrary.wiley.com/doi/10.1002/adma.74781?af=R" TargetMode="External"/><Relationship Id="rId1513" Type="http://schemas.openxmlformats.org/officeDocument/2006/relationships/hyperlink" Target="https://doi.org/10.1002/adma.74781" TargetMode="External"/><Relationship Id="rId1514" Type="http://schemas.openxmlformats.org/officeDocument/2006/relationships/hyperlink" Target="https://onlinelibrary.wiley.com/doi/10.1002/anie.5375858?af=R" TargetMode="External"/><Relationship Id="rId1515" Type="http://schemas.openxmlformats.org/officeDocument/2006/relationships/hyperlink" Target="https://doi.org/10.1002/anie.5375858" TargetMode="External"/><Relationship Id="rId1516" Type="http://schemas.openxmlformats.org/officeDocument/2006/relationships/hyperlink" Target="https://onlinelibrary.wiley.com/doi/10.1002/anie.1809937?af=R" TargetMode="External"/><Relationship Id="rId1517" Type="http://schemas.openxmlformats.org/officeDocument/2006/relationships/hyperlink" Target="https://doi.org/10.1002/anie.1809937" TargetMode="External"/><Relationship Id="rId1518" Type="http://schemas.openxmlformats.org/officeDocument/2006/relationships/hyperlink" Target="https://onlinelibrary.wiley.com/doi/10.1002/anie.7177046?af=R" TargetMode="External"/><Relationship Id="rId1519" Type="http://schemas.openxmlformats.org/officeDocument/2006/relationships/hyperlink" Target="https://doi.org/10.1002/anie.7177046" TargetMode="External"/><Relationship Id="rId1520" Type="http://schemas.openxmlformats.org/officeDocument/2006/relationships/hyperlink" Target="https://onlinelibrary.wiley.com/doi/10.1002/anie.7923254?af=R" TargetMode="External"/><Relationship Id="rId1521" Type="http://schemas.openxmlformats.org/officeDocument/2006/relationships/hyperlink" Target="https://doi.org/10.1002/anie.7923254" TargetMode="External"/><Relationship Id="rId1522" Type="http://schemas.openxmlformats.org/officeDocument/2006/relationships/hyperlink" Target="https://onlinelibrary.wiley.com/doi/10.1002/anie.3765495?af=R" TargetMode="External"/><Relationship Id="rId1523" Type="http://schemas.openxmlformats.org/officeDocument/2006/relationships/hyperlink" Target="https://doi.org/10.1002/anie.3765495" TargetMode="External"/><Relationship Id="rId1524" Type="http://schemas.openxmlformats.org/officeDocument/2006/relationships/hyperlink" Target="https://onlinelibrary.wiley.com/doi/10.1002/anie.5240036?af=R" TargetMode="External"/><Relationship Id="rId1525" Type="http://schemas.openxmlformats.org/officeDocument/2006/relationships/hyperlink" Target="https://doi.org/10.1002/anie.5240036" TargetMode="External"/><Relationship Id="rId1526" Type="http://schemas.openxmlformats.org/officeDocument/2006/relationships/hyperlink" Target="https://onlinelibrary.wiley.com/doi/10.1002/anie.3761769?af=R" TargetMode="External"/><Relationship Id="rId1527" Type="http://schemas.openxmlformats.org/officeDocument/2006/relationships/hyperlink" Target="https://doi.org/10.1002/anie.3761769" TargetMode="External"/><Relationship Id="rId1528" Type="http://schemas.openxmlformats.org/officeDocument/2006/relationships/hyperlink" Target="https://onlinelibrary.wiley.com/doi/10.1002/anie.1816694?af=R" TargetMode="External"/><Relationship Id="rId1529" Type="http://schemas.openxmlformats.org/officeDocument/2006/relationships/hyperlink" Target="https://doi.org/10.1002/anie.1816694" TargetMode="External"/><Relationship Id="rId1530" Type="http://schemas.openxmlformats.org/officeDocument/2006/relationships/hyperlink" Target="https://onlinelibrary.wiley.com/doi/10.1002/anie.7074723?af=R" TargetMode="External"/><Relationship Id="rId1531" Type="http://schemas.openxmlformats.org/officeDocument/2006/relationships/hyperlink" Target="https://doi.org/10.1002/anie.7074723" TargetMode="External"/><Relationship Id="rId1532" Type="http://schemas.openxmlformats.org/officeDocument/2006/relationships/hyperlink" Target="http://link.aps.org/doi/10.1103/j8yn-8ftt" TargetMode="External"/><Relationship Id="rId1533" Type="http://schemas.openxmlformats.org/officeDocument/2006/relationships/hyperlink" Target="https://doi.org/10.1103/j8yn-8ftt" TargetMode="External"/><Relationship Id="rId1534" Type="http://schemas.openxmlformats.org/officeDocument/2006/relationships/hyperlink" Target="http://link.aps.org/doi/10.1103/hxtk-vmjq" TargetMode="External"/><Relationship Id="rId1535" Type="http://schemas.openxmlformats.org/officeDocument/2006/relationships/hyperlink" Target="https://doi.org/10.1103/hxtk-vmjq" TargetMode="External"/><Relationship Id="rId1536" Type="http://schemas.openxmlformats.org/officeDocument/2006/relationships/hyperlink" Target="http://link.aps.org/doi/10.1103/pkk5-dykb" TargetMode="External"/><Relationship Id="rId1537" Type="http://schemas.openxmlformats.org/officeDocument/2006/relationships/hyperlink" Target="https://doi.org/10.1103/pkk5-dykb" TargetMode="External"/><Relationship Id="rId1538" Type="http://schemas.openxmlformats.org/officeDocument/2006/relationships/hyperlink" Target="http://link.aps.org/doi/10.1103/hz7z-m9tn" TargetMode="External"/><Relationship Id="rId1539" Type="http://schemas.openxmlformats.org/officeDocument/2006/relationships/hyperlink" Target="https://doi.org/10.1103/hz7z-m9tn" TargetMode="External"/><Relationship Id="rId1540" Type="http://schemas.openxmlformats.org/officeDocument/2006/relationships/hyperlink" Target="http://link.aps.org/doi/10.1103/pshy-l48q" TargetMode="External"/><Relationship Id="rId1541" Type="http://schemas.openxmlformats.org/officeDocument/2006/relationships/hyperlink" Target="https://doi.org/10.1103/pshy-l48q" TargetMode="External"/><Relationship Id="rId1542" Type="http://schemas.openxmlformats.org/officeDocument/2006/relationships/hyperlink" Target="http://link.aps.org/doi/10.1103/2h9x-8tjk" TargetMode="External"/><Relationship Id="rId1543" Type="http://schemas.openxmlformats.org/officeDocument/2006/relationships/hyperlink" Target="https://doi.org/10.1103/2h9x-8tjk" TargetMode="External"/><Relationship Id="rId1544" Type="http://schemas.openxmlformats.org/officeDocument/2006/relationships/hyperlink" Target="http://link.aps.org/doi/10.1103/xjyw-gqfh" TargetMode="External"/><Relationship Id="rId1545" Type="http://schemas.openxmlformats.org/officeDocument/2006/relationships/hyperlink" Target="https://doi.org/10.1103/xjyw-gqfh" TargetMode="External"/><Relationship Id="rId1546" Type="http://schemas.openxmlformats.org/officeDocument/2006/relationships/hyperlink" Target="http://link.aps.org/doi/10.1103/2cvx-6hqz" TargetMode="External"/><Relationship Id="rId1547" Type="http://schemas.openxmlformats.org/officeDocument/2006/relationships/hyperlink" Target="https://doi.org/10.1103/2cvx-6hqz" TargetMode="External"/><Relationship Id="rId1548" Type="http://schemas.openxmlformats.org/officeDocument/2006/relationships/hyperlink" Target="http://link.aps.org/doi/10.1103/xt96-66z1" TargetMode="External"/><Relationship Id="rId1549" Type="http://schemas.openxmlformats.org/officeDocument/2006/relationships/hyperlink" Target="https://doi.org/10.1103/xt96-66z1" TargetMode="External"/><Relationship Id="rId1550" Type="http://schemas.openxmlformats.org/officeDocument/2006/relationships/hyperlink" Target="http://link.aps.org/doi/10.1103/2frt-tdg9" TargetMode="External"/><Relationship Id="rId1551" Type="http://schemas.openxmlformats.org/officeDocument/2006/relationships/hyperlink" Target="https://doi.org/10.1103/2frt-tdg9" TargetMode="External"/><Relationship Id="rId1552" Type="http://schemas.openxmlformats.org/officeDocument/2006/relationships/hyperlink" Target="http://link.aps.org/doi/10.1103/rlkf-vwlc" TargetMode="External"/><Relationship Id="rId1553" Type="http://schemas.openxmlformats.org/officeDocument/2006/relationships/hyperlink" Target="https://doi.org/10.1103/rlkf-vwlc" TargetMode="External"/><Relationship Id="rId1554" Type="http://schemas.openxmlformats.org/officeDocument/2006/relationships/hyperlink" Target="http://link.aps.org/doi/10.1103/smgh-m2yq" TargetMode="External"/><Relationship Id="rId1555" Type="http://schemas.openxmlformats.org/officeDocument/2006/relationships/hyperlink" Target="https://doi.org/10.1103/smgh-m2yq" TargetMode="External"/><Relationship Id="rId1556" Type="http://schemas.openxmlformats.org/officeDocument/2006/relationships/hyperlink" Target="http://link.aps.org/doi/10.1103/xmbp-d85n" TargetMode="External"/><Relationship Id="rId1557" Type="http://schemas.openxmlformats.org/officeDocument/2006/relationships/hyperlink" Target="https://doi.org/10.1103/xmbp-d85n" TargetMode="External"/><Relationship Id="rId1558" Type="http://schemas.openxmlformats.org/officeDocument/2006/relationships/hyperlink" Target="http://link.aps.org/doi/10.1103/xn4s-xxs8" TargetMode="External"/><Relationship Id="rId1559" Type="http://schemas.openxmlformats.org/officeDocument/2006/relationships/hyperlink" Target="https://doi.org/10.1103/xn4s-xxs8" TargetMode="External"/><Relationship Id="rId1560" Type="http://schemas.openxmlformats.org/officeDocument/2006/relationships/hyperlink" Target="http://link.aps.org/doi/10.1103/x9gh-xxwb" TargetMode="External"/><Relationship Id="rId1561" Type="http://schemas.openxmlformats.org/officeDocument/2006/relationships/hyperlink" Target="https://doi.org/10.1103/x9gh-xxwb" TargetMode="External"/><Relationship Id="rId1562" Type="http://schemas.openxmlformats.org/officeDocument/2006/relationships/hyperlink" Target="http://link.aps.org/doi/10.1103/pb8c-3lnn" TargetMode="External"/><Relationship Id="rId1563" Type="http://schemas.openxmlformats.org/officeDocument/2006/relationships/hyperlink" Target="https://doi.org/10.1103/pb8c-3lnn" TargetMode="External"/><Relationship Id="rId1564" Type="http://schemas.openxmlformats.org/officeDocument/2006/relationships/hyperlink" Target="http://link.aps.org/doi/10.1103/69mf-6r8f" TargetMode="External"/><Relationship Id="rId1565" Type="http://schemas.openxmlformats.org/officeDocument/2006/relationships/hyperlink" Target="https://doi.org/10.1103/69mf-6r8f" TargetMode="External"/><Relationship Id="rId1566" Type="http://schemas.openxmlformats.org/officeDocument/2006/relationships/hyperlink" Target="http://link.aps.org/doi/10.1103/94hz-xtht" TargetMode="External"/><Relationship Id="rId1567" Type="http://schemas.openxmlformats.org/officeDocument/2006/relationships/hyperlink" Target="https://doi.org/10.1103/94hz-xtht" TargetMode="External"/><Relationship Id="rId1568" Type="http://schemas.openxmlformats.org/officeDocument/2006/relationships/hyperlink" Target="http://link.aps.org/doi/10.1103/d2n7-n2c7" TargetMode="External"/><Relationship Id="rId1569" Type="http://schemas.openxmlformats.org/officeDocument/2006/relationships/hyperlink" Target="https://doi.org/10.1103/d2n7-n2c7" TargetMode="External"/><Relationship Id="rId1570" Type="http://schemas.openxmlformats.org/officeDocument/2006/relationships/hyperlink" Target="https://advanced.onlinelibrary.wiley.com/doi/10.1002/adma.74705?af=R" TargetMode="External"/><Relationship Id="rId1571" Type="http://schemas.openxmlformats.org/officeDocument/2006/relationships/hyperlink" Target="https://doi.org/10.1002/adma.74705" TargetMode="External"/><Relationship Id="rId1572" Type="http://schemas.openxmlformats.org/officeDocument/2006/relationships/hyperlink" Target="https://advanced.onlinelibrary.wiley.com/doi/10.1002/adma.74702?af=R" TargetMode="External"/><Relationship Id="rId1573" Type="http://schemas.openxmlformats.org/officeDocument/2006/relationships/hyperlink" Target="https://doi.org/10.1002/adma.74702" TargetMode="External"/><Relationship Id="rId1574" Type="http://schemas.openxmlformats.org/officeDocument/2006/relationships/hyperlink" Target="https://advanced.onlinelibrary.wiley.com/doi/10.1002/adma.74617?af=R" TargetMode="External"/><Relationship Id="rId1575" Type="http://schemas.openxmlformats.org/officeDocument/2006/relationships/hyperlink" Target="https://doi.org/10.1002/adma.74617" TargetMode="External"/><Relationship Id="rId1576" Type="http://schemas.openxmlformats.org/officeDocument/2006/relationships/hyperlink" Target="https://advanced.onlinelibrary.wiley.com/doi/10.1002/adma.74776?af=R" TargetMode="External"/><Relationship Id="rId1577" Type="http://schemas.openxmlformats.org/officeDocument/2006/relationships/hyperlink" Target="https://doi.org/10.1002/adma.74776" TargetMode="External"/><Relationship Id="rId1578" Type="http://schemas.openxmlformats.org/officeDocument/2006/relationships/hyperlink" Target="https://onlinelibrary.wiley.com/doi/10.1002/anie.8095368?af=R" TargetMode="External"/><Relationship Id="rId1579" Type="http://schemas.openxmlformats.org/officeDocument/2006/relationships/hyperlink" Target="https://doi.org/10.1002/anie.8095368" TargetMode="External"/><Relationship Id="rId1580" Type="http://schemas.openxmlformats.org/officeDocument/2006/relationships/hyperlink" Target="https://www.nature.com/articles/s41467-026-77202-y" TargetMode="External"/><Relationship Id="rId1581" Type="http://schemas.openxmlformats.org/officeDocument/2006/relationships/hyperlink" Target="https://www.nature.com/articles/s41467-026-77313-6" TargetMode="External"/><Relationship Id="rId1582" Type="http://schemas.openxmlformats.org/officeDocument/2006/relationships/hyperlink" Target="https://www.nature.com/articles/s41467-026-77198-5" TargetMode="External"/><Relationship Id="rId1583" Type="http://schemas.openxmlformats.org/officeDocument/2006/relationships/hyperlink" Target="https://www.nature.com/articles/s41467-026-77208-6" TargetMode="External"/><Relationship Id="rId1584" Type="http://schemas.openxmlformats.org/officeDocument/2006/relationships/hyperlink" Target="https://www.nature.com/articles/s41467-026-76821-9" TargetMode="External"/><Relationship Id="rId1585" Type="http://schemas.openxmlformats.org/officeDocument/2006/relationships/hyperlink" Target="https://www.nature.com/articles/s41467-026-77174-z" TargetMode="External"/><Relationship Id="rId1586" Type="http://schemas.openxmlformats.org/officeDocument/2006/relationships/hyperlink" Target="https://www.nature.com/articles/s41467-026-77228-2" TargetMode="External"/><Relationship Id="rId1587" Type="http://schemas.openxmlformats.org/officeDocument/2006/relationships/hyperlink" Target="https://www.nature.com/articles/s41557-026-02238-y" TargetMode="External"/><Relationship Id="rId1588" Type="http://schemas.openxmlformats.org/officeDocument/2006/relationships/hyperlink" Target="https://doi.org/10.1038/s41557-026-02238-y" TargetMode="External"/><Relationship Id="rId1589" Type="http://schemas.openxmlformats.org/officeDocument/2006/relationships/hyperlink" Target="https://www.nature.com/articles/s41467-026-76917-2" TargetMode="External"/><Relationship Id="rId1590" Type="http://schemas.openxmlformats.org/officeDocument/2006/relationships/hyperlink" Target="https://academic.oup.com/nsr/advance-article/doi/10.1093/nsr/nwag547/8771873?rss=1" TargetMode="External"/><Relationship Id="rId1591" Type="http://schemas.openxmlformats.org/officeDocument/2006/relationships/hyperlink" Target="https://doi.org/10.1093/nsr/nwag547" TargetMode="External"/><Relationship Id="rId1592" Type="http://schemas.openxmlformats.org/officeDocument/2006/relationships/hyperlink" Target="https://academic.oup.com/nsr/advance-article/doi/10.1093/nsr/nwag550/8771875?rss=1" TargetMode="External"/><Relationship Id="rId1593" Type="http://schemas.openxmlformats.org/officeDocument/2006/relationships/hyperlink" Target="https://doi.org/10.1093/nsr/nwag550" TargetMode="External"/><Relationship Id="rId1594" Type="http://schemas.openxmlformats.org/officeDocument/2006/relationships/hyperlink" Target="https://academic.oup.com/nsr/advance-article/doi/10.1093/nsr/nwag537/8771876?rss=1" TargetMode="External"/><Relationship Id="rId1595" Type="http://schemas.openxmlformats.org/officeDocument/2006/relationships/hyperlink" Target="https://doi.org/10.1093/nsr/nwag537" TargetMode="External"/><Relationship Id="rId1596" Type="http://schemas.openxmlformats.org/officeDocument/2006/relationships/hyperlink" Target="https://www.nature.com/articles/d41586-026-02717-9" TargetMode="External"/><Relationship Id="rId1597" Type="http://schemas.openxmlformats.org/officeDocument/2006/relationships/hyperlink" Target="https://doi.org/10.1038/d41586-026-02717-9" TargetMode="External"/><Relationship Id="rId1598" Type="http://schemas.openxmlformats.org/officeDocument/2006/relationships/hyperlink" Target="https://www.nature.com/articles/d41586-026-02662-7" TargetMode="External"/><Relationship Id="rId1599" Type="http://schemas.openxmlformats.org/officeDocument/2006/relationships/hyperlink" Target="https://doi.org/10.1038/d41586-026-02662-7" TargetMode="External"/><Relationship Id="rId1600" Type="http://schemas.openxmlformats.org/officeDocument/2006/relationships/hyperlink" Target="https://www.nature.com/articles/d41586-026-02679-y" TargetMode="External"/><Relationship Id="rId1601" Type="http://schemas.openxmlformats.org/officeDocument/2006/relationships/hyperlink" Target="https://doi.org/10.1038/d41586-026-02679-y" TargetMode="External"/><Relationship Id="rId1602" Type="http://schemas.openxmlformats.org/officeDocument/2006/relationships/hyperlink" Target="https://www.nature.com/articles/d41586-026-02716-w" TargetMode="External"/><Relationship Id="rId1603" Type="http://schemas.openxmlformats.org/officeDocument/2006/relationships/hyperlink" Target="https://doi.org/10.1038/d41586-026-02716-w" TargetMode="External"/><Relationship Id="rId1604" Type="http://schemas.openxmlformats.org/officeDocument/2006/relationships/hyperlink" Target="https://www.nature.com/articles/d41586-026-02713-z" TargetMode="External"/><Relationship Id="rId1605" Type="http://schemas.openxmlformats.org/officeDocument/2006/relationships/hyperlink" Target="https://doi.org/10.1038/d41586-026-02713-z" TargetMode="External"/><Relationship Id="rId1606" Type="http://schemas.openxmlformats.org/officeDocument/2006/relationships/hyperlink" Target="https://www.nature.com/articles/d41586-026-02629-8" TargetMode="External"/><Relationship Id="rId1607" Type="http://schemas.openxmlformats.org/officeDocument/2006/relationships/hyperlink" Target="https://doi.org/10.1038/d41586-026-02629-8" TargetMode="External"/><Relationship Id="rId1608" Type="http://schemas.openxmlformats.org/officeDocument/2006/relationships/hyperlink" Target="https://academic.oup.com/nsr/advance-article/doi/10.1093/nsr/nwag543/8771871?rss=1" TargetMode="External"/><Relationship Id="rId1609" Type="http://schemas.openxmlformats.org/officeDocument/2006/relationships/hyperlink" Target="https://doi.org/10.1093/nsr/nwag543" TargetMode="External"/><Relationship Id="rId1610" Type="http://schemas.openxmlformats.org/officeDocument/2006/relationships/hyperlink" Target="https://www.nature.com/articles/s41563-026-02719-y" TargetMode="External"/><Relationship Id="rId1611" Type="http://schemas.openxmlformats.org/officeDocument/2006/relationships/hyperlink" Target="https://doi.org/10.1038/s41563-026-02719-y" TargetMode="External"/><Relationship Id="rId1612" Type="http://schemas.openxmlformats.org/officeDocument/2006/relationships/hyperlink" Target="https://www.nature.com/articles/s41467-026-77268-8" TargetMode="External"/><Relationship Id="rId1613" Type="http://schemas.openxmlformats.org/officeDocument/2006/relationships/hyperlink" Target="https://www.nature.com/articles/s41467-026-76768-x" TargetMode="External"/><Relationship Id="rId1614" Type="http://schemas.openxmlformats.org/officeDocument/2006/relationships/hyperlink" Target="https://www.nature.com/articles/s41467-026-76704-z" TargetMode="External"/><Relationship Id="rId1615" Type="http://schemas.openxmlformats.org/officeDocument/2006/relationships/hyperlink" Target="https://www.nature.com/articles/s41467-026-77150-7" TargetMode="External"/><Relationship Id="rId1616" Type="http://schemas.openxmlformats.org/officeDocument/2006/relationships/hyperlink" Target="https://www.nature.com/articles/s41467-026-76624-y" TargetMode="External"/><Relationship Id="rId1617" Type="http://schemas.openxmlformats.org/officeDocument/2006/relationships/hyperlink" Target="https://www.nature.com/articles/d41586-026-02628-9" TargetMode="External"/><Relationship Id="rId1618" Type="http://schemas.openxmlformats.org/officeDocument/2006/relationships/hyperlink" Target="https://doi.org/10.1038/d41586-026-02628-9" TargetMode="External"/><Relationship Id="rId1619" Type="http://schemas.openxmlformats.org/officeDocument/2006/relationships/hyperlink" Target="https://www.nature.com/articles/s41467-026-77230-8" TargetMode="External"/><Relationship Id="rId1620" Type="http://schemas.openxmlformats.org/officeDocument/2006/relationships/hyperlink" Target="https://www.nature.com/articles/s41467-026-77093-z" TargetMode="External"/><Relationship Id="rId1621" Type="http://schemas.openxmlformats.org/officeDocument/2006/relationships/hyperlink" Target="https://www.nature.com/articles/s41467-026-76597-y" TargetMode="External"/><Relationship Id="rId1622" Type="http://schemas.openxmlformats.org/officeDocument/2006/relationships/hyperlink" Target="https://www.nature.com/articles/s41467-026-77229-1" TargetMode="External"/><Relationship Id="rId1623" Type="http://schemas.openxmlformats.org/officeDocument/2006/relationships/hyperlink" Target="https://www.nature.com/articles/s41467-026-76231-x" TargetMode="External"/><Relationship Id="rId1624" Type="http://schemas.openxmlformats.org/officeDocument/2006/relationships/hyperlink" Target="https://www.nature.com/articles/s41467-026-76798-5" TargetMode="External"/><Relationship Id="rId1625" Type="http://schemas.openxmlformats.org/officeDocument/2006/relationships/hyperlink" Target="https://www.nature.com/articles/s41467-026-76906-5" TargetMode="External"/><Relationship Id="rId1626" Type="http://schemas.openxmlformats.org/officeDocument/2006/relationships/hyperlink" Target="https://www.nature.com/articles/s41467-026-76398-3" TargetMode="External"/><Relationship Id="rId1627" Type="http://schemas.openxmlformats.org/officeDocument/2006/relationships/hyperlink" Target="https://www.nature.com/articles/s41467-026-77024-y" TargetMode="External"/><Relationship Id="rId1628" Type="http://schemas.openxmlformats.org/officeDocument/2006/relationships/hyperlink" Target="https://www.nature.com/articles/s41467-026-77263-z" TargetMode="External"/><Relationship Id="rId1629" Type="http://schemas.openxmlformats.org/officeDocument/2006/relationships/hyperlink" Target="https://www.nature.com/articles/s41467-026-77145-4" TargetMode="External"/><Relationship Id="rId1630" Type="http://schemas.openxmlformats.org/officeDocument/2006/relationships/hyperlink" Target="https://www.nature.com/articles/s41467-026-77296-4" TargetMode="External"/><Relationship Id="rId1631" Type="http://schemas.openxmlformats.org/officeDocument/2006/relationships/hyperlink" Target="https://www.nature.com/articles/s41467-026-77220-w" TargetMode="External"/><Relationship Id="rId1632" Type="http://schemas.openxmlformats.org/officeDocument/2006/relationships/hyperlink" Target="https://www.nature.com/articles/s41467-026-76072-8" TargetMode="External"/><Relationship Id="rId1633" Type="http://schemas.openxmlformats.org/officeDocument/2006/relationships/hyperlink" Target="https://www.nature.com/articles/s41467-026-76970-x" TargetMode="External"/><Relationship Id="rId1634" Type="http://schemas.openxmlformats.org/officeDocument/2006/relationships/hyperlink" Target="https://onlinelibrary.wiley.com/doi/10.1002/anie.7487332?af=R" TargetMode="External"/><Relationship Id="rId1635" Type="http://schemas.openxmlformats.org/officeDocument/2006/relationships/hyperlink" Target="https://doi.org/10.1002/anie.7487332" TargetMode="External"/><Relationship Id="rId1636" Type="http://schemas.openxmlformats.org/officeDocument/2006/relationships/hyperlink" Target="https://onlinelibrary.wiley.com/doi/10.1002/anie.3858091?af=R" TargetMode="External"/><Relationship Id="rId1637" Type="http://schemas.openxmlformats.org/officeDocument/2006/relationships/hyperlink" Target="https://doi.org/10.1002/anie.3858091" TargetMode="External"/><Relationship Id="rId1638" Type="http://schemas.openxmlformats.org/officeDocument/2006/relationships/hyperlink" Target="https://onlinelibrary.wiley.com/doi/10.1002/anie.5224426?af=R" TargetMode="External"/><Relationship Id="rId1639" Type="http://schemas.openxmlformats.org/officeDocument/2006/relationships/hyperlink" Target="https://doi.org/10.1002/anie.5224426" TargetMode="External"/><Relationship Id="rId1640" Type="http://schemas.openxmlformats.org/officeDocument/2006/relationships/hyperlink" Target="https://onlinelibrary.wiley.com/doi/10.1002/anie.8220560?af=R" TargetMode="External"/><Relationship Id="rId1641" Type="http://schemas.openxmlformats.org/officeDocument/2006/relationships/hyperlink" Target="https://doi.org/10.1002/anie.8220560" TargetMode="External"/><Relationship Id="rId1642" Type="http://schemas.openxmlformats.org/officeDocument/2006/relationships/hyperlink" Target="https://onlinelibrary.wiley.com/doi/10.1002/anie.9624904?af=R" TargetMode="External"/><Relationship Id="rId1643" Type="http://schemas.openxmlformats.org/officeDocument/2006/relationships/hyperlink" Target="https://doi.org/10.1002/anie.9624904" TargetMode="External"/><Relationship Id="rId1644" Type="http://schemas.openxmlformats.org/officeDocument/2006/relationships/hyperlink" Target="https://onlinelibrary.wiley.com/doi/10.1002/anie.3776319?af=R" TargetMode="External"/><Relationship Id="rId1645" Type="http://schemas.openxmlformats.org/officeDocument/2006/relationships/hyperlink" Target="https://doi.org/10.1002/anie.3776319" TargetMode="External"/><Relationship Id="rId1646" Type="http://schemas.openxmlformats.org/officeDocument/2006/relationships/hyperlink" Target="https://onlinelibrary.wiley.com/doi/10.1002/anie.4430433?af=R" TargetMode="External"/><Relationship Id="rId1647" Type="http://schemas.openxmlformats.org/officeDocument/2006/relationships/hyperlink" Target="https://doi.org/10.1002/anie.4430433" TargetMode="External"/><Relationship Id="rId1648" Type="http://schemas.openxmlformats.org/officeDocument/2006/relationships/hyperlink" Target="https://onlinelibrary.wiley.com/doi/10.1002/anie.9317311?af=R" TargetMode="External"/><Relationship Id="rId1649" Type="http://schemas.openxmlformats.org/officeDocument/2006/relationships/hyperlink" Target="https://doi.org/10.1002/anie.9317311" TargetMode="External"/><Relationship Id="rId1650" Type="http://schemas.openxmlformats.org/officeDocument/2006/relationships/hyperlink" Target="https://onlinelibrary.wiley.com/doi/10.1002/anie.2537165?af=R" TargetMode="External"/><Relationship Id="rId1651" Type="http://schemas.openxmlformats.org/officeDocument/2006/relationships/hyperlink" Target="https://doi.org/10.1002/anie.2537165" TargetMode="External"/><Relationship Id="rId1652" Type="http://schemas.openxmlformats.org/officeDocument/2006/relationships/hyperlink" Target="https://advanced.onlinelibrary.wiley.com/doi/10.1002/adma.74804?af=R" TargetMode="External"/><Relationship Id="rId1653" Type="http://schemas.openxmlformats.org/officeDocument/2006/relationships/hyperlink" Target="https://doi.org/10.1002/adma.74804" TargetMode="External"/><Relationship Id="rId1654" Type="http://schemas.openxmlformats.org/officeDocument/2006/relationships/hyperlink" Target="https://www.science.org/doi/abs/10.1126/science.ael8353?af=R" TargetMode="External"/><Relationship Id="rId1655" Type="http://schemas.openxmlformats.org/officeDocument/2006/relationships/hyperlink" Target="https://doi.org/10.1126/science.ael8353" TargetMode="External"/><Relationship Id="rId1656" Type="http://schemas.openxmlformats.org/officeDocument/2006/relationships/hyperlink" Target="https://www.science.org/doi/abs/10.1126/science.aeh4348?af=R" TargetMode="External"/><Relationship Id="rId1657" Type="http://schemas.openxmlformats.org/officeDocument/2006/relationships/hyperlink" Target="https://doi.org/10.1126/science.aeh4348" TargetMode="External"/><Relationship Id="rId1658" Type="http://schemas.openxmlformats.org/officeDocument/2006/relationships/hyperlink" Target="https://www.science.org/doi/abs/10.1126/science.ael7895?af=R" TargetMode="External"/><Relationship Id="rId1659" Type="http://schemas.openxmlformats.org/officeDocument/2006/relationships/hyperlink" Target="https://doi.org/10.1126/science.ael7895" TargetMode="External"/><Relationship Id="rId1660" Type="http://schemas.openxmlformats.org/officeDocument/2006/relationships/hyperlink" Target="https://www.science.org/doi/abs/10.1126/science.ael7896?af=R" TargetMode="External"/><Relationship Id="rId1661" Type="http://schemas.openxmlformats.org/officeDocument/2006/relationships/hyperlink" Target="https://doi.org/10.1126/science.ael7896" TargetMode="External"/><Relationship Id="rId1662" Type="http://schemas.openxmlformats.org/officeDocument/2006/relationships/hyperlink" Target="https://www.science.org/doi/abs/10.1126/science.aek4631?af=R" TargetMode="External"/><Relationship Id="rId1663" Type="http://schemas.openxmlformats.org/officeDocument/2006/relationships/hyperlink" Target="https://doi.org/10.1126/science.aek4631" TargetMode="External"/><Relationship Id="rId1664" Type="http://schemas.openxmlformats.org/officeDocument/2006/relationships/hyperlink" Target="https://www.science.org/doi/abs/10.1126/science.aek3835?af=R" TargetMode="External"/><Relationship Id="rId1665" Type="http://schemas.openxmlformats.org/officeDocument/2006/relationships/hyperlink" Target="https://doi.org/10.1126/science.aek3835" TargetMode="External"/><Relationship Id="rId1666" Type="http://schemas.openxmlformats.org/officeDocument/2006/relationships/hyperlink" Target="https://www.science.org/doi/abs/10.1126/science.aek8173?af=R" TargetMode="External"/><Relationship Id="rId1667" Type="http://schemas.openxmlformats.org/officeDocument/2006/relationships/hyperlink" Target="https://doi.org/10.1126/science.aek8173" TargetMode="External"/><Relationship Id="rId1668" Type="http://schemas.openxmlformats.org/officeDocument/2006/relationships/hyperlink" Target="https://www.science.org/doi/abs/10.1126/science.ael8351?af=R" TargetMode="External"/><Relationship Id="rId1669" Type="http://schemas.openxmlformats.org/officeDocument/2006/relationships/hyperlink" Target="https://doi.org/10.1126/science.ael8351" TargetMode="External"/><Relationship Id="rId1670" Type="http://schemas.openxmlformats.org/officeDocument/2006/relationships/hyperlink" Target="https://www.science.org/doi/abs/10.1126/science.ael8347?af=R" TargetMode="External"/><Relationship Id="rId1671" Type="http://schemas.openxmlformats.org/officeDocument/2006/relationships/hyperlink" Target="https://doi.org/10.1126/science.ael8347" TargetMode="External"/><Relationship Id="rId1672" Type="http://schemas.openxmlformats.org/officeDocument/2006/relationships/hyperlink" Target="https://www.science.org/doi/abs/10.1126/science.aek4499?af=R" TargetMode="External"/><Relationship Id="rId1673" Type="http://schemas.openxmlformats.org/officeDocument/2006/relationships/hyperlink" Target="https://doi.org/10.1126/science.aek4499" TargetMode="External"/><Relationship Id="rId1674" Type="http://schemas.openxmlformats.org/officeDocument/2006/relationships/hyperlink" Target="https://www.science.org/doi/abs/10.1126/science.aej9417?af=R" TargetMode="External"/><Relationship Id="rId1675" Type="http://schemas.openxmlformats.org/officeDocument/2006/relationships/hyperlink" Target="https://doi.org/10.1126/science.aej9417" TargetMode="External"/><Relationship Id="rId1676" Type="http://schemas.openxmlformats.org/officeDocument/2006/relationships/hyperlink" Target="https://www.science.org/doi/abs/10.1126/science.ael8352?af=R" TargetMode="External"/><Relationship Id="rId1677" Type="http://schemas.openxmlformats.org/officeDocument/2006/relationships/hyperlink" Target="https://doi.org/10.1126/science.ael8352" TargetMode="External"/><Relationship Id="rId1678" Type="http://schemas.openxmlformats.org/officeDocument/2006/relationships/hyperlink" Target="https://www.science.org/doi/abs/10.1126/science.aej0194?af=R" TargetMode="External"/><Relationship Id="rId1679" Type="http://schemas.openxmlformats.org/officeDocument/2006/relationships/hyperlink" Target="https://doi.org/10.1126/science.aej0194" TargetMode="External"/><Relationship Id="rId1680" Type="http://schemas.openxmlformats.org/officeDocument/2006/relationships/hyperlink" Target="https://www.science.org/doi/abs/10.1126/science.ael0871?af=R" TargetMode="External"/><Relationship Id="rId1681" Type="http://schemas.openxmlformats.org/officeDocument/2006/relationships/hyperlink" Target="https://doi.org/10.1126/science.ael0871" TargetMode="External"/><Relationship Id="rId1682" Type="http://schemas.openxmlformats.org/officeDocument/2006/relationships/hyperlink" Target="https://www.science.org/doi/abs/10.1126/science.aeh4856?af=R" TargetMode="External"/><Relationship Id="rId1683" Type="http://schemas.openxmlformats.org/officeDocument/2006/relationships/hyperlink" Target="https://doi.org/10.1126/science.aeh4856" TargetMode="External"/><Relationship Id="rId1684" Type="http://schemas.openxmlformats.org/officeDocument/2006/relationships/hyperlink" Target="https://www.science.org/doi/abs/10.1126/science.ael7894?af=R" TargetMode="External"/><Relationship Id="rId1685" Type="http://schemas.openxmlformats.org/officeDocument/2006/relationships/hyperlink" Target="https://doi.org/10.1126/science.ael7894" TargetMode="External"/><Relationship Id="rId1686" Type="http://schemas.openxmlformats.org/officeDocument/2006/relationships/hyperlink" Target="https://www.science.org/doi/abs/10.1126/science.aej0154?af=R" TargetMode="External"/><Relationship Id="rId1687" Type="http://schemas.openxmlformats.org/officeDocument/2006/relationships/hyperlink" Target="https://doi.org/10.1126/science.aej0154" TargetMode="External"/><Relationship Id="rId1688" Type="http://schemas.openxmlformats.org/officeDocument/2006/relationships/hyperlink" Target="https://www.science.org/doi/abs/10.1126/science.ael8354?af=R" TargetMode="External"/><Relationship Id="rId1689" Type="http://schemas.openxmlformats.org/officeDocument/2006/relationships/hyperlink" Target="https://doi.org/10.1126/science.ael8354" TargetMode="External"/><Relationship Id="rId1690" Type="http://schemas.openxmlformats.org/officeDocument/2006/relationships/hyperlink" Target="https://www.science.org/doi/abs/10.1126/science.adx6059?af=R" TargetMode="External"/><Relationship Id="rId1691" Type="http://schemas.openxmlformats.org/officeDocument/2006/relationships/hyperlink" Target="https://doi.org/10.1126/science.adx6059" TargetMode="External"/><Relationship Id="rId1692" Type="http://schemas.openxmlformats.org/officeDocument/2006/relationships/hyperlink" Target="https://www.science.org/doi/abs/10.1126/science.aeg8955?af=R" TargetMode="External"/><Relationship Id="rId1693" Type="http://schemas.openxmlformats.org/officeDocument/2006/relationships/hyperlink" Target="https://doi.org/10.1126/science.aeg8955" TargetMode="External"/><Relationship Id="rId1694" Type="http://schemas.openxmlformats.org/officeDocument/2006/relationships/hyperlink" Target="https://www.science.org/doi/abs/10.1126/science.aec5252?af=R" TargetMode="External"/><Relationship Id="rId1695" Type="http://schemas.openxmlformats.org/officeDocument/2006/relationships/hyperlink" Target="https://doi.org/10.1126/science.aec5252" TargetMode="External"/><Relationship Id="rId1696" Type="http://schemas.openxmlformats.org/officeDocument/2006/relationships/hyperlink" Target="https://www.science.org/doi/abs/10.1126/science.aee3132?af=R" TargetMode="External"/><Relationship Id="rId1697" Type="http://schemas.openxmlformats.org/officeDocument/2006/relationships/hyperlink" Target="https://doi.org/10.1126/science.aee3132" TargetMode="External"/><Relationship Id="rId1698" Type="http://schemas.openxmlformats.org/officeDocument/2006/relationships/hyperlink" Target="https://www.science.org/doi/abs/10.1126/science.aef8268?af=R" TargetMode="External"/><Relationship Id="rId1699" Type="http://schemas.openxmlformats.org/officeDocument/2006/relationships/hyperlink" Target="https://doi.org/10.1126/science.aef8268" TargetMode="External"/><Relationship Id="rId1700" Type="http://schemas.openxmlformats.org/officeDocument/2006/relationships/hyperlink" Target="https://www.science.org/doi/abs/10.1126/science.ael8355?af=R" TargetMode="External"/><Relationship Id="rId1701" Type="http://schemas.openxmlformats.org/officeDocument/2006/relationships/hyperlink" Target="https://doi.org/10.1126/science.ael8355" TargetMode="External"/><Relationship Id="rId1702" Type="http://schemas.openxmlformats.org/officeDocument/2006/relationships/hyperlink" Target="https://www.science.org/doi/abs/10.1126/science.aeg6829?af=R" TargetMode="External"/><Relationship Id="rId1703" Type="http://schemas.openxmlformats.org/officeDocument/2006/relationships/hyperlink" Target="https://doi.org/10.1126/science.aeg6829" TargetMode="External"/><Relationship Id="rId1704" Type="http://schemas.openxmlformats.org/officeDocument/2006/relationships/hyperlink" Target="https://onlinelibrary.wiley.com/doi/10.1002/anie.3972904?af=R" TargetMode="External"/><Relationship Id="rId1705" Type="http://schemas.openxmlformats.org/officeDocument/2006/relationships/hyperlink" Target="https://doi.org/10.1002/anie.3972904" TargetMode="External"/><Relationship Id="rId1706" Type="http://schemas.openxmlformats.org/officeDocument/2006/relationships/hyperlink" Target="https://onlinelibrary.wiley.com/doi/10.1002/anie.8922921?af=R" TargetMode="External"/><Relationship Id="rId1707" Type="http://schemas.openxmlformats.org/officeDocument/2006/relationships/hyperlink" Target="https://doi.org/10.1002/anie.8922921" TargetMode="External"/><Relationship Id="rId1708" Type="http://schemas.openxmlformats.org/officeDocument/2006/relationships/hyperlink" Target="https://onlinelibrary.wiley.com/doi/10.1002/anie.5715165?af=R" TargetMode="External"/><Relationship Id="rId1709" Type="http://schemas.openxmlformats.org/officeDocument/2006/relationships/hyperlink" Target="https://doi.org/10.1002/anie.5715165" TargetMode="External"/><Relationship Id="rId1710" Type="http://schemas.openxmlformats.org/officeDocument/2006/relationships/hyperlink" Target="https://onlinelibrary.wiley.com/doi/10.1002/anie.3975660?af=R" TargetMode="External"/><Relationship Id="rId1711" Type="http://schemas.openxmlformats.org/officeDocument/2006/relationships/hyperlink" Target="https://doi.org/10.1002/anie.3975660" TargetMode="External"/><Relationship Id="rId1712" Type="http://schemas.openxmlformats.org/officeDocument/2006/relationships/hyperlink" Target="https://onlinelibrary.wiley.com/doi/10.1002/anie.5737595?af=R" TargetMode="External"/><Relationship Id="rId1713" Type="http://schemas.openxmlformats.org/officeDocument/2006/relationships/hyperlink" Target="https://doi.org/10.1002/anie.5737595" TargetMode="External"/><Relationship Id="rId1714" Type="http://schemas.openxmlformats.org/officeDocument/2006/relationships/hyperlink" Target="https://onlinelibrary.wiley.com/doi/10.1002/anie.1280035?af=R" TargetMode="External"/><Relationship Id="rId1715" Type="http://schemas.openxmlformats.org/officeDocument/2006/relationships/hyperlink" Target="https://doi.org/10.1002/anie.1280035" TargetMode="External"/><Relationship Id="rId1716" Type="http://schemas.openxmlformats.org/officeDocument/2006/relationships/hyperlink" Target="https://onlinelibrary.wiley.com/doi/10.1002/anie.6084718?af=R" TargetMode="External"/><Relationship Id="rId1717" Type="http://schemas.openxmlformats.org/officeDocument/2006/relationships/hyperlink" Target="https://doi.org/10.1002/anie.6084718" TargetMode="External"/><Relationship Id="rId1718" Type="http://schemas.openxmlformats.org/officeDocument/2006/relationships/hyperlink" Target="https://www.science.org/doi/abs/10.1126/science.aeb0054?af=R" TargetMode="External"/><Relationship Id="rId1719" Type="http://schemas.openxmlformats.org/officeDocument/2006/relationships/hyperlink" Target="https://doi.org/10.1126/science.aeb0054" TargetMode="External"/><Relationship Id="rId1720" Type="http://schemas.openxmlformats.org/officeDocument/2006/relationships/hyperlink" Target="https://www.science.org/doi/abs/10.1126/science.aec3449?af=R" TargetMode="External"/><Relationship Id="rId1721" Type="http://schemas.openxmlformats.org/officeDocument/2006/relationships/hyperlink" Target="https://doi.org/10.1126/science.aec3449" TargetMode="External"/><Relationship Id="rId1722" Type="http://schemas.openxmlformats.org/officeDocument/2006/relationships/hyperlink" Target="https://www.science.org/doi/abs/10.1126/science.ady4523?af=R" TargetMode="External"/><Relationship Id="rId1723" Type="http://schemas.openxmlformats.org/officeDocument/2006/relationships/hyperlink" Target="https://doi.org/10.1126/science.ady4523" TargetMode="External"/><Relationship Id="rId1724" Type="http://schemas.openxmlformats.org/officeDocument/2006/relationships/hyperlink" Target="https://www.science.org/doi/abs/10.1126/science.aec2171?af=R" TargetMode="External"/><Relationship Id="rId1725" Type="http://schemas.openxmlformats.org/officeDocument/2006/relationships/hyperlink" Target="https://doi.org/10.1126/science.aec2171" TargetMode="External"/><Relationship Id="rId1726" Type="http://schemas.openxmlformats.org/officeDocument/2006/relationships/hyperlink" Target="https://www.science.org/doi/abs/10.1126/science.ael0147?af=R" TargetMode="External"/><Relationship Id="rId1727" Type="http://schemas.openxmlformats.org/officeDocument/2006/relationships/hyperlink" Target="https://doi.org/10.1126/science.ael0147" TargetMode="External"/><Relationship Id="rId1728" Type="http://schemas.openxmlformats.org/officeDocument/2006/relationships/hyperlink" Target="https://www.science.org/doi/abs/10.1126/science.aed9893?af=R" TargetMode="External"/><Relationship Id="rId1729" Type="http://schemas.openxmlformats.org/officeDocument/2006/relationships/hyperlink" Target="https://doi.org/10.1126/science.aed9893" TargetMode="External"/><Relationship Id="rId1730" Type="http://schemas.openxmlformats.org/officeDocument/2006/relationships/hyperlink" Target="https://www.science.org/doi/abs/10.1126/science.ael6254?af=R" TargetMode="External"/><Relationship Id="rId1731" Type="http://schemas.openxmlformats.org/officeDocument/2006/relationships/hyperlink" Target="https://doi.org/10.1126/science.ael6254" TargetMode="External"/><Relationship Id="rId1732" Type="http://schemas.openxmlformats.org/officeDocument/2006/relationships/hyperlink" Target="https://www.science.org/doi/abs/10.1126/science.aeh7112?af=R" TargetMode="External"/><Relationship Id="rId1733" Type="http://schemas.openxmlformats.org/officeDocument/2006/relationships/hyperlink" Target="https://doi.org/10.1126/science.aeh7112" TargetMode="External"/><Relationship Id="rId1734" Type="http://schemas.openxmlformats.org/officeDocument/2006/relationships/hyperlink" Target="http://link.aps.org/doi/10.1103/jngg-1nf3" TargetMode="External"/><Relationship Id="rId1735" Type="http://schemas.openxmlformats.org/officeDocument/2006/relationships/hyperlink" Target="https://doi.org/10.1103/jngg-1nf3" TargetMode="External"/><Relationship Id="rId1736" Type="http://schemas.openxmlformats.org/officeDocument/2006/relationships/hyperlink" Target="http://link.aps.org/doi/10.1103/2ygw-n5b1" TargetMode="External"/><Relationship Id="rId1737" Type="http://schemas.openxmlformats.org/officeDocument/2006/relationships/hyperlink" Target="https://doi.org/10.1103/2ygw-n5b1" TargetMode="External"/><Relationship Id="rId1738" Type="http://schemas.openxmlformats.org/officeDocument/2006/relationships/hyperlink" Target="http://link.aps.org/doi/10.1103/d8tj-55kc" TargetMode="External"/><Relationship Id="rId1739" Type="http://schemas.openxmlformats.org/officeDocument/2006/relationships/hyperlink" Target="https://doi.org/10.1103/d8tj-55kc" TargetMode="External"/><Relationship Id="rId1740" Type="http://schemas.openxmlformats.org/officeDocument/2006/relationships/hyperlink" Target="http://link.aps.org/doi/10.1103/x2m7-dtgd" TargetMode="External"/><Relationship Id="rId1741" Type="http://schemas.openxmlformats.org/officeDocument/2006/relationships/hyperlink" Target="https://doi.org/10.1103/x2m7-dtgd" TargetMode="External"/><Relationship Id="rId1742" Type="http://schemas.openxmlformats.org/officeDocument/2006/relationships/hyperlink" Target="http://link.aps.org/doi/10.1103/8zg2-cxc1" TargetMode="External"/><Relationship Id="rId1743" Type="http://schemas.openxmlformats.org/officeDocument/2006/relationships/hyperlink" Target="https://doi.org/10.1103/8zg2-cxc1" TargetMode="External"/><Relationship Id="rId1744" Type="http://schemas.openxmlformats.org/officeDocument/2006/relationships/hyperlink" Target="http://link.aps.org/doi/10.1103/xsg5-1848" TargetMode="External"/><Relationship Id="rId1745" Type="http://schemas.openxmlformats.org/officeDocument/2006/relationships/hyperlink" Target="https://doi.org/10.1103/xsg5-1848" TargetMode="External"/><Relationship Id="rId1746" Type="http://schemas.openxmlformats.org/officeDocument/2006/relationships/hyperlink" Target="http://link.aps.org/doi/10.1103/ryb5-8ntp" TargetMode="External"/><Relationship Id="rId1747" Type="http://schemas.openxmlformats.org/officeDocument/2006/relationships/hyperlink" Target="https://doi.org/10.1103/ryb5-8ntp" TargetMode="External"/><Relationship Id="rId1748" Type="http://schemas.openxmlformats.org/officeDocument/2006/relationships/hyperlink" Target="http://link.aps.org/doi/10.1103/jw4w-2jbm" TargetMode="External"/><Relationship Id="rId1749" Type="http://schemas.openxmlformats.org/officeDocument/2006/relationships/hyperlink" Target="https://doi.org/10.1103/jw4w-2jbm" TargetMode="External"/><Relationship Id="rId1750" Type="http://schemas.openxmlformats.org/officeDocument/2006/relationships/hyperlink" Target="http://link.aps.org/doi/10.1103/ztpt-x9q3" TargetMode="External"/><Relationship Id="rId1751" Type="http://schemas.openxmlformats.org/officeDocument/2006/relationships/hyperlink" Target="https://doi.org/10.1103/ztpt-x9q3" TargetMode="External"/><Relationship Id="rId1752" Type="http://schemas.openxmlformats.org/officeDocument/2006/relationships/hyperlink" Target="http://link.aps.org/doi/10.1103/fq7x-srrg" TargetMode="External"/><Relationship Id="rId1753" Type="http://schemas.openxmlformats.org/officeDocument/2006/relationships/hyperlink" Target="https://doi.org/10.1103/fq7x-srrg" TargetMode="External"/><Relationship Id="rId1754" Type="http://schemas.openxmlformats.org/officeDocument/2006/relationships/hyperlink" Target="http://link.aps.org/doi/10.1103/7sbg-yqhs" TargetMode="External"/><Relationship Id="rId1755" Type="http://schemas.openxmlformats.org/officeDocument/2006/relationships/hyperlink" Target="https://doi.org/10.1103/7sbg-yqhs" TargetMode="External"/><Relationship Id="rId1756" Type="http://schemas.openxmlformats.org/officeDocument/2006/relationships/hyperlink" Target="http://link.aps.org/doi/10.1103/6c49-6yt4" TargetMode="External"/><Relationship Id="rId1757" Type="http://schemas.openxmlformats.org/officeDocument/2006/relationships/hyperlink" Target="https://doi.org/10.1103/6c49-6yt4" TargetMode="External"/><Relationship Id="rId1758" Type="http://schemas.openxmlformats.org/officeDocument/2006/relationships/hyperlink" Target="http://link.aps.org/doi/10.1103/c1xc-2hdz" TargetMode="External"/><Relationship Id="rId1759" Type="http://schemas.openxmlformats.org/officeDocument/2006/relationships/hyperlink" Target="https://doi.org/10.1103/c1xc-2hdz" TargetMode="External"/><Relationship Id="rId1760" Type="http://schemas.openxmlformats.org/officeDocument/2006/relationships/hyperlink" Target="http://link.aps.org/doi/10.1103/bbff-kxpy" TargetMode="External"/><Relationship Id="rId1761" Type="http://schemas.openxmlformats.org/officeDocument/2006/relationships/hyperlink" Target="https://doi.org/10.1103/bbff-kxpy" TargetMode="External"/><Relationship Id="rId1762" Type="http://schemas.openxmlformats.org/officeDocument/2006/relationships/hyperlink" Target="http://link.aps.org/doi/10.1103/sz13-9shg" TargetMode="External"/><Relationship Id="rId1763" Type="http://schemas.openxmlformats.org/officeDocument/2006/relationships/hyperlink" Target="https://doi.org/10.1103/sz13-9shg" TargetMode="External"/><Relationship Id="rId1764" Type="http://schemas.openxmlformats.org/officeDocument/2006/relationships/hyperlink" Target="http://link.aps.org/doi/10.1103/3yby-qq2n" TargetMode="External"/><Relationship Id="rId1765" Type="http://schemas.openxmlformats.org/officeDocument/2006/relationships/hyperlink" Target="https://doi.org/10.1103/3yby-qq2n" TargetMode="External"/><Relationship Id="rId1766" Type="http://schemas.openxmlformats.org/officeDocument/2006/relationships/hyperlink" Target="http://link.aps.org/doi/10.1103/l3pj-kq32" TargetMode="External"/><Relationship Id="rId1767" Type="http://schemas.openxmlformats.org/officeDocument/2006/relationships/hyperlink" Target="https://doi.org/10.1103/l3pj-kq32" TargetMode="External"/><Relationship Id="rId1768" Type="http://schemas.openxmlformats.org/officeDocument/2006/relationships/hyperlink" Target="http://link.aps.org/doi/10.1103/sppm-qsnb" TargetMode="External"/><Relationship Id="rId1769" Type="http://schemas.openxmlformats.org/officeDocument/2006/relationships/hyperlink" Target="https://doi.org/10.1103/sppm-qsnb" TargetMode="External"/><Relationship Id="rId1770" Type="http://schemas.openxmlformats.org/officeDocument/2006/relationships/hyperlink" Target="http://link.aps.org/doi/10.1103/gdbv-wnpp" TargetMode="External"/><Relationship Id="rId1771" Type="http://schemas.openxmlformats.org/officeDocument/2006/relationships/hyperlink" Target="https://doi.org/10.1103/gdbv-wnpp" TargetMode="External"/><Relationship Id="rId1772" Type="http://schemas.openxmlformats.org/officeDocument/2006/relationships/hyperlink" Target="http://link.aps.org/doi/10.1103/mqr4-wnny" TargetMode="External"/><Relationship Id="rId1773" Type="http://schemas.openxmlformats.org/officeDocument/2006/relationships/hyperlink" Target="https://doi.org/10.1103/mqr4-wnny" TargetMode="External"/><Relationship Id="rId1774" Type="http://schemas.openxmlformats.org/officeDocument/2006/relationships/hyperlink" Target="http://link.aps.org/doi/10.1103/k4tt-7fq3" TargetMode="External"/><Relationship Id="rId1775" Type="http://schemas.openxmlformats.org/officeDocument/2006/relationships/hyperlink" Target="https://doi.org/10.1103/k4tt-7fq3" TargetMode="External"/><Relationship Id="rId1776" Type="http://schemas.openxmlformats.org/officeDocument/2006/relationships/hyperlink" Target="http://link.aps.org/doi/10.1103/jt6y-h375" TargetMode="External"/><Relationship Id="rId1777" Type="http://schemas.openxmlformats.org/officeDocument/2006/relationships/hyperlink" Target="https://doi.org/10.1103/jt6y-h3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